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1BA8A5">
      <w:pPr>
        <w:pStyle w:val="19"/>
        <w:tabs>
          <w:tab w:val="left" w:pos="5670"/>
        </w:tabs>
        <w:kinsoku w:val="0"/>
        <w:overflowPunct w:val="0"/>
        <w:rPr>
          <w:color w:val="auto"/>
          <w:highlight w:val="none"/>
        </w:rPr>
      </w:pPr>
      <w:bookmarkStart w:id="0" w:name="_Toc183682338"/>
      <w:bookmarkStart w:id="1" w:name="_Toc217446030"/>
    </w:p>
    <w:p w14:paraId="624CCE2A">
      <w:pPr>
        <w:tabs>
          <w:tab w:val="left" w:pos="1710"/>
        </w:tabs>
        <w:rPr>
          <w:color w:val="auto"/>
          <w:highlight w:val="none"/>
        </w:rPr>
      </w:pPr>
    </w:p>
    <w:p w14:paraId="543AEC00">
      <w:pPr>
        <w:tabs>
          <w:tab w:val="left" w:pos="1710"/>
        </w:tabs>
        <w:rPr>
          <w:color w:val="auto"/>
          <w:highlight w:val="none"/>
        </w:rPr>
      </w:pPr>
    </w:p>
    <w:p w14:paraId="67D0A776">
      <w:pPr>
        <w:tabs>
          <w:tab w:val="left" w:pos="1710"/>
        </w:tabs>
        <w:rPr>
          <w:color w:val="auto"/>
          <w:highlight w:val="none"/>
        </w:rPr>
      </w:pPr>
    </w:p>
    <w:tbl>
      <w:tblPr>
        <w:tblStyle w:val="51"/>
        <w:tblW w:w="7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194D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0385AAB5">
            <w:pPr>
              <w:snapToGrid w:val="0"/>
              <w:spacing w:line="240" w:lineRule="atLeast"/>
              <w:jc w:val="center"/>
              <w:rPr>
                <w:b/>
                <w:color w:val="auto"/>
                <w:sz w:val="60"/>
                <w:szCs w:val="60"/>
                <w:highlight w:val="none"/>
              </w:rPr>
            </w:pPr>
            <w:r>
              <w:rPr>
                <w:rFonts w:hint="eastAsia"/>
                <w:b/>
                <w:color w:val="auto"/>
                <w:sz w:val="60"/>
                <w:szCs w:val="60"/>
                <w:highlight w:val="none"/>
              </w:rPr>
              <w:t>征  集</w:t>
            </w:r>
            <w:r>
              <w:rPr>
                <w:b/>
                <w:color w:val="auto"/>
                <w:sz w:val="60"/>
                <w:szCs w:val="60"/>
                <w:highlight w:val="none"/>
              </w:rPr>
              <w:t xml:space="preserve">  文</w:t>
            </w:r>
            <w:r>
              <w:rPr>
                <w:rFonts w:hint="eastAsia"/>
                <w:b/>
                <w:color w:val="auto"/>
                <w:sz w:val="60"/>
                <w:szCs w:val="60"/>
                <w:highlight w:val="none"/>
              </w:rPr>
              <w:t xml:space="preserve"> </w:t>
            </w:r>
            <w:r>
              <w:rPr>
                <w:b/>
                <w:color w:val="auto"/>
                <w:sz w:val="60"/>
                <w:szCs w:val="60"/>
                <w:highlight w:val="none"/>
              </w:rPr>
              <w:t xml:space="preserve"> 件</w:t>
            </w:r>
          </w:p>
        </w:tc>
      </w:tr>
      <w:tr w14:paraId="5305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531A10C">
            <w:pPr>
              <w:rPr>
                <w:b/>
                <w:color w:val="auto"/>
                <w:sz w:val="32"/>
                <w:szCs w:val="32"/>
                <w:highlight w:val="none"/>
              </w:rPr>
            </w:pPr>
            <w:r>
              <w:rPr>
                <w:b/>
                <w:color w:val="auto"/>
                <w:sz w:val="32"/>
                <w:szCs w:val="32"/>
                <w:highlight w:val="none"/>
              </w:rPr>
              <w:t>项目名称：</w:t>
            </w:r>
          </w:p>
        </w:tc>
        <w:tc>
          <w:tcPr>
            <w:tcW w:w="5433" w:type="dxa"/>
            <w:vAlign w:val="center"/>
          </w:tcPr>
          <w:p w14:paraId="79B352E9">
            <w:pPr>
              <w:rPr>
                <w:rFonts w:hint="eastAsia" w:eastAsia="宋体"/>
                <w:b/>
                <w:color w:val="auto"/>
                <w:sz w:val="32"/>
                <w:szCs w:val="32"/>
                <w:highlight w:val="none"/>
                <w:lang w:eastAsia="zh-CN"/>
              </w:rPr>
            </w:pPr>
            <w:r>
              <w:rPr>
                <w:rFonts w:hint="eastAsia"/>
                <w:b/>
                <w:color w:val="auto"/>
                <w:sz w:val="32"/>
                <w:szCs w:val="32"/>
                <w:highlight w:val="none"/>
                <w:lang w:eastAsia="zh-CN"/>
              </w:rPr>
              <w:t>贺州市平桂区财政局2026～2027年度政府投资项目评审服务</w:t>
            </w:r>
          </w:p>
        </w:tc>
      </w:tr>
      <w:tr w14:paraId="5F9E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E1386D6">
            <w:pPr>
              <w:rPr>
                <w:b/>
                <w:color w:val="auto"/>
                <w:sz w:val="32"/>
                <w:szCs w:val="32"/>
                <w:highlight w:val="none"/>
              </w:rPr>
            </w:pPr>
            <w:r>
              <w:rPr>
                <w:b/>
                <w:color w:val="auto"/>
                <w:sz w:val="32"/>
                <w:szCs w:val="32"/>
                <w:highlight w:val="none"/>
              </w:rPr>
              <w:t>项目编号：</w:t>
            </w:r>
          </w:p>
        </w:tc>
        <w:tc>
          <w:tcPr>
            <w:tcW w:w="5433" w:type="dxa"/>
            <w:vAlign w:val="center"/>
          </w:tcPr>
          <w:p w14:paraId="76733B09">
            <w:pPr>
              <w:rPr>
                <w:rFonts w:hint="eastAsia" w:eastAsia="宋体"/>
                <w:b/>
                <w:color w:val="auto"/>
                <w:sz w:val="32"/>
                <w:szCs w:val="32"/>
                <w:highlight w:val="none"/>
                <w:lang w:eastAsia="zh-CN"/>
              </w:rPr>
            </w:pPr>
            <w:r>
              <w:rPr>
                <w:rFonts w:hint="eastAsia"/>
                <w:b/>
                <w:color w:val="auto"/>
                <w:sz w:val="32"/>
                <w:szCs w:val="32"/>
                <w:highlight w:val="none"/>
                <w:lang w:eastAsia="zh-CN"/>
              </w:rPr>
              <w:t>HZZC2025-K3-030136-JDZB</w:t>
            </w:r>
          </w:p>
        </w:tc>
      </w:tr>
      <w:tr w14:paraId="633C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8890159">
            <w:pPr>
              <w:rPr>
                <w:b/>
                <w:color w:val="auto"/>
                <w:sz w:val="32"/>
                <w:szCs w:val="32"/>
                <w:highlight w:val="none"/>
              </w:rPr>
            </w:pPr>
            <w:r>
              <w:rPr>
                <w:b/>
                <w:color w:val="auto"/>
                <w:sz w:val="32"/>
                <w:szCs w:val="32"/>
                <w:highlight w:val="none"/>
              </w:rPr>
              <w:t>联系电话：</w:t>
            </w:r>
          </w:p>
        </w:tc>
        <w:tc>
          <w:tcPr>
            <w:tcW w:w="5433" w:type="dxa"/>
            <w:vAlign w:val="center"/>
          </w:tcPr>
          <w:p w14:paraId="01BACB69">
            <w:pPr>
              <w:rPr>
                <w:b/>
                <w:color w:val="auto"/>
                <w:sz w:val="32"/>
                <w:szCs w:val="32"/>
                <w:highlight w:val="none"/>
              </w:rPr>
            </w:pPr>
            <w:r>
              <w:rPr>
                <w:rFonts w:hint="eastAsia"/>
                <w:b/>
                <w:color w:val="auto"/>
                <w:sz w:val="32"/>
                <w:szCs w:val="32"/>
                <w:highlight w:val="none"/>
              </w:rPr>
              <w:t>0771-5782003</w:t>
            </w:r>
          </w:p>
        </w:tc>
      </w:tr>
    </w:tbl>
    <w:p w14:paraId="6F238F84">
      <w:pPr>
        <w:tabs>
          <w:tab w:val="left" w:pos="1710"/>
        </w:tabs>
        <w:rPr>
          <w:color w:val="auto"/>
          <w:highlight w:val="none"/>
        </w:rPr>
      </w:pPr>
    </w:p>
    <w:p w14:paraId="10C8D4E5">
      <w:pPr>
        <w:rPr>
          <w:color w:val="auto"/>
          <w:highlight w:val="none"/>
        </w:rPr>
      </w:pPr>
    </w:p>
    <w:p w14:paraId="16B9F013">
      <w:pPr>
        <w:rPr>
          <w:color w:val="auto"/>
          <w:highlight w:val="none"/>
        </w:rPr>
      </w:pPr>
    </w:p>
    <w:p w14:paraId="41B5F27E">
      <w:pPr>
        <w:rPr>
          <w:color w:val="auto"/>
          <w:highlight w:val="none"/>
        </w:rPr>
      </w:pPr>
    </w:p>
    <w:p w14:paraId="2E1B1707">
      <w:pPr>
        <w:rPr>
          <w:color w:val="auto"/>
          <w:highlight w:val="none"/>
        </w:rPr>
      </w:pPr>
    </w:p>
    <w:p w14:paraId="3071AD8B">
      <w:pPr>
        <w:rPr>
          <w:color w:val="auto"/>
          <w:highlight w:val="none"/>
        </w:rPr>
      </w:pPr>
    </w:p>
    <w:p w14:paraId="461DFDB2">
      <w:pPr>
        <w:rPr>
          <w:color w:val="auto"/>
          <w:highlight w:val="none"/>
        </w:rPr>
      </w:pPr>
    </w:p>
    <w:p w14:paraId="73B80705">
      <w:pPr>
        <w:rPr>
          <w:color w:val="auto"/>
          <w:highlight w:val="none"/>
        </w:rPr>
      </w:pPr>
    </w:p>
    <w:p w14:paraId="2B5E78FB">
      <w:pPr>
        <w:rPr>
          <w:color w:val="auto"/>
          <w:highlight w:val="none"/>
        </w:rPr>
      </w:pPr>
    </w:p>
    <w:p w14:paraId="41A36C60">
      <w:pPr>
        <w:rPr>
          <w:color w:val="auto"/>
          <w:highlight w:val="none"/>
        </w:rPr>
      </w:pPr>
    </w:p>
    <w:p w14:paraId="623D98E8">
      <w:pPr>
        <w:rPr>
          <w:color w:val="auto"/>
          <w:highlight w:val="none"/>
        </w:rPr>
      </w:pPr>
    </w:p>
    <w:p w14:paraId="125D492F">
      <w:pPr>
        <w:rPr>
          <w:color w:val="auto"/>
          <w:highlight w:val="none"/>
        </w:rPr>
      </w:pPr>
    </w:p>
    <w:p w14:paraId="06213B41">
      <w:pPr>
        <w:rPr>
          <w:color w:val="auto"/>
          <w:highlight w:val="none"/>
        </w:rPr>
      </w:pPr>
    </w:p>
    <w:p w14:paraId="12CA2A7A">
      <w:pPr>
        <w:rPr>
          <w:color w:val="auto"/>
          <w:highlight w:val="none"/>
        </w:rPr>
      </w:pPr>
    </w:p>
    <w:p w14:paraId="357DB095">
      <w:pPr>
        <w:rPr>
          <w:color w:val="auto"/>
          <w:highlight w:val="none"/>
        </w:rPr>
      </w:pPr>
    </w:p>
    <w:tbl>
      <w:tblPr>
        <w:tblStyle w:val="51"/>
        <w:tblW w:w="9110" w:type="dxa"/>
        <w:tblInd w:w="-593" w:type="dxa"/>
        <w:tblLayout w:type="fixed"/>
        <w:tblCellMar>
          <w:top w:w="0" w:type="dxa"/>
          <w:left w:w="108" w:type="dxa"/>
          <w:bottom w:w="0" w:type="dxa"/>
          <w:right w:w="108" w:type="dxa"/>
        </w:tblCellMar>
      </w:tblPr>
      <w:tblGrid>
        <w:gridCol w:w="2977"/>
        <w:gridCol w:w="6"/>
        <w:gridCol w:w="6127"/>
      </w:tblGrid>
      <w:tr w14:paraId="505F123F">
        <w:tblPrEx>
          <w:tblCellMar>
            <w:top w:w="0" w:type="dxa"/>
            <w:left w:w="108" w:type="dxa"/>
            <w:bottom w:w="0" w:type="dxa"/>
            <w:right w:w="108" w:type="dxa"/>
          </w:tblCellMar>
        </w:tblPrEx>
        <w:trPr>
          <w:trHeight w:val="723" w:hRule="atLeast"/>
        </w:trPr>
        <w:tc>
          <w:tcPr>
            <w:tcW w:w="2977" w:type="dxa"/>
            <w:vAlign w:val="center"/>
          </w:tcPr>
          <w:p w14:paraId="0D6F7F03">
            <w:pPr>
              <w:autoSpaceDE w:val="0"/>
              <w:autoSpaceDN w:val="0"/>
              <w:adjustRightInd w:val="0"/>
              <w:jc w:val="right"/>
              <w:rPr>
                <w:b/>
                <w:color w:val="auto"/>
                <w:sz w:val="32"/>
                <w:szCs w:val="32"/>
                <w:highlight w:val="none"/>
              </w:rPr>
            </w:pPr>
            <w:bookmarkStart w:id="2" w:name="_Hlk97503251"/>
            <w:r>
              <w:rPr>
                <w:b/>
                <w:color w:val="auto"/>
                <w:sz w:val="32"/>
                <w:szCs w:val="32"/>
                <w:highlight w:val="none"/>
              </w:rPr>
              <w:t xml:space="preserve">  征集人：</w:t>
            </w:r>
          </w:p>
        </w:tc>
        <w:tc>
          <w:tcPr>
            <w:tcW w:w="6133" w:type="dxa"/>
            <w:gridSpan w:val="2"/>
            <w:vAlign w:val="center"/>
          </w:tcPr>
          <w:p w14:paraId="51FA3D5E">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贺州市平桂区财政局</w:t>
            </w:r>
          </w:p>
        </w:tc>
      </w:tr>
      <w:bookmarkEnd w:id="2"/>
      <w:tr w14:paraId="49E165A2">
        <w:tblPrEx>
          <w:tblCellMar>
            <w:top w:w="0" w:type="dxa"/>
            <w:left w:w="108" w:type="dxa"/>
            <w:bottom w:w="0" w:type="dxa"/>
            <w:right w:w="108" w:type="dxa"/>
          </w:tblCellMar>
        </w:tblPrEx>
        <w:trPr>
          <w:trHeight w:val="723" w:hRule="atLeast"/>
        </w:trPr>
        <w:tc>
          <w:tcPr>
            <w:tcW w:w="2983" w:type="dxa"/>
            <w:gridSpan w:val="2"/>
          </w:tcPr>
          <w:p w14:paraId="3703CF8C">
            <w:pPr>
              <w:wordWrap w:val="0"/>
              <w:autoSpaceDE w:val="0"/>
              <w:autoSpaceDN w:val="0"/>
              <w:adjustRightInd w:val="0"/>
              <w:jc w:val="right"/>
              <w:rPr>
                <w:b/>
                <w:color w:val="auto"/>
                <w:sz w:val="32"/>
                <w:szCs w:val="32"/>
                <w:highlight w:val="none"/>
              </w:rPr>
            </w:pPr>
            <w:r>
              <w:rPr>
                <w:rFonts w:hint="eastAsia"/>
                <w:b/>
                <w:color w:val="auto"/>
                <w:sz w:val="32"/>
                <w:szCs w:val="32"/>
                <w:highlight w:val="none"/>
              </w:rPr>
              <w:t xml:space="preserve">  </w:t>
            </w:r>
            <w:r>
              <w:rPr>
                <w:b/>
                <w:color w:val="auto"/>
                <w:sz w:val="32"/>
                <w:szCs w:val="32"/>
                <w:highlight w:val="none"/>
              </w:rPr>
              <w:t>采购代理机构：</w:t>
            </w:r>
          </w:p>
        </w:tc>
        <w:tc>
          <w:tcPr>
            <w:tcW w:w="6127" w:type="dxa"/>
          </w:tcPr>
          <w:p w14:paraId="213C8B1B">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0F61301">
      <w:pPr>
        <w:rPr>
          <w:color w:val="auto"/>
          <w:highlight w:val="none"/>
        </w:rPr>
      </w:pPr>
    </w:p>
    <w:p w14:paraId="118B6928">
      <w:pPr>
        <w:ind w:firstLine="321" w:firstLineChars="100"/>
        <w:jc w:val="center"/>
        <w:rPr>
          <w:b/>
          <w:color w:val="auto"/>
          <w:sz w:val="32"/>
          <w:szCs w:val="32"/>
          <w:highlight w:val="none"/>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bookmarkStart w:id="3" w:name="_Toc32587"/>
      <w:r>
        <w:rPr>
          <w:b/>
          <w:color w:val="auto"/>
          <w:sz w:val="32"/>
          <w:szCs w:val="32"/>
          <w:highlight w:val="none"/>
        </w:rPr>
        <w:t>202</w:t>
      </w:r>
      <w:r>
        <w:rPr>
          <w:rFonts w:hint="eastAsia"/>
          <w:b/>
          <w:color w:val="auto"/>
          <w:sz w:val="32"/>
          <w:szCs w:val="32"/>
          <w:highlight w:val="none"/>
        </w:rPr>
        <w:t>5</w:t>
      </w:r>
      <w:r>
        <w:rPr>
          <w:b/>
          <w:color w:val="auto"/>
          <w:sz w:val="32"/>
          <w:szCs w:val="32"/>
          <w:highlight w:val="none"/>
        </w:rPr>
        <w:t>年</w:t>
      </w:r>
      <w:r>
        <w:rPr>
          <w:rFonts w:hint="eastAsia"/>
          <w:b/>
          <w:color w:val="auto"/>
          <w:sz w:val="32"/>
          <w:szCs w:val="32"/>
          <w:highlight w:val="none"/>
          <w:lang w:val="en-US" w:eastAsia="zh-CN"/>
        </w:rPr>
        <w:t>11</w:t>
      </w:r>
      <w:r>
        <w:rPr>
          <w:b/>
          <w:color w:val="auto"/>
          <w:sz w:val="32"/>
          <w:szCs w:val="32"/>
          <w:highlight w:val="none"/>
        </w:rPr>
        <w:t>月</w:t>
      </w:r>
    </w:p>
    <w:p w14:paraId="3FDC46B7">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4" w:name="_Toc20051"/>
      <w:bookmarkStart w:id="5" w:name="_Toc23878"/>
      <w:bookmarkStart w:id="6" w:name="_Toc97561713"/>
      <w:r>
        <w:rPr>
          <w:rFonts w:ascii="Times New Roman" w:hAnsi="Times New Roman" w:cs="Times New Roman"/>
          <w:color w:val="auto"/>
          <w:sz w:val="32"/>
          <w:szCs w:val="32"/>
          <w:highlight w:val="none"/>
        </w:rPr>
        <w:t>目    录</w:t>
      </w:r>
      <w:bookmarkEnd w:id="3"/>
      <w:bookmarkEnd w:id="4"/>
      <w:bookmarkEnd w:id="5"/>
      <w:bookmarkEnd w:id="6"/>
    </w:p>
    <w:p w14:paraId="1765D381">
      <w:pPr>
        <w:pStyle w:val="33"/>
        <w:tabs>
          <w:tab w:val="right" w:leader="dot" w:pos="9070"/>
          <w:tab w:val="clear" w:pos="8398"/>
        </w:tabs>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_Toc19471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 xml:space="preserve">第一章  </w:t>
      </w:r>
      <w:r>
        <w:rPr>
          <w:rFonts w:hint="eastAsia" w:ascii="Times New Roman" w:hAnsi="Times New Roman" w:cs="Times New Roman"/>
          <w:color w:val="auto"/>
          <w:szCs w:val="32"/>
          <w:highlight w:val="none"/>
        </w:rPr>
        <w:t>征集</w:t>
      </w:r>
      <w:r>
        <w:rPr>
          <w:rFonts w:ascii="Times New Roman" w:hAnsi="Times New Roman" w:cs="Times New Roman"/>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_Toc19471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14:paraId="29805E38">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_Toc13163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_Toc13163 \h </w:instrText>
      </w:r>
      <w:r>
        <w:rPr>
          <w:color w:val="auto"/>
          <w:highlight w:val="none"/>
        </w:rPr>
        <w:fldChar w:fldCharType="separate"/>
      </w:r>
      <w:r>
        <w:rPr>
          <w:color w:val="auto"/>
          <w:highlight w:val="none"/>
        </w:rPr>
        <w:t>5</w:t>
      </w:r>
      <w:r>
        <w:rPr>
          <w:color w:val="auto"/>
          <w:highlight w:val="none"/>
        </w:rPr>
        <w:fldChar w:fldCharType="end"/>
      </w:r>
      <w:r>
        <w:rPr>
          <w:rFonts w:ascii="Times New Roman" w:hAnsi="Times New Roman"/>
          <w:color w:val="auto"/>
          <w:szCs w:val="28"/>
          <w:highlight w:val="none"/>
        </w:rPr>
        <w:fldChar w:fldCharType="end"/>
      </w:r>
    </w:p>
    <w:p w14:paraId="3D7E87C5">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_Toc31646 </w:instrText>
      </w:r>
      <w:r>
        <w:rPr>
          <w:rFonts w:ascii="Times New Roman" w:hAnsi="Times New Roman"/>
          <w:color w:val="auto"/>
          <w:szCs w:val="28"/>
          <w:highlight w:val="none"/>
        </w:rPr>
        <w:fldChar w:fldCharType="separate"/>
      </w:r>
      <w:r>
        <w:rPr>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_Toc31646 \h </w:instrText>
      </w:r>
      <w:r>
        <w:rPr>
          <w:color w:val="auto"/>
          <w:highlight w:val="none"/>
        </w:rPr>
        <w:fldChar w:fldCharType="separate"/>
      </w:r>
      <w:r>
        <w:rPr>
          <w:color w:val="auto"/>
          <w:highlight w:val="none"/>
        </w:rPr>
        <w:t>13</w:t>
      </w:r>
      <w:r>
        <w:rPr>
          <w:color w:val="auto"/>
          <w:highlight w:val="none"/>
        </w:rPr>
        <w:fldChar w:fldCharType="end"/>
      </w:r>
      <w:r>
        <w:rPr>
          <w:rFonts w:ascii="Times New Roman" w:hAnsi="Times New Roman"/>
          <w:color w:val="auto"/>
          <w:szCs w:val="28"/>
          <w:highlight w:val="none"/>
        </w:rPr>
        <w:fldChar w:fldCharType="end"/>
      </w:r>
    </w:p>
    <w:p w14:paraId="4154C1FB">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_Toc7130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_Toc7130 \h </w:instrText>
      </w:r>
      <w:r>
        <w:rPr>
          <w:color w:val="auto"/>
          <w:highlight w:val="none"/>
        </w:rPr>
        <w:fldChar w:fldCharType="separate"/>
      </w:r>
      <w:r>
        <w:rPr>
          <w:color w:val="auto"/>
          <w:highlight w:val="none"/>
        </w:rPr>
        <w:t>30</w:t>
      </w:r>
      <w:r>
        <w:rPr>
          <w:color w:val="auto"/>
          <w:highlight w:val="none"/>
        </w:rPr>
        <w:fldChar w:fldCharType="end"/>
      </w:r>
      <w:r>
        <w:rPr>
          <w:rFonts w:ascii="Times New Roman" w:hAnsi="Times New Roman"/>
          <w:color w:val="auto"/>
          <w:szCs w:val="28"/>
          <w:highlight w:val="none"/>
        </w:rPr>
        <w:fldChar w:fldCharType="end"/>
      </w:r>
    </w:p>
    <w:p w14:paraId="4BDF39CF">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_Toc13721 </w:instrText>
      </w:r>
      <w:r>
        <w:rPr>
          <w:rFonts w:ascii="Times New Roman" w:hAnsi="Times New Roman"/>
          <w:color w:val="auto"/>
          <w:szCs w:val="28"/>
          <w:highlight w:val="none"/>
        </w:rPr>
        <w:fldChar w:fldCharType="separate"/>
      </w:r>
      <w:r>
        <w:rPr>
          <w:color w:val="auto"/>
          <w:szCs w:val="32"/>
          <w:highlight w:val="none"/>
        </w:rPr>
        <w:t xml:space="preserve">第五章  </w:t>
      </w:r>
      <w:r>
        <w:rPr>
          <w:rFonts w:hint="eastAsia"/>
          <w:color w:val="auto"/>
          <w:szCs w:val="32"/>
          <w:highlight w:val="none"/>
        </w:rPr>
        <w:t>框架协议</w:t>
      </w:r>
      <w:r>
        <w:rPr>
          <w:color w:val="auto"/>
          <w:highlight w:val="none"/>
        </w:rPr>
        <w:tab/>
      </w:r>
      <w:r>
        <w:rPr>
          <w:color w:val="auto"/>
          <w:highlight w:val="none"/>
        </w:rPr>
        <w:fldChar w:fldCharType="begin"/>
      </w:r>
      <w:r>
        <w:rPr>
          <w:color w:val="auto"/>
          <w:highlight w:val="none"/>
        </w:rPr>
        <w:instrText xml:space="preserve"> PAGEREF _Toc13721 \h </w:instrText>
      </w:r>
      <w:r>
        <w:rPr>
          <w:color w:val="auto"/>
          <w:highlight w:val="none"/>
        </w:rPr>
        <w:fldChar w:fldCharType="separate"/>
      </w:r>
      <w:r>
        <w:rPr>
          <w:color w:val="auto"/>
          <w:highlight w:val="none"/>
        </w:rPr>
        <w:t>38</w:t>
      </w:r>
      <w:r>
        <w:rPr>
          <w:color w:val="auto"/>
          <w:highlight w:val="none"/>
        </w:rPr>
        <w:fldChar w:fldCharType="end"/>
      </w:r>
      <w:r>
        <w:rPr>
          <w:rFonts w:ascii="Times New Roman" w:hAnsi="Times New Roman"/>
          <w:color w:val="auto"/>
          <w:szCs w:val="28"/>
          <w:highlight w:val="none"/>
        </w:rPr>
        <w:fldChar w:fldCharType="end"/>
      </w:r>
    </w:p>
    <w:p w14:paraId="63CEC9E0">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_Toc2614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六</w:t>
      </w:r>
      <w:r>
        <w:rPr>
          <w:rFonts w:ascii="Times New Roman" w:hAnsi="Times New Roman" w:cs="Times New Roman"/>
          <w:color w:val="auto"/>
          <w:szCs w:val="32"/>
          <w:highlight w:val="none"/>
        </w:rPr>
        <w:t>章  合同主要条款格式</w:t>
      </w:r>
      <w:r>
        <w:rPr>
          <w:color w:val="auto"/>
          <w:highlight w:val="none"/>
        </w:rPr>
        <w:tab/>
      </w:r>
      <w:r>
        <w:rPr>
          <w:color w:val="auto"/>
          <w:highlight w:val="none"/>
        </w:rPr>
        <w:fldChar w:fldCharType="begin"/>
      </w:r>
      <w:r>
        <w:rPr>
          <w:color w:val="auto"/>
          <w:highlight w:val="none"/>
        </w:rPr>
        <w:instrText xml:space="preserve"> PAGEREF _Toc2614 \h </w:instrText>
      </w:r>
      <w:r>
        <w:rPr>
          <w:color w:val="auto"/>
          <w:highlight w:val="none"/>
        </w:rPr>
        <w:fldChar w:fldCharType="separate"/>
      </w:r>
      <w:r>
        <w:rPr>
          <w:color w:val="auto"/>
          <w:highlight w:val="none"/>
        </w:rPr>
        <w:t>56</w:t>
      </w:r>
      <w:r>
        <w:rPr>
          <w:color w:val="auto"/>
          <w:highlight w:val="none"/>
        </w:rPr>
        <w:fldChar w:fldCharType="end"/>
      </w:r>
      <w:r>
        <w:rPr>
          <w:rFonts w:ascii="Times New Roman" w:hAnsi="Times New Roman"/>
          <w:color w:val="auto"/>
          <w:szCs w:val="28"/>
          <w:highlight w:val="none"/>
        </w:rPr>
        <w:fldChar w:fldCharType="end"/>
      </w:r>
    </w:p>
    <w:p w14:paraId="4C4B4C8C">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_Toc13126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七</w:t>
      </w:r>
      <w:r>
        <w:rPr>
          <w:rFonts w:ascii="Times New Roman" w:hAnsi="Times New Roman" w:cs="Times New Roman"/>
          <w:color w:val="auto"/>
          <w:szCs w:val="32"/>
          <w:highlight w:val="none"/>
        </w:rPr>
        <w:t>章  响应文件格式</w:t>
      </w:r>
      <w:r>
        <w:rPr>
          <w:color w:val="auto"/>
          <w:highlight w:val="none"/>
        </w:rPr>
        <w:tab/>
      </w:r>
      <w:r>
        <w:rPr>
          <w:color w:val="auto"/>
          <w:highlight w:val="none"/>
        </w:rPr>
        <w:fldChar w:fldCharType="begin"/>
      </w:r>
      <w:r>
        <w:rPr>
          <w:color w:val="auto"/>
          <w:highlight w:val="none"/>
        </w:rPr>
        <w:instrText xml:space="preserve"> PAGEREF _Toc13126 \h </w:instrText>
      </w:r>
      <w:r>
        <w:rPr>
          <w:color w:val="auto"/>
          <w:highlight w:val="none"/>
        </w:rPr>
        <w:fldChar w:fldCharType="separate"/>
      </w:r>
      <w:r>
        <w:rPr>
          <w:color w:val="auto"/>
          <w:highlight w:val="none"/>
        </w:rPr>
        <w:t>58</w:t>
      </w:r>
      <w:r>
        <w:rPr>
          <w:color w:val="auto"/>
          <w:highlight w:val="none"/>
        </w:rPr>
        <w:fldChar w:fldCharType="end"/>
      </w:r>
      <w:r>
        <w:rPr>
          <w:rFonts w:ascii="Times New Roman" w:hAnsi="Times New Roman"/>
          <w:color w:val="auto"/>
          <w:szCs w:val="28"/>
          <w:highlight w:val="none"/>
        </w:rPr>
        <w:fldChar w:fldCharType="end"/>
      </w:r>
    </w:p>
    <w:p w14:paraId="778562CD">
      <w:pPr>
        <w:pStyle w:val="33"/>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78AAD393">
      <w:pPr>
        <w:spacing w:before="120" w:beforeLines="50" w:line="480" w:lineRule="exact"/>
        <w:rPr>
          <w:color w:val="auto"/>
          <w:sz w:val="28"/>
          <w:szCs w:val="28"/>
          <w:highlight w:val="none"/>
        </w:rPr>
      </w:pPr>
    </w:p>
    <w:p w14:paraId="502F750C">
      <w:pPr>
        <w:spacing w:before="120" w:beforeLines="50" w:line="480" w:lineRule="exact"/>
        <w:rPr>
          <w:color w:val="auto"/>
          <w:sz w:val="30"/>
          <w:highlight w:val="none"/>
        </w:rPr>
        <w:sectPr>
          <w:headerReference r:id="rId6" w:type="first"/>
          <w:pgSz w:w="11906" w:h="16838"/>
          <w:pgMar w:top="1418" w:right="1418" w:bottom="1246" w:left="1418" w:header="851" w:footer="992" w:gutter="0"/>
          <w:pgNumType w:start="0"/>
          <w:cols w:space="720" w:num="1"/>
          <w:titlePg/>
          <w:docGrid w:linePitch="312" w:charSpace="0"/>
        </w:sectPr>
      </w:pPr>
    </w:p>
    <w:p w14:paraId="17210556">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7" w:name="_Toc254970630"/>
      <w:bookmarkStart w:id="8" w:name="_Toc254970489"/>
      <w:bookmarkStart w:id="9" w:name="_Toc19471"/>
      <w:r>
        <w:rPr>
          <w:rFonts w:ascii="Times New Roman" w:hAnsi="Times New Roman" w:cs="Times New Roman"/>
          <w:color w:val="auto"/>
          <w:sz w:val="32"/>
          <w:szCs w:val="32"/>
          <w:highlight w:val="none"/>
        </w:rPr>
        <w:t xml:space="preserve">第一章  </w:t>
      </w:r>
      <w:bookmarkEnd w:id="7"/>
      <w:bookmarkEnd w:id="8"/>
      <w:r>
        <w:rPr>
          <w:rFonts w:hint="eastAsia" w:ascii="Times New Roman" w:hAnsi="Times New Roman" w:cs="Times New Roman"/>
          <w:color w:val="auto"/>
          <w:sz w:val="32"/>
          <w:szCs w:val="32"/>
          <w:highlight w:val="none"/>
        </w:rPr>
        <w:t>征集</w:t>
      </w:r>
      <w:r>
        <w:rPr>
          <w:rFonts w:ascii="Times New Roman" w:hAnsi="Times New Roman" w:cs="Times New Roman"/>
          <w:color w:val="auto"/>
          <w:sz w:val="32"/>
          <w:szCs w:val="32"/>
          <w:highlight w:val="none"/>
        </w:rPr>
        <w:t>公告</w:t>
      </w:r>
      <w:bookmarkEnd w:id="9"/>
    </w:p>
    <w:p w14:paraId="67B4283C">
      <w:pPr>
        <w:spacing w:line="400" w:lineRule="exact"/>
        <w:jc w:val="center"/>
        <w:rPr>
          <w:b/>
          <w:color w:val="auto"/>
          <w:sz w:val="24"/>
          <w:highlight w:val="none"/>
        </w:rPr>
      </w:pPr>
      <w:r>
        <w:rPr>
          <w:color w:val="auto"/>
          <w:kern w:val="0"/>
          <w:sz w:val="24"/>
          <w:highlight w:val="none"/>
        </w:rPr>
        <w:t>广西机电设备招标有限公司关于</w:t>
      </w:r>
      <w:r>
        <w:rPr>
          <w:rFonts w:hint="eastAsia"/>
          <w:color w:val="auto"/>
          <w:kern w:val="0"/>
          <w:sz w:val="24"/>
          <w:highlight w:val="none"/>
          <w:lang w:eastAsia="zh-CN"/>
        </w:rPr>
        <w:t>贺州市平桂区财政局2026～2027年度政府投资项目评审服务</w:t>
      </w:r>
      <w:r>
        <w:rPr>
          <w:color w:val="auto"/>
          <w:sz w:val="24"/>
          <w:highlight w:val="none"/>
        </w:rPr>
        <w:t>(</w:t>
      </w:r>
      <w:r>
        <w:rPr>
          <w:rFonts w:hint="eastAsia"/>
          <w:color w:val="auto"/>
          <w:sz w:val="24"/>
          <w:highlight w:val="none"/>
          <w:lang w:eastAsia="zh-CN"/>
        </w:rPr>
        <w:t>HZZC2025-K3-030136-JDZB</w:t>
      </w:r>
      <w:r>
        <w:rPr>
          <w:color w:val="auto"/>
          <w:sz w:val="24"/>
          <w:highlight w:val="none"/>
        </w:rPr>
        <w:t>)</w:t>
      </w:r>
      <w:r>
        <w:rPr>
          <w:rFonts w:hint="eastAsia"/>
          <w:color w:val="auto"/>
          <w:kern w:val="0"/>
          <w:sz w:val="24"/>
          <w:highlight w:val="none"/>
        </w:rPr>
        <w:t>征集</w:t>
      </w:r>
      <w:r>
        <w:rPr>
          <w:color w:val="auto"/>
          <w:kern w:val="0"/>
          <w:sz w:val="24"/>
          <w:highlight w:val="none"/>
        </w:rPr>
        <w:t>公告</w:t>
      </w:r>
    </w:p>
    <w:p w14:paraId="4C869E8F">
      <w:pPr>
        <w:ind w:firstLine="409" w:firstLineChars="195"/>
        <w:jc w:val="left"/>
        <w:rPr>
          <w:color w:val="auto"/>
          <w:kern w:val="0"/>
          <w:szCs w:val="21"/>
          <w:highlight w:val="none"/>
        </w:rPr>
      </w:pPr>
      <w:bookmarkStart w:id="110" w:name="_GoBack"/>
      <w:bookmarkEnd w:id="110"/>
    </w:p>
    <w:p w14:paraId="495866B6">
      <w:pPr>
        <w:spacing w:line="312" w:lineRule="auto"/>
        <w:ind w:firstLine="420" w:firstLineChars="200"/>
        <w:jc w:val="left"/>
        <w:rPr>
          <w:color w:val="auto"/>
          <w:kern w:val="0"/>
          <w:szCs w:val="21"/>
          <w:highlight w:val="none"/>
        </w:rPr>
      </w:pPr>
      <w:r>
        <w:rPr>
          <w:rFonts w:hint="eastAsia"/>
          <w:color w:val="auto"/>
          <w:kern w:val="0"/>
          <w:szCs w:val="21"/>
          <w:highlight w:val="none"/>
        </w:rPr>
        <w:t>项目概况：</w:t>
      </w:r>
      <w:r>
        <w:rPr>
          <w:rFonts w:hint="eastAsia"/>
          <w:color w:val="auto"/>
          <w:kern w:val="0"/>
          <w:szCs w:val="21"/>
          <w:highlight w:val="none"/>
          <w:lang w:eastAsia="zh-CN"/>
        </w:rPr>
        <w:t>贺州市平桂区财政局2026～2027年度政府投资项目评审服务</w:t>
      </w:r>
      <w:r>
        <w:rPr>
          <w:rFonts w:hint="eastAsia"/>
          <w:color w:val="auto"/>
          <w:kern w:val="0"/>
          <w:szCs w:val="21"/>
          <w:highlight w:val="none"/>
        </w:rPr>
        <w:t>（</w:t>
      </w:r>
      <w:r>
        <w:rPr>
          <w:rFonts w:hint="eastAsia"/>
          <w:color w:val="auto"/>
          <w:kern w:val="0"/>
          <w:szCs w:val="21"/>
          <w:highlight w:val="none"/>
          <w:lang w:eastAsia="zh-CN"/>
        </w:rPr>
        <w:t>HZZC2025-K3-030136-JDZB</w:t>
      </w:r>
      <w:r>
        <w:rPr>
          <w:rFonts w:hint="eastAsia"/>
          <w:color w:val="auto"/>
          <w:kern w:val="0"/>
          <w:szCs w:val="21"/>
          <w:highlight w:val="none"/>
        </w:rPr>
        <w:t>）</w:t>
      </w:r>
      <w:r>
        <w:rPr>
          <w:rFonts w:hint="eastAsia"/>
          <w:color w:val="auto"/>
          <w:szCs w:val="21"/>
          <w:highlight w:val="none"/>
        </w:rPr>
        <w:t>的潜在供应商应在广西政府采购云平台（</w:t>
      </w:r>
      <w:r>
        <w:rPr>
          <w:color w:val="auto"/>
          <w:szCs w:val="21"/>
          <w:highlight w:val="none"/>
        </w:rPr>
        <w:t>https://www.gcy.zfcg.gxzf.gov.cn/</w:t>
      </w:r>
      <w:r>
        <w:rPr>
          <w:rFonts w:hint="eastAsia"/>
          <w:color w:val="auto"/>
          <w:szCs w:val="21"/>
          <w:highlight w:val="none"/>
        </w:rPr>
        <w:t>）获取（下载）征集文件，并于</w:t>
      </w:r>
      <w:r>
        <w:rPr>
          <w:rFonts w:hint="eastAsia"/>
          <w:color w:val="auto"/>
          <w:szCs w:val="21"/>
          <w:highlight w:val="none"/>
          <w:lang w:val="en-US" w:eastAsia="zh-CN"/>
        </w:rPr>
        <w:t>2025</w:t>
      </w:r>
      <w:r>
        <w:rPr>
          <w:rFonts w:hint="eastAsia"/>
          <w:color w:val="auto"/>
          <w:szCs w:val="21"/>
          <w:highlight w:val="none"/>
        </w:rPr>
        <w:t>年</w:t>
      </w:r>
      <w:r>
        <w:rPr>
          <w:rFonts w:hint="eastAsia"/>
          <w:color w:val="auto"/>
          <w:szCs w:val="21"/>
          <w:highlight w:val="none"/>
          <w:lang w:val="en-US" w:eastAsia="zh-CN"/>
        </w:rPr>
        <w:t>12</w:t>
      </w:r>
      <w:r>
        <w:rPr>
          <w:rFonts w:hint="eastAsia"/>
          <w:color w:val="auto"/>
          <w:szCs w:val="21"/>
          <w:highlight w:val="none"/>
        </w:rPr>
        <w:t>月</w:t>
      </w:r>
      <w:r>
        <w:rPr>
          <w:rFonts w:hint="eastAsia"/>
          <w:color w:val="auto"/>
          <w:szCs w:val="21"/>
          <w:highlight w:val="none"/>
          <w:lang w:val="en-US" w:eastAsia="zh-CN"/>
        </w:rPr>
        <w:t>16</w:t>
      </w:r>
      <w:r>
        <w:rPr>
          <w:rFonts w:hint="eastAsia"/>
          <w:color w:val="auto"/>
          <w:szCs w:val="21"/>
          <w:highlight w:val="none"/>
        </w:rPr>
        <w:t>日</w:t>
      </w:r>
      <w:r>
        <w:rPr>
          <w:rFonts w:hint="eastAsia"/>
          <w:color w:val="auto"/>
          <w:szCs w:val="21"/>
          <w:highlight w:val="none"/>
          <w:lang w:val="en-US" w:eastAsia="zh-CN"/>
        </w:rPr>
        <w:t>9</w:t>
      </w:r>
      <w:r>
        <w:rPr>
          <w:rFonts w:hint="eastAsia"/>
          <w:color w:val="auto"/>
          <w:szCs w:val="21"/>
          <w:highlight w:val="none"/>
        </w:rPr>
        <w:t>点</w:t>
      </w:r>
      <w:r>
        <w:rPr>
          <w:rFonts w:hint="eastAsia"/>
          <w:color w:val="auto"/>
          <w:szCs w:val="21"/>
          <w:highlight w:val="none"/>
          <w:lang w:val="en-US" w:eastAsia="zh-CN"/>
        </w:rPr>
        <w:t>00</w:t>
      </w:r>
      <w:r>
        <w:rPr>
          <w:rFonts w:hint="eastAsia"/>
          <w:color w:val="auto"/>
          <w:szCs w:val="21"/>
          <w:highlight w:val="none"/>
        </w:rPr>
        <w:t>分（北京时间）前递交响应</w:t>
      </w:r>
      <w:r>
        <w:rPr>
          <w:color w:val="auto"/>
          <w:szCs w:val="21"/>
          <w:highlight w:val="none"/>
        </w:rPr>
        <w:t>文件</w:t>
      </w:r>
      <w:r>
        <w:rPr>
          <w:rFonts w:hint="eastAsia"/>
          <w:color w:val="auto"/>
          <w:szCs w:val="21"/>
          <w:highlight w:val="none"/>
        </w:rPr>
        <w:t>。</w:t>
      </w:r>
    </w:p>
    <w:p w14:paraId="0ADA08A4">
      <w:pPr>
        <w:spacing w:line="312" w:lineRule="auto"/>
        <w:jc w:val="left"/>
        <w:rPr>
          <w:color w:val="auto"/>
          <w:kern w:val="0"/>
          <w:szCs w:val="21"/>
          <w:highlight w:val="none"/>
        </w:rPr>
      </w:pPr>
    </w:p>
    <w:p w14:paraId="44F00CEE">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2230478D">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项目编号：</w:t>
      </w:r>
      <w:r>
        <w:rPr>
          <w:rFonts w:hint="eastAsia"/>
          <w:color w:val="auto"/>
          <w:kern w:val="0"/>
          <w:szCs w:val="21"/>
          <w:highlight w:val="none"/>
          <w:lang w:eastAsia="zh-CN"/>
        </w:rPr>
        <w:t>HZZC2025-K3-030136-JDZB</w:t>
      </w:r>
    </w:p>
    <w:p w14:paraId="4582E439">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2</w:t>
      </w:r>
      <w:r>
        <w:rPr>
          <w:rFonts w:hint="eastAsia"/>
          <w:color w:val="auto"/>
          <w:kern w:val="0"/>
          <w:szCs w:val="21"/>
          <w:highlight w:val="none"/>
        </w:rPr>
        <w:t>.</w:t>
      </w:r>
      <w:r>
        <w:rPr>
          <w:color w:val="auto"/>
          <w:kern w:val="0"/>
          <w:szCs w:val="21"/>
          <w:highlight w:val="none"/>
        </w:rPr>
        <w:t>项目名称：</w:t>
      </w:r>
      <w:r>
        <w:rPr>
          <w:rFonts w:hint="eastAsia"/>
          <w:color w:val="auto"/>
          <w:kern w:val="0"/>
          <w:szCs w:val="21"/>
          <w:highlight w:val="none"/>
          <w:lang w:eastAsia="zh-CN"/>
        </w:rPr>
        <w:t>贺州市平桂区财政局2026～2027年度政府投资项目评审服务</w:t>
      </w:r>
    </w:p>
    <w:p w14:paraId="10BCC6EA">
      <w:pPr>
        <w:spacing w:line="312" w:lineRule="auto"/>
        <w:ind w:firstLine="420" w:firstLineChars="200"/>
        <w:jc w:val="left"/>
        <w:rPr>
          <w:color w:val="auto"/>
          <w:kern w:val="0"/>
          <w:szCs w:val="21"/>
          <w:highlight w:val="none"/>
        </w:rPr>
      </w:pPr>
      <w:r>
        <w:rPr>
          <w:rFonts w:hint="eastAsia"/>
          <w:color w:val="auto"/>
          <w:kern w:val="0"/>
          <w:szCs w:val="21"/>
          <w:highlight w:val="none"/>
        </w:rPr>
        <w:t>3.年度采购预算：经批准的年度部门预算安排的专项评审费，在低于最高限价的前提下以最终实际发生金额为准</w:t>
      </w:r>
    </w:p>
    <w:p w14:paraId="79D86342">
      <w:pPr>
        <w:spacing w:line="312" w:lineRule="auto"/>
        <w:ind w:firstLine="420" w:firstLineChars="200"/>
        <w:jc w:val="left"/>
        <w:rPr>
          <w:color w:val="auto"/>
          <w:kern w:val="0"/>
          <w:szCs w:val="21"/>
          <w:highlight w:val="none"/>
        </w:rPr>
      </w:pPr>
      <w:r>
        <w:rPr>
          <w:color w:val="auto"/>
          <w:kern w:val="0"/>
          <w:szCs w:val="21"/>
          <w:highlight w:val="none"/>
        </w:rPr>
        <w:t>4</w:t>
      </w:r>
      <w:r>
        <w:rPr>
          <w:rFonts w:hint="eastAsia"/>
          <w:color w:val="auto"/>
          <w:kern w:val="0"/>
          <w:szCs w:val="21"/>
          <w:highlight w:val="none"/>
        </w:rPr>
        <w:t>.</w:t>
      </w:r>
      <w:r>
        <w:rPr>
          <w:color w:val="auto"/>
          <w:kern w:val="0"/>
          <w:szCs w:val="21"/>
          <w:highlight w:val="none"/>
        </w:rPr>
        <w:t>最高</w:t>
      </w:r>
      <w:r>
        <w:rPr>
          <w:rFonts w:hint="eastAsia"/>
          <w:color w:val="auto"/>
          <w:kern w:val="0"/>
          <w:szCs w:val="21"/>
          <w:highlight w:val="none"/>
        </w:rPr>
        <w:t>限制单价</w:t>
      </w:r>
      <w:r>
        <w:rPr>
          <w:color w:val="auto"/>
          <w:kern w:val="0"/>
          <w:szCs w:val="21"/>
          <w:highlight w:val="none"/>
        </w:rPr>
        <w:t>：</w:t>
      </w:r>
    </w:p>
    <w:tbl>
      <w:tblPr>
        <w:tblStyle w:val="51"/>
        <w:tblW w:w="87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6"/>
        <w:gridCol w:w="7437"/>
      </w:tblGrid>
      <w:tr w14:paraId="7CE6E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0E942DC3">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标项</w:t>
            </w:r>
          </w:p>
        </w:tc>
        <w:tc>
          <w:tcPr>
            <w:tcW w:w="7437" w:type="dxa"/>
            <w:tcBorders>
              <w:top w:val="single" w:color="auto" w:sz="4" w:space="0"/>
              <w:left w:val="single" w:color="auto" w:sz="4" w:space="0"/>
              <w:bottom w:val="single" w:color="auto" w:sz="4" w:space="0"/>
              <w:right w:val="single" w:color="auto" w:sz="4" w:space="0"/>
            </w:tcBorders>
            <w:vAlign w:val="center"/>
          </w:tcPr>
          <w:p w14:paraId="5853784B">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限价</w:t>
            </w:r>
          </w:p>
        </w:tc>
      </w:tr>
      <w:tr w14:paraId="55214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vAlign w:val="center"/>
          </w:tcPr>
          <w:p w14:paraId="651BA6D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一</w:t>
            </w:r>
          </w:p>
        </w:tc>
        <w:tc>
          <w:tcPr>
            <w:tcW w:w="7437" w:type="dxa"/>
            <w:tcBorders>
              <w:top w:val="single" w:color="auto" w:sz="4" w:space="0"/>
              <w:left w:val="single" w:color="auto" w:sz="4" w:space="0"/>
              <w:bottom w:val="single" w:color="auto" w:sz="4" w:space="0"/>
              <w:right w:val="single" w:color="auto" w:sz="4" w:space="0"/>
            </w:tcBorders>
            <w:vAlign w:val="center"/>
          </w:tcPr>
          <w:p w14:paraId="12DD6B1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将项目委托</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评审时，按以下费率计算服务费用：</w:t>
            </w:r>
          </w:p>
          <w:p w14:paraId="013A403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（1）审核工程概（预）算（含工程量清单、上限控制价），编审费按审查工程项目送审总造价1‰核定基本付费额。</w:t>
            </w:r>
          </w:p>
          <w:p w14:paraId="1B9AA0E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（2）审核工程概（预）算（含工程量清单、上限控制价），审减（增）费按审查定案净减（增）值的3%核定基本付费额。</w:t>
            </w:r>
          </w:p>
          <w:p w14:paraId="48C605D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单个工程项目按上述两种费率合计计算。单个工程项目评审服务费不足2000元的，按2000元付费。单个工程项目的评审服务费上限为</w:t>
            </w:r>
            <w:r>
              <w:rPr>
                <w:rFonts w:hint="eastAsia" w:ascii="宋体" w:hAnsi="宋体" w:cs="宋体"/>
                <w:color w:val="auto"/>
                <w:szCs w:val="21"/>
                <w:highlight w:val="none"/>
                <w:lang w:val="en-US" w:eastAsia="zh-CN"/>
              </w:rPr>
              <w:t>49</w:t>
            </w:r>
            <w:r>
              <w:rPr>
                <w:rFonts w:hint="eastAsia" w:ascii="宋体" w:hAnsi="宋体" w:cs="宋体"/>
                <w:color w:val="auto"/>
                <w:szCs w:val="21"/>
                <w:highlight w:val="none"/>
              </w:rPr>
              <w:t>万元且≤送审金额的3‰。</w:t>
            </w:r>
          </w:p>
          <w:p w14:paraId="1B47295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2.在计算和支付评审服务费时，</w:t>
            </w:r>
            <w:r>
              <w:rPr>
                <w:rFonts w:hint="eastAsia" w:ascii="宋体" w:hAnsi="宋体" w:cs="宋体"/>
                <w:color w:val="auto"/>
                <w:szCs w:val="21"/>
                <w:highlight w:val="none"/>
                <w:lang w:eastAsia="zh-CN"/>
              </w:rPr>
              <w:t>征集人</w:t>
            </w:r>
            <w:r>
              <w:rPr>
                <w:rFonts w:hint="eastAsia" w:ascii="宋体" w:hAnsi="宋体" w:cs="宋体"/>
                <w:color w:val="auto"/>
                <w:szCs w:val="21"/>
                <w:highlight w:val="none"/>
              </w:rPr>
              <w:t>根据实际情况增加或降低难度系数，具体分类如下：</w:t>
            </w:r>
          </w:p>
          <w:p w14:paraId="6D7D2E6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（1）项目跨市，增加难度系数0.1。</w:t>
            </w:r>
          </w:p>
          <w:p w14:paraId="4532E04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（2）评审项目的时间要求超过规定标准的30%以上的，增加难度系数0.1。</w:t>
            </w:r>
          </w:p>
          <w:p w14:paraId="269FEAE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（3）审核工程概算，降低难度系数0.3。</w:t>
            </w:r>
          </w:p>
          <w:p w14:paraId="61BEEF43">
            <w:pPr>
              <w:spacing w:line="360" w:lineRule="exact"/>
              <w:rPr>
                <w:rFonts w:ascii="宋体" w:hAnsi="宋体" w:cs="宋体"/>
                <w:color w:val="auto"/>
                <w:szCs w:val="21"/>
                <w:highlight w:val="none"/>
              </w:rPr>
            </w:pPr>
            <w:r>
              <w:rPr>
                <w:rFonts w:hint="eastAsia" w:ascii="宋体" w:hAnsi="宋体" w:cs="宋体"/>
                <w:color w:val="auto"/>
                <w:szCs w:val="21"/>
                <w:highlight w:val="none"/>
              </w:rPr>
              <w:t>3.服务费的计算：评审服务费＝[编审费+审减（增）费]×（1±难度系数）</w:t>
            </w:r>
          </w:p>
        </w:tc>
      </w:tr>
      <w:tr w14:paraId="2397F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vAlign w:val="center"/>
          </w:tcPr>
          <w:p w14:paraId="0E9632B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二</w:t>
            </w:r>
          </w:p>
        </w:tc>
        <w:tc>
          <w:tcPr>
            <w:tcW w:w="7437" w:type="dxa"/>
            <w:tcBorders>
              <w:top w:val="single" w:color="auto" w:sz="4" w:space="0"/>
              <w:left w:val="single" w:color="auto" w:sz="4" w:space="0"/>
              <w:bottom w:val="single" w:color="auto" w:sz="4" w:space="0"/>
              <w:right w:val="single" w:color="auto" w:sz="4" w:space="0"/>
            </w:tcBorders>
            <w:vAlign w:val="center"/>
          </w:tcPr>
          <w:p w14:paraId="6D72F970">
            <w:pPr>
              <w:spacing w:line="360" w:lineRule="exact"/>
              <w:rPr>
                <w:rFonts w:ascii="宋体" w:hAnsi="宋体" w:cs="宋体"/>
                <w:color w:val="auto"/>
                <w:szCs w:val="21"/>
                <w:highlight w:val="none"/>
              </w:rPr>
            </w:pPr>
            <w:r>
              <w:rPr>
                <w:rFonts w:hint="eastAsia" w:ascii="宋体" w:hAnsi="宋体" w:cs="宋体"/>
                <w:color w:val="auto"/>
                <w:szCs w:val="21"/>
                <w:highlight w:val="none"/>
              </w:rPr>
              <w:t>1.征集人将项目委托供应商进行结算评审服务时，按以下费率计算服务费用：</w:t>
            </w:r>
          </w:p>
          <w:p w14:paraId="1970AD21">
            <w:pPr>
              <w:spacing w:line="360" w:lineRule="exact"/>
              <w:rPr>
                <w:rFonts w:ascii="宋体" w:hAnsi="宋体" w:cs="宋体"/>
                <w:color w:val="auto"/>
                <w:szCs w:val="21"/>
                <w:highlight w:val="none"/>
              </w:rPr>
            </w:pPr>
            <w:r>
              <w:rPr>
                <w:rFonts w:hint="eastAsia" w:ascii="宋体" w:hAnsi="宋体" w:cs="宋体"/>
                <w:color w:val="auto"/>
                <w:szCs w:val="21"/>
                <w:highlight w:val="none"/>
              </w:rPr>
              <w:t>（1）编审费按审查工程项目送审总造价2‰核定基本付费额。</w:t>
            </w:r>
          </w:p>
          <w:p w14:paraId="2D0ACEE2">
            <w:pPr>
              <w:spacing w:line="360" w:lineRule="exact"/>
              <w:rPr>
                <w:rFonts w:ascii="宋体" w:hAnsi="宋体" w:cs="宋体"/>
                <w:color w:val="auto"/>
                <w:szCs w:val="21"/>
                <w:highlight w:val="none"/>
              </w:rPr>
            </w:pPr>
            <w:r>
              <w:rPr>
                <w:rFonts w:hint="eastAsia" w:ascii="宋体" w:hAnsi="宋体" w:cs="宋体"/>
                <w:color w:val="auto"/>
                <w:szCs w:val="21"/>
                <w:highlight w:val="none"/>
              </w:rPr>
              <w:t>（2）审减（增）费按审查定案净减（增）值的4%核定基本付费额。</w:t>
            </w:r>
          </w:p>
          <w:p w14:paraId="715B0280">
            <w:pPr>
              <w:spacing w:line="360" w:lineRule="exact"/>
              <w:rPr>
                <w:rFonts w:ascii="宋体" w:hAnsi="宋体" w:cs="宋体"/>
                <w:color w:val="auto"/>
                <w:szCs w:val="21"/>
                <w:highlight w:val="none"/>
              </w:rPr>
            </w:pPr>
            <w:r>
              <w:rPr>
                <w:rFonts w:hint="eastAsia" w:ascii="宋体" w:hAnsi="宋体" w:cs="宋体"/>
                <w:color w:val="auto"/>
                <w:szCs w:val="21"/>
                <w:highlight w:val="none"/>
              </w:rPr>
              <w:t>单个工程项目按上述两种费率合计计算。单个工程项目评审服务费不足2000元的，按2000元付费。</w:t>
            </w:r>
          </w:p>
          <w:p w14:paraId="5CE9D12A">
            <w:pPr>
              <w:spacing w:line="360" w:lineRule="exact"/>
              <w:rPr>
                <w:rFonts w:ascii="宋体" w:hAnsi="宋体" w:cs="宋体"/>
                <w:color w:val="auto"/>
                <w:szCs w:val="21"/>
                <w:highlight w:val="none"/>
              </w:rPr>
            </w:pPr>
            <w:r>
              <w:rPr>
                <w:rFonts w:hint="eastAsia" w:ascii="宋体" w:hAnsi="宋体" w:cs="宋体"/>
                <w:color w:val="auto"/>
                <w:szCs w:val="21"/>
                <w:highlight w:val="none"/>
              </w:rPr>
              <w:t>2.在计算和支付评审服务费时，征集人根据实际情况维持不变或降低基准费率，具体分类如下：</w:t>
            </w:r>
          </w:p>
          <w:p w14:paraId="5A828E25">
            <w:pPr>
              <w:spacing w:line="360" w:lineRule="exact"/>
              <w:rPr>
                <w:rFonts w:ascii="宋体" w:hAnsi="宋体" w:cs="宋体"/>
                <w:color w:val="auto"/>
                <w:szCs w:val="21"/>
                <w:highlight w:val="none"/>
              </w:rPr>
            </w:pPr>
            <w:r>
              <w:rPr>
                <w:rFonts w:hint="eastAsia" w:ascii="宋体" w:hAnsi="宋体" w:cs="宋体"/>
                <w:color w:val="auto"/>
                <w:szCs w:val="21"/>
                <w:highlight w:val="none"/>
              </w:rPr>
              <w:t>（1）上述的基准费率是以单项工程送审金额在1000万元以下（含1000万元）为标准的基准费率。</w:t>
            </w:r>
          </w:p>
          <w:p w14:paraId="5F0EC526">
            <w:pPr>
              <w:spacing w:line="360" w:lineRule="exact"/>
              <w:rPr>
                <w:rFonts w:ascii="宋体" w:hAnsi="宋体" w:cs="宋体"/>
                <w:color w:val="auto"/>
                <w:szCs w:val="21"/>
                <w:highlight w:val="none"/>
              </w:rPr>
            </w:pPr>
            <w:r>
              <w:rPr>
                <w:rFonts w:hint="eastAsia" w:ascii="宋体" w:hAnsi="宋体" w:cs="宋体"/>
                <w:color w:val="auto"/>
                <w:szCs w:val="21"/>
                <w:highlight w:val="none"/>
              </w:rPr>
              <w:t>（2）单项工程送审金额在1000万元以上3000万元以下（含3000万元）的费率按基准费率的95%计算支付。</w:t>
            </w:r>
          </w:p>
          <w:p w14:paraId="3618A35A">
            <w:pPr>
              <w:spacing w:line="360" w:lineRule="exact"/>
              <w:rPr>
                <w:rFonts w:ascii="宋体" w:hAnsi="宋体" w:cs="宋体"/>
                <w:color w:val="auto"/>
                <w:szCs w:val="21"/>
                <w:highlight w:val="none"/>
              </w:rPr>
            </w:pPr>
            <w:r>
              <w:rPr>
                <w:rFonts w:hint="eastAsia" w:ascii="宋体" w:hAnsi="宋体" w:cs="宋体"/>
                <w:color w:val="auto"/>
                <w:szCs w:val="21"/>
                <w:highlight w:val="none"/>
              </w:rPr>
              <w:t>（3）单项工程送审金额在3000万元以上5000万元以下（含5000万元）的费率按基准费率的90%计算支付。</w:t>
            </w:r>
          </w:p>
          <w:p w14:paraId="260519B7">
            <w:pPr>
              <w:spacing w:line="360" w:lineRule="exact"/>
              <w:rPr>
                <w:rFonts w:ascii="宋体" w:hAnsi="宋体" w:cs="宋体"/>
                <w:color w:val="auto"/>
                <w:szCs w:val="21"/>
                <w:highlight w:val="none"/>
              </w:rPr>
            </w:pPr>
            <w:r>
              <w:rPr>
                <w:rFonts w:hint="eastAsia" w:ascii="宋体" w:hAnsi="宋体" w:cs="宋体"/>
                <w:color w:val="auto"/>
                <w:szCs w:val="21"/>
                <w:highlight w:val="none"/>
              </w:rPr>
              <w:t>（4）单项工程送审金额在5000万元以上1亿元以下（含1亿元）的费率按本次基准费率的85%计算支付。</w:t>
            </w:r>
          </w:p>
          <w:p w14:paraId="23932AFE">
            <w:pPr>
              <w:spacing w:line="360" w:lineRule="exact"/>
              <w:rPr>
                <w:rFonts w:ascii="宋体" w:hAnsi="宋体" w:cs="宋体"/>
                <w:color w:val="auto"/>
                <w:szCs w:val="21"/>
                <w:highlight w:val="none"/>
              </w:rPr>
            </w:pPr>
            <w:r>
              <w:rPr>
                <w:rFonts w:hint="eastAsia" w:ascii="宋体" w:hAnsi="宋体" w:cs="宋体"/>
                <w:color w:val="auto"/>
                <w:szCs w:val="21"/>
                <w:highlight w:val="none"/>
              </w:rPr>
              <w:t>（5）单项工程送审金额在1亿元以上2亿元以下（含2亿元）的费率按基准费率的80%计算支付。</w:t>
            </w:r>
          </w:p>
          <w:p w14:paraId="0B4B1F06">
            <w:pPr>
              <w:spacing w:line="360" w:lineRule="exact"/>
              <w:rPr>
                <w:rFonts w:ascii="宋体" w:hAnsi="宋体" w:cs="宋体"/>
                <w:color w:val="auto"/>
                <w:szCs w:val="21"/>
                <w:highlight w:val="none"/>
              </w:rPr>
            </w:pPr>
            <w:r>
              <w:rPr>
                <w:rFonts w:hint="eastAsia" w:ascii="宋体" w:hAnsi="宋体" w:cs="宋体"/>
                <w:color w:val="auto"/>
                <w:szCs w:val="21"/>
                <w:highlight w:val="none"/>
              </w:rPr>
              <w:t>（6）单项工程送审金额在2亿元以上5亿元以下（含5亿元）的按基准费率75%计算支付。</w:t>
            </w:r>
          </w:p>
          <w:p w14:paraId="4E9C086C">
            <w:pPr>
              <w:spacing w:line="360" w:lineRule="exact"/>
              <w:rPr>
                <w:rFonts w:ascii="宋体" w:hAnsi="宋体" w:cs="宋体"/>
                <w:color w:val="auto"/>
                <w:szCs w:val="21"/>
                <w:highlight w:val="none"/>
              </w:rPr>
            </w:pPr>
            <w:r>
              <w:rPr>
                <w:rFonts w:hint="eastAsia" w:ascii="宋体" w:hAnsi="宋体" w:cs="宋体"/>
                <w:color w:val="auto"/>
                <w:szCs w:val="21"/>
                <w:highlight w:val="none"/>
              </w:rPr>
              <w:t>（7）单项工程送审金额在5亿元以上的按基准费率的70%计算支付。</w:t>
            </w:r>
          </w:p>
          <w:p w14:paraId="7360F08B">
            <w:pPr>
              <w:spacing w:line="360" w:lineRule="exact"/>
              <w:rPr>
                <w:rFonts w:ascii="宋体" w:hAnsi="宋体" w:cs="宋体"/>
                <w:color w:val="auto"/>
                <w:szCs w:val="21"/>
                <w:highlight w:val="none"/>
              </w:rPr>
            </w:pPr>
            <w:r>
              <w:rPr>
                <w:rFonts w:hint="eastAsia" w:ascii="宋体" w:hAnsi="宋体" w:cs="宋体"/>
                <w:color w:val="auto"/>
                <w:szCs w:val="21"/>
                <w:highlight w:val="none"/>
              </w:rPr>
              <w:t>3.服务费的计算：评审服务费=[(送审工程总造价</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2‰+审定的工程造价净减(增)值×4%)]×费率</w:t>
            </w:r>
          </w:p>
        </w:tc>
      </w:tr>
    </w:tbl>
    <w:p w14:paraId="63BA7E9D">
      <w:pPr>
        <w:adjustRightInd w:val="0"/>
        <w:snapToGrid w:val="0"/>
        <w:spacing w:line="360" w:lineRule="exact"/>
        <w:ind w:firstLine="420" w:firstLineChars="200"/>
        <w:jc w:val="left"/>
        <w:rPr>
          <w:color w:val="auto"/>
          <w:kern w:val="0"/>
          <w:szCs w:val="21"/>
          <w:highlight w:val="none"/>
        </w:rPr>
      </w:pPr>
      <w:r>
        <w:rPr>
          <w:color w:val="auto"/>
          <w:kern w:val="0"/>
          <w:szCs w:val="21"/>
          <w:highlight w:val="none"/>
        </w:rPr>
        <w:t>5</w:t>
      </w:r>
      <w:r>
        <w:rPr>
          <w:rFonts w:hint="eastAsia"/>
          <w:color w:val="auto"/>
          <w:kern w:val="0"/>
          <w:szCs w:val="21"/>
          <w:highlight w:val="none"/>
        </w:rPr>
        <w:t>.采购需求</w:t>
      </w:r>
      <w:r>
        <w:rPr>
          <w:color w:val="auto"/>
          <w:kern w:val="0"/>
          <w:szCs w:val="21"/>
          <w:highlight w:val="none"/>
        </w:rPr>
        <w:t>：</w:t>
      </w:r>
    </w:p>
    <w:p w14:paraId="19FF6511">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标项一</w:t>
      </w:r>
    </w:p>
    <w:p w14:paraId="53CFC4A8">
      <w:pPr>
        <w:adjustRightInd w:val="0"/>
        <w:snapToGrid w:val="0"/>
        <w:spacing w:line="360" w:lineRule="exact"/>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标项名称：</w:t>
      </w:r>
      <w:r>
        <w:rPr>
          <w:rFonts w:hint="eastAsia"/>
          <w:color w:val="auto"/>
          <w:kern w:val="0"/>
          <w:szCs w:val="21"/>
          <w:highlight w:val="none"/>
          <w:lang w:eastAsia="zh-CN"/>
        </w:rPr>
        <w:t>贺州市平桂区财政局2026～2027年度政府投资项目评审服务</w:t>
      </w:r>
    </w:p>
    <w:p w14:paraId="2D631FB0">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数量：1项</w:t>
      </w:r>
    </w:p>
    <w:p w14:paraId="69954B56">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服务内容：概（预）算、工程量清单和招标控制价审核服务</w:t>
      </w:r>
    </w:p>
    <w:p w14:paraId="2714A99B">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备注：/</w:t>
      </w:r>
    </w:p>
    <w:p w14:paraId="5091E93C">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合同履行期限：2年。</w:t>
      </w:r>
    </w:p>
    <w:p w14:paraId="761F596F">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本标项（否）接受联合体响应</w:t>
      </w:r>
    </w:p>
    <w:p w14:paraId="6F506350">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标项二</w:t>
      </w:r>
    </w:p>
    <w:p w14:paraId="487B2D87">
      <w:pPr>
        <w:adjustRightInd w:val="0"/>
        <w:snapToGrid w:val="0"/>
        <w:spacing w:line="360" w:lineRule="exact"/>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标项名称：</w:t>
      </w:r>
      <w:r>
        <w:rPr>
          <w:rFonts w:hint="eastAsia"/>
          <w:color w:val="auto"/>
          <w:kern w:val="0"/>
          <w:szCs w:val="21"/>
          <w:highlight w:val="none"/>
          <w:lang w:eastAsia="zh-CN"/>
        </w:rPr>
        <w:t>贺州市平桂区财政局2026～2027年度政府投资项目评审服务</w:t>
      </w:r>
    </w:p>
    <w:p w14:paraId="2AF88990">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数量：1项</w:t>
      </w:r>
    </w:p>
    <w:p w14:paraId="10572953">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服务内容：工程竣工结算评审服务</w:t>
      </w:r>
    </w:p>
    <w:p w14:paraId="7330BA1A">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备注：/</w:t>
      </w:r>
    </w:p>
    <w:p w14:paraId="67D7AA02">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合同履行期限：2年。</w:t>
      </w:r>
    </w:p>
    <w:p w14:paraId="632DD5A1">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本标项（否）接受联合体响应</w:t>
      </w:r>
    </w:p>
    <w:p w14:paraId="3BA5E692">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2CAD7E47">
      <w:pPr>
        <w:adjustRightInd w:val="0"/>
        <w:snapToGrid w:val="0"/>
        <w:spacing w:line="360" w:lineRule="exact"/>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44F78549">
      <w:pPr>
        <w:adjustRightInd w:val="0"/>
        <w:snapToGrid w:val="0"/>
        <w:spacing w:line="360" w:lineRule="exact"/>
        <w:ind w:firstLine="420" w:firstLineChars="200"/>
        <w:jc w:val="left"/>
        <w:rPr>
          <w:color w:val="auto"/>
          <w:szCs w:val="21"/>
          <w:highlight w:val="none"/>
        </w:rPr>
      </w:pPr>
      <w:r>
        <w:rPr>
          <w:rFonts w:hint="eastAsia"/>
          <w:color w:val="auto"/>
          <w:szCs w:val="21"/>
          <w:highlight w:val="none"/>
        </w:rPr>
        <w:t>2.落实政府采购政策需满足的资格要求：</w:t>
      </w:r>
      <w:r>
        <w:rPr>
          <w:rFonts w:hint="eastAsia"/>
          <w:color w:val="auto"/>
          <w:kern w:val="0"/>
          <w:szCs w:val="21"/>
          <w:highlight w:val="none"/>
        </w:rPr>
        <w:t>无。</w:t>
      </w:r>
    </w:p>
    <w:p w14:paraId="198373C3">
      <w:pPr>
        <w:adjustRightInd w:val="0"/>
        <w:snapToGrid w:val="0"/>
        <w:spacing w:line="360" w:lineRule="exact"/>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p>
    <w:p w14:paraId="250CDA01">
      <w:pPr>
        <w:adjustRightInd w:val="0"/>
        <w:snapToGrid w:val="0"/>
        <w:spacing w:line="360" w:lineRule="exact"/>
        <w:ind w:firstLine="420" w:firstLineChars="200"/>
        <w:rPr>
          <w:color w:val="auto"/>
          <w:kern w:val="0"/>
          <w:szCs w:val="21"/>
          <w:highlight w:val="none"/>
        </w:rPr>
      </w:pPr>
      <w:r>
        <w:rPr>
          <w:color w:val="auto"/>
          <w:kern w:val="0"/>
          <w:szCs w:val="21"/>
          <w:highlight w:val="none"/>
        </w:rPr>
        <w:t>（1）资质要求：</w:t>
      </w:r>
      <w:r>
        <w:rPr>
          <w:rFonts w:hint="eastAsia"/>
          <w:color w:val="auto"/>
          <w:kern w:val="0"/>
          <w:szCs w:val="21"/>
          <w:highlight w:val="none"/>
        </w:rPr>
        <w:t>无</w:t>
      </w:r>
    </w:p>
    <w:p w14:paraId="3E22FBE8">
      <w:pPr>
        <w:adjustRightInd w:val="0"/>
        <w:snapToGrid w:val="0"/>
        <w:spacing w:line="360" w:lineRule="exact"/>
        <w:ind w:firstLine="420" w:firstLineChars="200"/>
        <w:jc w:val="left"/>
        <w:rPr>
          <w:color w:val="auto"/>
          <w:kern w:val="0"/>
          <w:szCs w:val="21"/>
          <w:highlight w:val="none"/>
        </w:rPr>
      </w:pPr>
      <w:r>
        <w:rPr>
          <w:color w:val="auto"/>
          <w:kern w:val="0"/>
          <w:szCs w:val="21"/>
          <w:highlight w:val="none"/>
        </w:rPr>
        <w:t>（2）业绩要求：无。</w:t>
      </w:r>
    </w:p>
    <w:p w14:paraId="4EEFC8B1">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1A3F87B2">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3C517ACB">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5</w:t>
      </w:r>
      <w:r>
        <w:rPr>
          <w:rFonts w:hint="eastAsia"/>
          <w:color w:val="auto"/>
          <w:kern w:val="0"/>
          <w:szCs w:val="21"/>
          <w:highlight w:val="none"/>
        </w:rPr>
        <w:t>）</w:t>
      </w:r>
      <w:r>
        <w:rPr>
          <w:color w:val="auto"/>
          <w:kern w:val="0"/>
          <w:szCs w:val="21"/>
          <w:highlight w:val="none"/>
        </w:rPr>
        <w:t>按照</w:t>
      </w:r>
      <w:r>
        <w:rPr>
          <w:rFonts w:hint="eastAsia"/>
          <w:color w:val="auto"/>
          <w:kern w:val="0"/>
          <w:szCs w:val="21"/>
          <w:highlight w:val="none"/>
        </w:rPr>
        <w:t>征集</w:t>
      </w:r>
      <w:r>
        <w:rPr>
          <w:color w:val="auto"/>
          <w:kern w:val="0"/>
          <w:szCs w:val="21"/>
          <w:highlight w:val="none"/>
        </w:rPr>
        <w:t>公告的规定获得</w:t>
      </w:r>
      <w:r>
        <w:rPr>
          <w:rFonts w:hint="eastAsia"/>
          <w:color w:val="auto"/>
          <w:kern w:val="0"/>
          <w:szCs w:val="21"/>
          <w:highlight w:val="none"/>
        </w:rPr>
        <w:t>征集</w:t>
      </w:r>
      <w:r>
        <w:rPr>
          <w:color w:val="auto"/>
          <w:kern w:val="0"/>
          <w:szCs w:val="21"/>
          <w:highlight w:val="none"/>
        </w:rPr>
        <w:t>文件。</w:t>
      </w:r>
      <w:r>
        <w:rPr>
          <w:rFonts w:hint="eastAsia"/>
          <w:color w:val="auto"/>
          <w:kern w:val="0"/>
          <w:szCs w:val="21"/>
          <w:highlight w:val="none"/>
        </w:rPr>
        <w:t>征集文件有规定时按要求提交响应保证金。</w:t>
      </w:r>
    </w:p>
    <w:p w14:paraId="022F40E1">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三、获取征集文件</w:t>
      </w:r>
    </w:p>
    <w:p w14:paraId="15F014A4">
      <w:pPr>
        <w:adjustRightInd w:val="0"/>
        <w:snapToGrid w:val="0"/>
        <w:spacing w:line="360" w:lineRule="exact"/>
        <w:ind w:firstLine="420" w:firstLineChars="200"/>
        <w:jc w:val="left"/>
        <w:rPr>
          <w:color w:val="auto"/>
          <w:highlight w:val="none"/>
        </w:rPr>
      </w:pPr>
      <w:r>
        <w:rPr>
          <w:rFonts w:hint="eastAsia"/>
          <w:color w:val="auto"/>
          <w:highlight w:val="none"/>
        </w:rPr>
        <w:t>时间：</w:t>
      </w:r>
      <w:r>
        <w:rPr>
          <w:rFonts w:hint="eastAsia"/>
          <w:color w:val="auto"/>
          <w:highlight w:val="none"/>
          <w:u w:val="single"/>
          <w:lang w:val="en-US" w:eastAsia="zh-CN"/>
        </w:rPr>
        <w:t>2025年11月25日</w:t>
      </w:r>
      <w:r>
        <w:rPr>
          <w:rFonts w:hint="eastAsia"/>
          <w:color w:val="auto"/>
          <w:highlight w:val="none"/>
          <w:u w:val="single"/>
        </w:rPr>
        <w:t>起至</w:t>
      </w:r>
      <w:r>
        <w:rPr>
          <w:rFonts w:hint="eastAsia"/>
          <w:color w:val="auto"/>
          <w:highlight w:val="none"/>
          <w:u w:val="single"/>
          <w:lang w:val="en-US" w:eastAsia="zh-CN"/>
        </w:rPr>
        <w:t>2025年12月2日</w:t>
      </w:r>
      <w:r>
        <w:rPr>
          <w:rFonts w:hint="eastAsia"/>
          <w:color w:val="auto"/>
          <w:highlight w:val="none"/>
        </w:rPr>
        <w:t>，每天上午</w:t>
      </w:r>
      <w:r>
        <w:rPr>
          <w:color w:val="auto"/>
          <w:highlight w:val="none"/>
          <w:u w:val="single"/>
        </w:rPr>
        <w:t>00</w:t>
      </w:r>
      <w:r>
        <w:rPr>
          <w:rFonts w:hint="eastAsia"/>
          <w:color w:val="auto"/>
          <w:highlight w:val="none"/>
          <w:u w:val="single"/>
        </w:rPr>
        <w:t>:</w:t>
      </w:r>
      <w:r>
        <w:rPr>
          <w:color w:val="auto"/>
          <w:highlight w:val="none"/>
          <w:u w:val="single"/>
        </w:rPr>
        <w:t>00</w:t>
      </w:r>
      <w:r>
        <w:rPr>
          <w:rFonts w:hint="eastAsia"/>
          <w:color w:val="auto"/>
          <w:highlight w:val="none"/>
          <w:u w:val="single"/>
        </w:rPr>
        <w:t>至</w:t>
      </w:r>
      <w:r>
        <w:rPr>
          <w:color w:val="auto"/>
          <w:highlight w:val="none"/>
          <w:u w:val="single"/>
        </w:rPr>
        <w:t>1</w:t>
      </w:r>
      <w:r>
        <w:rPr>
          <w:rFonts w:hint="eastAsia"/>
          <w:color w:val="auto"/>
          <w:highlight w:val="none"/>
          <w:u w:val="single"/>
          <w:lang w:val="en-US" w:eastAsia="zh-CN"/>
        </w:rPr>
        <w:t>1</w:t>
      </w:r>
      <w:r>
        <w:rPr>
          <w:rFonts w:hint="eastAsia"/>
          <w:color w:val="auto"/>
          <w:highlight w:val="none"/>
          <w:u w:val="single"/>
        </w:rPr>
        <w:t>：</w:t>
      </w:r>
      <w:r>
        <w:rPr>
          <w:rFonts w:hint="eastAsia"/>
          <w:color w:val="auto"/>
          <w:highlight w:val="none"/>
          <w:u w:val="single"/>
          <w:lang w:val="en-US" w:eastAsia="zh-CN"/>
        </w:rPr>
        <w:t>59</w:t>
      </w:r>
      <w:r>
        <w:rPr>
          <w:rFonts w:hint="eastAsia"/>
          <w:color w:val="auto"/>
          <w:highlight w:val="none"/>
          <w:u w:val="single"/>
        </w:rPr>
        <w:t>:，下午</w:t>
      </w:r>
      <w:r>
        <w:rPr>
          <w:color w:val="auto"/>
          <w:highlight w:val="none"/>
          <w:u w:val="single"/>
        </w:rPr>
        <w:t>12</w:t>
      </w:r>
      <w:r>
        <w:rPr>
          <w:rFonts w:hint="eastAsia"/>
          <w:color w:val="auto"/>
          <w:highlight w:val="none"/>
          <w:u w:val="single"/>
        </w:rPr>
        <w:t>:</w:t>
      </w:r>
      <w:r>
        <w:rPr>
          <w:color w:val="auto"/>
          <w:highlight w:val="none"/>
          <w:u w:val="single"/>
        </w:rPr>
        <w:t>00</w:t>
      </w:r>
      <w:r>
        <w:rPr>
          <w:rFonts w:hint="eastAsia"/>
          <w:color w:val="auto"/>
          <w:highlight w:val="none"/>
          <w:u w:val="single"/>
        </w:rPr>
        <w:t>至</w:t>
      </w:r>
      <w:r>
        <w:rPr>
          <w:color w:val="auto"/>
          <w:highlight w:val="none"/>
          <w:u w:val="single"/>
        </w:rPr>
        <w:t>23</w:t>
      </w:r>
      <w:r>
        <w:rPr>
          <w:rFonts w:hint="eastAsia"/>
          <w:color w:val="auto"/>
          <w:highlight w:val="none"/>
          <w:u w:val="single"/>
        </w:rPr>
        <w:t>:</w:t>
      </w:r>
      <w:r>
        <w:rPr>
          <w:color w:val="auto"/>
          <w:highlight w:val="none"/>
          <w:u w:val="single"/>
        </w:rPr>
        <w:t>59</w:t>
      </w:r>
      <w:r>
        <w:rPr>
          <w:rFonts w:hint="eastAsia"/>
          <w:color w:val="auto"/>
          <w:highlight w:val="none"/>
        </w:rPr>
        <w:t>（北京时间，法定节假日除外）。</w:t>
      </w:r>
    </w:p>
    <w:p w14:paraId="170C7378">
      <w:pPr>
        <w:adjustRightInd w:val="0"/>
        <w:snapToGrid w:val="0"/>
        <w:spacing w:line="360" w:lineRule="exact"/>
        <w:ind w:firstLine="420" w:firstLineChars="200"/>
        <w:jc w:val="left"/>
        <w:rPr>
          <w:color w:val="auto"/>
          <w:szCs w:val="21"/>
          <w:highlight w:val="none"/>
        </w:rPr>
      </w:pPr>
      <w:r>
        <w:rPr>
          <w:rFonts w:hint="eastAsia"/>
          <w:color w:val="auto"/>
          <w:highlight w:val="none"/>
        </w:rPr>
        <w:t>地点（网址）：</w:t>
      </w:r>
      <w:r>
        <w:rPr>
          <w:rFonts w:hint="eastAsia"/>
          <w:color w:val="auto"/>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7"/>
          <w:color w:val="auto"/>
          <w:szCs w:val="21"/>
          <w:highlight w:val="none"/>
        </w:rPr>
        <w:t>https://www.gcy.zfcg.gxzf.gov.cn/</w:t>
      </w:r>
      <w:r>
        <w:rPr>
          <w:rStyle w:val="57"/>
          <w:color w:val="auto"/>
          <w:szCs w:val="21"/>
          <w:highlight w:val="none"/>
        </w:rPr>
        <w:fldChar w:fldCharType="end"/>
      </w:r>
      <w:r>
        <w:rPr>
          <w:rFonts w:hint="eastAsia"/>
          <w:color w:val="auto"/>
          <w:szCs w:val="21"/>
          <w:highlight w:val="none"/>
        </w:rPr>
        <w:t>）</w:t>
      </w:r>
    </w:p>
    <w:p w14:paraId="7C20C19A">
      <w:pPr>
        <w:adjustRightInd w:val="0"/>
        <w:snapToGrid w:val="0"/>
        <w:spacing w:line="360" w:lineRule="exact"/>
        <w:ind w:firstLine="420" w:firstLineChars="200"/>
        <w:jc w:val="left"/>
        <w:rPr>
          <w:color w:val="auto"/>
          <w:highlight w:val="none"/>
        </w:rPr>
      </w:pPr>
      <w:r>
        <w:rPr>
          <w:rFonts w:hint="eastAsia"/>
          <w:color w:val="auto"/>
          <w:szCs w:val="21"/>
          <w:highlight w:val="none"/>
        </w:rPr>
        <w:t>方式：供应商登录广西政府采购云平台在线申请获取征集文件（进入“项目采购”应用，在获取征集文件菜单中选择项目，申请获取征集文件）</w:t>
      </w:r>
    </w:p>
    <w:p w14:paraId="361C9D17">
      <w:pPr>
        <w:adjustRightInd w:val="0"/>
        <w:snapToGrid w:val="0"/>
        <w:spacing w:line="360" w:lineRule="exact"/>
        <w:ind w:firstLine="420" w:firstLineChars="200"/>
        <w:jc w:val="left"/>
        <w:rPr>
          <w:color w:val="auto"/>
          <w:highlight w:val="none"/>
        </w:rPr>
      </w:pPr>
      <w:r>
        <w:rPr>
          <w:rFonts w:hint="eastAsia"/>
          <w:color w:val="auto"/>
          <w:highlight w:val="none"/>
        </w:rPr>
        <w:t>售价（元）：0</w:t>
      </w:r>
    </w:p>
    <w:p w14:paraId="4ACC20BE">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四、响应文件提交</w:t>
      </w:r>
    </w:p>
    <w:p w14:paraId="12D3A775">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截止时间：</w:t>
      </w:r>
      <w:r>
        <w:rPr>
          <w:rFonts w:hint="eastAsia"/>
          <w:color w:val="auto"/>
          <w:kern w:val="0"/>
          <w:szCs w:val="21"/>
          <w:highlight w:val="none"/>
          <w:u w:val="single"/>
        </w:rPr>
        <w:t>2025年12月16日9点00分</w:t>
      </w:r>
      <w:r>
        <w:rPr>
          <w:rFonts w:hint="eastAsia"/>
          <w:color w:val="auto"/>
          <w:kern w:val="0"/>
          <w:szCs w:val="21"/>
          <w:highlight w:val="none"/>
        </w:rPr>
        <w:t>（北京时间）</w:t>
      </w:r>
    </w:p>
    <w:p w14:paraId="5ADABA05">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地点（网址）：</w:t>
      </w:r>
      <w:bookmarkStart w:id="10" w:name="_Hlk89170300"/>
      <w:r>
        <w:rPr>
          <w:rFonts w:hint="eastAsia"/>
          <w:color w:val="auto"/>
          <w:szCs w:val="21"/>
          <w:highlight w:val="none"/>
        </w:rPr>
        <w:t>本项目为全流程电子化项目，没有现场递交响应文件及现场截标环节，通过广西政府采购云平台（</w:t>
      </w:r>
      <w:r>
        <w:rPr>
          <w:color w:val="auto"/>
          <w:szCs w:val="21"/>
          <w:highlight w:val="none"/>
        </w:rPr>
        <w:t>https://www.gcy.zfcg.gxzf.gov.cn/</w:t>
      </w:r>
      <w:r>
        <w:rPr>
          <w:rFonts w:hint="eastAsia"/>
          <w:color w:val="auto"/>
          <w:szCs w:val="21"/>
          <w:highlight w:val="none"/>
        </w:rPr>
        <w:t>）实行在线电子响应，供应商应先安装广西政府采购云平台新版客户端（请自行前往广西政府采购网</w:t>
      </w:r>
      <w:r>
        <w:rPr>
          <w:color w:val="auto"/>
          <w:szCs w:val="21"/>
          <w:highlight w:val="none"/>
        </w:rPr>
        <w:t>-</w:t>
      </w:r>
      <w:r>
        <w:rPr>
          <w:rFonts w:hint="eastAsia"/>
          <w:color w:val="auto"/>
          <w:szCs w:val="21"/>
          <w:highlight w:val="none"/>
        </w:rPr>
        <w:t>办事服务</w:t>
      </w:r>
      <w:r>
        <w:rPr>
          <w:color w:val="auto"/>
          <w:szCs w:val="21"/>
          <w:highlight w:val="none"/>
        </w:rPr>
        <w:t>-</w:t>
      </w:r>
      <w:r>
        <w:rPr>
          <w:rFonts w:hint="eastAsia"/>
          <w:color w:val="auto"/>
          <w:szCs w:val="21"/>
          <w:highlight w:val="none"/>
        </w:rPr>
        <w:t>下载专区进行下载），并按照本项目征集文件和广西政府采购云平台的要求使用</w:t>
      </w:r>
      <w:r>
        <w:rPr>
          <w:color w:val="auto"/>
          <w:szCs w:val="21"/>
          <w:highlight w:val="none"/>
        </w:rPr>
        <w:t>CA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bookmarkEnd w:id="10"/>
    </w:p>
    <w:p w14:paraId="0E588346">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4B8103DB">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开启方式：通过广西政府采购云平台开启</w:t>
      </w:r>
    </w:p>
    <w:p w14:paraId="47B9F2DB">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时间：2025年12月16日9点00分（北京时间）</w:t>
      </w:r>
    </w:p>
    <w:p w14:paraId="799F0B45">
      <w:pPr>
        <w:adjustRightInd w:val="0"/>
        <w:snapToGrid w:val="0"/>
        <w:spacing w:line="360" w:lineRule="exact"/>
        <w:ind w:firstLine="420" w:firstLineChars="200"/>
        <w:jc w:val="left"/>
        <w:rPr>
          <w:b/>
          <w:bCs/>
          <w:color w:val="auto"/>
          <w:kern w:val="0"/>
          <w:sz w:val="22"/>
          <w:szCs w:val="22"/>
          <w:highlight w:val="none"/>
        </w:rPr>
      </w:pPr>
      <w:r>
        <w:rPr>
          <w:rFonts w:hint="eastAsia"/>
          <w:color w:val="auto"/>
          <w:kern w:val="0"/>
          <w:szCs w:val="21"/>
          <w:highlight w:val="none"/>
        </w:rPr>
        <w:t>地点：</w:t>
      </w:r>
      <w:r>
        <w:rPr>
          <w:rFonts w:hint="eastAsia"/>
          <w:color w:val="auto"/>
          <w:szCs w:val="21"/>
          <w:highlight w:val="none"/>
        </w:rPr>
        <w:t>供应商登录广西政府采购云平台电子截标大厅</w:t>
      </w:r>
    </w:p>
    <w:p w14:paraId="7BD45477">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3E22B9CC">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1CA4E253">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63726051">
      <w:pPr>
        <w:adjustRightInd w:val="0"/>
        <w:snapToGrid w:val="0"/>
        <w:spacing w:line="360" w:lineRule="exact"/>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1.公告发布媒体：广西壮族自治区政府采购网、中国政府采购网</w:t>
      </w:r>
      <w:r>
        <w:rPr>
          <w:rFonts w:hint="eastAsia"/>
          <w:color w:val="auto"/>
          <w:kern w:val="0"/>
          <w:szCs w:val="21"/>
          <w:highlight w:val="none"/>
          <w:lang w:eastAsia="zh-CN"/>
        </w:rPr>
        <w:t>、全国公共资源交易平台（广西·贺州）</w:t>
      </w:r>
    </w:p>
    <w:p w14:paraId="631E1F27">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r>
        <w:rPr>
          <w:rFonts w:hint="eastAsia"/>
          <w:color w:val="auto"/>
          <w:kern w:val="0"/>
          <w:szCs w:val="21"/>
          <w:highlight w:val="none"/>
        </w:rPr>
        <w:t>需落实的政府采购政策：</w:t>
      </w:r>
      <w:r>
        <w:rPr>
          <w:color w:val="auto"/>
          <w:kern w:val="0"/>
          <w:szCs w:val="21"/>
          <w:highlight w:val="none"/>
        </w:rPr>
        <w:t>本项目适用政府采购促进中小企业、监狱企业发展、促进残疾人就业</w:t>
      </w:r>
      <w:r>
        <w:rPr>
          <w:rFonts w:hint="eastAsia"/>
          <w:color w:val="auto"/>
          <w:kern w:val="0"/>
          <w:szCs w:val="21"/>
          <w:highlight w:val="none"/>
        </w:rPr>
        <w:t>、</w:t>
      </w:r>
      <w:r>
        <w:rPr>
          <w:color w:val="auto"/>
          <w:kern w:val="0"/>
          <w:szCs w:val="21"/>
          <w:highlight w:val="none"/>
        </w:rPr>
        <w:t>节能环保等有关政策，具体详见征集文件。</w:t>
      </w:r>
    </w:p>
    <w:p w14:paraId="3380DECE">
      <w:pPr>
        <w:adjustRightInd w:val="0"/>
        <w:snapToGrid w:val="0"/>
        <w:spacing w:line="360" w:lineRule="exact"/>
        <w:ind w:firstLine="420" w:firstLineChars="200"/>
        <w:jc w:val="left"/>
        <w:rPr>
          <w:rFonts w:ascii="宋体" w:hAnsi="宋体" w:cs="Arial"/>
          <w:bCs/>
          <w:color w:val="auto"/>
          <w:szCs w:val="21"/>
          <w:highlight w:val="none"/>
          <w:u w:val="single"/>
        </w:rPr>
      </w:pPr>
      <w:r>
        <w:rPr>
          <w:rFonts w:hint="eastAsia"/>
          <w:color w:val="auto"/>
          <w:kern w:val="0"/>
          <w:szCs w:val="21"/>
          <w:highlight w:val="none"/>
        </w:rPr>
        <w:t>3</w:t>
      </w:r>
      <w:r>
        <w:rPr>
          <w:color w:val="auto"/>
          <w:kern w:val="0"/>
          <w:szCs w:val="21"/>
          <w:highlight w:val="none"/>
        </w:rPr>
        <w:t>.</w:t>
      </w:r>
      <w:bookmarkStart w:id="11" w:name="_Hlk97986689"/>
      <w:r>
        <w:rPr>
          <w:rFonts w:hint="eastAsia" w:ascii="宋体" w:hAnsi="宋体" w:cs="Arial"/>
          <w:bCs/>
          <w:color w:val="auto"/>
          <w:szCs w:val="21"/>
          <w:highlight w:val="none"/>
        </w:rPr>
        <w:t>适用框架协议的采购人</w:t>
      </w:r>
      <w:r>
        <w:rPr>
          <w:rFonts w:hint="eastAsia"/>
          <w:color w:val="auto"/>
          <w:highlight w:val="none"/>
        </w:rPr>
        <w:t>或服务对象范围</w:t>
      </w:r>
      <w:r>
        <w:rPr>
          <w:rFonts w:hint="eastAsia" w:ascii="宋体" w:hAnsi="宋体" w:cs="Arial"/>
          <w:bCs/>
          <w:color w:val="auto"/>
          <w:szCs w:val="21"/>
          <w:highlight w:val="none"/>
        </w:rPr>
        <w:t>：</w:t>
      </w:r>
      <w:bookmarkEnd w:id="11"/>
      <w:r>
        <w:rPr>
          <w:rFonts w:hint="eastAsia"/>
          <w:color w:val="auto"/>
          <w:szCs w:val="21"/>
          <w:highlight w:val="none"/>
          <w:u w:val="single"/>
        </w:rPr>
        <w:t>详见第五章框架协议</w:t>
      </w:r>
    </w:p>
    <w:p w14:paraId="1A32C925">
      <w:pPr>
        <w:adjustRightInd w:val="0"/>
        <w:snapToGrid w:val="0"/>
        <w:spacing w:line="360" w:lineRule="exact"/>
        <w:ind w:firstLine="420" w:firstLineChars="200"/>
        <w:jc w:val="left"/>
        <w:rPr>
          <w:color w:val="auto"/>
          <w:szCs w:val="21"/>
          <w:highlight w:val="none"/>
        </w:rPr>
      </w:pPr>
      <w:r>
        <w:rPr>
          <w:rFonts w:hint="eastAsia" w:ascii="宋体" w:hAnsi="宋体" w:cs="Arial"/>
          <w:bCs/>
          <w:color w:val="auto"/>
          <w:szCs w:val="21"/>
          <w:highlight w:val="none"/>
        </w:rPr>
        <w:t>4</w:t>
      </w:r>
      <w:r>
        <w:rPr>
          <w:rFonts w:ascii="宋体" w:hAnsi="宋体" w:cs="Arial"/>
          <w:bCs/>
          <w:color w:val="auto"/>
          <w:szCs w:val="21"/>
          <w:highlight w:val="none"/>
        </w:rPr>
        <w:t>.</w:t>
      </w:r>
      <w:r>
        <w:rPr>
          <w:rFonts w:hint="eastAsia" w:ascii="宋体" w:hAnsi="宋体" w:cs="Arial"/>
          <w:bCs/>
          <w:color w:val="auto"/>
          <w:szCs w:val="21"/>
          <w:highlight w:val="none"/>
        </w:rPr>
        <w:t>框架协议期限：</w:t>
      </w:r>
      <w:r>
        <w:rPr>
          <w:rFonts w:hint="eastAsia"/>
          <w:color w:val="auto"/>
          <w:szCs w:val="21"/>
          <w:highlight w:val="none"/>
          <w:u w:val="single"/>
        </w:rPr>
        <w:t>2年</w:t>
      </w:r>
    </w:p>
    <w:p w14:paraId="4C89D957">
      <w:pPr>
        <w:adjustRightInd w:val="0"/>
        <w:snapToGrid w:val="0"/>
        <w:spacing w:line="360" w:lineRule="exact"/>
        <w:ind w:firstLine="420" w:firstLineChars="200"/>
        <w:rPr>
          <w:color w:val="auto"/>
          <w:kern w:val="0"/>
          <w:szCs w:val="21"/>
          <w:highlight w:val="none"/>
        </w:rPr>
      </w:pPr>
      <w:r>
        <w:rPr>
          <w:color w:val="auto"/>
          <w:kern w:val="0"/>
          <w:szCs w:val="21"/>
          <w:highlight w:val="none"/>
        </w:rPr>
        <w:t>5.</w:t>
      </w:r>
      <w:r>
        <w:rPr>
          <w:rFonts w:hint="eastAsia"/>
          <w:color w:val="auto"/>
          <w:kern w:val="0"/>
          <w:szCs w:val="21"/>
          <w:highlight w:val="none"/>
        </w:rPr>
        <w:t>注意事项：</w:t>
      </w:r>
    </w:p>
    <w:p w14:paraId="7F014501">
      <w:pPr>
        <w:adjustRightInd w:val="0"/>
        <w:snapToGrid w:val="0"/>
        <w:spacing w:line="360" w:lineRule="exact"/>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106601D">
      <w:pPr>
        <w:adjustRightInd w:val="0"/>
        <w:snapToGrid w:val="0"/>
        <w:spacing w:line="360" w:lineRule="exact"/>
        <w:ind w:firstLine="420" w:firstLineChars="200"/>
        <w:rPr>
          <w:color w:val="auto"/>
          <w:kern w:val="0"/>
          <w:szCs w:val="21"/>
          <w:highlight w:val="none"/>
        </w:rPr>
      </w:pPr>
      <w:r>
        <w:rPr>
          <w:rFonts w:hint="eastAsia"/>
          <w:color w:val="auto"/>
          <w:szCs w:val="21"/>
          <w:highlight w:val="none"/>
        </w:rPr>
        <w:t>（2）为确保网上操作合法、有效和安全，请供应商确保在电子响应过程中能够对相关数据电文进行加密和使用电子签章，妥善保管CA数字证书并使用有效的CA数字证书参与整个采购活动。</w:t>
      </w:r>
    </w:p>
    <w:p w14:paraId="2CE29922">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fcg.gxzf.gov.cn/），点击右侧咨询小采或帮助文档或拨打客服热线95763</w:t>
      </w:r>
    </w:p>
    <w:p w14:paraId="7466B451">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6.评标说明：本项目为远程异地全流程电子评标，评标主场地址：贺州市公共资源交易中心；评标副场地址：</w:t>
      </w:r>
      <w:r>
        <w:rPr>
          <w:rFonts w:hint="eastAsia" w:ascii="宋体" w:hAnsi="宋体" w:cs="宋体"/>
          <w:color w:val="auto"/>
          <w:kern w:val="0"/>
          <w:szCs w:val="21"/>
          <w:highlight w:val="none"/>
          <w:lang w:val="en-US" w:eastAsia="zh-CN"/>
        </w:rPr>
        <w:t>广西壮族自治区公共资源交易中心</w:t>
      </w:r>
      <w:r>
        <w:rPr>
          <w:rFonts w:hint="eastAsia" w:ascii="宋体" w:hAnsi="宋体" w:cs="宋体"/>
          <w:color w:val="auto"/>
          <w:kern w:val="0"/>
          <w:szCs w:val="21"/>
          <w:highlight w:val="none"/>
        </w:rPr>
        <w:t>。</w:t>
      </w:r>
    </w:p>
    <w:p w14:paraId="6602939E">
      <w:pPr>
        <w:adjustRightInd w:val="0"/>
        <w:snapToGrid w:val="0"/>
        <w:spacing w:line="360" w:lineRule="exact"/>
        <w:ind w:firstLine="442" w:firstLineChars="200"/>
        <w:rPr>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6ACBF01D">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1.征集人信息</w:t>
      </w:r>
    </w:p>
    <w:p w14:paraId="656547DE">
      <w:pPr>
        <w:adjustRightInd w:val="0"/>
        <w:snapToGrid w:val="0"/>
        <w:spacing w:line="360" w:lineRule="exact"/>
        <w:ind w:firstLine="420" w:firstLineChars="200"/>
        <w:jc w:val="left"/>
        <w:rPr>
          <w:rFonts w:hint="eastAsia" w:eastAsia="宋体"/>
          <w:color w:val="auto"/>
          <w:kern w:val="0"/>
          <w:szCs w:val="21"/>
          <w:highlight w:val="none"/>
          <w:u w:val="single"/>
          <w:lang w:eastAsia="zh-CN"/>
        </w:rPr>
      </w:pPr>
      <w:bookmarkStart w:id="12"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贺州市平桂区财政局</w:t>
      </w:r>
    </w:p>
    <w:p w14:paraId="2DED031D">
      <w:pPr>
        <w:adjustRightInd w:val="0"/>
        <w:snapToGrid w:val="0"/>
        <w:spacing w:line="360" w:lineRule="exact"/>
        <w:ind w:firstLine="420" w:firstLineChars="200"/>
        <w:jc w:val="left"/>
        <w:rPr>
          <w:color w:val="auto"/>
          <w:kern w:val="0"/>
          <w:szCs w:val="21"/>
          <w:highlight w:val="none"/>
        </w:rPr>
      </w:pPr>
      <w:r>
        <w:rPr>
          <w:color w:val="auto"/>
          <w:kern w:val="0"/>
          <w:szCs w:val="21"/>
          <w:highlight w:val="none"/>
        </w:rPr>
        <w:t>地址：</w:t>
      </w:r>
      <w:r>
        <w:rPr>
          <w:rFonts w:hint="eastAsia"/>
          <w:color w:val="auto"/>
          <w:kern w:val="0"/>
          <w:szCs w:val="21"/>
          <w:highlight w:val="none"/>
          <w:u w:val="single"/>
        </w:rPr>
        <w:t>贺州市平桂区平桂大道平桂区财政局</w:t>
      </w:r>
    </w:p>
    <w:p w14:paraId="61F3B86F">
      <w:pPr>
        <w:adjustRightInd w:val="0"/>
        <w:snapToGrid w:val="0"/>
        <w:spacing w:line="360" w:lineRule="exact"/>
        <w:ind w:firstLine="420" w:firstLineChars="200"/>
        <w:jc w:val="left"/>
        <w:rPr>
          <w:rFonts w:hint="default" w:eastAsia="宋体"/>
          <w:color w:val="auto"/>
          <w:kern w:val="0"/>
          <w:szCs w:val="21"/>
          <w:highlight w:val="none"/>
          <w:u w:val="single"/>
          <w:lang w:val="en-US" w:eastAsia="zh-CN"/>
        </w:rPr>
      </w:pPr>
      <w:r>
        <w:rPr>
          <w:rFonts w:hint="eastAsia"/>
          <w:color w:val="auto"/>
          <w:kern w:val="0"/>
          <w:szCs w:val="21"/>
          <w:highlight w:val="none"/>
        </w:rPr>
        <w:t>项目联系人：</w:t>
      </w:r>
      <w:r>
        <w:rPr>
          <w:rFonts w:hint="eastAsia"/>
          <w:color w:val="auto"/>
          <w:kern w:val="0"/>
          <w:szCs w:val="21"/>
          <w:highlight w:val="none"/>
          <w:u w:val="single"/>
          <w:lang w:val="en-US" w:eastAsia="zh-CN"/>
        </w:rPr>
        <w:t>蒋工</w:t>
      </w:r>
    </w:p>
    <w:p w14:paraId="66A58F45">
      <w:pPr>
        <w:adjustRightInd w:val="0"/>
        <w:snapToGrid w:val="0"/>
        <w:spacing w:line="360" w:lineRule="exact"/>
        <w:ind w:firstLine="420" w:firstLineChars="200"/>
        <w:jc w:val="left"/>
        <w:rPr>
          <w:rFonts w:hint="default" w:eastAsia="宋体"/>
          <w:color w:val="auto"/>
          <w:kern w:val="0"/>
          <w:szCs w:val="21"/>
          <w:highlight w:val="none"/>
          <w:u w:val="single"/>
          <w:lang w:val="en-US" w:eastAsia="zh-CN"/>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color w:val="auto"/>
          <w:kern w:val="0"/>
          <w:szCs w:val="21"/>
          <w:highlight w:val="none"/>
          <w:u w:val="single"/>
        </w:rPr>
        <w:t>0774-8833279</w:t>
      </w:r>
    </w:p>
    <w:p w14:paraId="5420ADCB">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2.采购代理机构信息</w:t>
      </w:r>
    </w:p>
    <w:p w14:paraId="629C36D7">
      <w:pPr>
        <w:adjustRightInd w:val="0"/>
        <w:snapToGrid w:val="0"/>
        <w:spacing w:line="360" w:lineRule="exact"/>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53E17E24">
      <w:pPr>
        <w:adjustRightInd w:val="0"/>
        <w:snapToGrid w:val="0"/>
        <w:spacing w:line="360" w:lineRule="exact"/>
        <w:ind w:firstLine="420" w:firstLineChars="200"/>
        <w:jc w:val="left"/>
        <w:rPr>
          <w:color w:val="auto"/>
          <w:highlight w:val="none"/>
          <w:u w:val="single"/>
        </w:rPr>
      </w:pPr>
      <w:r>
        <w:rPr>
          <w:color w:val="auto"/>
          <w:kern w:val="0"/>
          <w:szCs w:val="21"/>
          <w:highlight w:val="none"/>
        </w:rPr>
        <w:t>地址：</w:t>
      </w:r>
      <w:bookmarkStart w:id="13" w:name="_Hlk43198245"/>
      <w:r>
        <w:rPr>
          <w:color w:val="auto"/>
          <w:highlight w:val="none"/>
          <w:u w:val="single"/>
        </w:rPr>
        <w:t>广西南宁市金湖路63号金源CBD现代城B座7层701</w:t>
      </w:r>
      <w:bookmarkEnd w:id="13"/>
    </w:p>
    <w:bookmarkEnd w:id="12"/>
    <w:p w14:paraId="2784FC20">
      <w:pPr>
        <w:adjustRightInd w:val="0"/>
        <w:snapToGrid w:val="0"/>
        <w:spacing w:line="360" w:lineRule="exact"/>
        <w:ind w:firstLine="420" w:firstLineChars="200"/>
        <w:jc w:val="left"/>
        <w:rPr>
          <w:color w:val="auto"/>
          <w:kern w:val="0"/>
          <w:szCs w:val="21"/>
          <w:highlight w:val="none"/>
          <w:u w:val="single"/>
        </w:rPr>
      </w:pPr>
      <w:r>
        <w:rPr>
          <w:color w:val="auto"/>
          <w:kern w:val="0"/>
          <w:szCs w:val="21"/>
          <w:highlight w:val="none"/>
        </w:rPr>
        <w:t>项目联系人：</w:t>
      </w:r>
      <w:r>
        <w:rPr>
          <w:rFonts w:hint="eastAsia"/>
          <w:color w:val="auto"/>
          <w:kern w:val="0"/>
          <w:szCs w:val="21"/>
          <w:highlight w:val="none"/>
          <w:u w:val="single"/>
        </w:rPr>
        <w:t>宁静</w:t>
      </w:r>
    </w:p>
    <w:p w14:paraId="5DA1AF0B">
      <w:pPr>
        <w:adjustRightInd w:val="0"/>
        <w:snapToGrid w:val="0"/>
        <w:spacing w:line="360" w:lineRule="exact"/>
        <w:ind w:firstLine="420" w:firstLineChars="200"/>
        <w:jc w:val="left"/>
        <w:rPr>
          <w:color w:val="auto"/>
          <w:kern w:val="0"/>
          <w:szCs w:val="21"/>
          <w:highlight w:val="none"/>
          <w:u w:val="single"/>
        </w:rPr>
      </w:pPr>
      <w:r>
        <w:rPr>
          <w:rFonts w:hint="eastAsia"/>
          <w:color w:val="auto"/>
          <w:kern w:val="0"/>
          <w:szCs w:val="21"/>
          <w:highlight w:val="none"/>
        </w:rPr>
        <w:t>项目联系方式</w:t>
      </w:r>
      <w:r>
        <w:rPr>
          <w:color w:val="auto"/>
          <w:kern w:val="0"/>
          <w:szCs w:val="21"/>
          <w:highlight w:val="none"/>
        </w:rPr>
        <w:t>：</w:t>
      </w:r>
      <w:r>
        <w:rPr>
          <w:rFonts w:hint="eastAsia"/>
          <w:color w:val="auto"/>
          <w:kern w:val="0"/>
          <w:szCs w:val="21"/>
          <w:highlight w:val="none"/>
          <w:u w:val="single"/>
        </w:rPr>
        <w:t>0771-5782003</w:t>
      </w:r>
    </w:p>
    <w:p w14:paraId="4BBE26B9">
      <w:pPr>
        <w:adjustRightInd w:val="0"/>
        <w:snapToGrid w:val="0"/>
        <w:spacing w:line="360" w:lineRule="exact"/>
        <w:jc w:val="left"/>
        <w:rPr>
          <w:b/>
          <w:bCs/>
          <w:color w:val="auto"/>
          <w:kern w:val="0"/>
          <w:szCs w:val="21"/>
          <w:highlight w:val="none"/>
        </w:rPr>
      </w:pPr>
    </w:p>
    <w:p w14:paraId="01880899">
      <w:pPr>
        <w:adjustRightInd w:val="0"/>
        <w:snapToGrid w:val="0"/>
        <w:spacing w:line="360" w:lineRule="exact"/>
        <w:ind w:firstLine="420" w:firstLineChars="200"/>
        <w:jc w:val="right"/>
        <w:rPr>
          <w:color w:val="auto"/>
          <w:kern w:val="0"/>
          <w:szCs w:val="21"/>
          <w:highlight w:val="none"/>
        </w:rPr>
      </w:pPr>
      <w:r>
        <w:rPr>
          <w:color w:val="auto"/>
          <w:kern w:val="0"/>
          <w:szCs w:val="21"/>
          <w:highlight w:val="none"/>
        </w:rPr>
        <w:t>广西机电设备招标有限公司</w:t>
      </w:r>
    </w:p>
    <w:p w14:paraId="1E61FFDA">
      <w:pPr>
        <w:adjustRightInd w:val="0"/>
        <w:snapToGrid w:val="0"/>
        <w:spacing w:line="360" w:lineRule="exact"/>
        <w:ind w:firstLine="420" w:firstLineChars="200"/>
        <w:jc w:val="right"/>
        <w:rPr>
          <w:color w:val="auto"/>
          <w:kern w:val="0"/>
          <w:sz w:val="18"/>
          <w:szCs w:val="18"/>
          <w:highlight w:val="none"/>
        </w:rPr>
      </w:pPr>
      <w:r>
        <w:rPr>
          <w:rFonts w:hint="eastAsia"/>
          <w:color w:val="auto"/>
          <w:kern w:val="0"/>
          <w:szCs w:val="21"/>
          <w:highlight w:val="none"/>
          <w:lang w:val="en-US" w:eastAsia="zh-CN"/>
        </w:rPr>
        <w:t>2025年11月25日</w:t>
      </w:r>
    </w:p>
    <w:p w14:paraId="76220F41">
      <w:pPr>
        <w:pStyle w:val="26"/>
        <w:snapToGrid w:val="0"/>
        <w:spacing w:before="120" w:after="120" w:line="320" w:lineRule="exact"/>
        <w:jc w:val="center"/>
        <w:outlineLvl w:val="0"/>
        <w:rPr>
          <w:rFonts w:ascii="Times New Roman" w:hAnsi="Times New Roman" w:cs="Times New Roman"/>
          <w:color w:val="auto"/>
          <w:highlight w:val="none"/>
        </w:rPr>
        <w:sectPr>
          <w:headerReference r:id="rId8" w:type="first"/>
          <w:footerReference r:id="rId10" w:type="first"/>
          <w:headerReference r:id="rId7" w:type="default"/>
          <w:footerReference r:id="rId9" w:type="default"/>
          <w:pgSz w:w="11906" w:h="16838"/>
          <w:pgMar w:top="1135" w:right="1133" w:bottom="1246" w:left="1418" w:header="851" w:footer="903" w:gutter="0"/>
          <w:pgNumType w:start="1"/>
          <w:cols w:space="720" w:num="1"/>
          <w:docGrid w:linePitch="312" w:charSpace="0"/>
        </w:sectPr>
      </w:pPr>
    </w:p>
    <w:p w14:paraId="15EB434F">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4" w:name="_Toc13163"/>
      <w:r>
        <w:rPr>
          <w:rFonts w:ascii="Times New Roman" w:hAnsi="Times New Roman" w:cs="Times New Roman"/>
          <w:color w:val="auto"/>
          <w:sz w:val="32"/>
          <w:szCs w:val="32"/>
          <w:highlight w:val="none"/>
        </w:rPr>
        <w:t>第二章  采购需求</w:t>
      </w:r>
      <w:bookmarkEnd w:id="14"/>
    </w:p>
    <w:p w14:paraId="20454308">
      <w:pPr>
        <w:spacing w:before="120"/>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标项一</w:t>
      </w:r>
    </w:p>
    <w:p w14:paraId="7C456F9E">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1482F971">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35FC0858">
      <w:pPr>
        <w:spacing w:line="360" w:lineRule="auto"/>
        <w:rPr>
          <w:color w:val="auto"/>
          <w:szCs w:val="21"/>
          <w:highlight w:val="none"/>
        </w:rPr>
      </w:pPr>
      <w:r>
        <w:rPr>
          <w:rFonts w:hint="eastAsia"/>
          <w:color w:val="auto"/>
          <w:szCs w:val="21"/>
          <w:highlight w:val="none"/>
        </w:rPr>
        <w:t>详见征集文件第四章“评审方法及标准”</w:t>
      </w:r>
      <w:r>
        <w:rPr>
          <w:color w:val="auto"/>
          <w:szCs w:val="21"/>
          <w:highlight w:val="none"/>
        </w:rPr>
        <w:t>政府采购政策应用说明</w:t>
      </w:r>
      <w:r>
        <w:rPr>
          <w:rFonts w:hint="eastAsia"/>
          <w:color w:val="auto"/>
          <w:szCs w:val="21"/>
          <w:highlight w:val="none"/>
        </w:rPr>
        <w:t>部分</w:t>
      </w:r>
      <w:r>
        <w:rPr>
          <w:color w:val="auto"/>
          <w:szCs w:val="21"/>
          <w:highlight w:val="none"/>
        </w:rPr>
        <w:t>。</w:t>
      </w:r>
    </w:p>
    <w:p w14:paraId="05D603C7">
      <w:pPr>
        <w:spacing w:line="360" w:lineRule="auto"/>
        <w:rPr>
          <w:strike/>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标的所属行业</w:t>
      </w:r>
      <w:bookmarkStart w:id="15" w:name="_Hlk132815104"/>
      <w:r>
        <w:rPr>
          <w:rFonts w:hint="eastAsia"/>
          <w:color w:val="auto"/>
          <w:szCs w:val="21"/>
          <w:highlight w:val="none"/>
        </w:rPr>
        <w:t>：其他未列明行业</w:t>
      </w:r>
    </w:p>
    <w:bookmarkEnd w:id="15"/>
    <w:p w14:paraId="42801748">
      <w:pPr>
        <w:spacing w:line="360" w:lineRule="auto"/>
        <w:rPr>
          <w:color w:val="auto"/>
          <w:szCs w:val="21"/>
          <w:highlight w:val="none"/>
        </w:rPr>
      </w:pPr>
      <w:r>
        <w:rPr>
          <w:color w:val="auto"/>
          <w:szCs w:val="21"/>
          <w:highlight w:val="none"/>
        </w:rPr>
        <w:t>3</w:t>
      </w:r>
      <w:r>
        <w:rPr>
          <w:rFonts w:hint="eastAsia"/>
          <w:color w:val="auto"/>
          <w:szCs w:val="21"/>
          <w:highlight w:val="none"/>
        </w:rPr>
        <w:t>采购需求未尽事宜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3D306AA5">
      <w:pPr>
        <w:spacing w:line="360" w:lineRule="auto"/>
        <w:rPr>
          <w:color w:val="auto"/>
          <w:szCs w:val="21"/>
          <w:highlight w:val="none"/>
        </w:rPr>
      </w:pPr>
      <w:bookmarkStart w:id="16" w:name="_Hlk105493164"/>
      <w:r>
        <w:rPr>
          <w:color w:val="auto"/>
          <w:szCs w:val="21"/>
          <w:highlight w:val="none"/>
        </w:rPr>
        <w:t>4</w:t>
      </w:r>
      <w:r>
        <w:rPr>
          <w:rFonts w:hint="eastAsia"/>
          <w:color w:val="auto"/>
          <w:szCs w:val="21"/>
          <w:highlight w:val="none"/>
        </w:rPr>
        <w:t>.采购需求必须满足，如存在负偏离将导致响应被否决。</w:t>
      </w:r>
    </w:p>
    <w:bookmarkEnd w:id="16"/>
    <w:p w14:paraId="6E8D64BB">
      <w:pPr>
        <w:spacing w:line="360" w:lineRule="auto"/>
        <w:rPr>
          <w:color w:val="auto"/>
          <w:szCs w:val="21"/>
          <w:highlight w:val="none"/>
        </w:rPr>
      </w:pPr>
    </w:p>
    <w:p w14:paraId="03B42DCB">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5B0756CE">
      <w:pPr>
        <w:spacing w:line="360" w:lineRule="auto"/>
        <w:rPr>
          <w:b/>
          <w:bCs/>
          <w:color w:val="auto"/>
          <w:szCs w:val="21"/>
          <w:highlight w:val="none"/>
        </w:rPr>
      </w:pPr>
      <w:r>
        <w:rPr>
          <w:rFonts w:hint="eastAsia"/>
          <w:b/>
          <w:bCs/>
          <w:color w:val="auto"/>
          <w:szCs w:val="21"/>
          <w:highlight w:val="none"/>
        </w:rPr>
        <w:t>（一）服务内容</w:t>
      </w:r>
    </w:p>
    <w:p w14:paraId="169B6E06">
      <w:pPr>
        <w:spacing w:line="360" w:lineRule="auto"/>
        <w:rPr>
          <w:color w:val="auto"/>
          <w:szCs w:val="21"/>
          <w:highlight w:val="none"/>
        </w:rPr>
      </w:pPr>
      <w:r>
        <w:rPr>
          <w:rFonts w:hint="eastAsia"/>
          <w:color w:val="auto"/>
          <w:szCs w:val="21"/>
          <w:highlight w:val="none"/>
        </w:rPr>
        <w:t>1.</w:t>
      </w:r>
      <w:r>
        <w:rPr>
          <w:rFonts w:hint="eastAsia"/>
          <w:color w:val="auto"/>
          <w:szCs w:val="21"/>
          <w:highlight w:val="none"/>
          <w:lang w:eastAsia="zh-CN"/>
        </w:rPr>
        <w:t>贺州市平桂区财政局2026～2027年度政府投资项目评审服务</w:t>
      </w:r>
      <w:r>
        <w:rPr>
          <w:rFonts w:hint="eastAsia"/>
          <w:color w:val="auto"/>
          <w:szCs w:val="21"/>
          <w:highlight w:val="none"/>
        </w:rPr>
        <w:t>采用封闭式框架协议方式采购，通过公开征集程序，确定第一阶段入围供应商并订立框架协议，采购人按照框架协议约定规则，在入围供应商范围内直接选定第二阶段成交供应商并按项目签订合同。</w:t>
      </w:r>
    </w:p>
    <w:p w14:paraId="1648E2DC">
      <w:pPr>
        <w:spacing w:line="360" w:lineRule="auto"/>
        <w:rPr>
          <w:color w:val="auto"/>
          <w:szCs w:val="21"/>
          <w:highlight w:val="none"/>
        </w:rPr>
      </w:pPr>
      <w:r>
        <w:rPr>
          <w:rFonts w:hint="eastAsia"/>
          <w:color w:val="auto"/>
          <w:szCs w:val="21"/>
          <w:highlight w:val="none"/>
        </w:rPr>
        <w:t xml:space="preserve">    适用框架协议的采购人：</w:t>
      </w:r>
      <w:r>
        <w:rPr>
          <w:rFonts w:hint="eastAsia"/>
          <w:color w:val="auto"/>
          <w:szCs w:val="21"/>
          <w:highlight w:val="none"/>
          <w:lang w:eastAsia="zh-CN"/>
        </w:rPr>
        <w:t>贺州市平桂区财政局</w:t>
      </w:r>
      <w:r>
        <w:rPr>
          <w:rFonts w:hint="eastAsia"/>
          <w:color w:val="auto"/>
          <w:szCs w:val="21"/>
          <w:highlight w:val="none"/>
        </w:rPr>
        <w:t>。</w:t>
      </w:r>
    </w:p>
    <w:p w14:paraId="64BAC0DA">
      <w:pPr>
        <w:spacing w:line="360" w:lineRule="auto"/>
        <w:rPr>
          <w:color w:val="auto"/>
          <w:szCs w:val="21"/>
          <w:highlight w:val="none"/>
        </w:rPr>
      </w:pPr>
      <w:r>
        <w:rPr>
          <w:rFonts w:hint="eastAsia"/>
          <w:color w:val="auto"/>
          <w:szCs w:val="21"/>
          <w:highlight w:val="none"/>
        </w:rPr>
        <w:t>2.选择不多于10家工程造价咨询机构为贺州市平桂区政府投资项目提供概（预）算、工程量清单和招标控制价审核服务。</w:t>
      </w:r>
    </w:p>
    <w:p w14:paraId="0A36BE8B">
      <w:pPr>
        <w:spacing w:line="360" w:lineRule="auto"/>
        <w:rPr>
          <w:color w:val="auto"/>
          <w:szCs w:val="21"/>
          <w:highlight w:val="none"/>
        </w:rPr>
      </w:pPr>
      <w:r>
        <w:rPr>
          <w:rFonts w:hint="eastAsia"/>
          <w:color w:val="auto"/>
          <w:szCs w:val="21"/>
          <w:highlight w:val="none"/>
        </w:rPr>
        <w:t>3.框架协议期限为2年</w:t>
      </w:r>
      <w:r>
        <w:rPr>
          <w:rFonts w:hint="eastAsia"/>
          <w:color w:val="auto"/>
          <w:szCs w:val="21"/>
          <w:highlight w:val="none"/>
          <w:lang w:eastAsia="zh-CN"/>
        </w:rPr>
        <w:t>，</w:t>
      </w:r>
      <w:r>
        <w:rPr>
          <w:rFonts w:hint="eastAsia"/>
          <w:color w:val="auto"/>
          <w:szCs w:val="21"/>
          <w:highlight w:val="none"/>
        </w:rPr>
        <w:t>暂定为2025年12月-2027年12月（具体以框架协议签订为准）。</w:t>
      </w:r>
    </w:p>
    <w:p w14:paraId="6AC80100">
      <w:pPr>
        <w:spacing w:line="360" w:lineRule="auto"/>
        <w:rPr>
          <w:color w:val="auto"/>
          <w:szCs w:val="21"/>
          <w:highlight w:val="none"/>
        </w:rPr>
      </w:pPr>
      <w:r>
        <w:rPr>
          <w:rFonts w:hint="eastAsia"/>
          <w:color w:val="auto"/>
          <w:szCs w:val="21"/>
          <w:highlight w:val="none"/>
        </w:rPr>
        <w:t>4.供应商可承接的贺州市平桂区政府投资项目评审服务具体数量及投资额以实际签订采购合同为准。</w:t>
      </w:r>
    </w:p>
    <w:p w14:paraId="33013FF7">
      <w:pPr>
        <w:spacing w:line="360" w:lineRule="auto"/>
        <w:rPr>
          <w:color w:val="auto"/>
          <w:szCs w:val="21"/>
          <w:highlight w:val="none"/>
        </w:rPr>
      </w:pPr>
      <w:r>
        <w:rPr>
          <w:rFonts w:hint="eastAsia"/>
          <w:color w:val="auto"/>
          <w:szCs w:val="21"/>
          <w:highlight w:val="none"/>
        </w:rPr>
        <w:t>5.回避原则：成交供应商及其控股股东参股企业（单位）不得参与经贺州市平桂区政府投资项目的施工、系统集成等相关业务。成交供应商及其控股股东参股企业（单位）不得参与所评审项目的咨询、设计等相关业务。成交供应商及其控股股东参股企业（单位）不得参与有长期合作关系的建设单位的项目评审工作。若有违反前述规定行为，一经发现，马上终止协议，且不能参与后续年度协审机构采购事项。</w:t>
      </w:r>
    </w:p>
    <w:p w14:paraId="7E48C1A3">
      <w:pPr>
        <w:spacing w:line="360" w:lineRule="auto"/>
        <w:rPr>
          <w:color w:val="auto"/>
          <w:szCs w:val="21"/>
          <w:highlight w:val="none"/>
        </w:rPr>
      </w:pPr>
      <w:r>
        <w:rPr>
          <w:rFonts w:hint="eastAsia"/>
          <w:color w:val="auto"/>
          <w:szCs w:val="21"/>
          <w:highlight w:val="none"/>
        </w:rPr>
        <w:t>6.采购人需要对贺州市平桂区内外单位进行财政专项资金使用情况专项检查时，成交供应商必须按采购人要求派人共同参与，费用另付。</w:t>
      </w:r>
    </w:p>
    <w:p w14:paraId="06647EB0">
      <w:pPr>
        <w:spacing w:line="360" w:lineRule="auto"/>
        <w:rPr>
          <w:color w:val="auto"/>
          <w:szCs w:val="21"/>
          <w:highlight w:val="none"/>
        </w:rPr>
      </w:pPr>
      <w:r>
        <w:rPr>
          <w:rFonts w:hint="eastAsia"/>
          <w:color w:val="auto"/>
          <w:szCs w:val="21"/>
          <w:highlight w:val="none"/>
        </w:rPr>
        <w:t>7.成交供应商不得将采购人委托的评审工作转交或分包给第三方完成。</w:t>
      </w:r>
    </w:p>
    <w:p w14:paraId="15F061E5">
      <w:pPr>
        <w:spacing w:line="360" w:lineRule="auto"/>
        <w:rPr>
          <w:color w:val="auto"/>
          <w:szCs w:val="21"/>
          <w:highlight w:val="none"/>
        </w:rPr>
      </w:pPr>
      <w:r>
        <w:rPr>
          <w:rFonts w:hint="eastAsia"/>
          <w:color w:val="auto"/>
          <w:szCs w:val="21"/>
          <w:highlight w:val="none"/>
        </w:rPr>
        <w:t>8.入围供应商被采购人直接选定后，无正当理由不得拒绝采购人各类评审项目的委托。成交供应商接到项目通知后应按时响应并安排人员作资料接收等相关工作，应严格按国家有关标准提供相关评审服务，并在接收资料后按时递交成果文件。</w:t>
      </w:r>
    </w:p>
    <w:p w14:paraId="01E2EE3D">
      <w:pPr>
        <w:spacing w:line="360" w:lineRule="auto"/>
        <w:rPr>
          <w:color w:val="auto"/>
          <w:szCs w:val="21"/>
          <w:highlight w:val="none"/>
        </w:rPr>
      </w:pPr>
      <w:r>
        <w:rPr>
          <w:rFonts w:hint="eastAsia"/>
          <w:color w:val="auto"/>
          <w:szCs w:val="21"/>
          <w:highlight w:val="none"/>
        </w:rPr>
        <w:t>9.严格按照采购人提出的评审时限及评审工作流程细则要求，确保在对社会公开承诺和财政要求的时限内完成评审任务，按时按质将评审资料归档。</w:t>
      </w:r>
    </w:p>
    <w:p w14:paraId="4EEBDB14">
      <w:pPr>
        <w:spacing w:line="360" w:lineRule="auto"/>
        <w:rPr>
          <w:b/>
          <w:bCs/>
          <w:color w:val="auto"/>
          <w:szCs w:val="21"/>
          <w:highlight w:val="none"/>
        </w:rPr>
      </w:pPr>
      <w:r>
        <w:rPr>
          <w:rFonts w:hint="eastAsia"/>
          <w:b/>
          <w:bCs/>
          <w:color w:val="auto"/>
          <w:szCs w:val="21"/>
          <w:highlight w:val="none"/>
        </w:rPr>
        <w:t>（二）服务标准以及所涉及的货物的质量标准</w:t>
      </w:r>
    </w:p>
    <w:p w14:paraId="216F5AF7">
      <w:pPr>
        <w:spacing w:line="360" w:lineRule="auto"/>
        <w:rPr>
          <w:color w:val="auto"/>
          <w:szCs w:val="21"/>
          <w:highlight w:val="none"/>
        </w:rPr>
      </w:pPr>
      <w:r>
        <w:rPr>
          <w:rFonts w:hint="eastAsia"/>
          <w:color w:val="auto"/>
          <w:szCs w:val="21"/>
          <w:highlight w:val="none"/>
        </w:rPr>
        <w:t>1.供应商要严格遵守国家的法律、法规和有关规章制度，严格遵守行为准则和职业道德，按现行的财政投资项目评审操作规程及质量控制办法规定的执行。</w:t>
      </w:r>
    </w:p>
    <w:p w14:paraId="68666044">
      <w:pPr>
        <w:spacing w:line="360" w:lineRule="auto"/>
        <w:rPr>
          <w:color w:val="auto"/>
          <w:szCs w:val="21"/>
          <w:highlight w:val="none"/>
        </w:rPr>
      </w:pPr>
      <w:r>
        <w:rPr>
          <w:rFonts w:hint="eastAsia"/>
          <w:color w:val="auto"/>
          <w:szCs w:val="21"/>
          <w:highlight w:val="none"/>
        </w:rPr>
        <w:t>2.严格按照现行的工程造价管理办法、工程结算编审规程等文件要求进行评审工作，依照相关依据发表专业意见出具成果文件，并对成果的真实性、完整性、准确性负责。</w:t>
      </w:r>
    </w:p>
    <w:p w14:paraId="25917640">
      <w:pPr>
        <w:spacing w:line="360" w:lineRule="auto"/>
        <w:rPr>
          <w:color w:val="auto"/>
          <w:szCs w:val="21"/>
          <w:highlight w:val="none"/>
        </w:rPr>
      </w:pPr>
      <w:r>
        <w:rPr>
          <w:rFonts w:hint="eastAsia"/>
          <w:color w:val="auto"/>
          <w:szCs w:val="21"/>
          <w:highlight w:val="none"/>
        </w:rPr>
        <w:t>3.评审人员在项目评审工程中，应该恪守客观公正、实事求是的原则，确保评审工作的真实完整和准确，保证评审质量。</w:t>
      </w:r>
    </w:p>
    <w:p w14:paraId="2851A3A7">
      <w:pPr>
        <w:spacing w:line="360" w:lineRule="auto"/>
        <w:rPr>
          <w:color w:val="auto"/>
          <w:szCs w:val="21"/>
          <w:highlight w:val="none"/>
        </w:rPr>
      </w:pPr>
      <w:r>
        <w:rPr>
          <w:rFonts w:hint="eastAsia"/>
          <w:color w:val="auto"/>
          <w:szCs w:val="21"/>
          <w:highlight w:val="none"/>
        </w:rPr>
        <w:t>4.评审报告编制标准</w:t>
      </w:r>
    </w:p>
    <w:p w14:paraId="431F2FC8">
      <w:pPr>
        <w:spacing w:line="360" w:lineRule="auto"/>
        <w:rPr>
          <w:color w:val="auto"/>
          <w:szCs w:val="21"/>
          <w:highlight w:val="none"/>
        </w:rPr>
      </w:pPr>
      <w:r>
        <w:rPr>
          <w:rFonts w:hint="eastAsia"/>
          <w:color w:val="auto"/>
          <w:szCs w:val="21"/>
          <w:highlight w:val="none"/>
        </w:rPr>
        <w:t>评审内容完整、数据准确、依据充分，评审结论定性客观、定量准确、依据充分，核增核减原因定性准确、条理清晰，披露评审问题有理有据、分析透彻，提出评审建议措施具体、针对性强。</w:t>
      </w:r>
    </w:p>
    <w:p w14:paraId="3975AAE4">
      <w:pPr>
        <w:spacing w:line="360" w:lineRule="auto"/>
        <w:rPr>
          <w:color w:val="auto"/>
          <w:szCs w:val="21"/>
          <w:highlight w:val="none"/>
        </w:rPr>
      </w:pPr>
      <w:r>
        <w:rPr>
          <w:rFonts w:hint="eastAsia"/>
          <w:color w:val="auto"/>
          <w:szCs w:val="21"/>
          <w:highlight w:val="none"/>
        </w:rPr>
        <w:t>5.采购人将对成交供应商提交的评审报告和评审结论进行复审，复审结果发现因成交供应商存在严重质量问题时，采购人不支付该项目的评审费用，并做出相应的处理，成交供应商必须承担由此造成的全部经济损失和法律责任。</w:t>
      </w:r>
    </w:p>
    <w:p w14:paraId="76E50F20">
      <w:pPr>
        <w:spacing w:line="360" w:lineRule="auto"/>
        <w:rPr>
          <w:color w:val="auto"/>
          <w:szCs w:val="21"/>
          <w:highlight w:val="none"/>
        </w:rPr>
      </w:pPr>
      <w:r>
        <w:rPr>
          <w:rFonts w:hint="eastAsia"/>
          <w:color w:val="auto"/>
          <w:szCs w:val="21"/>
          <w:highlight w:val="none"/>
        </w:rPr>
        <w:t>6.供应商不得泄露采购人及所承接项目的任何商业机密，不得未经采购人同意擅自对外公开评审结论，一经发现，将由采购人作出相应处理。</w:t>
      </w:r>
    </w:p>
    <w:p w14:paraId="73D78E0A">
      <w:pPr>
        <w:spacing w:line="360" w:lineRule="auto"/>
        <w:rPr>
          <w:color w:val="auto"/>
          <w:szCs w:val="21"/>
          <w:highlight w:val="none"/>
        </w:rPr>
      </w:pPr>
      <w:r>
        <w:rPr>
          <w:rFonts w:hint="eastAsia"/>
          <w:color w:val="auto"/>
          <w:szCs w:val="21"/>
          <w:highlight w:val="none"/>
        </w:rPr>
        <w:t>7.评审人员应严格遵守廉洁自律的有关规定，坚决抵制各种可能影响客观公正评审的商业贿赂，坚决不搞人情评审，避免和杜绝吃拿卡要的不良行为。如因评审人员原因出现违规违纪行为，应及时处理并承担相应法律责任，采购人有权追究其相关责任并列入黑名单。</w:t>
      </w:r>
    </w:p>
    <w:p w14:paraId="283401CF">
      <w:pPr>
        <w:spacing w:line="360" w:lineRule="auto"/>
        <w:rPr>
          <w:color w:val="auto"/>
          <w:szCs w:val="21"/>
          <w:highlight w:val="none"/>
        </w:rPr>
      </w:pPr>
      <w:r>
        <w:rPr>
          <w:rFonts w:hint="eastAsia"/>
          <w:color w:val="auto"/>
          <w:szCs w:val="21"/>
          <w:highlight w:val="none"/>
        </w:rPr>
        <w:t>8.供应商必须严格遵守《工程造价咨询企业管理办法》(建设部2006年第149号令)、《财政性投资评审质量控制办法》(财建【2006】1065号）、《贺州市财政局关于印发贺州市本级财政投资评审实施办法(2023年修订)的通知》(贺财办[2024]2号)等有关规定，按要求选择具备工程造价审核专业知识、熟悉财政投资审核业务、履行审核程序的人员开展财政投资审核业务，保证取证资料、工作底稿的正确完整和规范。出具的审核报告、结论或意见客观公正，符合审核规范和贺州市平桂区财政投资评审中心的要求，对出具的审核报告承担法律责任。</w:t>
      </w:r>
    </w:p>
    <w:p w14:paraId="0AC460B2">
      <w:pPr>
        <w:spacing w:line="360" w:lineRule="auto"/>
        <w:rPr>
          <w:color w:val="auto"/>
          <w:szCs w:val="21"/>
          <w:highlight w:val="none"/>
        </w:rPr>
      </w:pPr>
      <w:r>
        <w:rPr>
          <w:rFonts w:hint="eastAsia"/>
          <w:color w:val="auto"/>
          <w:szCs w:val="21"/>
          <w:highlight w:val="none"/>
        </w:rPr>
        <w:t>9.供应商须在每季度第一个月10日前向贺州市平桂区财政投资评审中心报送上一季度贺州市平桂区财政投资评审服务项目有关统计报表。</w:t>
      </w:r>
    </w:p>
    <w:p w14:paraId="5C31A880">
      <w:pPr>
        <w:spacing w:line="360" w:lineRule="auto"/>
        <w:rPr>
          <w:b/>
          <w:bCs/>
          <w:color w:val="auto"/>
          <w:szCs w:val="21"/>
          <w:highlight w:val="none"/>
        </w:rPr>
      </w:pPr>
      <w:r>
        <w:rPr>
          <w:rFonts w:hint="eastAsia"/>
          <w:b/>
          <w:bCs/>
          <w:color w:val="auto"/>
          <w:szCs w:val="21"/>
          <w:highlight w:val="none"/>
        </w:rPr>
        <w:t>（三）服务人员组成</w:t>
      </w:r>
    </w:p>
    <w:p w14:paraId="23B31EEF">
      <w:pPr>
        <w:spacing w:line="360" w:lineRule="auto"/>
        <w:rPr>
          <w:color w:val="auto"/>
          <w:szCs w:val="21"/>
          <w:highlight w:val="none"/>
        </w:rPr>
      </w:pPr>
      <w:r>
        <w:rPr>
          <w:rFonts w:hint="eastAsia"/>
          <w:color w:val="auto"/>
          <w:szCs w:val="21"/>
          <w:highlight w:val="none"/>
        </w:rPr>
        <w:t>1.框架协议技术负责人要求</w:t>
      </w:r>
    </w:p>
    <w:p w14:paraId="717A4375">
      <w:pPr>
        <w:spacing w:line="360" w:lineRule="auto"/>
        <w:rPr>
          <w:color w:val="auto"/>
          <w:szCs w:val="21"/>
          <w:highlight w:val="none"/>
        </w:rPr>
      </w:pPr>
      <w:r>
        <w:rPr>
          <w:rFonts w:hint="eastAsia"/>
          <w:color w:val="auto"/>
          <w:szCs w:val="21"/>
          <w:highlight w:val="none"/>
        </w:rPr>
        <w:t>成交供应商应至少拟派一名框架协议技术负责人（必须具有二级及以上的造价师或造价员资格证书，且必须从业至少10年，从业时间以获取造价师或造价员资格证书起计）负责与采购人及相关单位进行有效沟通，随时向采购人汇报工作，跟进项目进度，确保审核质量并承担相应责任。组织相关评审工作，能够就评审中的重大技术问题、重大争议与纠纷提出处理建议，按规定提交采购人要求的各项意见和审核报告。</w:t>
      </w:r>
    </w:p>
    <w:p w14:paraId="2D5DA652">
      <w:pPr>
        <w:spacing w:line="360" w:lineRule="auto"/>
        <w:rPr>
          <w:color w:val="auto"/>
          <w:szCs w:val="21"/>
          <w:highlight w:val="none"/>
        </w:rPr>
      </w:pPr>
      <w:r>
        <w:rPr>
          <w:rFonts w:hint="eastAsia"/>
          <w:color w:val="auto"/>
          <w:szCs w:val="21"/>
          <w:highlight w:val="none"/>
        </w:rPr>
        <w:t>2.项目主审和协审人员要求</w:t>
      </w:r>
    </w:p>
    <w:p w14:paraId="3ABC06FD">
      <w:pPr>
        <w:spacing w:line="360" w:lineRule="auto"/>
        <w:rPr>
          <w:color w:val="auto"/>
          <w:szCs w:val="21"/>
          <w:highlight w:val="none"/>
        </w:rPr>
      </w:pPr>
      <w:r>
        <w:rPr>
          <w:rFonts w:hint="eastAsia"/>
          <w:color w:val="auto"/>
          <w:szCs w:val="21"/>
          <w:highlight w:val="none"/>
        </w:rPr>
        <w:t>主审人员：业务能力和沟通能力强，计划执行能力强，工作效率高，具备团队领导能力，熟悉政府评审工作流程，能独立完成项目主审职责（项目评审对接、组织、综合复核、进度控制、质量控制及评审报告的拟写），具备二级或以上造价师</w:t>
      </w:r>
      <w:r>
        <w:rPr>
          <w:rFonts w:hint="eastAsia"/>
          <w:color w:val="auto"/>
          <w:szCs w:val="21"/>
          <w:highlight w:val="none"/>
          <w:lang w:eastAsia="zh-CN"/>
        </w:rPr>
        <w:t>（</w:t>
      </w:r>
      <w:r>
        <w:rPr>
          <w:rFonts w:hint="eastAsia"/>
          <w:color w:val="auto"/>
          <w:szCs w:val="21"/>
          <w:highlight w:val="none"/>
        </w:rPr>
        <w:t>造价员</w:t>
      </w:r>
      <w:r>
        <w:rPr>
          <w:rFonts w:hint="eastAsia"/>
          <w:color w:val="auto"/>
          <w:szCs w:val="21"/>
          <w:highlight w:val="none"/>
          <w:lang w:eastAsia="zh-CN"/>
        </w:rPr>
        <w:t>）</w:t>
      </w:r>
      <w:r>
        <w:rPr>
          <w:rFonts w:hint="eastAsia"/>
          <w:color w:val="auto"/>
          <w:szCs w:val="21"/>
          <w:highlight w:val="none"/>
        </w:rPr>
        <w:t>资格证书。</w:t>
      </w:r>
    </w:p>
    <w:p w14:paraId="3666C268">
      <w:pPr>
        <w:spacing w:line="360" w:lineRule="auto"/>
        <w:rPr>
          <w:color w:val="auto"/>
          <w:szCs w:val="21"/>
          <w:highlight w:val="none"/>
        </w:rPr>
      </w:pPr>
      <w:r>
        <w:rPr>
          <w:rFonts w:hint="eastAsia"/>
          <w:color w:val="auto"/>
          <w:szCs w:val="21"/>
          <w:highlight w:val="none"/>
        </w:rPr>
        <w:t>协审人员：具有良好的沟通能力和团队精神，具备岗位匹配专业技术，可配合项目主审做好评审工作。</w:t>
      </w:r>
    </w:p>
    <w:p w14:paraId="698A0DBA">
      <w:pPr>
        <w:spacing w:line="360" w:lineRule="auto"/>
        <w:rPr>
          <w:color w:val="auto"/>
          <w:szCs w:val="21"/>
          <w:highlight w:val="none"/>
        </w:rPr>
      </w:pPr>
      <w:r>
        <w:rPr>
          <w:rFonts w:hint="eastAsia"/>
          <w:color w:val="auto"/>
          <w:szCs w:val="21"/>
          <w:highlight w:val="none"/>
        </w:rPr>
        <w:t>3.拟投入的评审人员替换规则</w:t>
      </w:r>
    </w:p>
    <w:p w14:paraId="0C25095A">
      <w:pPr>
        <w:spacing w:line="360" w:lineRule="auto"/>
        <w:rPr>
          <w:color w:val="auto"/>
          <w:szCs w:val="21"/>
          <w:highlight w:val="none"/>
        </w:rPr>
      </w:pPr>
      <w:r>
        <w:rPr>
          <w:rFonts w:hint="eastAsia"/>
          <w:color w:val="auto"/>
          <w:szCs w:val="21"/>
          <w:highlight w:val="none"/>
        </w:rPr>
        <w:t>3.1征集人对入围供应商拟投入的评审人员（包括主审、协审人员）实行登记备案管理。入围后，须将本单位拟投入所有专职评审人员（包括主审、协审人员）的名单（附上通讯方式）以及个人详细资料（附身份证、学历、社保、资格证明文件的复印件，原件备查）通过书面和电子文档形式报征集人登记备案。在项目服务过程中，入围供应商如果发生人员变动情况，要及时进行申报备案。征集人将不定期地对成交供应商拟投入的评审人员在岗情况进行检查，经查实成交供应商擅自变更评审人员数量达到总人数20%的，或实际评审人员配备达不到承诺拟投入的人数时，采购人有权不对其委派项目。</w:t>
      </w:r>
    </w:p>
    <w:p w14:paraId="2D443343">
      <w:pPr>
        <w:spacing w:line="360" w:lineRule="auto"/>
        <w:rPr>
          <w:color w:val="auto"/>
          <w:szCs w:val="21"/>
          <w:highlight w:val="none"/>
        </w:rPr>
      </w:pPr>
      <w:r>
        <w:rPr>
          <w:rFonts w:hint="eastAsia"/>
          <w:color w:val="auto"/>
          <w:szCs w:val="21"/>
          <w:highlight w:val="none"/>
        </w:rPr>
        <w:t>3.2成交供应商拟投入的评审人员（包括主审、协审人员），必须与响应时拟投入参加项目评审承诺的人员一致。成交供应商在评审采购人委托评审的项目时，必须从拟投入的评审人员名单中安排。</w:t>
      </w:r>
    </w:p>
    <w:p w14:paraId="16DBD5BA">
      <w:pPr>
        <w:spacing w:line="360" w:lineRule="auto"/>
        <w:rPr>
          <w:color w:val="auto"/>
          <w:szCs w:val="21"/>
          <w:highlight w:val="none"/>
        </w:rPr>
      </w:pPr>
      <w:r>
        <w:rPr>
          <w:rFonts w:hint="eastAsia"/>
          <w:color w:val="auto"/>
          <w:szCs w:val="21"/>
          <w:highlight w:val="none"/>
        </w:rPr>
        <w:t>3.3如果成交供应商需要更换框架协议技术负责人和评审人员时，必须向采购人提出申请并得到采购人的同意。采购人认为成交供应商实际投入的评审人员不足以满足任务需要或认为评审人员不称职时，可向成交供应商发出要求增加或更换评审人员的通知，成交供应商应及时增加或更换符合采购人需求的评审人员，由此产生的费用由成交供应商自行承担。</w:t>
      </w:r>
    </w:p>
    <w:p w14:paraId="581BEFAF">
      <w:pPr>
        <w:spacing w:line="360" w:lineRule="auto"/>
        <w:rPr>
          <w:color w:val="auto"/>
          <w:szCs w:val="21"/>
          <w:highlight w:val="none"/>
        </w:rPr>
      </w:pPr>
      <w:r>
        <w:rPr>
          <w:rFonts w:hint="eastAsia"/>
          <w:b/>
          <w:bCs/>
          <w:color w:val="auto"/>
          <w:szCs w:val="21"/>
          <w:highlight w:val="none"/>
        </w:rPr>
        <w:t>（四）服务工作量的计量方式</w:t>
      </w:r>
    </w:p>
    <w:p w14:paraId="6F4ECE2B">
      <w:pPr>
        <w:spacing w:line="360" w:lineRule="auto"/>
        <w:rPr>
          <w:color w:val="auto"/>
          <w:szCs w:val="21"/>
          <w:highlight w:val="none"/>
        </w:rPr>
      </w:pPr>
      <w:r>
        <w:rPr>
          <w:rFonts w:hint="eastAsia"/>
          <w:color w:val="auto"/>
          <w:szCs w:val="21"/>
          <w:highlight w:val="none"/>
        </w:rPr>
        <w:t>1.最高限制单价</w:t>
      </w:r>
    </w:p>
    <w:p w14:paraId="28457EA5">
      <w:pPr>
        <w:spacing w:line="360" w:lineRule="auto"/>
        <w:rPr>
          <w:color w:val="auto"/>
          <w:szCs w:val="21"/>
          <w:highlight w:val="none"/>
        </w:rPr>
      </w:pPr>
      <w:r>
        <w:rPr>
          <w:rFonts w:hint="eastAsia"/>
          <w:color w:val="auto"/>
          <w:szCs w:val="21"/>
          <w:highlight w:val="none"/>
        </w:rPr>
        <w:t>最高限制单价是供应商第一阶段响应报价的最高限价。入围供应商第一阶段响应报价是采购人确定第二阶段成交供应商的最高限价。具体要求详见第五章“框架协议（格式）”。</w:t>
      </w:r>
    </w:p>
    <w:p w14:paraId="0561509F">
      <w:pPr>
        <w:spacing w:line="360" w:lineRule="auto"/>
        <w:rPr>
          <w:color w:val="auto"/>
          <w:szCs w:val="21"/>
          <w:highlight w:val="none"/>
        </w:rPr>
      </w:pPr>
      <w:r>
        <w:rPr>
          <w:rFonts w:hint="eastAsia"/>
          <w:color w:val="auto"/>
          <w:szCs w:val="21"/>
          <w:highlight w:val="none"/>
        </w:rPr>
        <w:t>2.付费额的计算公式及审核费调整详见第五章“框架协议（格式）”。</w:t>
      </w:r>
    </w:p>
    <w:p w14:paraId="67327762">
      <w:pPr>
        <w:spacing w:line="360" w:lineRule="auto"/>
        <w:rPr>
          <w:b/>
          <w:bCs/>
          <w:color w:val="auto"/>
          <w:szCs w:val="21"/>
          <w:highlight w:val="none"/>
        </w:rPr>
      </w:pPr>
      <w:r>
        <w:rPr>
          <w:rFonts w:hint="eastAsia"/>
          <w:b/>
          <w:bCs/>
          <w:color w:val="auto"/>
          <w:szCs w:val="21"/>
          <w:highlight w:val="none"/>
        </w:rPr>
        <w:t>（五）服务交付</w:t>
      </w:r>
    </w:p>
    <w:p w14:paraId="47532E53">
      <w:pPr>
        <w:spacing w:line="360" w:lineRule="auto"/>
        <w:rPr>
          <w:color w:val="auto"/>
          <w:szCs w:val="21"/>
          <w:highlight w:val="none"/>
        </w:rPr>
      </w:pPr>
      <w:r>
        <w:rPr>
          <w:rFonts w:hint="eastAsia"/>
          <w:color w:val="auto"/>
          <w:szCs w:val="21"/>
          <w:highlight w:val="none"/>
        </w:rPr>
        <w:t>限时办结的能力。</w:t>
      </w:r>
    </w:p>
    <w:p w14:paraId="3516805D">
      <w:pPr>
        <w:spacing w:line="360" w:lineRule="auto"/>
        <w:rPr>
          <w:color w:val="auto"/>
          <w:szCs w:val="21"/>
          <w:highlight w:val="none"/>
        </w:rPr>
      </w:pPr>
      <w:r>
        <w:rPr>
          <w:rFonts w:hint="eastAsia"/>
          <w:color w:val="auto"/>
          <w:szCs w:val="21"/>
          <w:highlight w:val="none"/>
        </w:rPr>
        <w:t>项目评审实行限时办结制度，成交供应商与采购人签订项目合同后，应严格遵守项目评审时限要求，合理安排人员在合同规定的时间内完成项目工作，并向采购人提交合同规定质量数量的成果文件及电子文档，且提交的成果文件必须已完成内部审核程序。</w:t>
      </w:r>
    </w:p>
    <w:p w14:paraId="5D468896">
      <w:pPr>
        <w:spacing w:line="360" w:lineRule="auto"/>
        <w:rPr>
          <w:color w:val="auto"/>
          <w:szCs w:val="21"/>
          <w:highlight w:val="none"/>
        </w:rPr>
      </w:pPr>
      <w:r>
        <w:rPr>
          <w:rFonts w:hint="eastAsia"/>
          <w:color w:val="auto"/>
          <w:szCs w:val="21"/>
          <w:highlight w:val="none"/>
        </w:rPr>
        <w:t>供应商自接到采购人提交完整评审项目资料当日起应按以下要求提交评审初步结论：评审项目金额1000万元（含）以下6天内完成；评审项目金额1000万以上至3000万元（含）以下7天内完成；评审项目金额3000万以上至5000万元（含）以下8天内完成；评审项目金额5000万以上至8000万元（含）以下9天内完成；评审项目金额8000万以上10天内完成。</w:t>
      </w:r>
    </w:p>
    <w:p w14:paraId="23620BAC">
      <w:pPr>
        <w:spacing w:line="360" w:lineRule="auto"/>
        <w:rPr>
          <w:color w:val="auto"/>
          <w:highlight w:val="none"/>
        </w:rPr>
      </w:pPr>
      <w:r>
        <w:rPr>
          <w:rFonts w:hint="eastAsia"/>
          <w:color w:val="auto"/>
          <w:highlight w:val="none"/>
        </w:rPr>
        <w:t>供应商无故超出上述评审规定时间50%以上、累计出现三次以上（含三次），</w:t>
      </w:r>
      <w:r>
        <w:rPr>
          <w:rFonts w:hint="eastAsia"/>
          <w:color w:val="auto"/>
          <w:highlight w:val="none"/>
          <w:lang w:eastAsia="zh-CN"/>
        </w:rPr>
        <w:t>贺州市平桂区财政局</w:t>
      </w:r>
      <w:r>
        <w:rPr>
          <w:rFonts w:hint="eastAsia"/>
          <w:color w:val="auto"/>
          <w:highlight w:val="none"/>
        </w:rPr>
        <w:t>将供应商列入财政评审项目评审黑名单，取消其为期2年的评审资格。如遇政府对项目评审时间的特殊要求，供应商则应无条件服从征集人的时间安排。</w:t>
      </w:r>
    </w:p>
    <w:p w14:paraId="45608E34">
      <w:pPr>
        <w:spacing w:line="360" w:lineRule="auto"/>
        <w:rPr>
          <w:color w:val="auto"/>
          <w:szCs w:val="21"/>
          <w:highlight w:val="none"/>
        </w:rPr>
      </w:pPr>
      <w:r>
        <w:rPr>
          <w:rFonts w:hint="eastAsia"/>
          <w:b/>
          <w:bCs/>
          <w:color w:val="auto"/>
          <w:szCs w:val="21"/>
          <w:highlight w:val="none"/>
        </w:rPr>
        <w:t>（六）技术保障</w:t>
      </w:r>
    </w:p>
    <w:p w14:paraId="7A08212C">
      <w:pPr>
        <w:spacing w:line="360" w:lineRule="auto"/>
        <w:rPr>
          <w:color w:val="auto"/>
          <w:szCs w:val="21"/>
          <w:highlight w:val="none"/>
        </w:rPr>
      </w:pPr>
      <w:r>
        <w:rPr>
          <w:rFonts w:hint="eastAsia"/>
          <w:color w:val="auto"/>
          <w:szCs w:val="21"/>
          <w:highlight w:val="none"/>
        </w:rPr>
        <w:t>为保障项目评审工作正常进行，供应商应基于审慎原则，保障及时响应、人力资源充足、专业能力匹配，具备以下能力：</w:t>
      </w:r>
    </w:p>
    <w:p w14:paraId="427FB52F">
      <w:pPr>
        <w:spacing w:line="360" w:lineRule="auto"/>
        <w:rPr>
          <w:color w:val="auto"/>
          <w:szCs w:val="21"/>
          <w:highlight w:val="none"/>
        </w:rPr>
      </w:pPr>
      <w:r>
        <w:rPr>
          <w:rFonts w:hint="eastAsia"/>
          <w:color w:val="auto"/>
          <w:szCs w:val="21"/>
          <w:highlight w:val="none"/>
        </w:rPr>
        <w:t>1.提供本地</w:t>
      </w:r>
      <w:r>
        <w:rPr>
          <w:rFonts w:hint="eastAsia"/>
          <w:color w:val="auto"/>
          <w:szCs w:val="21"/>
          <w:highlight w:val="none"/>
          <w:lang w:val="en-US" w:eastAsia="zh-CN"/>
        </w:rPr>
        <w:t>化</w:t>
      </w:r>
      <w:r>
        <w:rPr>
          <w:rFonts w:hint="eastAsia"/>
          <w:color w:val="auto"/>
          <w:szCs w:val="21"/>
          <w:highlight w:val="none"/>
        </w:rPr>
        <w:t>服务的能力。</w:t>
      </w:r>
    </w:p>
    <w:p w14:paraId="658DB8E8">
      <w:pPr>
        <w:spacing w:line="360" w:lineRule="auto"/>
        <w:rPr>
          <w:color w:val="auto"/>
          <w:szCs w:val="21"/>
          <w:highlight w:val="none"/>
        </w:rPr>
      </w:pPr>
      <w:r>
        <w:rPr>
          <w:rFonts w:hint="eastAsia"/>
          <w:color w:val="auto"/>
          <w:szCs w:val="21"/>
          <w:highlight w:val="none"/>
        </w:rPr>
        <w:t>1.1项目评审过程中，供应商拟投入评审人员需到项目地配合采购人完成承接核验资料、项目对数、现场踏勘、复核争议、项目归档等相关工作。</w:t>
      </w:r>
    </w:p>
    <w:p w14:paraId="7C30654E">
      <w:pPr>
        <w:spacing w:line="360" w:lineRule="auto"/>
        <w:rPr>
          <w:color w:val="auto"/>
          <w:szCs w:val="21"/>
          <w:highlight w:val="none"/>
        </w:rPr>
      </w:pPr>
      <w:r>
        <w:rPr>
          <w:rFonts w:hint="eastAsia"/>
          <w:color w:val="auto"/>
          <w:szCs w:val="21"/>
          <w:highlight w:val="none"/>
        </w:rPr>
        <w:t>1.2拟投入评审人员需有本地化办公能力且常驻贺州市，可根据采购人要求配合出差。</w:t>
      </w:r>
    </w:p>
    <w:p w14:paraId="29A378B9">
      <w:pPr>
        <w:spacing w:line="360" w:lineRule="auto"/>
        <w:rPr>
          <w:color w:val="auto"/>
          <w:szCs w:val="21"/>
          <w:highlight w:val="none"/>
        </w:rPr>
      </w:pPr>
      <w:r>
        <w:rPr>
          <w:rFonts w:hint="eastAsia"/>
          <w:color w:val="auto"/>
          <w:szCs w:val="21"/>
          <w:highlight w:val="none"/>
        </w:rPr>
        <w:t>1 .3拟投入评审人员需熟悉广西壮族自治区内造价信息及造价依据规则等。</w:t>
      </w:r>
    </w:p>
    <w:p w14:paraId="724A374B">
      <w:pPr>
        <w:spacing w:line="360" w:lineRule="auto"/>
        <w:rPr>
          <w:color w:val="auto"/>
          <w:szCs w:val="21"/>
          <w:highlight w:val="none"/>
        </w:rPr>
      </w:pPr>
      <w:r>
        <w:rPr>
          <w:rFonts w:hint="eastAsia"/>
          <w:color w:val="auto"/>
          <w:szCs w:val="21"/>
          <w:highlight w:val="none"/>
        </w:rPr>
        <w:t>1.4本地化范围为</w:t>
      </w:r>
      <w:r>
        <w:rPr>
          <w:rFonts w:hint="eastAsia"/>
          <w:color w:val="auto"/>
          <w:szCs w:val="21"/>
          <w:highlight w:val="none"/>
          <w:lang w:val="en-US" w:eastAsia="zh-CN"/>
        </w:rPr>
        <w:t>贺州市</w:t>
      </w:r>
      <w:r>
        <w:rPr>
          <w:rFonts w:hint="eastAsia"/>
          <w:color w:val="auto"/>
          <w:szCs w:val="21"/>
          <w:highlight w:val="none"/>
        </w:rPr>
        <w:t>内，拟投入评审人员应熟悉贺州市工程造价市场情况。</w:t>
      </w:r>
    </w:p>
    <w:p w14:paraId="051BE5B1">
      <w:pPr>
        <w:spacing w:line="360" w:lineRule="auto"/>
        <w:rPr>
          <w:rFonts w:ascii="黑体" w:hAnsi="黑体" w:eastAsia="黑体" w:cs="Arial"/>
          <w:b/>
          <w:color w:val="auto"/>
          <w:kern w:val="0"/>
          <w:sz w:val="28"/>
          <w:szCs w:val="28"/>
          <w:highlight w:val="none"/>
        </w:rPr>
      </w:pPr>
      <w:r>
        <w:rPr>
          <w:rFonts w:hint="eastAsia"/>
          <w:color w:val="auto"/>
          <w:szCs w:val="21"/>
          <w:highlight w:val="none"/>
        </w:rPr>
        <w:t>2.承担重大、复杂项目的能力。贺州市财政评审项目具有较为复杂的特点，供应商需提供人员充足、经验丰富的团队承担重大、复杂的项目评审工作。</w:t>
      </w:r>
    </w:p>
    <w:p w14:paraId="067B759A">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18C8CCC1">
      <w:pPr>
        <w:spacing w:line="360" w:lineRule="auto"/>
        <w:rPr>
          <w:color w:val="auto"/>
          <w:szCs w:val="21"/>
          <w:highlight w:val="none"/>
        </w:rPr>
      </w:pPr>
      <w:r>
        <w:rPr>
          <w:rFonts w:hint="eastAsia"/>
          <w:color w:val="auto"/>
          <w:szCs w:val="21"/>
          <w:highlight w:val="none"/>
        </w:rPr>
        <w:t>1．报价要求</w:t>
      </w:r>
    </w:p>
    <w:p w14:paraId="6712834A">
      <w:pPr>
        <w:spacing w:line="360" w:lineRule="auto"/>
        <w:rPr>
          <w:color w:val="auto"/>
          <w:szCs w:val="21"/>
          <w:highlight w:val="none"/>
        </w:rPr>
      </w:pPr>
      <w:r>
        <w:rPr>
          <w:color w:val="auto"/>
          <w:szCs w:val="21"/>
          <w:highlight w:val="none"/>
        </w:rPr>
        <w:sym w:font="Wingdings 2" w:char="F052"/>
      </w:r>
      <w:r>
        <w:rPr>
          <w:rFonts w:hint="eastAsia"/>
          <w:color w:val="auto"/>
          <w:szCs w:val="21"/>
          <w:highlight w:val="none"/>
        </w:rPr>
        <w:t>本项目执行政府定价或政府指导价，供应商不需要提供报价，最高限价单价即作为供应商统一报价，供应商如在制作响应文件或广西政府采购云系统中需要填写报价的，一律按报价1元填写。</w:t>
      </w:r>
    </w:p>
    <w:p w14:paraId="30025BCD">
      <w:pPr>
        <w:spacing w:line="360" w:lineRule="auto"/>
        <w:rPr>
          <w:color w:val="auto"/>
          <w:szCs w:val="21"/>
          <w:highlight w:val="none"/>
        </w:rPr>
      </w:pPr>
      <w:r>
        <w:rPr>
          <w:rFonts w:hint="eastAsia"/>
          <w:color w:val="auto"/>
          <w:szCs w:val="21"/>
          <w:highlight w:val="none"/>
        </w:rPr>
        <w:t>□本项目供应商需要提供报价，报价不计入实际评分，仅作为确定第二阶段成交供应商的最高限价，本次报价须为人民币报价，包含人员费、技术服务费、交通、通讯、办公场地、管理费、税费和利润等费用。对于本文件中明确列明必须报价的服务，供应商应分别报价。对于本文件中未列明，而供应商认为必需的费用也需列入总报价。在合同实施时，采购人将不予支付成交供应商没有列入的项目费用，并认为此项目的费用已包括在响应总报价中。</w:t>
      </w:r>
    </w:p>
    <w:p w14:paraId="0E7E74FE">
      <w:pPr>
        <w:spacing w:line="360" w:lineRule="auto"/>
        <w:rPr>
          <w:color w:val="auto"/>
          <w:szCs w:val="21"/>
          <w:highlight w:val="none"/>
        </w:rPr>
      </w:pPr>
      <w:r>
        <w:rPr>
          <w:rFonts w:hint="eastAsia"/>
          <w:color w:val="auto"/>
          <w:szCs w:val="21"/>
          <w:highlight w:val="none"/>
        </w:rPr>
        <w:t>2.框架协议签订期限</w:t>
      </w:r>
    </w:p>
    <w:p w14:paraId="2135E53C">
      <w:pPr>
        <w:spacing w:line="360" w:lineRule="auto"/>
        <w:rPr>
          <w:color w:val="auto"/>
          <w:szCs w:val="21"/>
          <w:highlight w:val="none"/>
        </w:rPr>
      </w:pPr>
      <w:r>
        <w:rPr>
          <w:rFonts w:hint="eastAsia"/>
          <w:color w:val="auto"/>
          <w:szCs w:val="21"/>
          <w:highlight w:val="none"/>
        </w:rPr>
        <w:t>入围通知书发出后25日内。</w:t>
      </w:r>
    </w:p>
    <w:p w14:paraId="3EA2AAF1">
      <w:pPr>
        <w:spacing w:line="360" w:lineRule="auto"/>
        <w:rPr>
          <w:color w:val="auto"/>
          <w:szCs w:val="21"/>
          <w:highlight w:val="none"/>
        </w:rPr>
      </w:pPr>
      <w:r>
        <w:rPr>
          <w:color w:val="auto"/>
          <w:szCs w:val="21"/>
          <w:highlight w:val="none"/>
        </w:rPr>
        <w:t>3</w:t>
      </w:r>
      <w:r>
        <w:rPr>
          <w:rFonts w:hint="eastAsia"/>
          <w:color w:val="auto"/>
          <w:szCs w:val="21"/>
          <w:highlight w:val="none"/>
        </w:rPr>
        <w:t>.</w:t>
      </w:r>
      <w:r>
        <w:rPr>
          <w:rFonts w:hint="eastAsia"/>
          <w:color w:val="auto"/>
          <w:highlight w:val="none"/>
        </w:rPr>
        <w:t>服务交付或者实施的地域范围</w:t>
      </w:r>
    </w:p>
    <w:p w14:paraId="2959BA58">
      <w:pPr>
        <w:spacing w:line="360" w:lineRule="auto"/>
        <w:rPr>
          <w:color w:val="auto"/>
          <w:highlight w:val="none"/>
        </w:rPr>
      </w:pPr>
      <w:r>
        <w:rPr>
          <w:rFonts w:hint="eastAsia"/>
          <w:color w:val="auto"/>
          <w:highlight w:val="none"/>
        </w:rPr>
        <w:t>贺州市（采购人指定地点）</w:t>
      </w:r>
    </w:p>
    <w:p w14:paraId="6C317DF8">
      <w:pPr>
        <w:spacing w:line="360" w:lineRule="auto"/>
        <w:rPr>
          <w:color w:val="auto"/>
          <w:szCs w:val="21"/>
          <w:highlight w:val="none"/>
        </w:rPr>
      </w:pPr>
      <w:r>
        <w:rPr>
          <w:color w:val="auto"/>
          <w:szCs w:val="21"/>
          <w:highlight w:val="none"/>
        </w:rPr>
        <w:t>4</w:t>
      </w:r>
      <w:r>
        <w:rPr>
          <w:rFonts w:hint="eastAsia"/>
          <w:color w:val="auto"/>
          <w:szCs w:val="21"/>
          <w:highlight w:val="none"/>
        </w:rPr>
        <w:t>.采购资金的支付方式、时间及条件</w:t>
      </w:r>
    </w:p>
    <w:p w14:paraId="0E3ECC04">
      <w:pPr>
        <w:spacing w:line="360" w:lineRule="auto"/>
        <w:rPr>
          <w:color w:val="auto"/>
          <w:szCs w:val="21"/>
          <w:highlight w:val="none"/>
        </w:rPr>
      </w:pPr>
      <w:r>
        <w:rPr>
          <w:rFonts w:hint="eastAsia"/>
          <w:color w:val="auto"/>
          <w:szCs w:val="21"/>
          <w:highlight w:val="none"/>
        </w:rPr>
        <w:t>详见第五章框架协议</w:t>
      </w:r>
    </w:p>
    <w:p w14:paraId="7C39E6EB">
      <w:pPr>
        <w:spacing w:line="360" w:lineRule="auto"/>
        <w:rPr>
          <w:color w:val="auto"/>
          <w:szCs w:val="21"/>
          <w:highlight w:val="none"/>
        </w:rPr>
      </w:pPr>
      <w:r>
        <w:rPr>
          <w:color w:val="auto"/>
          <w:szCs w:val="21"/>
          <w:highlight w:val="none"/>
        </w:rPr>
        <w:t>5</w:t>
      </w:r>
      <w:r>
        <w:rPr>
          <w:rFonts w:hint="eastAsia"/>
          <w:color w:val="auto"/>
          <w:szCs w:val="21"/>
          <w:highlight w:val="none"/>
        </w:rPr>
        <w:t>.履约保证金</w:t>
      </w:r>
    </w:p>
    <w:p w14:paraId="45974387">
      <w:pPr>
        <w:spacing w:line="360" w:lineRule="auto"/>
        <w:rPr>
          <w:color w:val="auto"/>
          <w:szCs w:val="21"/>
          <w:highlight w:val="none"/>
        </w:rPr>
      </w:pPr>
      <w:bookmarkStart w:id="17" w:name="_Hlk98854135"/>
      <w:r>
        <w:rPr>
          <w:rFonts w:hint="eastAsia"/>
          <w:color w:val="auto"/>
          <w:szCs w:val="21"/>
          <w:highlight w:val="none"/>
        </w:rPr>
        <w:t>无。</w:t>
      </w:r>
    </w:p>
    <w:bookmarkEnd w:id="17"/>
    <w:p w14:paraId="2B15D16F">
      <w:pPr>
        <w:spacing w:line="360" w:lineRule="auto"/>
        <w:rPr>
          <w:color w:val="auto"/>
          <w:szCs w:val="21"/>
          <w:highlight w:val="none"/>
        </w:rPr>
      </w:pPr>
    </w:p>
    <w:p w14:paraId="7335B19D">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379AE1BD">
      <w:pPr>
        <w:spacing w:line="360" w:lineRule="auto"/>
        <w:rPr>
          <w:rFonts w:hint="eastAsia"/>
          <w:b/>
          <w:bCs/>
          <w:color w:val="auto"/>
          <w:szCs w:val="21"/>
          <w:highlight w:val="none"/>
        </w:rPr>
      </w:pPr>
      <w:r>
        <w:rPr>
          <w:rFonts w:hint="eastAsia"/>
          <w:b/>
          <w:bCs/>
          <w:color w:val="auto"/>
          <w:szCs w:val="21"/>
          <w:highlight w:val="none"/>
        </w:rPr>
        <w:t>本项目采购标的为二个标项。供应商可选择单个或多个标项进行响应。但标项一和标项二只能入围一个标项，如已经入围标项一则不能入围标项二。</w:t>
      </w:r>
    </w:p>
    <w:p w14:paraId="4274ECDC">
      <w:pPr>
        <w:rPr>
          <w:rFonts w:hint="eastAsia"/>
          <w:color w:val="auto"/>
          <w:szCs w:val="21"/>
          <w:highlight w:val="none"/>
        </w:rPr>
      </w:pPr>
      <w:r>
        <w:rPr>
          <w:rFonts w:hint="eastAsia"/>
          <w:color w:val="auto"/>
          <w:szCs w:val="21"/>
          <w:highlight w:val="none"/>
        </w:rPr>
        <w:br w:type="page"/>
      </w:r>
    </w:p>
    <w:p w14:paraId="4B8844EA">
      <w:pPr>
        <w:spacing w:before="120"/>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标项二</w:t>
      </w:r>
    </w:p>
    <w:p w14:paraId="68EA6C25">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58003150">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06A9CA5E">
      <w:pPr>
        <w:spacing w:line="360" w:lineRule="auto"/>
        <w:rPr>
          <w:color w:val="auto"/>
          <w:szCs w:val="21"/>
          <w:highlight w:val="none"/>
        </w:rPr>
      </w:pPr>
      <w:r>
        <w:rPr>
          <w:rFonts w:hint="eastAsia"/>
          <w:color w:val="auto"/>
          <w:szCs w:val="21"/>
          <w:highlight w:val="none"/>
        </w:rPr>
        <w:t>详见征集文件第四章“评审方法及标准”</w:t>
      </w:r>
      <w:r>
        <w:rPr>
          <w:color w:val="auto"/>
          <w:szCs w:val="21"/>
          <w:highlight w:val="none"/>
        </w:rPr>
        <w:t>政府采购政策应用说明</w:t>
      </w:r>
      <w:r>
        <w:rPr>
          <w:rFonts w:hint="eastAsia"/>
          <w:color w:val="auto"/>
          <w:szCs w:val="21"/>
          <w:highlight w:val="none"/>
        </w:rPr>
        <w:t>部分</w:t>
      </w:r>
      <w:r>
        <w:rPr>
          <w:color w:val="auto"/>
          <w:szCs w:val="21"/>
          <w:highlight w:val="none"/>
        </w:rPr>
        <w:t>。</w:t>
      </w:r>
    </w:p>
    <w:p w14:paraId="106B8C8D">
      <w:pPr>
        <w:spacing w:line="360" w:lineRule="auto"/>
        <w:rPr>
          <w:strike/>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标的所属行业：其他未列明行业</w:t>
      </w:r>
    </w:p>
    <w:p w14:paraId="6E6DC226">
      <w:pPr>
        <w:spacing w:line="360" w:lineRule="auto"/>
        <w:rPr>
          <w:color w:val="auto"/>
          <w:szCs w:val="21"/>
          <w:highlight w:val="none"/>
        </w:rPr>
      </w:pPr>
      <w:r>
        <w:rPr>
          <w:color w:val="auto"/>
          <w:szCs w:val="21"/>
          <w:highlight w:val="none"/>
        </w:rPr>
        <w:t>3</w:t>
      </w:r>
      <w:r>
        <w:rPr>
          <w:rFonts w:hint="eastAsia"/>
          <w:color w:val="auto"/>
          <w:szCs w:val="21"/>
          <w:highlight w:val="none"/>
        </w:rPr>
        <w:t>采购需求未尽事宜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5B7AD089">
      <w:pPr>
        <w:spacing w:line="360" w:lineRule="auto"/>
        <w:rPr>
          <w:color w:val="auto"/>
          <w:szCs w:val="21"/>
          <w:highlight w:val="none"/>
        </w:rPr>
      </w:pPr>
      <w:r>
        <w:rPr>
          <w:color w:val="auto"/>
          <w:szCs w:val="21"/>
          <w:highlight w:val="none"/>
        </w:rPr>
        <w:t>4</w:t>
      </w:r>
      <w:r>
        <w:rPr>
          <w:rFonts w:hint="eastAsia"/>
          <w:color w:val="auto"/>
          <w:szCs w:val="21"/>
          <w:highlight w:val="none"/>
        </w:rPr>
        <w:t>.采购需求必须满足，如存在负偏离将导致响应被否决。</w:t>
      </w:r>
    </w:p>
    <w:p w14:paraId="371FAB6E">
      <w:pPr>
        <w:spacing w:line="360" w:lineRule="auto"/>
        <w:rPr>
          <w:color w:val="auto"/>
          <w:szCs w:val="21"/>
          <w:highlight w:val="none"/>
        </w:rPr>
      </w:pPr>
    </w:p>
    <w:p w14:paraId="308254FF">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7F6A45FB">
      <w:pPr>
        <w:spacing w:line="360" w:lineRule="auto"/>
        <w:rPr>
          <w:b/>
          <w:bCs/>
          <w:color w:val="auto"/>
          <w:szCs w:val="21"/>
          <w:highlight w:val="none"/>
        </w:rPr>
      </w:pPr>
      <w:r>
        <w:rPr>
          <w:rFonts w:hint="eastAsia"/>
          <w:b/>
          <w:bCs/>
          <w:color w:val="auto"/>
          <w:szCs w:val="21"/>
          <w:highlight w:val="none"/>
        </w:rPr>
        <w:t>（一）服务内容</w:t>
      </w:r>
    </w:p>
    <w:p w14:paraId="2E1604C5">
      <w:pPr>
        <w:spacing w:line="360" w:lineRule="auto"/>
        <w:rPr>
          <w:color w:val="auto"/>
          <w:szCs w:val="21"/>
          <w:highlight w:val="none"/>
        </w:rPr>
      </w:pPr>
      <w:r>
        <w:rPr>
          <w:rFonts w:hint="eastAsia"/>
          <w:color w:val="auto"/>
          <w:szCs w:val="21"/>
          <w:highlight w:val="none"/>
        </w:rPr>
        <w:t>1.</w:t>
      </w:r>
      <w:r>
        <w:rPr>
          <w:rFonts w:hint="eastAsia" w:eastAsia="宋体"/>
          <w:color w:val="auto"/>
          <w:szCs w:val="21"/>
          <w:highlight w:val="none"/>
          <w:lang w:eastAsia="zh-CN"/>
        </w:rPr>
        <w:t>贺州市平桂区财政局</w:t>
      </w:r>
      <w:r>
        <w:rPr>
          <w:rFonts w:hint="eastAsia"/>
          <w:color w:val="auto"/>
          <w:szCs w:val="21"/>
          <w:highlight w:val="none"/>
          <w:lang w:eastAsia="zh-CN"/>
        </w:rPr>
        <w:t>2026～2027</w:t>
      </w:r>
      <w:r>
        <w:rPr>
          <w:rFonts w:hint="eastAsia" w:eastAsia="宋体"/>
          <w:color w:val="auto"/>
          <w:szCs w:val="21"/>
          <w:highlight w:val="none"/>
          <w:lang w:eastAsia="zh-CN"/>
        </w:rPr>
        <w:t>年度政府投资项目评审服务</w:t>
      </w:r>
      <w:r>
        <w:rPr>
          <w:rFonts w:hint="eastAsia"/>
          <w:color w:val="auto"/>
          <w:szCs w:val="21"/>
          <w:highlight w:val="none"/>
        </w:rPr>
        <w:t>采用封闭式框架协议方式采购，通过公开征集程序，确定第一阶段入围供应商并订立框架协议，采购人按照框架协议约定规则，在入围供应商范围内直接选定第二阶段成交供应商并按项目签订合同。</w:t>
      </w:r>
    </w:p>
    <w:p w14:paraId="21B46172">
      <w:pPr>
        <w:spacing w:line="360" w:lineRule="auto"/>
        <w:rPr>
          <w:color w:val="auto"/>
          <w:szCs w:val="21"/>
          <w:highlight w:val="none"/>
        </w:rPr>
      </w:pPr>
      <w:r>
        <w:rPr>
          <w:rFonts w:hint="eastAsia"/>
          <w:color w:val="auto"/>
          <w:szCs w:val="21"/>
          <w:highlight w:val="none"/>
        </w:rPr>
        <w:t xml:space="preserve">    适用框架协议的采购人：</w:t>
      </w:r>
      <w:r>
        <w:rPr>
          <w:rFonts w:hint="eastAsia" w:eastAsia="宋体"/>
          <w:color w:val="auto"/>
          <w:szCs w:val="21"/>
          <w:highlight w:val="none"/>
          <w:lang w:eastAsia="zh-CN"/>
        </w:rPr>
        <w:t>贺州市平桂区财政局</w:t>
      </w:r>
      <w:r>
        <w:rPr>
          <w:rFonts w:hint="eastAsia"/>
          <w:color w:val="auto"/>
          <w:szCs w:val="21"/>
          <w:highlight w:val="none"/>
        </w:rPr>
        <w:t>。</w:t>
      </w:r>
    </w:p>
    <w:p w14:paraId="6C8ACFCF">
      <w:pPr>
        <w:spacing w:line="360" w:lineRule="auto"/>
        <w:rPr>
          <w:color w:val="auto"/>
          <w:szCs w:val="21"/>
          <w:highlight w:val="none"/>
        </w:rPr>
      </w:pPr>
      <w:r>
        <w:rPr>
          <w:rFonts w:hint="eastAsia"/>
          <w:color w:val="auto"/>
          <w:szCs w:val="21"/>
          <w:highlight w:val="none"/>
        </w:rPr>
        <w:t>2.选择不多于1</w:t>
      </w:r>
      <w:r>
        <w:rPr>
          <w:rFonts w:hint="eastAsia"/>
          <w:color w:val="auto"/>
          <w:szCs w:val="21"/>
          <w:highlight w:val="none"/>
          <w:lang w:val="en-US" w:eastAsia="zh-CN"/>
        </w:rPr>
        <w:t>2</w:t>
      </w:r>
      <w:r>
        <w:rPr>
          <w:rFonts w:hint="eastAsia"/>
          <w:color w:val="auto"/>
          <w:szCs w:val="21"/>
          <w:highlight w:val="none"/>
        </w:rPr>
        <w:t>家工程造价咨询机构为贺州市平桂区政府投资项目提供工程竣工结算评审服务。</w:t>
      </w:r>
    </w:p>
    <w:p w14:paraId="0DBBC8C9">
      <w:pPr>
        <w:spacing w:line="360" w:lineRule="auto"/>
        <w:rPr>
          <w:color w:val="auto"/>
          <w:szCs w:val="21"/>
          <w:highlight w:val="none"/>
        </w:rPr>
      </w:pPr>
      <w:r>
        <w:rPr>
          <w:rFonts w:hint="eastAsia"/>
          <w:color w:val="auto"/>
          <w:szCs w:val="21"/>
          <w:highlight w:val="none"/>
        </w:rPr>
        <w:t>3.框架协议期限为2年</w:t>
      </w:r>
      <w:r>
        <w:rPr>
          <w:rFonts w:hint="eastAsia"/>
          <w:color w:val="auto"/>
          <w:szCs w:val="21"/>
          <w:highlight w:val="none"/>
          <w:lang w:eastAsia="zh-CN"/>
        </w:rPr>
        <w:t>，</w:t>
      </w:r>
      <w:r>
        <w:rPr>
          <w:rFonts w:hint="eastAsia"/>
          <w:color w:val="auto"/>
          <w:szCs w:val="21"/>
          <w:highlight w:val="none"/>
        </w:rPr>
        <w:t>暂定为2025年12月-2027年12月（具体以框架协议签订为准）。</w:t>
      </w:r>
    </w:p>
    <w:p w14:paraId="1F358DA9">
      <w:pPr>
        <w:spacing w:line="360" w:lineRule="auto"/>
        <w:rPr>
          <w:color w:val="auto"/>
          <w:szCs w:val="21"/>
          <w:highlight w:val="none"/>
        </w:rPr>
      </w:pPr>
      <w:r>
        <w:rPr>
          <w:rFonts w:hint="eastAsia"/>
          <w:color w:val="auto"/>
          <w:szCs w:val="21"/>
          <w:highlight w:val="none"/>
        </w:rPr>
        <w:t>4.供应商可承接的贺州市平桂区政府投资项目评审服务具体数量及投资额以实际签订采购合同为准。</w:t>
      </w:r>
    </w:p>
    <w:p w14:paraId="323BE138">
      <w:pPr>
        <w:spacing w:line="360" w:lineRule="auto"/>
        <w:rPr>
          <w:color w:val="auto"/>
          <w:szCs w:val="21"/>
          <w:highlight w:val="none"/>
        </w:rPr>
      </w:pPr>
      <w:r>
        <w:rPr>
          <w:rFonts w:hint="eastAsia"/>
          <w:color w:val="auto"/>
          <w:szCs w:val="21"/>
          <w:highlight w:val="none"/>
        </w:rPr>
        <w:t>5.回避原则：成交供应商及其控股股东参股企业（单位）不得参与经贺州市平桂区政府投资项目的施工、系统集成等相关业务。成交供应商及其控股股东参股企业（单位）不得参与所评审项目的咨询、设计等相关业务。成交供应商及其控股股东参股企业（单位）不得参与有长期合作关系的建设单位的项目评审工作。若有违反前述规定行为，一经发现，马上终止协议，且不能参与后续年度协审机构采购事项。</w:t>
      </w:r>
    </w:p>
    <w:p w14:paraId="15A379AD">
      <w:pPr>
        <w:spacing w:line="360" w:lineRule="auto"/>
        <w:rPr>
          <w:color w:val="auto"/>
          <w:szCs w:val="21"/>
          <w:highlight w:val="none"/>
        </w:rPr>
      </w:pPr>
      <w:r>
        <w:rPr>
          <w:rFonts w:hint="eastAsia"/>
          <w:color w:val="auto"/>
          <w:szCs w:val="21"/>
          <w:highlight w:val="none"/>
        </w:rPr>
        <w:t>6.采购人需要对贺州市平桂区内外单位进行财政专项资金使用情况专项检查时，成交供应商必须按采购人要求派人共同参与，费用另付。</w:t>
      </w:r>
    </w:p>
    <w:p w14:paraId="26613F1A">
      <w:pPr>
        <w:spacing w:line="360" w:lineRule="auto"/>
        <w:rPr>
          <w:color w:val="auto"/>
          <w:szCs w:val="21"/>
          <w:highlight w:val="none"/>
        </w:rPr>
      </w:pPr>
      <w:r>
        <w:rPr>
          <w:rFonts w:hint="eastAsia"/>
          <w:color w:val="auto"/>
          <w:szCs w:val="21"/>
          <w:highlight w:val="none"/>
        </w:rPr>
        <w:t>7.成交供应商不得将采购人委托的评审工作转交或分包给第三方完成。</w:t>
      </w:r>
    </w:p>
    <w:p w14:paraId="4A8ED638">
      <w:pPr>
        <w:spacing w:line="360" w:lineRule="auto"/>
        <w:rPr>
          <w:color w:val="auto"/>
          <w:szCs w:val="21"/>
          <w:highlight w:val="none"/>
        </w:rPr>
      </w:pPr>
      <w:r>
        <w:rPr>
          <w:rFonts w:hint="eastAsia"/>
          <w:color w:val="auto"/>
          <w:szCs w:val="21"/>
          <w:highlight w:val="none"/>
        </w:rPr>
        <w:t>8.入围供应商被采购人直接选定后，无正当理由不得拒绝采购人各类评审项目的委托。成交供应商接到项目通知后应按时响应并安排人员作资料接收等相关工作，应严格按国家有关标准提供相关评审服务，并在接收资料后按时递交成果文件。</w:t>
      </w:r>
    </w:p>
    <w:p w14:paraId="6B765CFF">
      <w:pPr>
        <w:spacing w:line="360" w:lineRule="auto"/>
        <w:rPr>
          <w:color w:val="auto"/>
          <w:szCs w:val="21"/>
          <w:highlight w:val="none"/>
        </w:rPr>
      </w:pPr>
      <w:r>
        <w:rPr>
          <w:rFonts w:hint="eastAsia"/>
          <w:color w:val="auto"/>
          <w:szCs w:val="21"/>
          <w:highlight w:val="none"/>
        </w:rPr>
        <w:t>9.严格按照采购人提出的评审时限及评审工作流程细则要求，确保在对社会公开承诺和财政要求的时限内完成评审任务，按时按质将评审资料归档。</w:t>
      </w:r>
    </w:p>
    <w:p w14:paraId="4EB82A1B">
      <w:pPr>
        <w:spacing w:line="360" w:lineRule="auto"/>
        <w:rPr>
          <w:b/>
          <w:bCs/>
          <w:color w:val="auto"/>
          <w:szCs w:val="21"/>
          <w:highlight w:val="none"/>
        </w:rPr>
      </w:pPr>
      <w:r>
        <w:rPr>
          <w:rFonts w:hint="eastAsia"/>
          <w:b/>
          <w:bCs/>
          <w:color w:val="auto"/>
          <w:szCs w:val="21"/>
          <w:highlight w:val="none"/>
        </w:rPr>
        <w:t>（二）服务标准以及所涉及的货物的质量标准</w:t>
      </w:r>
    </w:p>
    <w:p w14:paraId="4ABCFEE9">
      <w:pPr>
        <w:spacing w:line="360" w:lineRule="auto"/>
        <w:rPr>
          <w:color w:val="auto"/>
          <w:szCs w:val="21"/>
          <w:highlight w:val="none"/>
        </w:rPr>
      </w:pPr>
      <w:r>
        <w:rPr>
          <w:rFonts w:hint="eastAsia"/>
          <w:color w:val="auto"/>
          <w:szCs w:val="21"/>
          <w:highlight w:val="none"/>
        </w:rPr>
        <w:t>1.供应商要严格遵守国家的法律、法规和有关规章制度，严格遵守行为准则和职业道德，按现行的财政投资项目评审操作规程及质量控制办法规定的执行。</w:t>
      </w:r>
    </w:p>
    <w:p w14:paraId="70525C78">
      <w:pPr>
        <w:spacing w:line="360" w:lineRule="auto"/>
        <w:rPr>
          <w:color w:val="auto"/>
          <w:szCs w:val="21"/>
          <w:highlight w:val="none"/>
        </w:rPr>
      </w:pPr>
      <w:r>
        <w:rPr>
          <w:rFonts w:hint="eastAsia"/>
          <w:color w:val="auto"/>
          <w:szCs w:val="21"/>
          <w:highlight w:val="none"/>
        </w:rPr>
        <w:t>2.严格按照现行的工程造价管理办法、工程结算编审规程等文件要求进行评审工作，依照相关依据发表专业意见出具成果文件，并对成果的真实性、完整性、准确性负责。</w:t>
      </w:r>
    </w:p>
    <w:p w14:paraId="335A1E69">
      <w:pPr>
        <w:spacing w:line="360" w:lineRule="auto"/>
        <w:rPr>
          <w:color w:val="auto"/>
          <w:szCs w:val="21"/>
          <w:highlight w:val="none"/>
        </w:rPr>
      </w:pPr>
      <w:r>
        <w:rPr>
          <w:rFonts w:hint="eastAsia"/>
          <w:color w:val="auto"/>
          <w:szCs w:val="21"/>
          <w:highlight w:val="none"/>
        </w:rPr>
        <w:t>3.评审人员在项目评审工程中，应该恪守客观公正、实事求是的原则，确保评审工作的真实完整和准确，保证评审质量。</w:t>
      </w:r>
    </w:p>
    <w:p w14:paraId="471D1DD9">
      <w:pPr>
        <w:spacing w:line="360" w:lineRule="auto"/>
        <w:rPr>
          <w:color w:val="auto"/>
          <w:szCs w:val="21"/>
          <w:highlight w:val="none"/>
        </w:rPr>
      </w:pPr>
      <w:r>
        <w:rPr>
          <w:rFonts w:hint="eastAsia"/>
          <w:color w:val="auto"/>
          <w:szCs w:val="21"/>
          <w:highlight w:val="none"/>
        </w:rPr>
        <w:t>4.评审报告编制标准</w:t>
      </w:r>
    </w:p>
    <w:p w14:paraId="1046B1EE">
      <w:pPr>
        <w:spacing w:line="360" w:lineRule="auto"/>
        <w:rPr>
          <w:color w:val="auto"/>
          <w:szCs w:val="21"/>
          <w:highlight w:val="none"/>
        </w:rPr>
      </w:pPr>
      <w:r>
        <w:rPr>
          <w:rFonts w:hint="eastAsia"/>
          <w:color w:val="auto"/>
          <w:szCs w:val="21"/>
          <w:highlight w:val="none"/>
        </w:rPr>
        <w:t>评审内容完整、数据准确、依据充分，评审结论定性客观、定量准确、依据充分，核增核减原因定性准确、条理清晰，披露评审问题有理有据、分析透彻，提出评审建议措施具体、针对性强。</w:t>
      </w:r>
    </w:p>
    <w:p w14:paraId="5D92F798">
      <w:pPr>
        <w:spacing w:line="360" w:lineRule="auto"/>
        <w:rPr>
          <w:color w:val="auto"/>
          <w:szCs w:val="21"/>
          <w:highlight w:val="none"/>
        </w:rPr>
      </w:pPr>
      <w:r>
        <w:rPr>
          <w:rFonts w:hint="eastAsia"/>
          <w:color w:val="auto"/>
          <w:szCs w:val="21"/>
          <w:highlight w:val="none"/>
        </w:rPr>
        <w:t>5.采购人将对成交供应商提交的评审报告和评审结论进行复审，复审结果发现因成交供应商存在严重质量问题时，采购人不支付该项目的评审费用，并做出相应的处理，成交供应商必须承担由此造成的全部经济损失和法律责任。</w:t>
      </w:r>
    </w:p>
    <w:p w14:paraId="303DD337">
      <w:pPr>
        <w:spacing w:line="360" w:lineRule="auto"/>
        <w:rPr>
          <w:color w:val="auto"/>
          <w:szCs w:val="21"/>
          <w:highlight w:val="none"/>
        </w:rPr>
      </w:pPr>
      <w:r>
        <w:rPr>
          <w:rFonts w:hint="eastAsia"/>
          <w:color w:val="auto"/>
          <w:szCs w:val="21"/>
          <w:highlight w:val="none"/>
        </w:rPr>
        <w:t>6.供应商不得泄露采购人及所承接项目的任何商业机密，不得未经采购人同意擅自对外公开评审结论，一经发现，将由采购人作出相应处理。</w:t>
      </w:r>
    </w:p>
    <w:p w14:paraId="708A6344">
      <w:pPr>
        <w:spacing w:line="360" w:lineRule="auto"/>
        <w:rPr>
          <w:color w:val="auto"/>
          <w:szCs w:val="21"/>
          <w:highlight w:val="none"/>
        </w:rPr>
      </w:pPr>
      <w:r>
        <w:rPr>
          <w:rFonts w:hint="eastAsia"/>
          <w:color w:val="auto"/>
          <w:szCs w:val="21"/>
          <w:highlight w:val="none"/>
        </w:rPr>
        <w:t>7.评审人员应严格遵守廉洁自律的有关规定，坚决抵制各种可能影响客观公正评审的商业贿赂，坚决不搞人情评审，避免和杜绝吃拿卡要的不良行为。如因评审人员原因出现违规违纪行为，应及时处理并承担相应法律责任，采购人有权追究其相关责任并列入黑名单。</w:t>
      </w:r>
    </w:p>
    <w:p w14:paraId="523A3621">
      <w:pPr>
        <w:spacing w:line="360" w:lineRule="auto"/>
        <w:rPr>
          <w:color w:val="auto"/>
          <w:szCs w:val="21"/>
          <w:highlight w:val="none"/>
        </w:rPr>
      </w:pPr>
      <w:r>
        <w:rPr>
          <w:rFonts w:hint="eastAsia"/>
          <w:color w:val="auto"/>
          <w:szCs w:val="21"/>
          <w:highlight w:val="none"/>
        </w:rPr>
        <w:t>8.供应商必须严格遵守《工程造价咨询企业管理办法》(建设部2006年第149号令)、《财政性投资评审质量控制办法》(财建【2006】1065号）、《贺州市财政局关于印发贺州市本级财政投资评审实施办法(2023年修订)的通知》(贺财办[2024]2号)等有关规定，按要求选择具备工程造价审核专业知识、熟悉财政投资审核业务、履行审核程序的人员开展财政投资审核业务，保证取证资料、工作底稿的正确完整和规范。出具的审核报告、结论或意见客观公正，符合审核规范和贺州市平桂区财政投资评审中心的要求，对出具的审核报告承担法律责任。</w:t>
      </w:r>
    </w:p>
    <w:p w14:paraId="78BC992C">
      <w:pPr>
        <w:spacing w:line="360" w:lineRule="auto"/>
        <w:rPr>
          <w:color w:val="auto"/>
          <w:szCs w:val="21"/>
          <w:highlight w:val="none"/>
        </w:rPr>
      </w:pPr>
      <w:r>
        <w:rPr>
          <w:rFonts w:hint="eastAsia"/>
          <w:color w:val="auto"/>
          <w:szCs w:val="21"/>
          <w:highlight w:val="none"/>
        </w:rPr>
        <w:t>9.供应商须在每季度第一个月10日前向贺州市平桂区财政投资评审中心报送上一季度贺州市平桂区财政投资评审服务项目有关统计报表。</w:t>
      </w:r>
    </w:p>
    <w:p w14:paraId="4150046D">
      <w:pPr>
        <w:spacing w:line="360" w:lineRule="auto"/>
        <w:rPr>
          <w:b/>
          <w:bCs/>
          <w:color w:val="auto"/>
          <w:szCs w:val="21"/>
          <w:highlight w:val="none"/>
        </w:rPr>
      </w:pPr>
      <w:r>
        <w:rPr>
          <w:rFonts w:hint="eastAsia"/>
          <w:b/>
          <w:bCs/>
          <w:color w:val="auto"/>
          <w:szCs w:val="21"/>
          <w:highlight w:val="none"/>
        </w:rPr>
        <w:t>（三）服务人员组成</w:t>
      </w:r>
    </w:p>
    <w:p w14:paraId="16640293">
      <w:pPr>
        <w:spacing w:line="360" w:lineRule="auto"/>
        <w:rPr>
          <w:color w:val="auto"/>
          <w:szCs w:val="21"/>
          <w:highlight w:val="none"/>
        </w:rPr>
      </w:pPr>
      <w:r>
        <w:rPr>
          <w:rFonts w:hint="eastAsia"/>
          <w:color w:val="auto"/>
          <w:szCs w:val="21"/>
          <w:highlight w:val="none"/>
        </w:rPr>
        <w:t>1.框架协议技术负责人要求</w:t>
      </w:r>
    </w:p>
    <w:p w14:paraId="56CD6F75">
      <w:pPr>
        <w:spacing w:line="360" w:lineRule="auto"/>
        <w:rPr>
          <w:color w:val="auto"/>
          <w:szCs w:val="21"/>
          <w:highlight w:val="none"/>
        </w:rPr>
      </w:pPr>
      <w:r>
        <w:rPr>
          <w:rFonts w:hint="eastAsia"/>
          <w:color w:val="auto"/>
          <w:szCs w:val="21"/>
          <w:highlight w:val="none"/>
        </w:rPr>
        <w:t>成交供应商应至少拟派一名框架协议技术负责人（必须具有二级及以上的造价师或造价员资格证书，且必须从业至少10年，从业时间以获取造价师或造价员资格证书起计）负责与采购人及相关单位进行有效沟通，随时向采购人汇报工作，跟进项目进度，确保审核质量并承担相应责任。组织相关评审工作，能够就评审中的重大技术问题、重大争议与纠纷提出处理建议，按规定提交采购人要求的各项意见和审核报告。</w:t>
      </w:r>
    </w:p>
    <w:p w14:paraId="14ABF1C1">
      <w:pPr>
        <w:spacing w:line="360" w:lineRule="auto"/>
        <w:rPr>
          <w:color w:val="auto"/>
          <w:szCs w:val="21"/>
          <w:highlight w:val="none"/>
        </w:rPr>
      </w:pPr>
      <w:r>
        <w:rPr>
          <w:rFonts w:hint="eastAsia"/>
          <w:color w:val="auto"/>
          <w:szCs w:val="21"/>
          <w:highlight w:val="none"/>
        </w:rPr>
        <w:t>2.项目主审和协审人员要求</w:t>
      </w:r>
    </w:p>
    <w:p w14:paraId="04EFA125">
      <w:pPr>
        <w:spacing w:line="360" w:lineRule="auto"/>
        <w:rPr>
          <w:color w:val="auto"/>
          <w:szCs w:val="21"/>
          <w:highlight w:val="none"/>
        </w:rPr>
      </w:pPr>
      <w:r>
        <w:rPr>
          <w:rFonts w:hint="eastAsia"/>
          <w:color w:val="auto"/>
          <w:szCs w:val="21"/>
          <w:highlight w:val="none"/>
        </w:rPr>
        <w:t>主审人员：业务能力和沟通能力强，计划执行能力强，工作效率高，具备团队领导能力，熟悉政府评审工作流程，能独立完成项目主审职责（项目评审对接、组织、综合复核、进度控制、质量控制及评审报告的拟写），具备二级或以上造价师</w:t>
      </w:r>
      <w:r>
        <w:rPr>
          <w:rFonts w:hint="eastAsia" w:eastAsia="宋体"/>
          <w:color w:val="auto"/>
          <w:szCs w:val="21"/>
          <w:highlight w:val="none"/>
          <w:lang w:eastAsia="zh-CN"/>
        </w:rPr>
        <w:t>（</w:t>
      </w:r>
      <w:r>
        <w:rPr>
          <w:rFonts w:hint="eastAsia"/>
          <w:color w:val="auto"/>
          <w:szCs w:val="21"/>
          <w:highlight w:val="none"/>
        </w:rPr>
        <w:t>造价员</w:t>
      </w:r>
      <w:r>
        <w:rPr>
          <w:rFonts w:hint="eastAsia" w:eastAsia="宋体"/>
          <w:color w:val="auto"/>
          <w:szCs w:val="21"/>
          <w:highlight w:val="none"/>
          <w:lang w:eastAsia="zh-CN"/>
        </w:rPr>
        <w:t>）</w:t>
      </w:r>
      <w:r>
        <w:rPr>
          <w:rFonts w:hint="eastAsia"/>
          <w:color w:val="auto"/>
          <w:szCs w:val="21"/>
          <w:highlight w:val="none"/>
        </w:rPr>
        <w:t>资格证书。</w:t>
      </w:r>
    </w:p>
    <w:p w14:paraId="7B92AEFF">
      <w:pPr>
        <w:spacing w:line="360" w:lineRule="auto"/>
        <w:rPr>
          <w:rFonts w:hint="eastAsia"/>
          <w:color w:val="auto"/>
          <w:szCs w:val="21"/>
          <w:highlight w:val="none"/>
        </w:rPr>
      </w:pPr>
      <w:r>
        <w:rPr>
          <w:rFonts w:hint="eastAsia"/>
          <w:color w:val="auto"/>
          <w:szCs w:val="21"/>
          <w:highlight w:val="none"/>
        </w:rPr>
        <w:t>协审人员：具有良好的沟通能力和团队精神，具备岗位匹配专业技术，可配合项目主审做好评审工作。</w:t>
      </w:r>
    </w:p>
    <w:p w14:paraId="15242318">
      <w:pPr>
        <w:spacing w:line="360" w:lineRule="auto"/>
        <w:rPr>
          <w:rFonts w:hint="eastAsia"/>
          <w:color w:val="auto"/>
          <w:szCs w:val="21"/>
          <w:highlight w:val="none"/>
          <w:lang w:val="en-US" w:eastAsia="zh-CN"/>
        </w:rPr>
      </w:pPr>
      <w:r>
        <w:rPr>
          <w:rFonts w:hint="eastAsia"/>
          <w:color w:val="auto"/>
          <w:szCs w:val="21"/>
          <w:highlight w:val="none"/>
          <w:lang w:val="en-US" w:eastAsia="zh-CN"/>
        </w:rPr>
        <w:t>3.驻场人员要求</w:t>
      </w:r>
    </w:p>
    <w:p w14:paraId="59DA3668">
      <w:pPr>
        <w:spacing w:line="360" w:lineRule="auto"/>
        <w:rPr>
          <w:rFonts w:hint="default" w:eastAsia="宋体"/>
          <w:color w:val="auto"/>
          <w:szCs w:val="21"/>
          <w:highlight w:val="none"/>
          <w:lang w:val="en-US" w:eastAsia="zh-CN"/>
        </w:rPr>
      </w:pPr>
      <w:r>
        <w:rPr>
          <w:rFonts w:hint="eastAsia"/>
          <w:color w:val="auto"/>
          <w:szCs w:val="21"/>
          <w:highlight w:val="none"/>
          <w:lang w:val="en-US" w:eastAsia="zh-CN"/>
        </w:rPr>
        <w:t>框架协议入围的前2名成交供应商必须提供1名沟通能力强，熟悉政府评审工作流程，到采购人指定的地方驻场，参与评审复审和提供日常咨询业务。驻场人员没有劳务报酬，在合同期内不予更换，如需更换，须经采购人审核同意。如未按承诺派驻驻场人员，采购人有权不向其委派评审项目（响应文件中应提供驻场人员名单及执业资格资料）。如驻场人员不服从采购人的工作安排或出现违规违纪现象，采购人有权要求成交供应商更换驻场人员。</w:t>
      </w:r>
    </w:p>
    <w:p w14:paraId="15AEFB28">
      <w:pPr>
        <w:spacing w:line="360" w:lineRule="auto"/>
        <w:rPr>
          <w:color w:val="auto"/>
          <w:szCs w:val="21"/>
          <w:highlight w:val="none"/>
        </w:rPr>
      </w:pPr>
      <w:r>
        <w:rPr>
          <w:rFonts w:hint="eastAsia"/>
          <w:color w:val="auto"/>
          <w:szCs w:val="21"/>
          <w:highlight w:val="none"/>
          <w:lang w:val="en-US" w:eastAsia="zh-CN"/>
        </w:rPr>
        <w:t>4</w:t>
      </w:r>
      <w:r>
        <w:rPr>
          <w:rFonts w:hint="eastAsia"/>
          <w:color w:val="auto"/>
          <w:szCs w:val="21"/>
          <w:highlight w:val="none"/>
        </w:rPr>
        <w:t>.拟投入的评审人员替换规则</w:t>
      </w:r>
    </w:p>
    <w:p w14:paraId="02A86C55">
      <w:pPr>
        <w:spacing w:line="360" w:lineRule="auto"/>
        <w:rPr>
          <w:color w:val="auto"/>
          <w:szCs w:val="21"/>
          <w:highlight w:val="none"/>
        </w:rPr>
      </w:pPr>
      <w:r>
        <w:rPr>
          <w:rFonts w:hint="eastAsia"/>
          <w:color w:val="auto"/>
          <w:szCs w:val="21"/>
          <w:highlight w:val="none"/>
          <w:lang w:val="en-US" w:eastAsia="zh-CN"/>
        </w:rPr>
        <w:t>4</w:t>
      </w:r>
      <w:r>
        <w:rPr>
          <w:rFonts w:hint="eastAsia"/>
          <w:color w:val="auto"/>
          <w:szCs w:val="21"/>
          <w:highlight w:val="none"/>
        </w:rPr>
        <w:t>.1征集人对入围供应商拟投入的评审人员（包括主审、协审人员</w:t>
      </w:r>
      <w:r>
        <w:rPr>
          <w:rFonts w:hint="eastAsia"/>
          <w:color w:val="auto"/>
          <w:szCs w:val="21"/>
          <w:highlight w:val="none"/>
          <w:lang w:eastAsia="zh-CN"/>
        </w:rPr>
        <w:t>、驻场人员</w:t>
      </w:r>
      <w:r>
        <w:rPr>
          <w:rFonts w:hint="eastAsia"/>
          <w:color w:val="auto"/>
          <w:szCs w:val="21"/>
          <w:highlight w:val="none"/>
        </w:rPr>
        <w:t>）实行登记备案管理。入围后，须将本单位拟投入所有专职评审人员（包括主审、协审人员</w:t>
      </w:r>
      <w:r>
        <w:rPr>
          <w:rFonts w:hint="eastAsia"/>
          <w:color w:val="auto"/>
          <w:szCs w:val="21"/>
          <w:highlight w:val="none"/>
          <w:lang w:eastAsia="zh-CN"/>
        </w:rPr>
        <w:t>、驻场人员</w:t>
      </w:r>
      <w:r>
        <w:rPr>
          <w:rFonts w:hint="eastAsia"/>
          <w:color w:val="auto"/>
          <w:szCs w:val="21"/>
          <w:highlight w:val="none"/>
        </w:rPr>
        <w:t>）的名单（附上通讯方式）以及个人详细资料（附身份证、学历、社保、资格证明文件的复印件，原件备查）通过书面和电子文档形式报征集人登记备案。在项目服务过程中，入围供应商如果发生人员变动情况，要及时进行申报备案。征集人将不定期地对成交供应商拟投入的评审人员在岗情况进行检查，经查实成交供应商擅自变更评审人员数量达到总人数20%的，或实际评审人员配备达不到承诺拟投入的人数时，采购人有权不对其委派项目。</w:t>
      </w:r>
    </w:p>
    <w:p w14:paraId="363F399F">
      <w:pPr>
        <w:spacing w:line="360" w:lineRule="auto"/>
        <w:rPr>
          <w:color w:val="auto"/>
          <w:szCs w:val="21"/>
          <w:highlight w:val="none"/>
        </w:rPr>
      </w:pPr>
      <w:r>
        <w:rPr>
          <w:rFonts w:hint="eastAsia"/>
          <w:color w:val="auto"/>
          <w:szCs w:val="21"/>
          <w:highlight w:val="none"/>
          <w:lang w:val="en-US" w:eastAsia="zh-CN"/>
        </w:rPr>
        <w:t>4</w:t>
      </w:r>
      <w:r>
        <w:rPr>
          <w:rFonts w:hint="eastAsia"/>
          <w:color w:val="auto"/>
          <w:szCs w:val="21"/>
          <w:highlight w:val="none"/>
        </w:rPr>
        <w:t>.2成交供应商拟投入的评审人员（包括主审、协审人员</w:t>
      </w:r>
      <w:r>
        <w:rPr>
          <w:rFonts w:hint="eastAsia"/>
          <w:color w:val="auto"/>
          <w:szCs w:val="21"/>
          <w:highlight w:val="none"/>
          <w:lang w:eastAsia="zh-CN"/>
        </w:rPr>
        <w:t>、驻场人员</w:t>
      </w:r>
      <w:r>
        <w:rPr>
          <w:rFonts w:hint="eastAsia"/>
          <w:color w:val="auto"/>
          <w:szCs w:val="21"/>
          <w:highlight w:val="none"/>
        </w:rPr>
        <w:t>），必须与响应时拟投入参加项目评审承诺的人员一致。成交供应商在评审采购人委托评审的项目时，必须从拟投入的评审人员名单中安排。</w:t>
      </w:r>
    </w:p>
    <w:p w14:paraId="4F185485">
      <w:pPr>
        <w:spacing w:line="360" w:lineRule="auto"/>
        <w:rPr>
          <w:color w:val="auto"/>
          <w:szCs w:val="21"/>
          <w:highlight w:val="none"/>
        </w:rPr>
      </w:pPr>
      <w:r>
        <w:rPr>
          <w:rFonts w:hint="eastAsia"/>
          <w:color w:val="auto"/>
          <w:szCs w:val="21"/>
          <w:highlight w:val="none"/>
          <w:lang w:val="en-US" w:eastAsia="zh-CN"/>
        </w:rPr>
        <w:t>4</w:t>
      </w:r>
      <w:r>
        <w:rPr>
          <w:rFonts w:hint="eastAsia"/>
          <w:color w:val="auto"/>
          <w:szCs w:val="21"/>
          <w:highlight w:val="none"/>
        </w:rPr>
        <w:t>.3如果成交供应商需要更换框架协议技术负责人和评审人员时，必须向采购人提出申请并得到采购人的同意。采购人认为成交供应商实际投入的评审人员不足以满足任务需要或认为评审人员不称职时，可向成交供应商发出要求增加或更换评审人员的通知，成交供应商应及时增加或更换符合采购人需求的评审人员，由此产生的费用由成交供应商自行承担。</w:t>
      </w:r>
    </w:p>
    <w:p w14:paraId="68A12D71">
      <w:pPr>
        <w:spacing w:line="360" w:lineRule="auto"/>
        <w:rPr>
          <w:color w:val="auto"/>
          <w:szCs w:val="21"/>
          <w:highlight w:val="none"/>
        </w:rPr>
      </w:pPr>
      <w:r>
        <w:rPr>
          <w:rFonts w:hint="eastAsia"/>
          <w:b/>
          <w:bCs/>
          <w:color w:val="auto"/>
          <w:szCs w:val="21"/>
          <w:highlight w:val="none"/>
        </w:rPr>
        <w:t>（四）服务工作量的计量方式</w:t>
      </w:r>
    </w:p>
    <w:p w14:paraId="16E88DB4">
      <w:pPr>
        <w:spacing w:line="360" w:lineRule="auto"/>
        <w:rPr>
          <w:color w:val="auto"/>
          <w:szCs w:val="21"/>
          <w:highlight w:val="none"/>
        </w:rPr>
      </w:pPr>
      <w:r>
        <w:rPr>
          <w:rFonts w:hint="eastAsia"/>
          <w:color w:val="auto"/>
          <w:szCs w:val="21"/>
          <w:highlight w:val="none"/>
        </w:rPr>
        <w:t>1.最高限制单价</w:t>
      </w:r>
    </w:p>
    <w:p w14:paraId="7AF2FE13">
      <w:pPr>
        <w:spacing w:line="360" w:lineRule="auto"/>
        <w:rPr>
          <w:color w:val="auto"/>
          <w:szCs w:val="21"/>
          <w:highlight w:val="none"/>
        </w:rPr>
      </w:pPr>
      <w:r>
        <w:rPr>
          <w:rFonts w:hint="eastAsia"/>
          <w:color w:val="auto"/>
          <w:szCs w:val="21"/>
          <w:highlight w:val="none"/>
        </w:rPr>
        <w:t>最高限制单价是供应商第一阶段响应报价的最高限价。入围供应商第一阶段响应报价是采购人确定第二阶段成交供应商的最高限价。具体要求详见第五章“框架协议（格式）”。</w:t>
      </w:r>
    </w:p>
    <w:p w14:paraId="4B38AAF8">
      <w:pPr>
        <w:spacing w:line="360" w:lineRule="auto"/>
        <w:rPr>
          <w:color w:val="auto"/>
          <w:szCs w:val="21"/>
          <w:highlight w:val="none"/>
        </w:rPr>
      </w:pPr>
      <w:r>
        <w:rPr>
          <w:rFonts w:hint="eastAsia"/>
          <w:color w:val="auto"/>
          <w:szCs w:val="21"/>
          <w:highlight w:val="none"/>
        </w:rPr>
        <w:t>2.付费额的计算公式及审核费调整详见第五章“框架协议（格式）”。</w:t>
      </w:r>
    </w:p>
    <w:p w14:paraId="48AEC11A">
      <w:pPr>
        <w:spacing w:line="360" w:lineRule="auto"/>
        <w:rPr>
          <w:b/>
          <w:bCs/>
          <w:color w:val="auto"/>
          <w:szCs w:val="21"/>
          <w:highlight w:val="none"/>
        </w:rPr>
      </w:pPr>
      <w:r>
        <w:rPr>
          <w:rFonts w:hint="eastAsia"/>
          <w:b/>
          <w:bCs/>
          <w:color w:val="auto"/>
          <w:szCs w:val="21"/>
          <w:highlight w:val="none"/>
        </w:rPr>
        <w:t>（五）服务交付</w:t>
      </w:r>
    </w:p>
    <w:p w14:paraId="7A3E8091">
      <w:pPr>
        <w:spacing w:line="360" w:lineRule="auto"/>
        <w:rPr>
          <w:color w:val="auto"/>
          <w:szCs w:val="21"/>
          <w:highlight w:val="none"/>
        </w:rPr>
      </w:pPr>
      <w:r>
        <w:rPr>
          <w:rFonts w:hint="eastAsia"/>
          <w:color w:val="auto"/>
          <w:szCs w:val="21"/>
          <w:highlight w:val="none"/>
        </w:rPr>
        <w:t>限时办结的能力。</w:t>
      </w:r>
    </w:p>
    <w:p w14:paraId="02BF8C27">
      <w:pPr>
        <w:spacing w:line="360" w:lineRule="auto"/>
        <w:rPr>
          <w:color w:val="auto"/>
          <w:szCs w:val="21"/>
          <w:highlight w:val="none"/>
        </w:rPr>
      </w:pPr>
      <w:r>
        <w:rPr>
          <w:rFonts w:hint="eastAsia"/>
          <w:color w:val="auto"/>
          <w:szCs w:val="21"/>
          <w:highlight w:val="none"/>
        </w:rPr>
        <w:t>项目评审实行限时办结制度，成交供应商与采购人签订项目合同后，应严格遵守项目评审时限要求，合理安排人员在合同规定的时间内完成项目工作，并向采购人提交合同规定质量数量的成果文件及电子文档，且提交的成果文件必须已完成内部审核程序。</w:t>
      </w:r>
    </w:p>
    <w:p w14:paraId="33E8C2B4">
      <w:pPr>
        <w:spacing w:line="360" w:lineRule="auto"/>
        <w:rPr>
          <w:color w:val="auto"/>
          <w:highlight w:val="none"/>
        </w:rPr>
      </w:pPr>
      <w:r>
        <w:rPr>
          <w:color w:val="auto"/>
          <w:highlight w:val="none"/>
        </w:rPr>
        <w:t>供应商自接到征集人提交完整评审项目资料当日起应按以下要求提交评审初步结论：评审项目金额500万元（含）以下的，20天内完成；评审项目金额500万以上至2000万元（含）以下30天内完成；评审项目金额2000万以上至5000万元（含）以下45天内完成；评审项目金额5000万以上60天内完成。</w:t>
      </w:r>
    </w:p>
    <w:p w14:paraId="205B4B45">
      <w:pPr>
        <w:spacing w:line="360" w:lineRule="auto"/>
        <w:rPr>
          <w:color w:val="auto"/>
          <w:szCs w:val="21"/>
          <w:highlight w:val="none"/>
        </w:rPr>
      </w:pPr>
      <w:r>
        <w:rPr>
          <w:rFonts w:hint="eastAsia"/>
          <w:color w:val="auto"/>
          <w:szCs w:val="21"/>
          <w:highlight w:val="none"/>
        </w:rPr>
        <w:t>供应商无故超出上述评审规定时间50%以上、累计出现三次以上（含三次），</w:t>
      </w:r>
      <w:r>
        <w:rPr>
          <w:rFonts w:hint="eastAsia" w:eastAsia="宋体"/>
          <w:color w:val="auto"/>
          <w:szCs w:val="21"/>
          <w:highlight w:val="none"/>
          <w:lang w:eastAsia="zh-CN"/>
        </w:rPr>
        <w:t>贺州市平桂区财政局</w:t>
      </w:r>
      <w:r>
        <w:rPr>
          <w:rFonts w:hint="eastAsia"/>
          <w:color w:val="auto"/>
          <w:szCs w:val="21"/>
          <w:highlight w:val="none"/>
        </w:rPr>
        <w:t>将供应商列入财政评审项目评审黑名单，取消其为期2年的评审资格。如遇政府对项目评审时间的特殊要求，供应商则应无条件服从征集人的时间安排。</w:t>
      </w:r>
    </w:p>
    <w:p w14:paraId="4638CFDF">
      <w:pPr>
        <w:spacing w:line="360" w:lineRule="auto"/>
        <w:rPr>
          <w:color w:val="auto"/>
          <w:szCs w:val="21"/>
          <w:highlight w:val="none"/>
        </w:rPr>
      </w:pPr>
      <w:r>
        <w:rPr>
          <w:rFonts w:hint="eastAsia"/>
          <w:b/>
          <w:bCs/>
          <w:color w:val="auto"/>
          <w:szCs w:val="21"/>
          <w:highlight w:val="none"/>
        </w:rPr>
        <w:t>（六）技术保障</w:t>
      </w:r>
    </w:p>
    <w:p w14:paraId="7371D7DE">
      <w:pPr>
        <w:spacing w:line="360" w:lineRule="auto"/>
        <w:rPr>
          <w:rFonts w:hint="eastAsia"/>
          <w:color w:val="auto"/>
          <w:szCs w:val="21"/>
          <w:highlight w:val="none"/>
        </w:rPr>
      </w:pPr>
      <w:r>
        <w:rPr>
          <w:rFonts w:hint="eastAsia"/>
          <w:color w:val="auto"/>
          <w:szCs w:val="21"/>
          <w:highlight w:val="none"/>
        </w:rPr>
        <w:t>为保障项目评审工作正常进行，供应商应基于审慎原则，保障及时响应、人力资源充足、专业能力匹配，具备以下能力：</w:t>
      </w:r>
    </w:p>
    <w:p w14:paraId="3761B560">
      <w:pPr>
        <w:spacing w:line="360" w:lineRule="auto"/>
        <w:rPr>
          <w:rFonts w:hint="eastAsia"/>
          <w:color w:val="auto"/>
          <w:szCs w:val="21"/>
          <w:highlight w:val="none"/>
        </w:rPr>
      </w:pPr>
      <w:r>
        <w:rPr>
          <w:rFonts w:hint="eastAsia"/>
          <w:color w:val="auto"/>
          <w:szCs w:val="21"/>
          <w:highlight w:val="none"/>
        </w:rPr>
        <w:t>1.提供本地化服务的能力。</w:t>
      </w:r>
    </w:p>
    <w:p w14:paraId="055C058C">
      <w:pPr>
        <w:spacing w:line="360" w:lineRule="auto"/>
        <w:rPr>
          <w:rFonts w:hint="eastAsia"/>
          <w:color w:val="auto"/>
          <w:szCs w:val="21"/>
          <w:highlight w:val="none"/>
        </w:rPr>
      </w:pPr>
      <w:r>
        <w:rPr>
          <w:rFonts w:hint="eastAsia"/>
          <w:color w:val="auto"/>
          <w:szCs w:val="21"/>
          <w:highlight w:val="none"/>
        </w:rPr>
        <w:t>1.1项目评审过程中，供应商拟投入评审人员需到项目地配合采购人完成承接核验资料、项目对数、现场踏勘、复核争议、项目归档等相关工作。</w:t>
      </w:r>
    </w:p>
    <w:p w14:paraId="143A89E5">
      <w:pPr>
        <w:spacing w:line="360" w:lineRule="auto"/>
        <w:rPr>
          <w:rFonts w:hint="eastAsia"/>
          <w:color w:val="auto"/>
          <w:szCs w:val="21"/>
          <w:highlight w:val="none"/>
        </w:rPr>
      </w:pPr>
      <w:r>
        <w:rPr>
          <w:rFonts w:hint="eastAsia"/>
          <w:color w:val="auto"/>
          <w:szCs w:val="21"/>
          <w:highlight w:val="none"/>
        </w:rPr>
        <w:t>1.2拟投入评审人员需有本地化办公能力且常驻贺州市，可根据采购人要求配合出差。</w:t>
      </w:r>
    </w:p>
    <w:p w14:paraId="751F412A">
      <w:pPr>
        <w:spacing w:line="360" w:lineRule="auto"/>
        <w:rPr>
          <w:rFonts w:hint="eastAsia"/>
          <w:color w:val="auto"/>
          <w:szCs w:val="21"/>
          <w:highlight w:val="none"/>
        </w:rPr>
      </w:pPr>
      <w:r>
        <w:rPr>
          <w:rFonts w:hint="eastAsia"/>
          <w:color w:val="auto"/>
          <w:szCs w:val="21"/>
          <w:highlight w:val="none"/>
        </w:rPr>
        <w:t>1 .3拟投入评审人员需熟悉广西壮族自治区内造价信息及造价依据规则等。</w:t>
      </w:r>
    </w:p>
    <w:p w14:paraId="6972D5F2">
      <w:pPr>
        <w:spacing w:line="360" w:lineRule="auto"/>
        <w:rPr>
          <w:rFonts w:hint="eastAsia"/>
          <w:color w:val="auto"/>
          <w:szCs w:val="21"/>
          <w:highlight w:val="none"/>
        </w:rPr>
      </w:pPr>
      <w:r>
        <w:rPr>
          <w:rFonts w:hint="eastAsia"/>
          <w:color w:val="auto"/>
          <w:szCs w:val="21"/>
          <w:highlight w:val="none"/>
        </w:rPr>
        <w:t>1.4本地化范围为贺州市内，拟投入评审人员应熟悉贺州市工程造价市场情况。</w:t>
      </w:r>
    </w:p>
    <w:p w14:paraId="6221C892">
      <w:pPr>
        <w:spacing w:line="360" w:lineRule="auto"/>
        <w:rPr>
          <w:rFonts w:ascii="黑体" w:hAnsi="黑体" w:eastAsia="黑体" w:cs="Arial"/>
          <w:b/>
          <w:color w:val="auto"/>
          <w:kern w:val="0"/>
          <w:sz w:val="28"/>
          <w:szCs w:val="28"/>
          <w:highlight w:val="none"/>
        </w:rPr>
      </w:pPr>
      <w:r>
        <w:rPr>
          <w:rFonts w:hint="eastAsia"/>
          <w:color w:val="auto"/>
          <w:szCs w:val="21"/>
          <w:highlight w:val="none"/>
        </w:rPr>
        <w:t>2.承担重大、复杂项目的能力。贺州市财政评审项目具有较为复杂的特点，供应商需提供人员充足、经验丰富的团队承担重大、复杂的项目评审工作。</w:t>
      </w:r>
    </w:p>
    <w:p w14:paraId="0F878F2D">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76B492BA">
      <w:pPr>
        <w:spacing w:line="360" w:lineRule="auto"/>
        <w:rPr>
          <w:color w:val="auto"/>
          <w:szCs w:val="21"/>
          <w:highlight w:val="none"/>
        </w:rPr>
      </w:pPr>
      <w:r>
        <w:rPr>
          <w:rFonts w:hint="eastAsia"/>
          <w:color w:val="auto"/>
          <w:szCs w:val="21"/>
          <w:highlight w:val="none"/>
        </w:rPr>
        <w:t>1．报价要求</w:t>
      </w:r>
    </w:p>
    <w:p w14:paraId="019CC237">
      <w:pPr>
        <w:spacing w:line="360" w:lineRule="auto"/>
        <w:rPr>
          <w:color w:val="auto"/>
          <w:szCs w:val="21"/>
          <w:highlight w:val="none"/>
        </w:rPr>
      </w:pPr>
      <w:r>
        <w:rPr>
          <w:color w:val="auto"/>
          <w:szCs w:val="21"/>
          <w:highlight w:val="none"/>
        </w:rPr>
        <w:sym w:font="Wingdings 2" w:char="F052"/>
      </w:r>
      <w:r>
        <w:rPr>
          <w:rFonts w:hint="eastAsia"/>
          <w:color w:val="auto"/>
          <w:szCs w:val="21"/>
          <w:highlight w:val="none"/>
        </w:rPr>
        <w:t>本项目执行政府定价或政府指导价，供应商不需要提供报价，最高限价单价即作为供应商统一报价，供应商如在制作响应文件或广西政府采购云系统中需要填写报价的，一律按报价1元填写。</w:t>
      </w:r>
    </w:p>
    <w:p w14:paraId="0A7AA5FF">
      <w:pPr>
        <w:spacing w:line="360" w:lineRule="auto"/>
        <w:rPr>
          <w:color w:val="auto"/>
          <w:szCs w:val="21"/>
          <w:highlight w:val="none"/>
        </w:rPr>
      </w:pPr>
      <w:r>
        <w:rPr>
          <w:rFonts w:hint="eastAsia"/>
          <w:color w:val="auto"/>
          <w:szCs w:val="21"/>
          <w:highlight w:val="none"/>
        </w:rPr>
        <w:t>□本项目供应商需要提供报价，报价不计入实际评分，仅作为确定第二阶段成交供应商的最高限价，本次报价须为人民币报价，包含人员费、技术服务费、交通、通讯、办公场地、管理费、税费和利润等费用。对于本文件中明确列明必须报价的服务，供应商应分别报价。对于本文件中未列明，而供应商认为必需的费用也需列入总报价。在合同实施时，采购人将不予支付成交供应商没有列入的项目费用，并认为此项目的费用已包括在响应总报价中。</w:t>
      </w:r>
    </w:p>
    <w:p w14:paraId="048B8CBF">
      <w:pPr>
        <w:spacing w:line="360" w:lineRule="auto"/>
        <w:rPr>
          <w:color w:val="auto"/>
          <w:szCs w:val="21"/>
          <w:highlight w:val="none"/>
        </w:rPr>
      </w:pPr>
      <w:r>
        <w:rPr>
          <w:rFonts w:hint="eastAsia"/>
          <w:color w:val="auto"/>
          <w:szCs w:val="21"/>
          <w:highlight w:val="none"/>
        </w:rPr>
        <w:t>2.框架协议签订期限</w:t>
      </w:r>
    </w:p>
    <w:p w14:paraId="27F9CB8F">
      <w:pPr>
        <w:spacing w:line="360" w:lineRule="auto"/>
        <w:rPr>
          <w:color w:val="auto"/>
          <w:szCs w:val="21"/>
          <w:highlight w:val="none"/>
        </w:rPr>
      </w:pPr>
      <w:r>
        <w:rPr>
          <w:rFonts w:hint="eastAsia"/>
          <w:color w:val="auto"/>
          <w:szCs w:val="21"/>
          <w:highlight w:val="none"/>
        </w:rPr>
        <w:t>入围通知书发出后25日内。</w:t>
      </w:r>
    </w:p>
    <w:p w14:paraId="583B7677">
      <w:pPr>
        <w:spacing w:line="360" w:lineRule="auto"/>
        <w:rPr>
          <w:color w:val="auto"/>
          <w:szCs w:val="21"/>
          <w:highlight w:val="none"/>
        </w:rPr>
      </w:pPr>
      <w:r>
        <w:rPr>
          <w:color w:val="auto"/>
          <w:szCs w:val="21"/>
          <w:highlight w:val="none"/>
        </w:rPr>
        <w:t>3</w:t>
      </w:r>
      <w:r>
        <w:rPr>
          <w:rFonts w:hint="eastAsia"/>
          <w:color w:val="auto"/>
          <w:szCs w:val="21"/>
          <w:highlight w:val="none"/>
        </w:rPr>
        <w:t>.</w:t>
      </w:r>
      <w:r>
        <w:rPr>
          <w:rFonts w:hint="eastAsia"/>
          <w:color w:val="auto"/>
          <w:highlight w:val="none"/>
        </w:rPr>
        <w:t>服务交付或者实施的地域范围</w:t>
      </w:r>
    </w:p>
    <w:p w14:paraId="6BBF826E">
      <w:pPr>
        <w:spacing w:line="360" w:lineRule="auto"/>
        <w:rPr>
          <w:color w:val="auto"/>
          <w:highlight w:val="none"/>
        </w:rPr>
      </w:pPr>
      <w:r>
        <w:rPr>
          <w:rFonts w:hint="eastAsia"/>
          <w:color w:val="auto"/>
          <w:highlight w:val="none"/>
        </w:rPr>
        <w:t>贺州市（采购人指定地点）</w:t>
      </w:r>
    </w:p>
    <w:p w14:paraId="56D2F7EA">
      <w:pPr>
        <w:spacing w:line="360" w:lineRule="auto"/>
        <w:rPr>
          <w:color w:val="auto"/>
          <w:szCs w:val="21"/>
          <w:highlight w:val="none"/>
        </w:rPr>
      </w:pPr>
      <w:r>
        <w:rPr>
          <w:color w:val="auto"/>
          <w:szCs w:val="21"/>
          <w:highlight w:val="none"/>
        </w:rPr>
        <w:t>4</w:t>
      </w:r>
      <w:r>
        <w:rPr>
          <w:rFonts w:hint="eastAsia"/>
          <w:color w:val="auto"/>
          <w:szCs w:val="21"/>
          <w:highlight w:val="none"/>
        </w:rPr>
        <w:t>.采购资金的支付方式、时间及条件</w:t>
      </w:r>
    </w:p>
    <w:p w14:paraId="528571D6">
      <w:pPr>
        <w:spacing w:line="360" w:lineRule="auto"/>
        <w:rPr>
          <w:color w:val="auto"/>
          <w:szCs w:val="21"/>
          <w:highlight w:val="none"/>
        </w:rPr>
      </w:pPr>
      <w:r>
        <w:rPr>
          <w:rFonts w:hint="eastAsia"/>
          <w:color w:val="auto"/>
          <w:szCs w:val="21"/>
          <w:highlight w:val="none"/>
        </w:rPr>
        <w:t>详见第五章框架协议</w:t>
      </w:r>
    </w:p>
    <w:p w14:paraId="68E1FD64">
      <w:pPr>
        <w:spacing w:line="360" w:lineRule="auto"/>
        <w:rPr>
          <w:color w:val="auto"/>
          <w:szCs w:val="21"/>
          <w:highlight w:val="none"/>
        </w:rPr>
      </w:pPr>
      <w:r>
        <w:rPr>
          <w:color w:val="auto"/>
          <w:szCs w:val="21"/>
          <w:highlight w:val="none"/>
        </w:rPr>
        <w:t>5</w:t>
      </w:r>
      <w:r>
        <w:rPr>
          <w:rFonts w:hint="eastAsia"/>
          <w:color w:val="auto"/>
          <w:szCs w:val="21"/>
          <w:highlight w:val="none"/>
        </w:rPr>
        <w:t>.履约保证金</w:t>
      </w:r>
    </w:p>
    <w:p w14:paraId="77886502">
      <w:pPr>
        <w:spacing w:line="360" w:lineRule="auto"/>
        <w:rPr>
          <w:color w:val="auto"/>
          <w:szCs w:val="21"/>
          <w:highlight w:val="none"/>
        </w:rPr>
      </w:pPr>
      <w:r>
        <w:rPr>
          <w:rFonts w:hint="eastAsia"/>
          <w:color w:val="auto"/>
          <w:szCs w:val="21"/>
          <w:highlight w:val="none"/>
        </w:rPr>
        <w:t>无。</w:t>
      </w:r>
    </w:p>
    <w:p w14:paraId="29E305AA">
      <w:pPr>
        <w:spacing w:line="360" w:lineRule="auto"/>
        <w:rPr>
          <w:color w:val="auto"/>
          <w:szCs w:val="21"/>
          <w:highlight w:val="none"/>
        </w:rPr>
      </w:pPr>
    </w:p>
    <w:p w14:paraId="24A79DC8">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3E193C3C">
      <w:pPr>
        <w:spacing w:line="360" w:lineRule="auto"/>
        <w:rPr>
          <w:rFonts w:hint="eastAsia"/>
          <w:color w:val="auto"/>
          <w:szCs w:val="21"/>
          <w:highlight w:val="none"/>
        </w:rPr>
      </w:pPr>
      <w:r>
        <w:rPr>
          <w:rFonts w:hint="eastAsia"/>
          <w:b/>
          <w:bCs/>
          <w:color w:val="auto"/>
          <w:szCs w:val="21"/>
          <w:highlight w:val="none"/>
        </w:rPr>
        <w:t>本项目共划分为两个标项，供应商可参与本项目中的一个标项或两个标项，但只能入围一个标项，如已经入围标项一则不能入围标项二。</w:t>
      </w:r>
    </w:p>
    <w:p w14:paraId="73B1B54D">
      <w:pPr>
        <w:rPr>
          <w:color w:val="auto"/>
          <w:sz w:val="32"/>
          <w:szCs w:val="32"/>
          <w:highlight w:val="none"/>
        </w:rPr>
      </w:pPr>
      <w:r>
        <w:rPr>
          <w:color w:val="auto"/>
          <w:sz w:val="32"/>
          <w:szCs w:val="32"/>
          <w:highlight w:val="none"/>
        </w:rPr>
        <w:br w:type="page"/>
      </w:r>
    </w:p>
    <w:p w14:paraId="70CEE7BC">
      <w:pPr>
        <w:spacing w:line="360" w:lineRule="auto"/>
        <w:jc w:val="center"/>
        <w:outlineLvl w:val="0"/>
        <w:rPr>
          <w:color w:val="auto"/>
          <w:sz w:val="32"/>
          <w:szCs w:val="32"/>
          <w:highlight w:val="none"/>
        </w:rPr>
      </w:pPr>
      <w:bookmarkStart w:id="18" w:name="_Toc31646"/>
      <w:r>
        <w:rPr>
          <w:color w:val="auto"/>
          <w:sz w:val="32"/>
          <w:szCs w:val="32"/>
          <w:highlight w:val="none"/>
        </w:rPr>
        <w:t>第三章  供应商须知</w:t>
      </w:r>
      <w:bookmarkEnd w:id="18"/>
      <w:bookmarkStart w:id="19" w:name="_Toc254970526"/>
      <w:bookmarkStart w:id="20" w:name="_Toc254970667"/>
    </w:p>
    <w:p w14:paraId="71B0CBC3">
      <w:pPr>
        <w:pStyle w:val="3"/>
        <w:spacing w:before="40" w:after="40"/>
        <w:jc w:val="center"/>
        <w:rPr>
          <w:rFonts w:ascii="Times New Roman" w:hAnsi="Times New Roman" w:eastAsia="宋体"/>
          <w:color w:val="auto"/>
          <w:sz w:val="24"/>
          <w:szCs w:val="24"/>
          <w:highlight w:val="none"/>
        </w:rPr>
      </w:pPr>
      <w:bookmarkStart w:id="21" w:name="_投标人须知前附表"/>
      <w:bookmarkEnd w:id="21"/>
      <w:bookmarkStart w:id="22" w:name="_Hlk89163557"/>
      <w:r>
        <w:rPr>
          <w:rFonts w:ascii="Times New Roman" w:hAnsi="Times New Roman" w:eastAsia="宋体"/>
          <w:color w:val="auto"/>
          <w:sz w:val="24"/>
          <w:szCs w:val="24"/>
          <w:highlight w:val="none"/>
        </w:rPr>
        <w:t>供应商须知前附表</w:t>
      </w:r>
      <w:bookmarkEnd w:id="19"/>
      <w:bookmarkEnd w:id="20"/>
    </w:p>
    <w:bookmarkEnd w:id="22"/>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134"/>
        <w:gridCol w:w="7229"/>
      </w:tblGrid>
      <w:tr w14:paraId="14CA1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51" w:type="dxa"/>
            <w:tcBorders>
              <w:top w:val="single" w:color="auto" w:sz="4" w:space="0"/>
              <w:left w:val="single" w:color="auto" w:sz="4" w:space="0"/>
              <w:bottom w:val="single" w:color="auto" w:sz="4" w:space="0"/>
              <w:right w:val="single" w:color="auto" w:sz="4" w:space="0"/>
            </w:tcBorders>
            <w:vAlign w:val="center"/>
          </w:tcPr>
          <w:p w14:paraId="379B7B35">
            <w:pPr>
              <w:jc w:val="center"/>
              <w:rPr>
                <w:b/>
                <w:color w:val="auto"/>
                <w:szCs w:val="21"/>
                <w:highlight w:val="none"/>
              </w:rPr>
            </w:pPr>
            <w:r>
              <w:rPr>
                <w:b/>
                <w:color w:val="auto"/>
                <w:szCs w:val="21"/>
                <w:highlight w:val="none"/>
              </w:rPr>
              <w:t>条款号</w:t>
            </w:r>
          </w:p>
        </w:tc>
        <w:tc>
          <w:tcPr>
            <w:tcW w:w="1134" w:type="dxa"/>
            <w:tcBorders>
              <w:top w:val="single" w:color="auto" w:sz="4" w:space="0"/>
              <w:left w:val="single" w:color="auto" w:sz="4" w:space="0"/>
              <w:bottom w:val="single" w:color="auto" w:sz="4" w:space="0"/>
              <w:right w:val="single" w:color="auto" w:sz="4" w:space="0"/>
            </w:tcBorders>
            <w:vAlign w:val="center"/>
          </w:tcPr>
          <w:p w14:paraId="5E39E8BD">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6AD41189">
            <w:pPr>
              <w:jc w:val="center"/>
              <w:rPr>
                <w:b/>
                <w:color w:val="auto"/>
                <w:szCs w:val="21"/>
                <w:highlight w:val="none"/>
              </w:rPr>
            </w:pPr>
            <w:r>
              <w:rPr>
                <w:b/>
                <w:color w:val="auto"/>
                <w:szCs w:val="21"/>
                <w:highlight w:val="none"/>
              </w:rPr>
              <w:t>内容、要求</w:t>
            </w:r>
          </w:p>
        </w:tc>
      </w:tr>
      <w:tr w14:paraId="0107C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1" w:type="dxa"/>
            <w:tcBorders>
              <w:top w:val="single" w:color="auto" w:sz="4" w:space="0"/>
              <w:left w:val="single" w:color="auto" w:sz="4" w:space="0"/>
              <w:bottom w:val="single" w:color="auto" w:sz="4" w:space="0"/>
              <w:right w:val="single" w:color="auto" w:sz="4" w:space="0"/>
            </w:tcBorders>
            <w:vAlign w:val="center"/>
          </w:tcPr>
          <w:p w14:paraId="58460966">
            <w:pPr>
              <w:spacing w:line="300" w:lineRule="exact"/>
              <w:jc w:val="center"/>
              <w:rPr>
                <w:b/>
                <w:color w:val="auto"/>
                <w:szCs w:val="21"/>
                <w:highlight w:val="none"/>
              </w:rPr>
            </w:pPr>
            <w:r>
              <w:rPr>
                <w:b/>
                <w:color w:val="auto"/>
                <w:szCs w:val="21"/>
                <w:highlight w:val="none"/>
              </w:rPr>
              <w:t>1.3.1</w:t>
            </w:r>
          </w:p>
        </w:tc>
        <w:tc>
          <w:tcPr>
            <w:tcW w:w="1134" w:type="dxa"/>
            <w:tcBorders>
              <w:top w:val="single" w:color="auto" w:sz="4" w:space="0"/>
              <w:left w:val="single" w:color="auto" w:sz="4" w:space="0"/>
              <w:bottom w:val="single" w:color="auto" w:sz="4" w:space="0"/>
              <w:right w:val="single" w:color="auto" w:sz="4" w:space="0"/>
            </w:tcBorders>
            <w:vAlign w:val="center"/>
          </w:tcPr>
          <w:p w14:paraId="34E6313B">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00A739A8">
            <w:pPr>
              <w:spacing w:line="300" w:lineRule="exact"/>
              <w:jc w:val="left"/>
              <w:rPr>
                <w:rFonts w:hint="eastAsia" w:eastAsia="宋体"/>
                <w:color w:val="auto"/>
                <w:szCs w:val="21"/>
                <w:highlight w:val="none"/>
                <w:lang w:eastAsia="zh-CN"/>
              </w:rPr>
            </w:pPr>
            <w:r>
              <w:rPr>
                <w:color w:val="auto"/>
                <w:szCs w:val="21"/>
                <w:highlight w:val="none"/>
              </w:rPr>
              <w:t>项目名称：</w:t>
            </w:r>
            <w:r>
              <w:rPr>
                <w:rFonts w:hint="eastAsia"/>
                <w:color w:val="auto"/>
                <w:szCs w:val="21"/>
                <w:highlight w:val="none"/>
                <w:lang w:eastAsia="zh-CN"/>
              </w:rPr>
              <w:t>贺州市平桂区财政局2026～2027年度政府投资项目评审服务</w:t>
            </w:r>
          </w:p>
          <w:p w14:paraId="233D1658">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HZZC2025-K3-030136-JDZB</w:t>
            </w:r>
          </w:p>
          <w:p w14:paraId="3130BD16">
            <w:pPr>
              <w:spacing w:line="300" w:lineRule="exact"/>
              <w:jc w:val="left"/>
              <w:rPr>
                <w:color w:val="auto"/>
                <w:szCs w:val="21"/>
                <w:highlight w:val="none"/>
              </w:rPr>
            </w:pPr>
            <w:r>
              <w:rPr>
                <w:rFonts w:hint="eastAsia"/>
                <w:color w:val="auto"/>
                <w:szCs w:val="21"/>
                <w:highlight w:val="none"/>
              </w:rPr>
              <w:t>采购计划号：/</w:t>
            </w:r>
          </w:p>
        </w:tc>
      </w:tr>
      <w:tr w14:paraId="4877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51" w:type="dxa"/>
            <w:tcBorders>
              <w:top w:val="single" w:color="auto" w:sz="4" w:space="0"/>
              <w:left w:val="single" w:color="auto" w:sz="4" w:space="0"/>
              <w:bottom w:val="single" w:color="auto" w:sz="4" w:space="0"/>
              <w:right w:val="single" w:color="auto" w:sz="4" w:space="0"/>
            </w:tcBorders>
            <w:vAlign w:val="center"/>
          </w:tcPr>
          <w:p w14:paraId="6733D316">
            <w:pPr>
              <w:spacing w:line="300" w:lineRule="exact"/>
              <w:jc w:val="center"/>
              <w:rPr>
                <w:b/>
                <w:color w:val="auto"/>
                <w:szCs w:val="21"/>
                <w:highlight w:val="none"/>
              </w:rPr>
            </w:pPr>
            <w:r>
              <w:rPr>
                <w:b/>
                <w:color w:val="auto"/>
                <w:szCs w:val="21"/>
                <w:highlight w:val="none"/>
              </w:rPr>
              <w:t>1.3.2</w:t>
            </w:r>
          </w:p>
        </w:tc>
        <w:tc>
          <w:tcPr>
            <w:tcW w:w="1134" w:type="dxa"/>
            <w:tcBorders>
              <w:top w:val="single" w:color="auto" w:sz="4" w:space="0"/>
              <w:left w:val="single" w:color="auto" w:sz="4" w:space="0"/>
              <w:bottom w:val="single" w:color="auto" w:sz="4" w:space="0"/>
              <w:right w:val="single" w:color="auto" w:sz="4" w:space="0"/>
            </w:tcBorders>
            <w:vAlign w:val="center"/>
          </w:tcPr>
          <w:p w14:paraId="145834AD">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5F9C9228">
            <w:pPr>
              <w:spacing w:line="300" w:lineRule="exact"/>
              <w:jc w:val="left"/>
              <w:rPr>
                <w:color w:val="auto"/>
                <w:szCs w:val="21"/>
                <w:highlight w:val="none"/>
              </w:rPr>
            </w:pPr>
            <w:r>
              <w:rPr>
                <w:rFonts w:hint="eastAsia"/>
                <w:color w:val="auto"/>
                <w:szCs w:val="21"/>
                <w:highlight w:val="none"/>
              </w:rPr>
              <w:t>封闭式框架协议采购</w:t>
            </w:r>
          </w:p>
        </w:tc>
      </w:tr>
      <w:tr w14:paraId="68F05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78F7BAB1">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134" w:type="dxa"/>
            <w:tcBorders>
              <w:top w:val="single" w:color="auto" w:sz="4" w:space="0"/>
              <w:left w:val="single" w:color="auto" w:sz="4" w:space="0"/>
              <w:bottom w:val="single" w:color="auto" w:sz="4" w:space="0"/>
              <w:right w:val="single" w:color="auto" w:sz="4" w:space="0"/>
            </w:tcBorders>
            <w:vAlign w:val="center"/>
          </w:tcPr>
          <w:p w14:paraId="1BD2DC68">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641CC819">
            <w:pPr>
              <w:spacing w:line="300" w:lineRule="exact"/>
              <w:jc w:val="left"/>
              <w:rPr>
                <w:color w:val="auto"/>
                <w:szCs w:val="21"/>
                <w:highlight w:val="none"/>
              </w:rPr>
            </w:pPr>
            <w:r>
              <w:rPr>
                <w:rFonts w:hint="eastAsia"/>
                <w:color w:val="auto"/>
                <w:szCs w:val="21"/>
                <w:highlight w:val="none"/>
              </w:rPr>
              <w:t>本项目非专门面向中小微企业采购。</w:t>
            </w:r>
          </w:p>
        </w:tc>
      </w:tr>
      <w:tr w14:paraId="1F051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5C496CDB">
            <w:pPr>
              <w:spacing w:line="300" w:lineRule="exact"/>
              <w:jc w:val="center"/>
              <w:rPr>
                <w:b/>
                <w:color w:val="auto"/>
                <w:szCs w:val="21"/>
                <w:highlight w:val="none"/>
              </w:rPr>
            </w:pPr>
            <w:r>
              <w:rPr>
                <w:b/>
                <w:color w:val="auto"/>
                <w:szCs w:val="21"/>
                <w:highlight w:val="none"/>
              </w:rPr>
              <w:t>1.5.1</w:t>
            </w:r>
          </w:p>
        </w:tc>
        <w:tc>
          <w:tcPr>
            <w:tcW w:w="1134" w:type="dxa"/>
            <w:tcBorders>
              <w:top w:val="single" w:color="auto" w:sz="4" w:space="0"/>
              <w:left w:val="single" w:color="auto" w:sz="4" w:space="0"/>
              <w:bottom w:val="single" w:color="auto" w:sz="4" w:space="0"/>
              <w:right w:val="single" w:color="auto" w:sz="4" w:space="0"/>
            </w:tcBorders>
            <w:vAlign w:val="center"/>
          </w:tcPr>
          <w:p w14:paraId="73255B24">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E5E0718">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征集</w:t>
            </w:r>
            <w:r>
              <w:rPr>
                <w:color w:val="auto"/>
                <w:szCs w:val="21"/>
                <w:highlight w:val="none"/>
              </w:rPr>
              <w:t>公告</w:t>
            </w:r>
          </w:p>
        </w:tc>
      </w:tr>
      <w:tr w14:paraId="59EF5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51" w:type="dxa"/>
            <w:tcBorders>
              <w:top w:val="single" w:color="auto" w:sz="4" w:space="0"/>
              <w:left w:val="single" w:color="auto" w:sz="4" w:space="0"/>
              <w:right w:val="single" w:color="auto" w:sz="4" w:space="0"/>
            </w:tcBorders>
            <w:vAlign w:val="center"/>
          </w:tcPr>
          <w:p w14:paraId="04990219">
            <w:pPr>
              <w:spacing w:line="300" w:lineRule="exact"/>
              <w:jc w:val="center"/>
              <w:rPr>
                <w:b/>
                <w:color w:val="auto"/>
                <w:szCs w:val="21"/>
                <w:highlight w:val="none"/>
              </w:rPr>
            </w:pPr>
            <w:bookmarkStart w:id="23" w:name="_Hlk85555568"/>
            <w:r>
              <w:rPr>
                <w:b/>
                <w:color w:val="auto"/>
                <w:szCs w:val="21"/>
                <w:highlight w:val="none"/>
              </w:rPr>
              <w:t>1.5.3</w:t>
            </w:r>
          </w:p>
        </w:tc>
        <w:tc>
          <w:tcPr>
            <w:tcW w:w="1134" w:type="dxa"/>
            <w:tcBorders>
              <w:top w:val="single" w:color="auto" w:sz="4" w:space="0"/>
              <w:left w:val="single" w:color="auto" w:sz="4" w:space="0"/>
              <w:right w:val="single" w:color="auto" w:sz="4" w:space="0"/>
            </w:tcBorders>
            <w:vAlign w:val="center"/>
          </w:tcPr>
          <w:p w14:paraId="1F37C99D">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1FB8707D">
            <w:pPr>
              <w:spacing w:line="300" w:lineRule="exact"/>
              <w:jc w:val="left"/>
              <w:rPr>
                <w:color w:val="auto"/>
                <w:szCs w:val="21"/>
                <w:highlight w:val="none"/>
              </w:rPr>
            </w:pPr>
            <w:r>
              <w:rPr>
                <w:rFonts w:hint="eastAsia"/>
                <w:color w:val="auto"/>
                <w:szCs w:val="21"/>
                <w:highlight w:val="none"/>
              </w:rPr>
              <w:t>详见征集公告</w:t>
            </w:r>
          </w:p>
        </w:tc>
      </w:tr>
      <w:bookmarkEnd w:id="23"/>
      <w:tr w14:paraId="0C965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33D118D4">
            <w:pPr>
              <w:spacing w:line="300" w:lineRule="exact"/>
              <w:jc w:val="center"/>
              <w:rPr>
                <w:b/>
                <w:color w:val="auto"/>
                <w:szCs w:val="21"/>
                <w:highlight w:val="none"/>
              </w:rPr>
            </w:pPr>
            <w:r>
              <w:rPr>
                <w:b/>
                <w:color w:val="auto"/>
                <w:szCs w:val="21"/>
                <w:highlight w:val="none"/>
              </w:rPr>
              <w:t>1.6</w:t>
            </w:r>
          </w:p>
        </w:tc>
        <w:tc>
          <w:tcPr>
            <w:tcW w:w="1134" w:type="dxa"/>
            <w:tcBorders>
              <w:top w:val="single" w:color="auto" w:sz="4" w:space="0"/>
              <w:left w:val="single" w:color="auto" w:sz="4" w:space="0"/>
              <w:bottom w:val="single" w:color="auto" w:sz="4" w:space="0"/>
              <w:right w:val="single" w:color="auto" w:sz="4" w:space="0"/>
            </w:tcBorders>
            <w:vAlign w:val="center"/>
          </w:tcPr>
          <w:p w14:paraId="26A782E4">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0E38EAF4">
            <w:pPr>
              <w:spacing w:line="300" w:lineRule="exact"/>
              <w:jc w:val="left"/>
              <w:rPr>
                <w:color w:val="auto"/>
                <w:szCs w:val="21"/>
                <w:highlight w:val="none"/>
              </w:rPr>
            </w:pPr>
            <w:r>
              <w:rPr>
                <w:color w:val="auto"/>
                <w:szCs w:val="21"/>
                <w:highlight w:val="none"/>
              </w:rPr>
              <w:sym w:font="Wingdings 2" w:char="F052"/>
            </w:r>
            <w:r>
              <w:rPr>
                <w:rFonts w:hint="eastAsia"/>
                <w:color w:val="auto"/>
                <w:szCs w:val="21"/>
                <w:highlight w:val="none"/>
              </w:rPr>
              <w:t>否   □是</w:t>
            </w:r>
          </w:p>
          <w:p w14:paraId="5A966759">
            <w:pPr>
              <w:rPr>
                <w:color w:val="auto"/>
                <w:szCs w:val="21"/>
                <w:highlight w:val="none"/>
                <w:u w:val="single"/>
              </w:rPr>
            </w:pPr>
            <w:r>
              <w:rPr>
                <w:rFonts w:hint="eastAsia"/>
                <w:color w:val="auto"/>
                <w:szCs w:val="21"/>
                <w:highlight w:val="none"/>
              </w:rPr>
              <w:t xml:space="preserve">踏勘时间： </w:t>
            </w:r>
            <w:r>
              <w:rPr>
                <w:rFonts w:hint="eastAsia"/>
                <w:color w:val="auto"/>
                <w:szCs w:val="21"/>
                <w:highlight w:val="none"/>
                <w:u w:val="single"/>
              </w:rPr>
              <w:t xml:space="preserve">             </w:t>
            </w:r>
          </w:p>
          <w:p w14:paraId="11ECD2D8">
            <w:pPr>
              <w:rPr>
                <w:color w:val="auto"/>
                <w:szCs w:val="21"/>
                <w:highlight w:val="none"/>
                <w:u w:val="single"/>
              </w:rPr>
            </w:pPr>
            <w:r>
              <w:rPr>
                <w:rFonts w:hint="eastAsia"/>
                <w:color w:val="auto"/>
                <w:szCs w:val="21"/>
                <w:highlight w:val="none"/>
              </w:rPr>
              <w:t xml:space="preserve">踏勘地点： </w:t>
            </w:r>
            <w:r>
              <w:rPr>
                <w:rFonts w:hint="eastAsia"/>
                <w:color w:val="auto"/>
                <w:szCs w:val="21"/>
                <w:highlight w:val="none"/>
                <w:u w:val="single"/>
              </w:rPr>
              <w:t xml:space="preserve">          </w:t>
            </w:r>
          </w:p>
          <w:p w14:paraId="3997DFDA">
            <w:pPr>
              <w:spacing w:line="300" w:lineRule="exact"/>
              <w:jc w:val="left"/>
              <w:rPr>
                <w:color w:val="auto"/>
                <w:szCs w:val="21"/>
                <w:highlight w:val="none"/>
              </w:rPr>
            </w:pPr>
            <w:r>
              <w:rPr>
                <w:rFonts w:hint="eastAsia"/>
                <w:color w:val="auto"/>
                <w:szCs w:val="21"/>
                <w:highlight w:val="none"/>
              </w:rPr>
              <w:t xml:space="preserve">踏勘要求： </w:t>
            </w:r>
            <w:r>
              <w:rPr>
                <w:rFonts w:hint="eastAsia"/>
                <w:color w:val="auto"/>
                <w:szCs w:val="21"/>
                <w:highlight w:val="none"/>
                <w:u w:val="single"/>
              </w:rPr>
              <w:t xml:space="preserve">           </w:t>
            </w:r>
            <w:r>
              <w:rPr>
                <w:rFonts w:hint="eastAsia"/>
                <w:color w:val="auto"/>
                <w:szCs w:val="21"/>
                <w:highlight w:val="none"/>
              </w:rPr>
              <w:t xml:space="preserve">    </w:t>
            </w:r>
          </w:p>
        </w:tc>
      </w:tr>
      <w:tr w14:paraId="242BA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6003DF1E">
            <w:pPr>
              <w:spacing w:line="300" w:lineRule="exact"/>
              <w:jc w:val="center"/>
              <w:rPr>
                <w:b/>
                <w:color w:val="auto"/>
                <w:szCs w:val="21"/>
                <w:highlight w:val="none"/>
              </w:rPr>
            </w:pPr>
            <w:r>
              <w:rPr>
                <w:b/>
                <w:color w:val="auto"/>
                <w:szCs w:val="21"/>
                <w:highlight w:val="none"/>
              </w:rPr>
              <w:t>1.7.1</w:t>
            </w:r>
          </w:p>
        </w:tc>
        <w:tc>
          <w:tcPr>
            <w:tcW w:w="1134" w:type="dxa"/>
            <w:tcBorders>
              <w:top w:val="single" w:color="auto" w:sz="4" w:space="0"/>
              <w:left w:val="single" w:color="auto" w:sz="4" w:space="0"/>
              <w:bottom w:val="single" w:color="auto" w:sz="4" w:space="0"/>
              <w:right w:val="single" w:color="auto" w:sz="4" w:space="0"/>
            </w:tcBorders>
            <w:vAlign w:val="center"/>
          </w:tcPr>
          <w:p w14:paraId="77C7F7B7">
            <w:pPr>
              <w:spacing w:line="300" w:lineRule="exact"/>
              <w:jc w:val="center"/>
              <w:rPr>
                <w:color w:val="auto"/>
                <w:szCs w:val="21"/>
                <w:highlight w:val="none"/>
              </w:rPr>
            </w:pPr>
            <w:r>
              <w:rPr>
                <w:color w:val="auto"/>
                <w:szCs w:val="21"/>
                <w:highlight w:val="none"/>
              </w:rPr>
              <w:t>转包</w:t>
            </w:r>
          </w:p>
        </w:tc>
        <w:tc>
          <w:tcPr>
            <w:tcW w:w="7229" w:type="dxa"/>
            <w:tcBorders>
              <w:top w:val="single" w:color="auto" w:sz="4" w:space="0"/>
              <w:left w:val="single" w:color="auto" w:sz="4" w:space="0"/>
              <w:bottom w:val="single" w:color="auto" w:sz="4" w:space="0"/>
              <w:right w:val="single" w:color="auto" w:sz="4" w:space="0"/>
            </w:tcBorders>
            <w:vAlign w:val="center"/>
          </w:tcPr>
          <w:p w14:paraId="3680B7FD">
            <w:pPr>
              <w:spacing w:line="300" w:lineRule="exact"/>
              <w:jc w:val="left"/>
              <w:rPr>
                <w:color w:val="auto"/>
                <w:szCs w:val="21"/>
                <w:highlight w:val="none"/>
              </w:rPr>
            </w:pPr>
            <w:r>
              <w:rPr>
                <w:color w:val="auto"/>
                <w:szCs w:val="21"/>
                <w:highlight w:val="none"/>
              </w:rPr>
              <w:t>本项目不允许转包</w:t>
            </w:r>
            <w:r>
              <w:rPr>
                <w:rFonts w:hint="eastAsia"/>
                <w:color w:val="auto"/>
                <w:szCs w:val="21"/>
                <w:highlight w:val="none"/>
              </w:rPr>
              <w:t>。</w:t>
            </w:r>
          </w:p>
        </w:tc>
      </w:tr>
      <w:tr w14:paraId="5247F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185347EC">
            <w:pPr>
              <w:spacing w:line="300" w:lineRule="exact"/>
              <w:jc w:val="center"/>
              <w:rPr>
                <w:b/>
                <w:color w:val="auto"/>
                <w:szCs w:val="21"/>
                <w:highlight w:val="none"/>
              </w:rPr>
            </w:pPr>
            <w:r>
              <w:rPr>
                <w:b/>
                <w:color w:val="auto"/>
                <w:szCs w:val="21"/>
                <w:highlight w:val="none"/>
              </w:rPr>
              <w:t>1.7.2</w:t>
            </w:r>
          </w:p>
        </w:tc>
        <w:tc>
          <w:tcPr>
            <w:tcW w:w="1134" w:type="dxa"/>
            <w:tcBorders>
              <w:top w:val="single" w:color="auto" w:sz="4" w:space="0"/>
              <w:left w:val="single" w:color="auto" w:sz="4" w:space="0"/>
              <w:bottom w:val="single" w:color="auto" w:sz="4" w:space="0"/>
              <w:right w:val="single" w:color="auto" w:sz="4" w:space="0"/>
            </w:tcBorders>
            <w:vAlign w:val="center"/>
          </w:tcPr>
          <w:p w14:paraId="28EF6589">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4B50AFAE">
            <w:pPr>
              <w:spacing w:line="300" w:lineRule="exact"/>
              <w:jc w:val="left"/>
              <w:rPr>
                <w:color w:val="auto"/>
                <w:kern w:val="0"/>
                <w:szCs w:val="21"/>
                <w:highlight w:val="none"/>
              </w:rPr>
            </w:pPr>
            <w:r>
              <w:rPr>
                <w:color w:val="auto"/>
                <w:szCs w:val="21"/>
                <w:highlight w:val="none"/>
              </w:rPr>
              <w:sym w:font="Wingdings 2" w:char="F052"/>
            </w:r>
            <w:r>
              <w:rPr>
                <w:rFonts w:hint="eastAsia"/>
                <w:color w:val="auto"/>
                <w:kern w:val="0"/>
                <w:szCs w:val="21"/>
                <w:highlight w:val="none"/>
              </w:rPr>
              <w:t>不允许分包</w:t>
            </w:r>
          </w:p>
          <w:p w14:paraId="20D9D70A">
            <w:pPr>
              <w:spacing w:line="300" w:lineRule="exact"/>
              <w:jc w:val="left"/>
              <w:rPr>
                <w:color w:val="auto"/>
                <w:szCs w:val="21"/>
                <w:highlight w:val="none"/>
              </w:rPr>
            </w:pPr>
            <w:r>
              <w:rPr>
                <w:color w:val="auto"/>
                <w:szCs w:val="21"/>
                <w:highlight w:val="none"/>
              </w:rPr>
              <w:sym w:font="Wingdings 2" w:char="F0A3"/>
            </w:r>
            <w:r>
              <w:rPr>
                <w:rFonts w:hint="eastAsia"/>
                <w:color w:val="auto"/>
                <w:szCs w:val="21"/>
                <w:highlight w:val="none"/>
              </w:rPr>
              <w:t>允许分包</w:t>
            </w:r>
          </w:p>
        </w:tc>
      </w:tr>
      <w:tr w14:paraId="44D27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1FB3EA2B">
            <w:pPr>
              <w:spacing w:line="300" w:lineRule="exact"/>
              <w:jc w:val="center"/>
              <w:rPr>
                <w:b/>
                <w:color w:val="auto"/>
                <w:szCs w:val="21"/>
                <w:highlight w:val="none"/>
              </w:rPr>
            </w:pPr>
            <w:r>
              <w:rPr>
                <w:b/>
                <w:color w:val="auto"/>
                <w:szCs w:val="21"/>
                <w:highlight w:val="none"/>
              </w:rPr>
              <w:t>2.1.3</w:t>
            </w:r>
          </w:p>
        </w:tc>
        <w:tc>
          <w:tcPr>
            <w:tcW w:w="1134" w:type="dxa"/>
            <w:tcBorders>
              <w:top w:val="single" w:color="auto" w:sz="4" w:space="0"/>
              <w:left w:val="single" w:color="auto" w:sz="4" w:space="0"/>
              <w:bottom w:val="single" w:color="auto" w:sz="4" w:space="0"/>
              <w:right w:val="single" w:color="auto" w:sz="4" w:space="0"/>
            </w:tcBorders>
            <w:vAlign w:val="center"/>
          </w:tcPr>
          <w:p w14:paraId="733A68D4">
            <w:pPr>
              <w:spacing w:line="300" w:lineRule="exact"/>
              <w:jc w:val="center"/>
              <w:rPr>
                <w:color w:val="auto"/>
                <w:szCs w:val="21"/>
                <w:highlight w:val="none"/>
              </w:rPr>
            </w:pPr>
            <w:r>
              <w:rPr>
                <w:color w:val="auto"/>
                <w:szCs w:val="21"/>
                <w:highlight w:val="none"/>
              </w:rPr>
              <w:t>征集文件澄清、修改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62C43A72">
            <w:pPr>
              <w:spacing w:line="300" w:lineRule="exact"/>
              <w:jc w:val="left"/>
              <w:rPr>
                <w:color w:val="auto"/>
                <w:szCs w:val="21"/>
                <w:highlight w:val="none"/>
              </w:rPr>
            </w:pPr>
            <w:r>
              <w:rPr>
                <w:color w:val="auto"/>
                <w:szCs w:val="21"/>
                <w:highlight w:val="none"/>
              </w:rPr>
              <w:t>在征集公告发布媒介发布</w:t>
            </w:r>
            <w:r>
              <w:rPr>
                <w:rFonts w:hint="eastAsia"/>
                <w:color w:val="auto"/>
                <w:szCs w:val="21"/>
                <w:highlight w:val="none"/>
              </w:rPr>
              <w:t>。</w:t>
            </w:r>
          </w:p>
        </w:tc>
      </w:tr>
      <w:tr w14:paraId="0907B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51" w:type="dxa"/>
            <w:tcBorders>
              <w:top w:val="single" w:color="auto" w:sz="4" w:space="0"/>
              <w:left w:val="single" w:color="auto" w:sz="4" w:space="0"/>
              <w:bottom w:val="single" w:color="auto" w:sz="4" w:space="0"/>
              <w:right w:val="single" w:color="auto" w:sz="4" w:space="0"/>
            </w:tcBorders>
            <w:vAlign w:val="center"/>
          </w:tcPr>
          <w:p w14:paraId="47B8171D">
            <w:pPr>
              <w:spacing w:line="300" w:lineRule="exact"/>
              <w:jc w:val="center"/>
              <w:rPr>
                <w:b/>
                <w:color w:val="auto"/>
                <w:szCs w:val="21"/>
                <w:highlight w:val="none"/>
              </w:rPr>
            </w:pPr>
            <w:r>
              <w:rPr>
                <w:b/>
                <w:color w:val="auto"/>
                <w:szCs w:val="21"/>
                <w:highlight w:val="none"/>
              </w:rPr>
              <w:t>2.1.3</w:t>
            </w:r>
          </w:p>
        </w:tc>
        <w:tc>
          <w:tcPr>
            <w:tcW w:w="1134" w:type="dxa"/>
            <w:tcBorders>
              <w:top w:val="single" w:color="auto" w:sz="4" w:space="0"/>
              <w:left w:val="single" w:color="auto" w:sz="4" w:space="0"/>
              <w:bottom w:val="single" w:color="auto" w:sz="4" w:space="0"/>
              <w:right w:val="single" w:color="auto" w:sz="4" w:space="0"/>
            </w:tcBorders>
            <w:vAlign w:val="center"/>
          </w:tcPr>
          <w:p w14:paraId="125AB8D5">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664E26CC">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自征集公告</w:t>
            </w:r>
            <w:r>
              <w:rPr>
                <w:color w:val="auto"/>
                <w:szCs w:val="21"/>
                <w:highlight w:val="none"/>
              </w:rPr>
              <w:t>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征集公告</w:t>
            </w:r>
            <w:r>
              <w:rPr>
                <w:color w:val="auto"/>
                <w:szCs w:val="21"/>
                <w:highlight w:val="none"/>
              </w:rPr>
              <w:t>发布媒</w:t>
            </w:r>
            <w:r>
              <w:rPr>
                <w:rFonts w:hint="eastAsia"/>
                <w:color w:val="auto"/>
                <w:szCs w:val="21"/>
                <w:highlight w:val="none"/>
              </w:rPr>
              <w:t>体</w:t>
            </w:r>
            <w:r>
              <w:rPr>
                <w:color w:val="auto"/>
                <w:szCs w:val="21"/>
                <w:highlight w:val="none"/>
              </w:rPr>
              <w:t>造成的损失，由供应商自行负责。</w:t>
            </w:r>
          </w:p>
        </w:tc>
      </w:tr>
      <w:tr w14:paraId="50833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51" w:type="dxa"/>
            <w:tcBorders>
              <w:top w:val="single" w:color="auto" w:sz="4" w:space="0"/>
              <w:left w:val="single" w:color="auto" w:sz="4" w:space="0"/>
              <w:bottom w:val="single" w:color="auto" w:sz="4" w:space="0"/>
              <w:right w:val="single" w:color="auto" w:sz="4" w:space="0"/>
            </w:tcBorders>
            <w:vAlign w:val="center"/>
          </w:tcPr>
          <w:p w14:paraId="7D090C2A">
            <w:pPr>
              <w:spacing w:line="300" w:lineRule="exact"/>
              <w:jc w:val="center"/>
              <w:rPr>
                <w:b/>
                <w:color w:val="auto"/>
                <w:szCs w:val="21"/>
                <w:highlight w:val="none"/>
              </w:rPr>
            </w:pPr>
            <w:r>
              <w:rPr>
                <w:b/>
                <w:color w:val="auto"/>
                <w:szCs w:val="21"/>
                <w:highlight w:val="none"/>
              </w:rPr>
              <w:t>2.2.4</w:t>
            </w:r>
          </w:p>
        </w:tc>
        <w:tc>
          <w:tcPr>
            <w:tcW w:w="1134" w:type="dxa"/>
            <w:tcBorders>
              <w:top w:val="single" w:color="auto" w:sz="4" w:space="0"/>
              <w:left w:val="single" w:color="auto" w:sz="4" w:space="0"/>
              <w:bottom w:val="single" w:color="auto" w:sz="4" w:space="0"/>
              <w:right w:val="single" w:color="auto" w:sz="4" w:space="0"/>
            </w:tcBorders>
            <w:vAlign w:val="center"/>
          </w:tcPr>
          <w:p w14:paraId="089B2888">
            <w:pPr>
              <w:spacing w:line="300" w:lineRule="exact"/>
              <w:jc w:val="center"/>
              <w:rPr>
                <w:color w:val="auto"/>
                <w:szCs w:val="21"/>
                <w:highlight w:val="none"/>
              </w:rPr>
            </w:pPr>
            <w:r>
              <w:rPr>
                <w:color w:val="auto"/>
                <w:szCs w:val="21"/>
                <w:highlight w:val="none"/>
              </w:rPr>
              <w:t>响应有效期</w:t>
            </w:r>
          </w:p>
        </w:tc>
        <w:tc>
          <w:tcPr>
            <w:tcW w:w="7229" w:type="dxa"/>
            <w:tcBorders>
              <w:top w:val="single" w:color="auto" w:sz="4" w:space="0"/>
              <w:left w:val="single" w:color="auto" w:sz="4" w:space="0"/>
              <w:bottom w:val="single" w:color="auto" w:sz="4" w:space="0"/>
              <w:right w:val="single" w:color="auto" w:sz="4" w:space="0"/>
            </w:tcBorders>
            <w:vAlign w:val="center"/>
          </w:tcPr>
          <w:p w14:paraId="6F657768">
            <w:pPr>
              <w:spacing w:line="300" w:lineRule="exact"/>
              <w:jc w:val="left"/>
              <w:rPr>
                <w:color w:val="auto"/>
                <w:szCs w:val="21"/>
                <w:highlight w:val="none"/>
              </w:rPr>
            </w:pPr>
            <w:r>
              <w:rPr>
                <w:color w:val="auto"/>
                <w:szCs w:val="21"/>
                <w:highlight w:val="none"/>
              </w:rPr>
              <w:t>响应截止之日起90天。</w:t>
            </w:r>
          </w:p>
        </w:tc>
      </w:tr>
      <w:tr w14:paraId="26AF7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362DD581">
            <w:pPr>
              <w:spacing w:line="300" w:lineRule="exact"/>
              <w:jc w:val="center"/>
              <w:rPr>
                <w:b/>
                <w:color w:val="auto"/>
                <w:szCs w:val="21"/>
                <w:highlight w:val="none"/>
              </w:rPr>
            </w:pPr>
            <w:r>
              <w:rPr>
                <w:b/>
                <w:color w:val="auto"/>
                <w:szCs w:val="21"/>
                <w:highlight w:val="none"/>
              </w:rPr>
              <w:t>2.2.5</w:t>
            </w:r>
          </w:p>
        </w:tc>
        <w:tc>
          <w:tcPr>
            <w:tcW w:w="1134" w:type="dxa"/>
            <w:tcBorders>
              <w:top w:val="single" w:color="auto" w:sz="4" w:space="0"/>
              <w:left w:val="single" w:color="auto" w:sz="4" w:space="0"/>
              <w:bottom w:val="single" w:color="auto" w:sz="4" w:space="0"/>
              <w:right w:val="single" w:color="auto" w:sz="4" w:space="0"/>
            </w:tcBorders>
            <w:vAlign w:val="center"/>
          </w:tcPr>
          <w:p w14:paraId="74862E93">
            <w:pPr>
              <w:spacing w:line="300" w:lineRule="exact"/>
              <w:jc w:val="center"/>
              <w:rPr>
                <w:color w:val="auto"/>
                <w:szCs w:val="21"/>
                <w:highlight w:val="none"/>
              </w:rPr>
            </w:pPr>
            <w:r>
              <w:rPr>
                <w:color w:val="auto"/>
                <w:szCs w:val="21"/>
                <w:highlight w:val="none"/>
              </w:rPr>
              <w:t>响应保证金</w:t>
            </w:r>
          </w:p>
        </w:tc>
        <w:tc>
          <w:tcPr>
            <w:tcW w:w="7229" w:type="dxa"/>
            <w:tcBorders>
              <w:top w:val="single" w:color="auto" w:sz="4" w:space="0"/>
              <w:left w:val="single" w:color="auto" w:sz="4" w:space="0"/>
              <w:bottom w:val="single" w:color="auto" w:sz="4" w:space="0"/>
              <w:right w:val="single" w:color="auto" w:sz="4" w:space="0"/>
            </w:tcBorders>
            <w:vAlign w:val="center"/>
          </w:tcPr>
          <w:p w14:paraId="507DE885">
            <w:pPr>
              <w:spacing w:line="312" w:lineRule="auto"/>
              <w:jc w:val="left"/>
              <w:rPr>
                <w:color w:val="auto"/>
                <w:kern w:val="0"/>
                <w:szCs w:val="21"/>
                <w:highlight w:val="none"/>
              </w:rPr>
            </w:pPr>
            <w:r>
              <w:rPr>
                <w:color w:val="auto"/>
                <w:szCs w:val="21"/>
                <w:highlight w:val="none"/>
              </w:rPr>
              <w:t>响应保证金</w:t>
            </w:r>
            <w:r>
              <w:rPr>
                <w:rFonts w:hint="eastAsia"/>
                <w:color w:val="auto"/>
                <w:szCs w:val="21"/>
                <w:highlight w:val="none"/>
              </w:rPr>
              <w:t>金额：</w:t>
            </w:r>
            <w:r>
              <w:rPr>
                <w:color w:val="auto"/>
                <w:szCs w:val="21"/>
                <w:highlight w:val="none"/>
              </w:rPr>
              <w:t>标项一</w:t>
            </w:r>
            <w:r>
              <w:rPr>
                <w:rFonts w:hint="eastAsia"/>
                <w:color w:val="auto"/>
                <w:szCs w:val="21"/>
                <w:highlight w:val="none"/>
              </w:rPr>
              <w:t>：人民币捌仟元整（¥8,000.00）。</w:t>
            </w:r>
            <w:r>
              <w:rPr>
                <w:color w:val="auto"/>
                <w:szCs w:val="21"/>
                <w:highlight w:val="none"/>
              </w:rPr>
              <w:t>标项二</w:t>
            </w:r>
            <w:r>
              <w:rPr>
                <w:rFonts w:hint="eastAsia"/>
                <w:color w:val="auto"/>
                <w:szCs w:val="21"/>
                <w:highlight w:val="none"/>
              </w:rPr>
              <w:t>：人民币捌仟元整（¥8,000.00）。</w:t>
            </w:r>
          </w:p>
          <w:p w14:paraId="09D76257">
            <w:pPr>
              <w:spacing w:line="300" w:lineRule="exact"/>
              <w:jc w:val="left"/>
              <w:rPr>
                <w:color w:val="auto"/>
                <w:szCs w:val="21"/>
                <w:highlight w:val="none"/>
              </w:rPr>
            </w:pPr>
            <w:r>
              <w:rPr>
                <w:rFonts w:hint="eastAsia"/>
                <w:color w:val="auto"/>
                <w:szCs w:val="21"/>
                <w:highlight w:val="none"/>
              </w:rPr>
              <w:t>1、缴纳方式一：</w:t>
            </w:r>
          </w:p>
          <w:p w14:paraId="396182E0">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时间前将响应保证金以电汇、转账形式从供应商账户一次性足额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）对应的专用虚拟账号，所交纳的响应保证金仅限当次项目（</w:t>
            </w:r>
            <w:r>
              <w:rPr>
                <w:rFonts w:hint="eastAsia"/>
                <w:color w:val="auto"/>
                <w:szCs w:val="21"/>
                <w:highlight w:val="none"/>
              </w:rPr>
              <w:t>分标</w:t>
            </w:r>
            <w:r>
              <w:rPr>
                <w:color w:val="auto"/>
                <w:szCs w:val="21"/>
                <w:highlight w:val="none"/>
              </w:rPr>
              <w:t>）有效，不得重复替代使用。本项目响应保证金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730237D6">
            <w:pPr>
              <w:spacing w:line="300" w:lineRule="exact"/>
              <w:jc w:val="left"/>
              <w:rPr>
                <w:color w:val="auto"/>
                <w:szCs w:val="21"/>
                <w:highlight w:val="none"/>
              </w:rPr>
            </w:pPr>
            <w:r>
              <w:rPr>
                <w:rFonts w:hint="eastAsia"/>
                <w:color w:val="auto"/>
                <w:szCs w:val="21"/>
                <w:highlight w:val="none"/>
              </w:rPr>
              <w:t>标项一：</w:t>
            </w:r>
          </w:p>
          <w:p w14:paraId="0D5DF981">
            <w:pPr>
              <w:spacing w:line="300" w:lineRule="exact"/>
              <w:jc w:val="left"/>
              <w:rPr>
                <w:rFonts w:hint="eastAsia"/>
                <w:color w:val="auto"/>
                <w:szCs w:val="21"/>
                <w:highlight w:val="none"/>
              </w:rPr>
            </w:pPr>
            <w:r>
              <w:rPr>
                <w:rFonts w:hint="eastAsia"/>
                <w:color w:val="auto"/>
                <w:szCs w:val="21"/>
                <w:highlight w:val="none"/>
              </w:rPr>
              <w:t>开户银行：平安银行南宁分行营业部</w:t>
            </w:r>
          </w:p>
          <w:p w14:paraId="4B6BA87E">
            <w:pPr>
              <w:spacing w:line="300" w:lineRule="exact"/>
              <w:jc w:val="left"/>
              <w:rPr>
                <w:rFonts w:hint="eastAsia"/>
                <w:color w:val="auto"/>
                <w:szCs w:val="21"/>
                <w:highlight w:val="none"/>
              </w:rPr>
            </w:pPr>
            <w:r>
              <w:rPr>
                <w:rFonts w:hint="eastAsia"/>
                <w:color w:val="auto"/>
                <w:szCs w:val="21"/>
                <w:highlight w:val="none"/>
              </w:rPr>
              <w:t>开户名称：广西机电设备招标有限公司</w:t>
            </w:r>
          </w:p>
          <w:p w14:paraId="1ED13430">
            <w:pPr>
              <w:spacing w:line="300" w:lineRule="exact"/>
              <w:jc w:val="left"/>
              <w:rPr>
                <w:color w:val="auto"/>
                <w:szCs w:val="21"/>
                <w:highlight w:val="none"/>
              </w:rPr>
            </w:pPr>
            <w:r>
              <w:rPr>
                <w:rFonts w:hint="eastAsia"/>
                <w:color w:val="auto"/>
                <w:szCs w:val="21"/>
                <w:highlight w:val="none"/>
              </w:rPr>
              <w:t>开户账户：30210485422412</w:t>
            </w:r>
          </w:p>
          <w:p w14:paraId="322A2C7C">
            <w:pPr>
              <w:spacing w:line="300" w:lineRule="exact"/>
              <w:jc w:val="left"/>
              <w:rPr>
                <w:color w:val="auto"/>
                <w:szCs w:val="21"/>
                <w:highlight w:val="none"/>
              </w:rPr>
            </w:pPr>
            <w:r>
              <w:rPr>
                <w:rFonts w:hint="eastAsia"/>
                <w:color w:val="auto"/>
                <w:szCs w:val="21"/>
                <w:highlight w:val="none"/>
              </w:rPr>
              <w:t>标项二：</w:t>
            </w:r>
          </w:p>
          <w:p w14:paraId="467FBDD7">
            <w:pPr>
              <w:spacing w:line="300" w:lineRule="exact"/>
              <w:jc w:val="left"/>
              <w:rPr>
                <w:rFonts w:hint="eastAsia"/>
                <w:color w:val="auto"/>
                <w:szCs w:val="21"/>
                <w:highlight w:val="none"/>
              </w:rPr>
            </w:pPr>
            <w:r>
              <w:rPr>
                <w:rFonts w:hint="eastAsia"/>
                <w:color w:val="auto"/>
                <w:szCs w:val="21"/>
                <w:highlight w:val="none"/>
              </w:rPr>
              <w:t>开户银行：平安银行南宁分行营业部</w:t>
            </w:r>
          </w:p>
          <w:p w14:paraId="63FBD0A3">
            <w:pPr>
              <w:spacing w:line="300" w:lineRule="exact"/>
              <w:jc w:val="left"/>
              <w:rPr>
                <w:rFonts w:hint="eastAsia"/>
                <w:color w:val="auto"/>
                <w:szCs w:val="21"/>
                <w:highlight w:val="none"/>
              </w:rPr>
            </w:pPr>
            <w:r>
              <w:rPr>
                <w:rFonts w:hint="eastAsia"/>
                <w:color w:val="auto"/>
                <w:szCs w:val="21"/>
                <w:highlight w:val="none"/>
              </w:rPr>
              <w:t>开户名称：广西机电设备招标有限公司</w:t>
            </w:r>
          </w:p>
          <w:p w14:paraId="5C399D59">
            <w:pPr>
              <w:spacing w:line="300" w:lineRule="exact"/>
              <w:jc w:val="left"/>
              <w:rPr>
                <w:color w:val="auto"/>
                <w:szCs w:val="21"/>
                <w:highlight w:val="none"/>
              </w:rPr>
            </w:pPr>
            <w:r>
              <w:rPr>
                <w:rFonts w:hint="eastAsia"/>
                <w:color w:val="auto"/>
                <w:szCs w:val="21"/>
                <w:highlight w:val="none"/>
              </w:rPr>
              <w:t>开户账户：30210485736935</w:t>
            </w:r>
          </w:p>
          <w:p w14:paraId="73F25164">
            <w:pPr>
              <w:spacing w:line="300" w:lineRule="exact"/>
              <w:jc w:val="left"/>
              <w:rPr>
                <w:color w:val="auto"/>
                <w:szCs w:val="21"/>
                <w:highlight w:val="none"/>
              </w:rPr>
            </w:pPr>
            <w:r>
              <w:rPr>
                <w:color w:val="auto"/>
                <w:szCs w:val="21"/>
                <w:highlight w:val="none"/>
              </w:rPr>
              <w:t>特别说明：本项目保证金采用虚拟账号，为保证响应保证金与项目一一对应，供应商如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响应保证金。</w:t>
            </w:r>
          </w:p>
          <w:p w14:paraId="4C953F04">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响应保证金币种应与响应报价币种相同。</w:t>
            </w:r>
            <w:r>
              <w:rPr>
                <w:rFonts w:hint="eastAsia"/>
                <w:color w:val="auto"/>
                <w:szCs w:val="21"/>
                <w:highlight w:val="none"/>
              </w:rPr>
              <w:t>响应保证金缴纳后无需开具收据，供应商应在响应文件中放入转账底单或电汇凭证的复印件，必须在响应截止时间之前到达指定账号，其到账时间以银行确认的到账时间为准。</w:t>
            </w:r>
          </w:p>
          <w:p w14:paraId="1F67D0E9">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征集文件</w:t>
            </w:r>
            <w:r>
              <w:rPr>
                <w:color w:val="auto"/>
                <w:szCs w:val="21"/>
                <w:highlight w:val="none"/>
              </w:rPr>
              <w:t>规定不予退还保证金的情形外，</w:t>
            </w:r>
            <w:r>
              <w:rPr>
                <w:rFonts w:hint="eastAsia"/>
                <w:color w:val="auto"/>
                <w:szCs w:val="21"/>
                <w:highlight w:val="none"/>
              </w:rPr>
              <w:t>征集人在法定时间内通过银行原路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交纳保证金后未参加响应活动或响应保证金缴纳错误而</w:t>
            </w:r>
            <w:r>
              <w:rPr>
                <w:color w:val="auto"/>
                <w:szCs w:val="21"/>
                <w:highlight w:val="none"/>
              </w:rPr>
              <w:t>导致</w:t>
            </w:r>
            <w:r>
              <w:rPr>
                <w:rFonts w:hint="eastAsia"/>
                <w:color w:val="auto"/>
                <w:szCs w:val="21"/>
                <w:highlight w:val="none"/>
              </w:rPr>
              <w:t>响应保证金</w:t>
            </w:r>
            <w:r>
              <w:rPr>
                <w:color w:val="auto"/>
                <w:szCs w:val="21"/>
                <w:highlight w:val="none"/>
              </w:rPr>
              <w:t>无法及时退还的责任</w:t>
            </w:r>
            <w:r>
              <w:rPr>
                <w:rFonts w:hint="eastAsia"/>
                <w:color w:val="auto"/>
                <w:szCs w:val="21"/>
                <w:highlight w:val="none"/>
              </w:rPr>
              <w:t>。</w:t>
            </w:r>
          </w:p>
          <w:p w14:paraId="1FE37B2C">
            <w:pPr>
              <w:spacing w:line="300" w:lineRule="exact"/>
              <w:jc w:val="left"/>
              <w:rPr>
                <w:color w:val="auto"/>
                <w:szCs w:val="21"/>
                <w:highlight w:val="none"/>
              </w:rPr>
            </w:pPr>
            <w:r>
              <w:rPr>
                <w:rFonts w:hint="eastAsia"/>
                <w:color w:val="auto"/>
                <w:szCs w:val="21"/>
                <w:highlight w:val="none"/>
              </w:rPr>
              <w:t>2、缴纳方式二：</w:t>
            </w:r>
          </w:p>
          <w:p w14:paraId="7FC88EB2">
            <w:pPr>
              <w:spacing w:line="300" w:lineRule="exact"/>
              <w:jc w:val="left"/>
              <w:rPr>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征集公告。</w:t>
            </w:r>
          </w:p>
          <w:p w14:paraId="67AF4A46">
            <w:pPr>
              <w:spacing w:line="300" w:lineRule="exact"/>
              <w:jc w:val="left"/>
              <w:rPr>
                <w:color w:val="auto"/>
                <w:szCs w:val="21"/>
                <w:highlight w:val="none"/>
              </w:rPr>
            </w:pPr>
            <w:r>
              <w:rPr>
                <w:color w:val="auto"/>
                <w:szCs w:val="21"/>
                <w:highlight w:val="none"/>
              </w:rPr>
              <w:t>3</w:t>
            </w:r>
            <w:r>
              <w:rPr>
                <w:rFonts w:hint="eastAsia"/>
                <w:color w:val="auto"/>
                <w:szCs w:val="21"/>
                <w:highlight w:val="none"/>
              </w:rPr>
              <w:t>、响应保证金有下列情形之一的，视为保证金无效：</w:t>
            </w:r>
          </w:p>
          <w:p w14:paraId="1072266E">
            <w:pPr>
              <w:spacing w:line="300" w:lineRule="exact"/>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）保证金在响应截止时间后提交的，或者不按规定交纳方式交纳的，或者未足额交纳的（包含保函额度不足的）的；</w:t>
            </w:r>
          </w:p>
          <w:p w14:paraId="71ED0D3E">
            <w:pPr>
              <w:spacing w:line="300" w:lineRule="exact"/>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）支票、汇票或者本票出现无效或者背书情形的；</w:t>
            </w:r>
          </w:p>
          <w:p w14:paraId="15684BDA">
            <w:pPr>
              <w:spacing w:line="30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）保函有效期低于响应有效期的；</w:t>
            </w:r>
          </w:p>
          <w:p w14:paraId="457BE201">
            <w:pPr>
              <w:spacing w:line="300" w:lineRule="exact"/>
              <w:jc w:val="lef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）非金融机构、担保机构出具保函的、非无条件保函的。</w:t>
            </w:r>
          </w:p>
          <w:p w14:paraId="1703633D">
            <w:pPr>
              <w:spacing w:line="300" w:lineRule="exact"/>
              <w:jc w:val="left"/>
              <w:rPr>
                <w:color w:val="auto"/>
                <w:szCs w:val="21"/>
                <w:highlight w:val="none"/>
              </w:rPr>
            </w:pPr>
            <w:r>
              <w:rPr>
                <w:color w:val="auto"/>
                <w:szCs w:val="21"/>
                <w:highlight w:val="none"/>
              </w:rPr>
              <w:t>4</w:t>
            </w:r>
            <w:r>
              <w:rPr>
                <w:rFonts w:hint="eastAsia"/>
                <w:color w:val="auto"/>
                <w:szCs w:val="21"/>
                <w:highlight w:val="none"/>
              </w:rPr>
              <w:t>、财务部联系电话：</w:t>
            </w:r>
            <w:r>
              <w:rPr>
                <w:color w:val="auto"/>
                <w:szCs w:val="21"/>
                <w:highlight w:val="none"/>
              </w:rPr>
              <w:t>0771-2821398</w:t>
            </w:r>
          </w:p>
          <w:p w14:paraId="3ADDEA11">
            <w:pPr>
              <w:spacing w:line="300" w:lineRule="exact"/>
              <w:jc w:val="left"/>
              <w:rPr>
                <w:b/>
                <w:bCs/>
                <w:color w:val="auto"/>
                <w:szCs w:val="21"/>
                <w:highlight w:val="none"/>
              </w:rPr>
            </w:pPr>
            <w:r>
              <w:rPr>
                <w:rFonts w:hint="eastAsia"/>
                <w:b/>
                <w:bCs/>
                <w:color w:val="auto"/>
                <w:szCs w:val="21"/>
                <w:highlight w:val="none"/>
              </w:rPr>
              <w:t>注：为保证响应保证金退还的及时性与便利性，鼓励优先采用方式一递交响应保证金。</w:t>
            </w:r>
          </w:p>
        </w:tc>
      </w:tr>
      <w:tr w14:paraId="6E3B6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51" w:type="dxa"/>
            <w:tcBorders>
              <w:left w:val="single" w:color="auto" w:sz="4" w:space="0"/>
              <w:right w:val="single" w:color="auto" w:sz="4" w:space="0"/>
            </w:tcBorders>
            <w:vAlign w:val="center"/>
          </w:tcPr>
          <w:p w14:paraId="3DD4579B">
            <w:pPr>
              <w:spacing w:line="300" w:lineRule="exact"/>
              <w:jc w:val="center"/>
              <w:rPr>
                <w:b/>
                <w:color w:val="auto"/>
                <w:szCs w:val="21"/>
                <w:highlight w:val="none"/>
              </w:rPr>
            </w:pPr>
            <w:r>
              <w:rPr>
                <w:b/>
                <w:color w:val="auto"/>
                <w:szCs w:val="21"/>
                <w:highlight w:val="none"/>
              </w:rPr>
              <w:t>2.2.6</w:t>
            </w:r>
          </w:p>
        </w:tc>
        <w:tc>
          <w:tcPr>
            <w:tcW w:w="1134" w:type="dxa"/>
            <w:tcBorders>
              <w:top w:val="single" w:color="auto" w:sz="4" w:space="0"/>
              <w:left w:val="single" w:color="auto" w:sz="4" w:space="0"/>
              <w:right w:val="single" w:color="auto" w:sz="4" w:space="0"/>
            </w:tcBorders>
            <w:vAlign w:val="center"/>
          </w:tcPr>
          <w:p w14:paraId="405ECA4D">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vAlign w:val="center"/>
          </w:tcPr>
          <w:p w14:paraId="1E554E85">
            <w:pPr>
              <w:spacing w:line="300" w:lineRule="exact"/>
              <w:jc w:val="left"/>
              <w:rPr>
                <w:color w:val="auto"/>
                <w:szCs w:val="21"/>
                <w:highlight w:val="none"/>
              </w:rPr>
            </w:pPr>
            <w:r>
              <w:rPr>
                <w:rFonts w:hint="eastAsia" w:hAnsi="宋体"/>
                <w:color w:val="auto"/>
                <w:szCs w:val="21"/>
                <w:highlight w:val="none"/>
              </w:rPr>
              <w:t>响应文件应按第七章响应文件格式分别编制并使用下载的广西政府采购云平台新版客户端制作并上传。</w:t>
            </w:r>
          </w:p>
        </w:tc>
      </w:tr>
      <w:tr w14:paraId="6B139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1" w:type="dxa"/>
            <w:tcBorders>
              <w:top w:val="single" w:color="auto" w:sz="4" w:space="0"/>
              <w:left w:val="single" w:color="auto" w:sz="4" w:space="0"/>
              <w:bottom w:val="single" w:color="auto" w:sz="4" w:space="0"/>
              <w:right w:val="single" w:color="auto" w:sz="4" w:space="0"/>
            </w:tcBorders>
            <w:vAlign w:val="center"/>
          </w:tcPr>
          <w:p w14:paraId="61CA6C2F">
            <w:pPr>
              <w:spacing w:line="300" w:lineRule="exact"/>
              <w:jc w:val="center"/>
              <w:rPr>
                <w:b/>
                <w:color w:val="auto"/>
                <w:szCs w:val="21"/>
                <w:highlight w:val="none"/>
              </w:rPr>
            </w:pPr>
            <w:r>
              <w:rPr>
                <w:b/>
                <w:color w:val="auto"/>
                <w:szCs w:val="21"/>
                <w:highlight w:val="none"/>
              </w:rPr>
              <w:t>2.2.7</w:t>
            </w:r>
          </w:p>
        </w:tc>
        <w:tc>
          <w:tcPr>
            <w:tcW w:w="1134" w:type="dxa"/>
            <w:tcBorders>
              <w:top w:val="single" w:color="auto" w:sz="4" w:space="0"/>
              <w:left w:val="single" w:color="auto" w:sz="4" w:space="0"/>
              <w:bottom w:val="single" w:color="auto" w:sz="4" w:space="0"/>
              <w:right w:val="single" w:color="auto" w:sz="4" w:space="0"/>
            </w:tcBorders>
            <w:vAlign w:val="center"/>
          </w:tcPr>
          <w:p w14:paraId="29AE1EFB">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52944BD1">
            <w:pPr>
              <w:spacing w:line="300" w:lineRule="exact"/>
              <w:jc w:val="left"/>
              <w:rPr>
                <w:color w:val="auto"/>
                <w:szCs w:val="21"/>
                <w:highlight w:val="none"/>
              </w:rPr>
            </w:pPr>
            <w:r>
              <w:rPr>
                <w:rFonts w:hint="eastAsia"/>
                <w:color w:val="auto"/>
                <w:kern w:val="0"/>
                <w:szCs w:val="21"/>
                <w:highlight w:val="none"/>
              </w:rPr>
              <w:t>见征集公告要求</w:t>
            </w:r>
            <w:r>
              <w:rPr>
                <w:rFonts w:hint="eastAsia"/>
                <w:color w:val="auto"/>
                <w:szCs w:val="21"/>
                <w:highlight w:val="none"/>
              </w:rPr>
              <w:t>。</w:t>
            </w:r>
          </w:p>
        </w:tc>
      </w:tr>
      <w:tr w14:paraId="08B26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vAlign w:val="center"/>
          </w:tcPr>
          <w:p w14:paraId="6A1708CA">
            <w:pPr>
              <w:spacing w:line="300" w:lineRule="exact"/>
              <w:jc w:val="center"/>
              <w:rPr>
                <w:b/>
                <w:color w:val="auto"/>
                <w:szCs w:val="21"/>
                <w:highlight w:val="none"/>
              </w:rPr>
            </w:pPr>
            <w:r>
              <w:rPr>
                <w:b/>
                <w:color w:val="auto"/>
                <w:szCs w:val="21"/>
                <w:highlight w:val="none"/>
              </w:rPr>
              <w:t>2.3.2.3</w:t>
            </w:r>
          </w:p>
        </w:tc>
        <w:tc>
          <w:tcPr>
            <w:tcW w:w="1134" w:type="dxa"/>
            <w:tcBorders>
              <w:top w:val="single" w:color="auto" w:sz="4" w:space="0"/>
              <w:left w:val="single" w:color="auto" w:sz="4" w:space="0"/>
              <w:bottom w:val="single" w:color="auto" w:sz="4" w:space="0"/>
              <w:right w:val="single" w:color="auto" w:sz="4" w:space="0"/>
            </w:tcBorders>
            <w:vAlign w:val="center"/>
          </w:tcPr>
          <w:p w14:paraId="47BCBEBC">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6D20FAA7">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360B6A59">
            <w:pPr>
              <w:spacing w:line="276" w:lineRule="auto"/>
              <w:rPr>
                <w:color w:val="auto"/>
                <w:sz w:val="22"/>
                <w:szCs w:val="22"/>
                <w:highlight w:val="none"/>
              </w:rPr>
            </w:pPr>
            <w:r>
              <w:rPr>
                <w:rFonts w:hint="eastAsia" w:ascii="宋体" w:hAnsi="宋体"/>
                <w:color w:val="auto"/>
                <w:szCs w:val="21"/>
                <w:highlight w:val="none"/>
              </w:rPr>
              <w:t>以广西政府采购云自动生成的备份文件为依据，当项目允许接受备份响应文件时，供应商才可以按规定上传备份响应文件。</w:t>
            </w:r>
          </w:p>
        </w:tc>
      </w:tr>
      <w:tr w14:paraId="3506E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vAlign w:val="center"/>
          </w:tcPr>
          <w:p w14:paraId="75D5F3FB">
            <w:pPr>
              <w:spacing w:line="300" w:lineRule="exact"/>
              <w:jc w:val="center"/>
              <w:rPr>
                <w:b/>
                <w:color w:val="auto"/>
                <w:szCs w:val="21"/>
                <w:highlight w:val="none"/>
              </w:rPr>
            </w:pPr>
            <w:r>
              <w:rPr>
                <w:b/>
                <w:color w:val="auto"/>
                <w:szCs w:val="21"/>
                <w:highlight w:val="none"/>
              </w:rPr>
              <w:t>2.3.3</w:t>
            </w:r>
          </w:p>
        </w:tc>
        <w:tc>
          <w:tcPr>
            <w:tcW w:w="1134" w:type="dxa"/>
            <w:tcBorders>
              <w:top w:val="single" w:color="auto" w:sz="4" w:space="0"/>
              <w:left w:val="single" w:color="auto" w:sz="4" w:space="0"/>
              <w:bottom w:val="single" w:color="auto" w:sz="4" w:space="0"/>
              <w:right w:val="single" w:color="auto" w:sz="4" w:space="0"/>
            </w:tcBorders>
            <w:vAlign w:val="center"/>
          </w:tcPr>
          <w:p w14:paraId="04FDAC76">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370EB800">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322CC7BE">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3BDE65C6">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2CA3F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vAlign w:val="center"/>
          </w:tcPr>
          <w:p w14:paraId="04A4E9EB">
            <w:pPr>
              <w:spacing w:line="300" w:lineRule="exact"/>
              <w:jc w:val="center"/>
              <w:rPr>
                <w:b/>
                <w:color w:val="auto"/>
                <w:szCs w:val="21"/>
                <w:highlight w:val="none"/>
              </w:rPr>
            </w:pPr>
            <w:r>
              <w:rPr>
                <w:b/>
                <w:color w:val="auto"/>
                <w:szCs w:val="21"/>
                <w:highlight w:val="none"/>
              </w:rPr>
              <w:t>2.5.5</w:t>
            </w:r>
          </w:p>
        </w:tc>
        <w:tc>
          <w:tcPr>
            <w:tcW w:w="1134" w:type="dxa"/>
            <w:tcBorders>
              <w:top w:val="single" w:color="auto" w:sz="4" w:space="0"/>
              <w:left w:val="single" w:color="auto" w:sz="4" w:space="0"/>
              <w:bottom w:val="single" w:color="auto" w:sz="4" w:space="0"/>
              <w:right w:val="single" w:color="auto" w:sz="4" w:space="0"/>
            </w:tcBorders>
            <w:vAlign w:val="center"/>
          </w:tcPr>
          <w:p w14:paraId="28A4210F">
            <w:pPr>
              <w:spacing w:line="300" w:lineRule="exact"/>
              <w:jc w:val="center"/>
              <w:rPr>
                <w:color w:val="auto"/>
                <w:szCs w:val="21"/>
                <w:highlight w:val="none"/>
              </w:rPr>
            </w:pPr>
            <w:r>
              <w:rPr>
                <w:rFonts w:hint="eastAsia"/>
                <w:color w:val="auto"/>
                <w:szCs w:val="21"/>
                <w:highlight w:val="none"/>
              </w:rPr>
              <w:t>入围结果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714B6392">
            <w:pPr>
              <w:spacing w:line="300" w:lineRule="exact"/>
              <w:jc w:val="left"/>
              <w:rPr>
                <w:color w:val="auto"/>
                <w:szCs w:val="21"/>
                <w:highlight w:val="none"/>
              </w:rPr>
            </w:pPr>
            <w:r>
              <w:rPr>
                <w:rFonts w:hint="eastAsia"/>
                <w:color w:val="auto"/>
                <w:szCs w:val="21"/>
                <w:highlight w:val="none"/>
              </w:rPr>
              <w:t>采购代理机构在采购人</w:t>
            </w:r>
            <w:r>
              <w:rPr>
                <w:color w:val="auto"/>
                <w:szCs w:val="21"/>
                <w:highlight w:val="none"/>
              </w:rPr>
              <w:t>依法确认</w:t>
            </w:r>
            <w:r>
              <w:rPr>
                <w:rFonts w:hint="eastAsia"/>
                <w:color w:val="auto"/>
                <w:szCs w:val="21"/>
                <w:highlight w:val="none"/>
              </w:rPr>
              <w:t>入围供应商</w:t>
            </w:r>
            <w:r>
              <w:rPr>
                <w:color w:val="auto"/>
                <w:szCs w:val="21"/>
                <w:highlight w:val="none"/>
              </w:rPr>
              <w:t>后2个工作日内在征集公告发布的媒体上发布</w:t>
            </w:r>
            <w:r>
              <w:rPr>
                <w:rFonts w:hint="eastAsia"/>
                <w:color w:val="auto"/>
                <w:szCs w:val="21"/>
                <w:highlight w:val="none"/>
              </w:rPr>
              <w:t>入围结果</w:t>
            </w:r>
            <w:r>
              <w:rPr>
                <w:color w:val="auto"/>
                <w:szCs w:val="21"/>
                <w:highlight w:val="none"/>
              </w:rPr>
              <w:t>公告</w:t>
            </w:r>
            <w:r>
              <w:rPr>
                <w:rFonts w:hint="eastAsia"/>
                <w:color w:val="auto"/>
                <w:szCs w:val="21"/>
                <w:highlight w:val="none"/>
              </w:rPr>
              <w:t>。</w:t>
            </w:r>
          </w:p>
        </w:tc>
      </w:tr>
      <w:tr w14:paraId="4F713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vAlign w:val="center"/>
          </w:tcPr>
          <w:p w14:paraId="5BFA803B">
            <w:pPr>
              <w:spacing w:line="300" w:lineRule="exact"/>
              <w:jc w:val="center"/>
              <w:rPr>
                <w:b/>
                <w:color w:val="auto"/>
                <w:szCs w:val="21"/>
                <w:highlight w:val="none"/>
              </w:rPr>
            </w:pPr>
            <w:r>
              <w:rPr>
                <w:b/>
                <w:color w:val="auto"/>
                <w:szCs w:val="21"/>
                <w:highlight w:val="none"/>
              </w:rPr>
              <w:t>2.5.5.2</w:t>
            </w:r>
          </w:p>
        </w:tc>
        <w:tc>
          <w:tcPr>
            <w:tcW w:w="1134" w:type="dxa"/>
            <w:tcBorders>
              <w:top w:val="single" w:color="auto" w:sz="4" w:space="0"/>
              <w:left w:val="single" w:color="auto" w:sz="4" w:space="0"/>
              <w:bottom w:val="single" w:color="auto" w:sz="4" w:space="0"/>
              <w:right w:val="single" w:color="auto" w:sz="4" w:space="0"/>
            </w:tcBorders>
            <w:vAlign w:val="center"/>
          </w:tcPr>
          <w:p w14:paraId="1CA235BF">
            <w:pPr>
              <w:spacing w:line="300" w:lineRule="exact"/>
              <w:jc w:val="center"/>
              <w:rPr>
                <w:color w:val="auto"/>
                <w:szCs w:val="21"/>
                <w:highlight w:val="none"/>
              </w:rPr>
            </w:pPr>
            <w:r>
              <w:rPr>
                <w:rFonts w:hint="eastAsia"/>
                <w:color w:val="auto"/>
                <w:szCs w:val="21"/>
                <w:highlight w:val="none"/>
              </w:rPr>
              <w:t>入围通知书</w:t>
            </w:r>
          </w:p>
        </w:tc>
        <w:tc>
          <w:tcPr>
            <w:tcW w:w="7229" w:type="dxa"/>
            <w:tcBorders>
              <w:top w:val="single" w:color="auto" w:sz="4" w:space="0"/>
              <w:left w:val="single" w:color="auto" w:sz="4" w:space="0"/>
              <w:bottom w:val="single" w:color="auto" w:sz="4" w:space="0"/>
              <w:right w:val="single" w:color="auto" w:sz="4" w:space="0"/>
            </w:tcBorders>
            <w:vAlign w:val="center"/>
          </w:tcPr>
          <w:p w14:paraId="0D57F259">
            <w:pPr>
              <w:spacing w:line="300" w:lineRule="exact"/>
              <w:jc w:val="left"/>
              <w:rPr>
                <w:color w:val="auto"/>
                <w:szCs w:val="21"/>
                <w:highlight w:val="none"/>
              </w:rPr>
            </w:pPr>
            <w:r>
              <w:rPr>
                <w:rFonts w:hint="eastAsia"/>
                <w:color w:val="auto"/>
                <w:szCs w:val="21"/>
                <w:highlight w:val="none"/>
              </w:rPr>
              <w:t>采购代理机构通过广西政府采购云平台发出入围</w:t>
            </w:r>
            <w:r>
              <w:rPr>
                <w:color w:val="auto"/>
                <w:szCs w:val="21"/>
                <w:highlight w:val="none"/>
              </w:rPr>
              <w:t>通知书</w:t>
            </w:r>
            <w:r>
              <w:rPr>
                <w:rFonts w:hint="eastAsia"/>
                <w:color w:val="auto"/>
                <w:szCs w:val="21"/>
                <w:highlight w:val="none"/>
              </w:rPr>
              <w:t>，入围通知书即成交通知书。</w:t>
            </w:r>
          </w:p>
          <w:p w14:paraId="63DF4440">
            <w:pPr>
              <w:spacing w:line="300" w:lineRule="exact"/>
              <w:jc w:val="left"/>
              <w:rPr>
                <w:color w:val="auto"/>
                <w:szCs w:val="21"/>
                <w:highlight w:val="none"/>
              </w:rPr>
            </w:pPr>
            <w:r>
              <w:rPr>
                <w:rFonts w:hint="eastAsia"/>
                <w:color w:val="auto"/>
                <w:szCs w:val="21"/>
                <w:highlight w:val="none"/>
              </w:rPr>
              <w:t>入围通知书在广西政府采购云平台推送之日起，视为入围供应商已收到，入围供应商自行承担未及时查收的后果。</w:t>
            </w:r>
          </w:p>
        </w:tc>
      </w:tr>
      <w:tr w14:paraId="32B3F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vAlign w:val="center"/>
          </w:tcPr>
          <w:p w14:paraId="32285EB8">
            <w:pPr>
              <w:spacing w:line="300" w:lineRule="exact"/>
              <w:jc w:val="center"/>
              <w:rPr>
                <w:b/>
                <w:color w:val="auto"/>
                <w:szCs w:val="21"/>
                <w:highlight w:val="none"/>
              </w:rPr>
            </w:pPr>
            <w:r>
              <w:rPr>
                <w:b/>
                <w:color w:val="auto"/>
                <w:szCs w:val="21"/>
                <w:highlight w:val="none"/>
              </w:rPr>
              <w:t>2.9</w:t>
            </w:r>
          </w:p>
        </w:tc>
        <w:tc>
          <w:tcPr>
            <w:tcW w:w="1134" w:type="dxa"/>
            <w:tcBorders>
              <w:top w:val="single" w:color="auto" w:sz="4" w:space="0"/>
              <w:left w:val="single" w:color="auto" w:sz="4" w:space="0"/>
              <w:bottom w:val="single" w:color="auto" w:sz="4" w:space="0"/>
              <w:right w:val="single" w:color="auto" w:sz="4" w:space="0"/>
            </w:tcBorders>
            <w:vAlign w:val="center"/>
          </w:tcPr>
          <w:p w14:paraId="1046BC60">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23611F0A">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征集文件</w:t>
            </w:r>
            <w:r>
              <w:rPr>
                <w:color w:val="auto"/>
                <w:szCs w:val="21"/>
                <w:highlight w:val="none"/>
              </w:rPr>
              <w:t>、</w:t>
            </w:r>
            <w:r>
              <w:rPr>
                <w:rFonts w:hint="eastAsia"/>
                <w:color w:val="auto"/>
                <w:szCs w:val="21"/>
                <w:highlight w:val="none"/>
              </w:rPr>
              <w:t>征集</w:t>
            </w:r>
            <w:r>
              <w:rPr>
                <w:color w:val="auto"/>
                <w:szCs w:val="21"/>
                <w:highlight w:val="none"/>
              </w:rPr>
              <w:t>过程、</w:t>
            </w:r>
            <w:r>
              <w:rPr>
                <w:rFonts w:hint="eastAsia"/>
                <w:color w:val="auto"/>
                <w:szCs w:val="21"/>
                <w:highlight w:val="none"/>
              </w:rPr>
              <w:t>入围</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w:t>
            </w:r>
            <w:r>
              <w:rPr>
                <w:rFonts w:hint="eastAsia"/>
                <w:color w:val="auto"/>
                <w:szCs w:val="21"/>
                <w:highlight w:val="none"/>
              </w:rPr>
              <w:t>采购代理机构</w:t>
            </w:r>
            <w:r>
              <w:rPr>
                <w:color w:val="auto"/>
                <w:szCs w:val="21"/>
                <w:highlight w:val="none"/>
              </w:rPr>
              <w:t>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18B0CCCE">
            <w:pPr>
              <w:spacing w:line="300" w:lineRule="exact"/>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，供应商可通过现场或邮寄方式递交书面质疑材料。供应商应于质疑有效期内将质疑函原件递交或邮寄至征集公告中采购代理机构信息中的联系人。</w:t>
            </w:r>
          </w:p>
        </w:tc>
      </w:tr>
      <w:tr w14:paraId="28713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851" w:type="dxa"/>
            <w:tcBorders>
              <w:top w:val="single" w:color="auto" w:sz="4" w:space="0"/>
              <w:left w:val="single" w:color="auto" w:sz="4" w:space="0"/>
              <w:bottom w:val="single" w:color="auto" w:sz="4" w:space="0"/>
              <w:right w:val="single" w:color="auto" w:sz="4" w:space="0"/>
            </w:tcBorders>
            <w:vAlign w:val="center"/>
          </w:tcPr>
          <w:p w14:paraId="303C724A">
            <w:pPr>
              <w:spacing w:line="300" w:lineRule="exact"/>
              <w:jc w:val="center"/>
              <w:rPr>
                <w:b/>
                <w:color w:val="auto"/>
                <w:szCs w:val="21"/>
                <w:highlight w:val="none"/>
              </w:rPr>
            </w:pPr>
            <w:r>
              <w:rPr>
                <w:b/>
                <w:color w:val="auto"/>
                <w:szCs w:val="21"/>
                <w:highlight w:val="none"/>
              </w:rPr>
              <w:t>4.1</w:t>
            </w:r>
          </w:p>
        </w:tc>
        <w:tc>
          <w:tcPr>
            <w:tcW w:w="1134" w:type="dxa"/>
            <w:tcBorders>
              <w:top w:val="single" w:color="auto" w:sz="4" w:space="0"/>
              <w:left w:val="single" w:color="auto" w:sz="4" w:space="0"/>
              <w:bottom w:val="single" w:color="auto" w:sz="4" w:space="0"/>
              <w:right w:val="single" w:color="auto" w:sz="4" w:space="0"/>
            </w:tcBorders>
            <w:vAlign w:val="center"/>
          </w:tcPr>
          <w:p w14:paraId="384899F0">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02E542F4">
            <w:pPr>
              <w:rPr>
                <w:color w:val="auto"/>
                <w:szCs w:val="21"/>
                <w:highlight w:val="none"/>
              </w:rPr>
            </w:pPr>
            <w:r>
              <w:rPr>
                <w:color w:val="auto"/>
                <w:szCs w:val="21"/>
                <w:highlight w:val="none"/>
              </w:rPr>
              <w:t>（1）</w:t>
            </w:r>
            <w:r>
              <w:rPr>
                <w:color w:val="auto"/>
                <w:szCs w:val="20"/>
                <w:highlight w:val="none"/>
              </w:rPr>
              <w:t>代理服务费</w:t>
            </w:r>
          </w:p>
          <w:p w14:paraId="76A318F3">
            <w:pPr>
              <w:spacing w:line="300" w:lineRule="exact"/>
              <w:jc w:val="left"/>
              <w:rPr>
                <w:color w:val="auto"/>
                <w:szCs w:val="20"/>
                <w:highlight w:val="none"/>
              </w:rPr>
            </w:pPr>
            <w:r>
              <w:rPr>
                <w:color w:val="auto"/>
                <w:szCs w:val="21"/>
                <w:highlight w:val="none"/>
              </w:rPr>
              <w:t>采购代理机构</w:t>
            </w:r>
            <w:r>
              <w:rPr>
                <w:color w:val="auto"/>
                <w:szCs w:val="20"/>
                <w:highlight w:val="none"/>
              </w:rPr>
              <w:t>向入围供应商收取代理服务费</w:t>
            </w:r>
            <w:r>
              <w:rPr>
                <w:rFonts w:hint="eastAsia"/>
                <w:color w:val="auto"/>
                <w:szCs w:val="20"/>
                <w:highlight w:val="none"/>
              </w:rPr>
              <w:t>，仅为收取本项目框架协议采购活动采购咨询服务费用，不确保入围供应商会被选定为成交供应商并获得承接一定规模数量项目。代理服务费</w:t>
            </w:r>
            <w:r>
              <w:rPr>
                <w:color w:val="auto"/>
                <w:szCs w:val="20"/>
                <w:highlight w:val="none"/>
              </w:rPr>
              <w:t>具体金额为</w:t>
            </w:r>
            <w:r>
              <w:rPr>
                <w:rFonts w:hint="eastAsia"/>
                <w:color w:val="auto"/>
                <w:szCs w:val="20"/>
                <w:highlight w:val="none"/>
                <w:u w:val="single"/>
              </w:rPr>
              <w:t>按标项每个入围供应商分别缴纳人民币捌仟元整（¥8,000.00）</w:t>
            </w:r>
            <w:r>
              <w:rPr>
                <w:rFonts w:hint="eastAsia"/>
                <w:color w:val="auto"/>
                <w:szCs w:val="20"/>
                <w:highlight w:val="none"/>
              </w:rPr>
              <w:t>。</w:t>
            </w:r>
          </w:p>
          <w:p w14:paraId="6511BCEF">
            <w:pPr>
              <w:spacing w:line="300" w:lineRule="exact"/>
              <w:jc w:val="left"/>
              <w:rPr>
                <w:color w:val="auto"/>
                <w:szCs w:val="21"/>
                <w:highlight w:val="none"/>
              </w:rPr>
            </w:pPr>
            <w:r>
              <w:rPr>
                <w:color w:val="auto"/>
                <w:szCs w:val="21"/>
                <w:highlight w:val="none"/>
              </w:rPr>
              <w:t>（2）入围供应商</w:t>
            </w:r>
            <w:r>
              <w:rPr>
                <w:rFonts w:hint="eastAsia"/>
                <w:color w:val="auto"/>
                <w:szCs w:val="21"/>
                <w:highlight w:val="none"/>
              </w:rPr>
              <w:t>在入围结果公告发布后5个工作日内</w:t>
            </w:r>
            <w:r>
              <w:rPr>
                <w:color w:val="auto"/>
                <w:szCs w:val="21"/>
                <w:highlight w:val="none"/>
              </w:rPr>
              <w:t>以银行转账或现金形式支付代理服务费；采购代理机构也可以从入围供应商的响应保证金中扣除上述金额的代理服务费，余款按供应商所汇入响应保证金的账户原路退回，如无法原路返回，则按《代理服务费承诺书》列明的账户退回。</w:t>
            </w:r>
          </w:p>
          <w:p w14:paraId="49CD826A">
            <w:pPr>
              <w:spacing w:line="300" w:lineRule="exact"/>
              <w:jc w:val="left"/>
              <w:rPr>
                <w:color w:val="auto"/>
                <w:kern w:val="0"/>
                <w:szCs w:val="21"/>
                <w:highlight w:val="none"/>
              </w:rPr>
            </w:pPr>
            <w:r>
              <w:rPr>
                <w:rFonts w:hint="eastAsia"/>
                <w:color w:val="auto"/>
                <w:kern w:val="0"/>
                <w:szCs w:val="21"/>
                <w:highlight w:val="none"/>
              </w:rPr>
              <w:t>开户银行：广西北部湾银行南宁市金湖支行</w:t>
            </w:r>
          </w:p>
          <w:p w14:paraId="2654F480">
            <w:pPr>
              <w:spacing w:line="300" w:lineRule="exact"/>
              <w:jc w:val="left"/>
              <w:rPr>
                <w:color w:val="auto"/>
                <w:kern w:val="0"/>
                <w:szCs w:val="21"/>
                <w:highlight w:val="none"/>
              </w:rPr>
            </w:pPr>
            <w:r>
              <w:rPr>
                <w:rFonts w:hint="eastAsia"/>
                <w:color w:val="auto"/>
                <w:kern w:val="0"/>
                <w:szCs w:val="21"/>
                <w:highlight w:val="none"/>
              </w:rPr>
              <w:t>（银行地址：南宁市金湖路57号文德大厦1楼）</w:t>
            </w:r>
          </w:p>
          <w:p w14:paraId="4190B397">
            <w:pPr>
              <w:spacing w:line="300" w:lineRule="exact"/>
              <w:jc w:val="left"/>
              <w:rPr>
                <w:color w:val="auto"/>
                <w:kern w:val="0"/>
                <w:szCs w:val="21"/>
                <w:highlight w:val="none"/>
              </w:rPr>
            </w:pPr>
            <w:r>
              <w:rPr>
                <w:rFonts w:hint="eastAsia"/>
                <w:color w:val="auto"/>
                <w:kern w:val="0"/>
                <w:szCs w:val="21"/>
                <w:highlight w:val="none"/>
              </w:rPr>
              <w:t>开户名称：广西机电设备招标有限公司</w:t>
            </w:r>
          </w:p>
          <w:p w14:paraId="2118E2C9">
            <w:pPr>
              <w:spacing w:line="300" w:lineRule="exact"/>
              <w:jc w:val="left"/>
              <w:rPr>
                <w:color w:val="auto"/>
                <w:kern w:val="0"/>
                <w:szCs w:val="21"/>
                <w:highlight w:val="none"/>
              </w:rPr>
            </w:pPr>
            <w:r>
              <w:rPr>
                <w:rFonts w:hint="eastAsia"/>
                <w:color w:val="auto"/>
                <w:kern w:val="0"/>
                <w:szCs w:val="21"/>
                <w:highlight w:val="none"/>
              </w:rPr>
              <w:t>银行账号：1705012090027723 (联行号 313611017053)</w:t>
            </w:r>
          </w:p>
          <w:p w14:paraId="24A88F79">
            <w:pPr>
              <w:spacing w:line="300" w:lineRule="exact"/>
              <w:jc w:val="left"/>
              <w:rPr>
                <w:color w:val="auto"/>
                <w:kern w:val="0"/>
                <w:szCs w:val="21"/>
                <w:highlight w:val="none"/>
              </w:rPr>
            </w:pPr>
            <w:r>
              <w:rPr>
                <w:rFonts w:hint="eastAsia"/>
                <w:color w:val="auto"/>
                <w:kern w:val="0"/>
                <w:szCs w:val="21"/>
                <w:highlight w:val="none"/>
              </w:rPr>
              <w:t>财务联系人：吴茜（电话：0771-2821398）</w:t>
            </w:r>
          </w:p>
        </w:tc>
      </w:tr>
      <w:tr w14:paraId="31717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851" w:type="dxa"/>
            <w:tcBorders>
              <w:top w:val="single" w:color="auto" w:sz="4" w:space="0"/>
              <w:left w:val="single" w:color="auto" w:sz="4" w:space="0"/>
              <w:bottom w:val="single" w:color="auto" w:sz="4" w:space="0"/>
              <w:right w:val="single" w:color="auto" w:sz="4" w:space="0"/>
            </w:tcBorders>
            <w:vAlign w:val="center"/>
          </w:tcPr>
          <w:p w14:paraId="718CE066">
            <w:pPr>
              <w:spacing w:line="300" w:lineRule="exact"/>
              <w:jc w:val="center"/>
              <w:rPr>
                <w:b/>
                <w:color w:val="auto"/>
                <w:szCs w:val="21"/>
                <w:highlight w:val="none"/>
              </w:rPr>
            </w:pPr>
            <w:r>
              <w:rPr>
                <w:b/>
                <w:color w:val="auto"/>
                <w:szCs w:val="21"/>
                <w:highlight w:val="none"/>
              </w:rPr>
              <w:t>4.3</w:t>
            </w:r>
          </w:p>
        </w:tc>
        <w:tc>
          <w:tcPr>
            <w:tcW w:w="1134" w:type="dxa"/>
            <w:tcBorders>
              <w:top w:val="single" w:color="auto" w:sz="4" w:space="0"/>
              <w:left w:val="single" w:color="auto" w:sz="4" w:space="0"/>
              <w:bottom w:val="single" w:color="auto" w:sz="4" w:space="0"/>
              <w:right w:val="single" w:color="auto" w:sz="4" w:space="0"/>
            </w:tcBorders>
            <w:vAlign w:val="center"/>
          </w:tcPr>
          <w:p w14:paraId="78D803CA">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30DF6057">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7AD8D81D">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3CB36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851" w:type="dxa"/>
            <w:tcBorders>
              <w:top w:val="single" w:color="auto" w:sz="4" w:space="0"/>
              <w:left w:val="single" w:color="auto" w:sz="4" w:space="0"/>
              <w:bottom w:val="single" w:color="auto" w:sz="4" w:space="0"/>
              <w:right w:val="single" w:color="auto" w:sz="4" w:space="0"/>
            </w:tcBorders>
            <w:vAlign w:val="center"/>
          </w:tcPr>
          <w:p w14:paraId="3F7F9B34">
            <w:pPr>
              <w:spacing w:line="300" w:lineRule="exact"/>
              <w:jc w:val="center"/>
              <w:rPr>
                <w:b/>
                <w:color w:val="auto"/>
                <w:szCs w:val="21"/>
                <w:highlight w:val="none"/>
              </w:rPr>
            </w:pPr>
            <w:r>
              <w:rPr>
                <w:b/>
                <w:color w:val="auto"/>
                <w:szCs w:val="21"/>
                <w:highlight w:val="none"/>
              </w:rPr>
              <w:t>4.3</w:t>
            </w:r>
          </w:p>
        </w:tc>
        <w:tc>
          <w:tcPr>
            <w:tcW w:w="1134" w:type="dxa"/>
            <w:tcBorders>
              <w:top w:val="single" w:color="auto" w:sz="4" w:space="0"/>
              <w:left w:val="single" w:color="auto" w:sz="4" w:space="0"/>
              <w:bottom w:val="single" w:color="auto" w:sz="4" w:space="0"/>
              <w:right w:val="single" w:color="auto" w:sz="4" w:space="0"/>
            </w:tcBorders>
            <w:vAlign w:val="center"/>
          </w:tcPr>
          <w:p w14:paraId="7E7467A9">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521F6DD4">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10F03F5E">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3D1FE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51" w:type="dxa"/>
            <w:tcBorders>
              <w:top w:val="single" w:color="auto" w:sz="4" w:space="0"/>
              <w:left w:val="single" w:color="auto" w:sz="4" w:space="0"/>
              <w:bottom w:val="single" w:color="auto" w:sz="4" w:space="0"/>
              <w:right w:val="single" w:color="auto" w:sz="4" w:space="0"/>
            </w:tcBorders>
            <w:vAlign w:val="center"/>
          </w:tcPr>
          <w:p w14:paraId="2134B330">
            <w:pPr>
              <w:spacing w:line="300" w:lineRule="exact"/>
              <w:jc w:val="center"/>
              <w:rPr>
                <w:b/>
                <w:color w:val="auto"/>
                <w:szCs w:val="21"/>
                <w:highlight w:val="none"/>
              </w:rPr>
            </w:pPr>
            <w:r>
              <w:rPr>
                <w:b/>
                <w:color w:val="auto"/>
                <w:szCs w:val="21"/>
                <w:highlight w:val="none"/>
              </w:rPr>
              <w:t>4.4</w:t>
            </w:r>
          </w:p>
        </w:tc>
        <w:tc>
          <w:tcPr>
            <w:tcW w:w="1134" w:type="dxa"/>
            <w:tcBorders>
              <w:top w:val="single" w:color="auto" w:sz="4" w:space="0"/>
              <w:left w:val="single" w:color="auto" w:sz="4" w:space="0"/>
              <w:bottom w:val="single" w:color="auto" w:sz="4" w:space="0"/>
              <w:right w:val="single" w:color="auto" w:sz="4" w:space="0"/>
            </w:tcBorders>
            <w:vAlign w:val="center"/>
          </w:tcPr>
          <w:p w14:paraId="4B07A55F">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708A8135">
            <w:pPr>
              <w:spacing w:line="300" w:lineRule="exact"/>
              <w:rPr>
                <w:color w:val="auto"/>
                <w:szCs w:val="20"/>
                <w:highlight w:val="none"/>
              </w:rPr>
            </w:pPr>
            <w:r>
              <w:rPr>
                <w:rFonts w:hint="eastAsia"/>
                <w:color w:val="auto"/>
                <w:szCs w:val="20"/>
                <w:highlight w:val="none"/>
              </w:rPr>
              <w:t>构成本征集文件的各个组成文件应互为解释，互为说明：</w:t>
            </w:r>
          </w:p>
          <w:p w14:paraId="2624BD3E">
            <w:pPr>
              <w:spacing w:line="300" w:lineRule="exact"/>
              <w:rPr>
                <w:color w:val="auto"/>
                <w:sz w:val="24"/>
                <w:highlight w:val="none"/>
              </w:rPr>
            </w:pPr>
            <w:r>
              <w:rPr>
                <w:rFonts w:hint="eastAsia"/>
                <w:color w:val="auto"/>
                <w:szCs w:val="20"/>
                <w:highlight w:val="none"/>
              </w:rPr>
              <w:t>除征集文件中有特别规定外，仅适用于征集阶段的规定，按更正公告（澄清公告）、征集公告、采购需求、供应商须知、评审方法及标准、框架协议格式、合同条款格式、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由采购人或者采购代理机构负责解释。</w:t>
            </w:r>
          </w:p>
        </w:tc>
      </w:tr>
    </w:tbl>
    <w:p w14:paraId="0947EC31">
      <w:pPr>
        <w:spacing w:before="120" w:line="320" w:lineRule="atLeast"/>
        <w:outlineLvl w:val="1"/>
        <w:rPr>
          <w:bCs/>
          <w:color w:val="auto"/>
          <w:kern w:val="0"/>
          <w:sz w:val="28"/>
          <w:szCs w:val="28"/>
          <w:highlight w:val="none"/>
        </w:rPr>
        <w:sectPr>
          <w:headerReference r:id="rId12" w:type="first"/>
          <w:headerReference r:id="rId11" w:type="default"/>
          <w:pgSz w:w="11906" w:h="16838"/>
          <w:pgMar w:top="993" w:right="1133" w:bottom="1246" w:left="1418" w:header="851" w:footer="992" w:gutter="0"/>
          <w:cols w:space="720" w:num="1"/>
          <w:titlePg/>
          <w:docGrid w:linePitch="312" w:charSpace="0"/>
        </w:sectPr>
      </w:pPr>
    </w:p>
    <w:p w14:paraId="781FE9AE">
      <w:pPr>
        <w:spacing w:before="120" w:line="320" w:lineRule="atLeast"/>
        <w:outlineLvl w:val="1"/>
        <w:rPr>
          <w:b/>
          <w:bCs/>
          <w:color w:val="auto"/>
          <w:kern w:val="0"/>
          <w:szCs w:val="21"/>
          <w:highlight w:val="none"/>
        </w:rPr>
      </w:pPr>
      <w:bookmarkStart w:id="24" w:name="_Toc254970690"/>
      <w:bookmarkStart w:id="25" w:name="_Toc254970549"/>
      <w:r>
        <w:rPr>
          <w:color w:val="auto"/>
          <w:sz w:val="32"/>
          <w:szCs w:val="32"/>
          <w:highlight w:val="none"/>
        </w:rPr>
        <w:tab/>
      </w:r>
      <w:bookmarkStart w:id="26" w:name="_Hlk88949215"/>
      <w:r>
        <w:rPr>
          <w:b/>
          <w:bCs/>
          <w:color w:val="auto"/>
          <w:kern w:val="0"/>
          <w:szCs w:val="21"/>
          <w:highlight w:val="none"/>
        </w:rPr>
        <w:t>1．总则</w:t>
      </w:r>
    </w:p>
    <w:p w14:paraId="0A8BB22D">
      <w:pPr>
        <w:spacing w:before="120" w:line="320" w:lineRule="atLeast"/>
        <w:ind w:firstLine="422" w:firstLineChars="200"/>
        <w:outlineLvl w:val="2"/>
        <w:rPr>
          <w:b/>
          <w:bCs/>
          <w:color w:val="auto"/>
          <w:kern w:val="0"/>
          <w:szCs w:val="21"/>
          <w:highlight w:val="none"/>
        </w:rPr>
      </w:pPr>
      <w:bookmarkStart w:id="27" w:name="_Toc254970527"/>
      <w:bookmarkStart w:id="28" w:name="_Toc254970668"/>
      <w:r>
        <w:rPr>
          <w:b/>
          <w:bCs/>
          <w:color w:val="auto"/>
          <w:kern w:val="0"/>
          <w:szCs w:val="21"/>
          <w:highlight w:val="none"/>
        </w:rPr>
        <w:t>1.1适用范围</w:t>
      </w:r>
      <w:bookmarkEnd w:id="27"/>
      <w:bookmarkEnd w:id="28"/>
    </w:p>
    <w:p w14:paraId="6AC5E62D">
      <w:pPr>
        <w:spacing w:before="120" w:line="320" w:lineRule="atLeast"/>
        <w:ind w:firstLine="420" w:firstLineChars="200"/>
        <w:rPr>
          <w:color w:val="auto"/>
          <w:szCs w:val="21"/>
          <w:highlight w:val="none"/>
        </w:rPr>
      </w:pPr>
      <w:r>
        <w:rPr>
          <w:rFonts w:hint="eastAsia"/>
          <w:color w:val="auto"/>
          <w:szCs w:val="21"/>
          <w:highlight w:val="none"/>
        </w:rPr>
        <w:t>本项目为框架协议采购，是指征集人通过公开征集程序，确定第一阶段入围供应商并订立框架协议，采购人按照框架协议约定规则，在入围供应商范围内确定第二阶段成交供应商并订立采购合同的采购方式。</w:t>
      </w:r>
    </w:p>
    <w:p w14:paraId="6E0B53D9">
      <w:pPr>
        <w:spacing w:before="120" w:line="320" w:lineRule="atLeast"/>
        <w:ind w:firstLine="420" w:firstLineChars="200"/>
        <w:rPr>
          <w:color w:val="auto"/>
          <w:szCs w:val="21"/>
          <w:highlight w:val="none"/>
        </w:rPr>
      </w:pPr>
      <w:r>
        <w:rPr>
          <w:rFonts w:hint="eastAsia"/>
          <w:color w:val="auto"/>
          <w:szCs w:val="21"/>
          <w:highlight w:val="none"/>
        </w:rPr>
        <w:t>本文如无特别说明，文件中第一阶段即指征集阶段，第二阶段即指确定成交阶段。</w:t>
      </w:r>
      <w:r>
        <w:rPr>
          <w:color w:val="auto"/>
          <w:szCs w:val="21"/>
          <w:highlight w:val="none"/>
        </w:rPr>
        <w:t>本征集文件适用于</w:t>
      </w:r>
      <w:r>
        <w:rPr>
          <w:rFonts w:hint="eastAsia"/>
          <w:color w:val="auto"/>
          <w:szCs w:val="21"/>
          <w:highlight w:val="none"/>
        </w:rPr>
        <w:t>第一阶段的征集活动。</w:t>
      </w:r>
    </w:p>
    <w:p w14:paraId="2573F5ED">
      <w:pPr>
        <w:spacing w:before="120" w:line="320" w:lineRule="atLeast"/>
        <w:ind w:firstLine="422" w:firstLineChars="200"/>
        <w:outlineLvl w:val="2"/>
        <w:rPr>
          <w:b/>
          <w:bCs/>
          <w:color w:val="auto"/>
          <w:kern w:val="0"/>
          <w:szCs w:val="21"/>
          <w:highlight w:val="none"/>
        </w:rPr>
      </w:pPr>
      <w:bookmarkStart w:id="29" w:name="_Toc254970669"/>
      <w:bookmarkStart w:id="30" w:name="_Toc254970528"/>
      <w:r>
        <w:rPr>
          <w:b/>
          <w:bCs/>
          <w:color w:val="auto"/>
          <w:kern w:val="0"/>
          <w:szCs w:val="21"/>
          <w:highlight w:val="none"/>
        </w:rPr>
        <w:t>1.2定义</w:t>
      </w:r>
      <w:bookmarkEnd w:id="29"/>
      <w:bookmarkEnd w:id="30"/>
    </w:p>
    <w:p w14:paraId="18E3C61E">
      <w:pPr>
        <w:spacing w:before="120" w:line="320" w:lineRule="atLeast"/>
        <w:ind w:firstLine="420" w:firstLineChars="200"/>
        <w:rPr>
          <w:color w:val="auto"/>
          <w:szCs w:val="21"/>
          <w:highlight w:val="none"/>
        </w:rPr>
      </w:pPr>
      <w:r>
        <w:rPr>
          <w:color w:val="auto"/>
          <w:szCs w:val="21"/>
          <w:highlight w:val="none"/>
        </w:rPr>
        <w:t>1.2.1</w:t>
      </w:r>
      <w:r>
        <w:rPr>
          <w:rFonts w:hint="eastAsia"/>
          <w:color w:val="auto"/>
          <w:szCs w:val="21"/>
          <w:highlight w:val="none"/>
        </w:rPr>
        <w:t>“征集人”系指第一阶段主管预算单位及其委托的采购代理机构、集中采购机构的统称。</w:t>
      </w:r>
    </w:p>
    <w:p w14:paraId="59120569">
      <w:pPr>
        <w:spacing w:before="120" w:line="320" w:lineRule="atLeast"/>
        <w:ind w:firstLine="420" w:firstLineChars="200"/>
        <w:rPr>
          <w:color w:val="auto"/>
          <w:szCs w:val="21"/>
          <w:highlight w:val="none"/>
        </w:rPr>
      </w:pPr>
      <w:r>
        <w:rPr>
          <w:color w:val="auto"/>
          <w:szCs w:val="21"/>
          <w:highlight w:val="none"/>
        </w:rPr>
        <w:t>1.2.2</w:t>
      </w:r>
      <w:r>
        <w:rPr>
          <w:rFonts w:hint="eastAsia"/>
          <w:color w:val="auto"/>
          <w:szCs w:val="21"/>
          <w:highlight w:val="none"/>
        </w:rPr>
        <w:t>“采购人”</w:t>
      </w:r>
      <w:r>
        <w:rPr>
          <w:color w:val="auto"/>
          <w:szCs w:val="21"/>
          <w:highlight w:val="none"/>
        </w:rPr>
        <w:t>系指</w:t>
      </w:r>
      <w:r>
        <w:rPr>
          <w:rFonts w:hint="eastAsia"/>
          <w:color w:val="auto"/>
          <w:szCs w:val="21"/>
          <w:highlight w:val="none"/>
        </w:rPr>
        <w:t>第二阶段实际需要采购服务或货物的单位。</w:t>
      </w:r>
    </w:p>
    <w:p w14:paraId="2E852069">
      <w:pPr>
        <w:spacing w:before="120" w:line="320" w:lineRule="atLeast"/>
        <w:ind w:firstLine="420" w:firstLineChars="200"/>
        <w:rPr>
          <w:color w:val="auto"/>
          <w:szCs w:val="21"/>
          <w:highlight w:val="none"/>
        </w:rPr>
      </w:pPr>
      <w:r>
        <w:rPr>
          <w:color w:val="auto"/>
          <w:szCs w:val="21"/>
          <w:highlight w:val="none"/>
        </w:rPr>
        <w:t>1.2.3“</w:t>
      </w:r>
      <w:r>
        <w:rPr>
          <w:rFonts w:hint="eastAsia"/>
          <w:color w:val="auto"/>
          <w:szCs w:val="21"/>
          <w:highlight w:val="none"/>
        </w:rPr>
        <w:t>入围</w:t>
      </w:r>
      <w:r>
        <w:rPr>
          <w:color w:val="auto"/>
          <w:szCs w:val="21"/>
          <w:highlight w:val="none"/>
        </w:rPr>
        <w:t>供应商”系</w:t>
      </w:r>
      <w:r>
        <w:rPr>
          <w:color w:val="auto"/>
          <w:highlight w:val="none"/>
        </w:rPr>
        <w:t>指</w:t>
      </w:r>
      <w:r>
        <w:rPr>
          <w:rFonts w:hint="eastAsia"/>
          <w:color w:val="auto"/>
          <w:highlight w:val="none"/>
        </w:rPr>
        <w:t>参与第一阶段征集活动并入围</w:t>
      </w:r>
      <w:r>
        <w:rPr>
          <w:color w:val="auto"/>
          <w:highlight w:val="none"/>
        </w:rPr>
        <w:t>的法人、其他组织或者自然人</w:t>
      </w:r>
      <w:r>
        <w:rPr>
          <w:color w:val="auto"/>
          <w:szCs w:val="21"/>
          <w:highlight w:val="none"/>
        </w:rPr>
        <w:t>。</w:t>
      </w:r>
      <w:r>
        <w:rPr>
          <w:rFonts w:hint="eastAsia"/>
          <w:color w:val="auto"/>
          <w:szCs w:val="21"/>
          <w:highlight w:val="none"/>
        </w:rPr>
        <w:t>“成交供应商”系指在第一阶段入围并在第二阶段被选定与采购人签订合同的入围供应商。</w:t>
      </w:r>
    </w:p>
    <w:p w14:paraId="1DC7629C">
      <w:pPr>
        <w:spacing w:before="120" w:line="360" w:lineRule="auto"/>
        <w:ind w:firstLine="420" w:firstLineChars="200"/>
        <w:rPr>
          <w:color w:val="auto"/>
          <w:highlight w:val="none"/>
        </w:rPr>
      </w:pPr>
      <w:r>
        <w:rPr>
          <w:rFonts w:hint="eastAsia"/>
          <w:color w:val="auto"/>
          <w:highlight w:val="none"/>
        </w:rPr>
        <w:t>1.2.</w:t>
      </w:r>
      <w:r>
        <w:rPr>
          <w:color w:val="auto"/>
          <w:highlight w:val="none"/>
        </w:rPr>
        <w:t>4本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w:t>
      </w:r>
      <w:r>
        <w:rPr>
          <w:color w:val="auto"/>
          <w:highlight w:val="none"/>
        </w:rPr>
        <w:t>5</w:t>
      </w:r>
      <w:r>
        <w:rPr>
          <w:rFonts w:hint="eastAsia"/>
          <w:color w:val="auto"/>
          <w:highlight w:val="none"/>
        </w:rPr>
        <w:t>本文件中的“公章”是指根据我国对公章的管理规定，用供应商法定主体行为名称制作的印章，除本文件有特殊规定外，供应商的财务章、部门章、分公司章、工会章、合同章、响应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69B9ACD">
      <w:pPr>
        <w:widowControl/>
        <w:spacing w:line="360" w:lineRule="auto"/>
        <w:ind w:firstLine="420" w:firstLineChars="200"/>
        <w:jc w:val="left"/>
        <w:rPr>
          <w:color w:val="auto"/>
          <w:szCs w:val="21"/>
          <w:highlight w:val="none"/>
        </w:rPr>
      </w:pPr>
      <w:r>
        <w:rPr>
          <w:color w:val="auto"/>
          <w:szCs w:val="21"/>
          <w:highlight w:val="none"/>
        </w:rPr>
        <w:t>1.2.6“书面形式”如无特殊规定，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征集文件如有特殊规定，以征集文件规定为准。 </w:t>
      </w:r>
    </w:p>
    <w:p w14:paraId="447DCDF8">
      <w:pPr>
        <w:spacing w:before="120" w:line="320" w:lineRule="atLeast"/>
        <w:ind w:firstLine="420" w:firstLineChars="200"/>
        <w:rPr>
          <w:color w:val="auto"/>
          <w:szCs w:val="21"/>
          <w:highlight w:val="none"/>
        </w:rPr>
      </w:pPr>
      <w:r>
        <w:rPr>
          <w:color w:val="auto"/>
          <w:szCs w:val="21"/>
          <w:highlight w:val="none"/>
        </w:rPr>
        <w:t>1.2.7</w:t>
      </w:r>
      <w:r>
        <w:rPr>
          <w:rFonts w:hint="eastAsia"/>
          <w:color w:val="auto"/>
          <w:szCs w:val="21"/>
          <w:highlight w:val="none"/>
        </w:rPr>
        <w:t xml:space="preserve"> 本</w:t>
      </w:r>
      <w:r>
        <w:rPr>
          <w:color w:val="auto"/>
          <w:szCs w:val="21"/>
          <w:highlight w:val="none"/>
        </w:rPr>
        <w:t>征集文件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12747A97">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是指以数据电文形式在线完成采购活动的信息平台，本征集文件中也称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3175A1E2">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52F38D70">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71A6D455">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7BD785D5">
      <w:pPr>
        <w:spacing w:before="120" w:line="320" w:lineRule="atLeast"/>
        <w:ind w:firstLine="422" w:firstLineChars="200"/>
        <w:outlineLvl w:val="2"/>
        <w:rPr>
          <w:b/>
          <w:bCs/>
          <w:color w:val="auto"/>
          <w:kern w:val="0"/>
          <w:szCs w:val="21"/>
          <w:highlight w:val="none"/>
        </w:rPr>
      </w:pPr>
      <w:bookmarkStart w:id="31" w:name="_Hlk132812137"/>
      <w:bookmarkStart w:id="32" w:name="_Hlk139297194"/>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738FCD2D">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1F9AD831">
      <w:pPr>
        <w:spacing w:before="120" w:line="320" w:lineRule="atLeast"/>
        <w:ind w:left="2" w:leftChars="1" w:firstLine="420" w:firstLineChars="200"/>
        <w:rPr>
          <w:color w:val="auto"/>
          <w:szCs w:val="21"/>
          <w:highlight w:val="none"/>
        </w:rPr>
      </w:pPr>
      <w:r>
        <w:rPr>
          <w:rFonts w:hint="eastAsia"/>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Start w:id="33" w:name="_Hlk92205820"/>
      <w:r>
        <w:rPr>
          <w:rFonts w:hint="eastAsia"/>
          <w:color w:val="auto"/>
          <w:szCs w:val="21"/>
          <w:highlight w:val="none"/>
        </w:rPr>
        <w:t>价格扣除比例在第四章评审方法及标准中规定，对小型企业和微型企业同等对待，不作区分。</w:t>
      </w:r>
    </w:p>
    <w:p w14:paraId="5E2682F0">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5BE59295">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DC8A58F">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3B36B0D8">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2AF07860">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4DA9D80C">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4CD71946">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11F68FA3">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6B86D63F">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符合条件的货物制造商、工程施工单位、服务承接单位为中小企业的，应按征集文件规定在响应文件中提供声明函。</w:t>
      </w:r>
    </w:p>
    <w:p w14:paraId="2C2E4447">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7F92F113">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2FC1489A">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380FB11F">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72A83FD0">
      <w:pPr>
        <w:spacing w:before="120" w:line="320" w:lineRule="atLeast"/>
        <w:ind w:left="2" w:leftChars="1"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符合条件的货物制造商、工程施工单位、服务承接单位为监狱企业或残疾人福利性单位的，应按征集文件规定在响应文件中提供相关证明文件。</w:t>
      </w:r>
      <w:bookmarkEnd w:id="31"/>
      <w:bookmarkEnd w:id="33"/>
    </w:p>
    <w:bookmarkEnd w:id="32"/>
    <w:p w14:paraId="61996992">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23924892">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194F487E">
      <w:pPr>
        <w:spacing w:before="120" w:line="320" w:lineRule="atLeast"/>
        <w:ind w:firstLine="420" w:firstLineChars="200"/>
        <w:rPr>
          <w:color w:val="auto"/>
          <w:szCs w:val="21"/>
          <w:highlight w:val="none"/>
        </w:rPr>
      </w:pPr>
      <w:r>
        <w:rPr>
          <w:color w:val="auto"/>
          <w:szCs w:val="21"/>
          <w:highlight w:val="none"/>
        </w:rPr>
        <w:t>1.5.2按照征集公告的规定获得征集文件。</w:t>
      </w:r>
    </w:p>
    <w:p w14:paraId="52F533D9">
      <w:pPr>
        <w:spacing w:before="120" w:line="320" w:lineRule="atLeast"/>
        <w:ind w:firstLine="420" w:firstLineChars="200"/>
        <w:rPr>
          <w:color w:val="auto"/>
          <w:szCs w:val="21"/>
          <w:highlight w:val="none"/>
        </w:rPr>
      </w:pPr>
      <w:r>
        <w:rPr>
          <w:color w:val="auto"/>
          <w:szCs w:val="21"/>
          <w:highlight w:val="none"/>
        </w:rPr>
        <w:t>1.5.3本项目是否接受联合体响应，</w:t>
      </w:r>
      <w:r>
        <w:rPr>
          <w:rFonts w:hint="eastAsia"/>
          <w:color w:val="auto"/>
          <w:szCs w:val="21"/>
          <w:highlight w:val="none"/>
        </w:rPr>
        <w:t>详</w:t>
      </w:r>
      <w:r>
        <w:rPr>
          <w:color w:val="auto"/>
          <w:szCs w:val="21"/>
          <w:highlight w:val="none"/>
        </w:rPr>
        <w:t>见供应商须知前附表规定。</w:t>
      </w:r>
    </w:p>
    <w:p w14:paraId="30644A01">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12D6F399">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）供应商可以组成一个响应联合体，以一个供应商的身份共同参加响应。联合体响应的，须提供《联合体协议书》（格式后附）</w:t>
      </w:r>
    </w:p>
    <w:p w14:paraId="3A09B516">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征集文件规定的特定条件。</w:t>
      </w:r>
    </w:p>
    <w:p w14:paraId="19685CE9">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BCF0E39">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5DD59322">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5C3684B9">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（6）联合体响应业绩、履约能力按照联合体各方其中较高的一方认定并计算（征集文件其他章节另有规定的除外）。</w:t>
      </w:r>
    </w:p>
    <w:p w14:paraId="09E4E6DA">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（7）供应商为联合体的，可以由联合体中的一方或者多方共同交纳响应保证金，其交纳的保证金对联合体各方均具有约束力。</w:t>
      </w:r>
    </w:p>
    <w:p w14:paraId="6DE8EA5E">
      <w:pPr>
        <w:spacing w:before="120" w:line="320" w:lineRule="atLeast"/>
        <w:ind w:firstLine="420" w:firstLineChars="200"/>
        <w:rPr>
          <w:color w:val="auto"/>
          <w:szCs w:val="21"/>
          <w:highlight w:val="none"/>
        </w:rPr>
      </w:pPr>
      <w:r>
        <w:rPr>
          <w:rFonts w:hint="eastAsia"/>
          <w:color w:val="auto"/>
          <w:szCs w:val="21"/>
          <w:highlight w:val="none"/>
        </w:rPr>
        <w:t>（8）联合体各方均应按照征集文件的规定提交资格证明文件。</w:t>
      </w:r>
    </w:p>
    <w:p w14:paraId="2FD59F93">
      <w:pPr>
        <w:spacing w:before="120" w:line="320" w:lineRule="atLeast"/>
        <w:ind w:firstLine="422" w:firstLineChars="200"/>
        <w:outlineLvl w:val="2"/>
        <w:rPr>
          <w:b/>
          <w:bCs/>
          <w:color w:val="auto"/>
          <w:kern w:val="0"/>
          <w:szCs w:val="21"/>
          <w:highlight w:val="none"/>
        </w:rPr>
      </w:pPr>
      <w:bookmarkStart w:id="34" w:name="_Toc254970672"/>
      <w:bookmarkStart w:id="35" w:name="_Toc254970531"/>
      <w:r>
        <w:rPr>
          <w:b/>
          <w:bCs/>
          <w:color w:val="auto"/>
          <w:kern w:val="0"/>
          <w:szCs w:val="21"/>
          <w:highlight w:val="none"/>
        </w:rPr>
        <w:t>1.6现场踏勘及响应费用</w:t>
      </w:r>
      <w:bookmarkEnd w:id="34"/>
      <w:bookmarkEnd w:id="35"/>
    </w:p>
    <w:p w14:paraId="4C97E101">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0604693F">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1.6.2供应商均应自行承担所有与响应有关的全部费用（征集文件有相关的规定除外）。</w:t>
      </w:r>
    </w:p>
    <w:p w14:paraId="674854BD">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7F862BED">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征集文件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337508F8">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征集文件的规定和采购项目的实际情况，拟在入围后将入围项目的非主体、非关键性工作分包的，应当在响应文件中载明分包承担主体，分包承担主体应当具备相应资质条件且不得再次分包。</w:t>
      </w:r>
    </w:p>
    <w:p w14:paraId="0FB6395A">
      <w:pPr>
        <w:spacing w:before="120" w:line="276" w:lineRule="auto"/>
        <w:ind w:firstLine="422" w:firstLineChars="200"/>
        <w:outlineLvl w:val="2"/>
        <w:rPr>
          <w:b/>
          <w:bCs/>
          <w:color w:val="auto"/>
          <w:kern w:val="0"/>
          <w:szCs w:val="21"/>
          <w:highlight w:val="none"/>
        </w:rPr>
      </w:pPr>
      <w:bookmarkStart w:id="36" w:name="_Toc254970532"/>
      <w:bookmarkStart w:id="37" w:name="_Toc254970673"/>
      <w:r>
        <w:rPr>
          <w:b/>
          <w:bCs/>
          <w:color w:val="auto"/>
          <w:kern w:val="0"/>
          <w:szCs w:val="21"/>
          <w:highlight w:val="none"/>
        </w:rPr>
        <w:t>1.8特别说明</w:t>
      </w:r>
      <w:bookmarkEnd w:id="36"/>
      <w:bookmarkEnd w:id="37"/>
    </w:p>
    <w:p w14:paraId="2DA72AD5">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w:t>
      </w:r>
      <w:r>
        <w:rPr>
          <w:rFonts w:hint="eastAsia"/>
          <w:color w:val="auto"/>
          <w:szCs w:val="21"/>
          <w:highlight w:val="none"/>
        </w:rPr>
        <w:t>征集人</w:t>
      </w:r>
      <w:r>
        <w:rPr>
          <w:color w:val="auto"/>
          <w:szCs w:val="21"/>
          <w:highlight w:val="none"/>
        </w:rPr>
        <w:t>不承担由此引起的一切后果。</w:t>
      </w:r>
    </w:p>
    <w:p w14:paraId="66E15FC3">
      <w:pPr>
        <w:spacing w:before="120" w:line="320" w:lineRule="atLeast"/>
        <w:ind w:firstLine="420" w:firstLineChars="200"/>
        <w:rPr>
          <w:color w:val="auto"/>
          <w:szCs w:val="21"/>
          <w:highlight w:val="none"/>
        </w:rPr>
      </w:pPr>
      <w:r>
        <w:rPr>
          <w:color w:val="auto"/>
          <w:szCs w:val="21"/>
          <w:highlight w:val="none"/>
        </w:rPr>
        <w:t>1.8.2供应商应仔细阅读征集文件的所有内容，按照征集文件的要求提交响应文件，并对所提供的全部资料的真实性</w:t>
      </w:r>
      <w:r>
        <w:rPr>
          <w:rFonts w:hint="eastAsia"/>
          <w:color w:val="auto"/>
          <w:szCs w:val="21"/>
          <w:highlight w:val="none"/>
        </w:rPr>
        <w:t>和合法性</w:t>
      </w:r>
      <w:r>
        <w:rPr>
          <w:color w:val="auto"/>
          <w:szCs w:val="21"/>
          <w:highlight w:val="none"/>
        </w:rPr>
        <w:t>承担法律责任。</w:t>
      </w:r>
    </w:p>
    <w:p w14:paraId="7C62FF99">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报监管部门查处</w:t>
      </w:r>
      <w:r>
        <w:rPr>
          <w:rFonts w:hint="eastAsia"/>
          <w:color w:val="auto"/>
          <w:szCs w:val="21"/>
          <w:highlight w:val="none"/>
        </w:rPr>
        <w:t>。</w:t>
      </w:r>
      <w:r>
        <w:rPr>
          <w:color w:val="auto"/>
          <w:szCs w:val="21"/>
          <w:highlight w:val="none"/>
        </w:rPr>
        <w:t xml:space="preserve"> </w:t>
      </w:r>
    </w:p>
    <w:p w14:paraId="221F7736">
      <w:pPr>
        <w:spacing w:before="120" w:line="320" w:lineRule="atLeast"/>
        <w:ind w:left="2" w:leftChars="1" w:firstLine="422" w:firstLineChars="200"/>
        <w:outlineLvl w:val="1"/>
        <w:rPr>
          <w:b/>
          <w:bCs/>
          <w:color w:val="auto"/>
          <w:kern w:val="0"/>
          <w:szCs w:val="21"/>
          <w:highlight w:val="none"/>
        </w:rPr>
      </w:pPr>
      <w:r>
        <w:rPr>
          <w:rFonts w:hint="eastAsia"/>
          <w:b/>
          <w:bCs/>
          <w:color w:val="auto"/>
          <w:kern w:val="0"/>
          <w:szCs w:val="21"/>
          <w:highlight w:val="none"/>
        </w:rPr>
        <w:t>2．第一阶段（征集阶段）</w:t>
      </w:r>
    </w:p>
    <w:p w14:paraId="2595C780">
      <w:pPr>
        <w:spacing w:before="120" w:line="320" w:lineRule="atLeast"/>
        <w:ind w:left="2" w:leftChars="1" w:firstLine="422" w:firstLineChars="200"/>
        <w:outlineLvl w:val="2"/>
        <w:rPr>
          <w:b/>
          <w:bCs/>
          <w:color w:val="auto"/>
          <w:kern w:val="0"/>
          <w:szCs w:val="21"/>
          <w:highlight w:val="none"/>
        </w:rPr>
      </w:pPr>
      <w:bookmarkStart w:id="38" w:name="_Toc254970534"/>
      <w:bookmarkStart w:id="39" w:name="_Toc254970675"/>
      <w:r>
        <w:rPr>
          <w:rFonts w:hint="eastAsia"/>
          <w:b/>
          <w:bCs/>
          <w:color w:val="auto"/>
          <w:kern w:val="0"/>
          <w:szCs w:val="21"/>
          <w:highlight w:val="none"/>
        </w:rPr>
        <w:t>2.1</w:t>
      </w:r>
      <w:r>
        <w:rPr>
          <w:b/>
          <w:bCs/>
          <w:color w:val="auto"/>
          <w:kern w:val="0"/>
          <w:szCs w:val="21"/>
          <w:highlight w:val="none"/>
        </w:rPr>
        <w:t>征集文件</w:t>
      </w:r>
      <w:bookmarkEnd w:id="38"/>
      <w:bookmarkEnd w:id="39"/>
    </w:p>
    <w:p w14:paraId="279DF7AA">
      <w:pPr>
        <w:spacing w:before="120" w:line="320" w:lineRule="atLeast"/>
        <w:ind w:firstLine="422" w:firstLineChars="200"/>
        <w:outlineLvl w:val="3"/>
        <w:rPr>
          <w:b/>
          <w:bCs/>
          <w:color w:val="auto"/>
          <w:kern w:val="0"/>
          <w:szCs w:val="21"/>
          <w:highlight w:val="none"/>
        </w:rPr>
      </w:pPr>
      <w:r>
        <w:rPr>
          <w:b/>
          <w:bCs/>
          <w:color w:val="auto"/>
          <w:kern w:val="0"/>
          <w:szCs w:val="21"/>
          <w:highlight w:val="none"/>
        </w:rPr>
        <w:t>2.1</w:t>
      </w:r>
      <w:r>
        <w:rPr>
          <w:rFonts w:hint="eastAsia"/>
          <w:b/>
          <w:bCs/>
          <w:color w:val="auto"/>
          <w:kern w:val="0"/>
          <w:szCs w:val="21"/>
          <w:highlight w:val="none"/>
        </w:rPr>
        <w:t>.1</w:t>
      </w:r>
      <w:r>
        <w:rPr>
          <w:b/>
          <w:bCs/>
          <w:color w:val="auto"/>
          <w:kern w:val="0"/>
          <w:szCs w:val="21"/>
          <w:highlight w:val="none"/>
        </w:rPr>
        <w:t>征集文件的构成</w:t>
      </w:r>
    </w:p>
    <w:p w14:paraId="7727D7BF">
      <w:pPr>
        <w:spacing w:before="120" w:line="320" w:lineRule="atLeast"/>
        <w:ind w:firstLine="420" w:firstLineChars="200"/>
        <w:rPr>
          <w:color w:val="auto"/>
          <w:szCs w:val="21"/>
          <w:highlight w:val="none"/>
        </w:rPr>
      </w:pPr>
      <w:r>
        <w:rPr>
          <w:color w:val="auto"/>
          <w:szCs w:val="21"/>
          <w:highlight w:val="none"/>
        </w:rPr>
        <w:t>第一章 征集公告</w:t>
      </w:r>
    </w:p>
    <w:p w14:paraId="36596A1E">
      <w:pPr>
        <w:spacing w:before="120" w:line="320" w:lineRule="atLeast"/>
        <w:ind w:firstLine="420" w:firstLineChars="200"/>
        <w:rPr>
          <w:color w:val="auto"/>
          <w:szCs w:val="21"/>
          <w:highlight w:val="none"/>
        </w:rPr>
      </w:pPr>
      <w:r>
        <w:rPr>
          <w:color w:val="auto"/>
          <w:szCs w:val="21"/>
          <w:highlight w:val="none"/>
        </w:rPr>
        <w:t>第二章 采购需求</w:t>
      </w:r>
    </w:p>
    <w:p w14:paraId="325158A0">
      <w:pPr>
        <w:spacing w:before="120" w:line="320" w:lineRule="atLeast"/>
        <w:ind w:firstLine="420" w:firstLineChars="200"/>
        <w:rPr>
          <w:color w:val="auto"/>
          <w:szCs w:val="21"/>
          <w:highlight w:val="none"/>
        </w:rPr>
      </w:pPr>
      <w:r>
        <w:rPr>
          <w:color w:val="auto"/>
          <w:szCs w:val="21"/>
          <w:highlight w:val="none"/>
        </w:rPr>
        <w:t>第三章 供应商须知</w:t>
      </w:r>
    </w:p>
    <w:p w14:paraId="3A937266">
      <w:pPr>
        <w:spacing w:before="120" w:line="320" w:lineRule="atLeast"/>
        <w:ind w:firstLine="420" w:firstLineChars="200"/>
        <w:rPr>
          <w:color w:val="auto"/>
          <w:szCs w:val="21"/>
          <w:highlight w:val="none"/>
        </w:rPr>
      </w:pPr>
      <w:r>
        <w:rPr>
          <w:color w:val="auto"/>
          <w:szCs w:val="21"/>
          <w:highlight w:val="none"/>
        </w:rPr>
        <w:t>第四章 评审方法及标准</w:t>
      </w:r>
    </w:p>
    <w:p w14:paraId="4B926FAC">
      <w:pPr>
        <w:spacing w:before="120" w:line="320" w:lineRule="atLeast"/>
        <w:ind w:firstLine="420" w:firstLineChars="200"/>
        <w:rPr>
          <w:color w:val="auto"/>
          <w:szCs w:val="21"/>
          <w:highlight w:val="none"/>
        </w:rPr>
      </w:pPr>
      <w:r>
        <w:rPr>
          <w:rFonts w:hint="eastAsia"/>
          <w:color w:val="auto"/>
          <w:szCs w:val="21"/>
          <w:highlight w:val="none"/>
        </w:rPr>
        <w:t>第五章 框架协议格式</w:t>
      </w:r>
    </w:p>
    <w:p w14:paraId="11BB285C">
      <w:pPr>
        <w:spacing w:before="120" w:line="320" w:lineRule="atLeast"/>
        <w:ind w:firstLine="420" w:firstLineChars="200"/>
        <w:rPr>
          <w:color w:val="auto"/>
          <w:szCs w:val="21"/>
          <w:highlight w:val="none"/>
        </w:rPr>
      </w:pPr>
      <w:r>
        <w:rPr>
          <w:color w:val="auto"/>
          <w:szCs w:val="21"/>
          <w:highlight w:val="none"/>
        </w:rPr>
        <w:t>第</w:t>
      </w:r>
      <w:r>
        <w:rPr>
          <w:rFonts w:hint="eastAsia"/>
          <w:color w:val="auto"/>
          <w:szCs w:val="21"/>
          <w:highlight w:val="none"/>
        </w:rPr>
        <w:t>六</w:t>
      </w:r>
      <w:r>
        <w:rPr>
          <w:color w:val="auto"/>
          <w:szCs w:val="21"/>
          <w:highlight w:val="none"/>
        </w:rPr>
        <w:t>章 合同主要条款格式</w:t>
      </w:r>
    </w:p>
    <w:p w14:paraId="6C74E6A3">
      <w:pPr>
        <w:spacing w:before="120" w:line="320" w:lineRule="atLeast"/>
        <w:ind w:firstLine="420" w:firstLineChars="200"/>
        <w:rPr>
          <w:color w:val="auto"/>
          <w:szCs w:val="21"/>
          <w:highlight w:val="none"/>
        </w:rPr>
      </w:pPr>
      <w:r>
        <w:rPr>
          <w:color w:val="auto"/>
          <w:szCs w:val="21"/>
          <w:highlight w:val="none"/>
        </w:rPr>
        <w:t>第</w:t>
      </w:r>
      <w:r>
        <w:rPr>
          <w:rFonts w:hint="eastAsia"/>
          <w:color w:val="auto"/>
          <w:szCs w:val="21"/>
          <w:highlight w:val="none"/>
        </w:rPr>
        <w:t>七</w:t>
      </w:r>
      <w:r>
        <w:rPr>
          <w:color w:val="auto"/>
          <w:szCs w:val="21"/>
          <w:highlight w:val="none"/>
        </w:rPr>
        <w:t>章 响应文件格式</w:t>
      </w:r>
    </w:p>
    <w:p w14:paraId="1177B1AB">
      <w:pPr>
        <w:spacing w:before="120" w:line="320" w:lineRule="atLeast"/>
        <w:ind w:firstLine="422" w:firstLineChars="200"/>
        <w:outlineLvl w:val="3"/>
        <w:rPr>
          <w:b/>
          <w:bCs/>
          <w:color w:val="auto"/>
          <w:kern w:val="0"/>
          <w:szCs w:val="21"/>
          <w:highlight w:val="none"/>
        </w:rPr>
      </w:pPr>
      <w:r>
        <w:rPr>
          <w:b/>
          <w:bCs/>
          <w:color w:val="auto"/>
          <w:kern w:val="0"/>
          <w:szCs w:val="21"/>
          <w:highlight w:val="none"/>
        </w:rPr>
        <w:t>2.</w:t>
      </w:r>
      <w:r>
        <w:rPr>
          <w:rFonts w:hint="eastAsia"/>
          <w:b/>
          <w:bCs/>
          <w:color w:val="auto"/>
          <w:kern w:val="0"/>
          <w:szCs w:val="21"/>
          <w:highlight w:val="none"/>
        </w:rPr>
        <w:t>1.2</w:t>
      </w:r>
      <w:r>
        <w:rPr>
          <w:b/>
          <w:bCs/>
          <w:color w:val="auto"/>
          <w:kern w:val="0"/>
          <w:szCs w:val="21"/>
          <w:highlight w:val="none"/>
        </w:rPr>
        <w:t>供应商的风险</w:t>
      </w:r>
    </w:p>
    <w:p w14:paraId="11C557E0">
      <w:pPr>
        <w:spacing w:before="120" w:line="320" w:lineRule="atLeast"/>
        <w:ind w:firstLine="420" w:firstLineChars="200"/>
        <w:rPr>
          <w:color w:val="auto"/>
          <w:szCs w:val="21"/>
          <w:highlight w:val="none"/>
        </w:rPr>
      </w:pPr>
      <w:r>
        <w:rPr>
          <w:color w:val="auto"/>
          <w:szCs w:val="21"/>
          <w:highlight w:val="none"/>
        </w:rPr>
        <w:t>供应商没有按照征集文件要求提供全部资料，或者供应商没有对征集文件在各方面作出实质性响应是供应商的风险，并可能导致其响应被否决。</w:t>
      </w:r>
    </w:p>
    <w:p w14:paraId="3D305B22">
      <w:pPr>
        <w:spacing w:before="120" w:line="320" w:lineRule="atLeast"/>
        <w:ind w:firstLine="422" w:firstLineChars="200"/>
        <w:outlineLvl w:val="3"/>
        <w:rPr>
          <w:b/>
          <w:color w:val="auto"/>
          <w:szCs w:val="21"/>
          <w:highlight w:val="none"/>
        </w:rPr>
      </w:pPr>
      <w:r>
        <w:rPr>
          <w:b/>
          <w:bCs/>
          <w:color w:val="auto"/>
          <w:kern w:val="0"/>
          <w:szCs w:val="21"/>
          <w:highlight w:val="none"/>
        </w:rPr>
        <w:t>2.</w:t>
      </w:r>
      <w:r>
        <w:rPr>
          <w:rFonts w:hint="eastAsia"/>
          <w:b/>
          <w:bCs/>
          <w:color w:val="auto"/>
          <w:kern w:val="0"/>
          <w:szCs w:val="21"/>
          <w:highlight w:val="none"/>
        </w:rPr>
        <w:t>1.3</w:t>
      </w:r>
      <w:r>
        <w:rPr>
          <w:b/>
          <w:bCs/>
          <w:color w:val="auto"/>
          <w:kern w:val="0"/>
          <w:szCs w:val="21"/>
          <w:highlight w:val="none"/>
        </w:rPr>
        <w:t>征集文件的澄清与修改</w:t>
      </w:r>
    </w:p>
    <w:p w14:paraId="229C1A5C">
      <w:pPr>
        <w:spacing w:before="120" w:line="320" w:lineRule="atLeast"/>
        <w:ind w:firstLine="420" w:firstLineChars="200"/>
        <w:rPr>
          <w:color w:val="auto"/>
          <w:szCs w:val="21"/>
          <w:highlight w:val="none"/>
        </w:rPr>
      </w:pPr>
      <w:r>
        <w:rPr>
          <w:color w:val="auto"/>
          <w:szCs w:val="21"/>
          <w:highlight w:val="none"/>
        </w:rPr>
        <w:t>2.1.3.1</w:t>
      </w:r>
      <w:r>
        <w:rPr>
          <w:rFonts w:hint="eastAsia"/>
          <w:color w:val="auto"/>
          <w:szCs w:val="21"/>
          <w:highlight w:val="none"/>
        </w:rPr>
        <w:t>任何已获得征集文件的潜在供应商，均可</w:t>
      </w:r>
      <w:r>
        <w:rPr>
          <w:color w:val="auto"/>
          <w:szCs w:val="21"/>
          <w:highlight w:val="none"/>
        </w:rPr>
        <w:t>以书面形式要求</w:t>
      </w:r>
      <w:r>
        <w:rPr>
          <w:rFonts w:hint="eastAsia"/>
          <w:color w:val="auto"/>
          <w:szCs w:val="21"/>
          <w:highlight w:val="none"/>
        </w:rPr>
        <w:t>征集人</w:t>
      </w:r>
      <w:r>
        <w:rPr>
          <w:color w:val="auto"/>
          <w:szCs w:val="21"/>
          <w:highlight w:val="none"/>
        </w:rPr>
        <w:t>作出书面解释、澄清</w:t>
      </w:r>
      <w:r>
        <w:rPr>
          <w:rFonts w:hint="eastAsia"/>
          <w:color w:val="auto"/>
          <w:szCs w:val="21"/>
          <w:highlight w:val="none"/>
        </w:rPr>
        <w:t>。</w:t>
      </w:r>
    </w:p>
    <w:p w14:paraId="63C238E7">
      <w:pPr>
        <w:spacing w:before="120" w:line="320" w:lineRule="atLeast"/>
        <w:ind w:firstLine="420" w:firstLineChars="200"/>
        <w:rPr>
          <w:color w:val="auto"/>
          <w:szCs w:val="21"/>
          <w:highlight w:val="none"/>
        </w:rPr>
      </w:pPr>
      <w:bookmarkStart w:id="40" w:name="_Hlk139297254"/>
      <w:r>
        <w:rPr>
          <w:color w:val="auto"/>
          <w:szCs w:val="21"/>
          <w:highlight w:val="none"/>
        </w:rPr>
        <w:t>2.1.3.2</w:t>
      </w:r>
      <w:r>
        <w:rPr>
          <w:rFonts w:hint="eastAsia"/>
          <w:color w:val="auto"/>
          <w:szCs w:val="21"/>
          <w:highlight w:val="none"/>
        </w:rPr>
        <w:t>征集人可以对已发出的征集文件进行必要的澄清或者修改。澄清或者修改的内容可能影响响应文件编制的，征集人应当在投标截止时间至少15日前，</w:t>
      </w:r>
      <w:bookmarkStart w:id="41" w:name="_Hlk132790706"/>
      <w:r>
        <w:rPr>
          <w:rFonts w:hint="eastAsia"/>
          <w:color w:val="auto"/>
          <w:szCs w:val="21"/>
          <w:highlight w:val="none"/>
        </w:rPr>
        <w:t>在供应商须知前附表规定的方式通知所有获取征集文件的潜在</w:t>
      </w:r>
      <w:bookmarkEnd w:id="41"/>
      <w:r>
        <w:rPr>
          <w:rFonts w:hint="eastAsia"/>
          <w:color w:val="auto"/>
          <w:szCs w:val="21"/>
          <w:highlight w:val="none"/>
        </w:rPr>
        <w:t>供应商；不足15日的，征集人应当顺延提交投标文件的截止时间。</w:t>
      </w:r>
    </w:p>
    <w:bookmarkEnd w:id="40"/>
    <w:p w14:paraId="0B4D27D4">
      <w:pPr>
        <w:spacing w:before="120" w:line="320" w:lineRule="atLeast"/>
        <w:ind w:firstLine="420" w:firstLineChars="200"/>
        <w:rPr>
          <w:color w:val="auto"/>
          <w:szCs w:val="21"/>
          <w:highlight w:val="none"/>
        </w:rPr>
      </w:pPr>
      <w:r>
        <w:rPr>
          <w:color w:val="auto"/>
          <w:szCs w:val="21"/>
          <w:highlight w:val="none"/>
        </w:rPr>
        <w:t>2.1.3.3征集文件澄清、答复、修改、补充的内容为征集文件的组成部分。当征集文件与征集文件的答复、澄清、修改、补充通知就同一内容的表述不一致时，以最后发出的公告或书面文件为准。</w:t>
      </w:r>
    </w:p>
    <w:p w14:paraId="2E3D18C0">
      <w:pPr>
        <w:spacing w:before="120" w:line="320" w:lineRule="atLeast"/>
        <w:ind w:left="2" w:leftChars="1" w:firstLine="422" w:firstLineChars="200"/>
        <w:outlineLvl w:val="2"/>
        <w:rPr>
          <w:b/>
          <w:bCs/>
          <w:color w:val="auto"/>
          <w:kern w:val="0"/>
          <w:szCs w:val="21"/>
          <w:highlight w:val="none"/>
        </w:rPr>
      </w:pPr>
      <w:bookmarkStart w:id="42" w:name="_Toc254970535"/>
      <w:bookmarkStart w:id="43" w:name="_Toc254970676"/>
      <w:r>
        <w:rPr>
          <w:rFonts w:hint="eastAsia"/>
          <w:b/>
          <w:bCs/>
          <w:color w:val="auto"/>
          <w:kern w:val="0"/>
          <w:szCs w:val="21"/>
          <w:highlight w:val="none"/>
        </w:rPr>
        <w:t>2.2</w:t>
      </w:r>
      <w:r>
        <w:rPr>
          <w:b/>
          <w:bCs/>
          <w:color w:val="auto"/>
          <w:kern w:val="0"/>
          <w:szCs w:val="21"/>
          <w:highlight w:val="none"/>
        </w:rPr>
        <w:t>响应文件</w:t>
      </w:r>
      <w:bookmarkEnd w:id="42"/>
      <w:bookmarkEnd w:id="43"/>
    </w:p>
    <w:p w14:paraId="3998DE46">
      <w:pPr>
        <w:spacing w:before="120" w:line="320" w:lineRule="atLeast"/>
        <w:ind w:firstLine="422" w:firstLineChars="200"/>
        <w:outlineLvl w:val="3"/>
        <w:rPr>
          <w:b/>
          <w:bCs/>
          <w:color w:val="auto"/>
          <w:kern w:val="0"/>
          <w:szCs w:val="21"/>
          <w:highlight w:val="none"/>
        </w:rPr>
      </w:pPr>
      <w:bookmarkStart w:id="44" w:name="_Toc254970677"/>
      <w:bookmarkStart w:id="45" w:name="_Toc254970536"/>
      <w:r>
        <w:rPr>
          <w:rFonts w:hint="eastAsia"/>
          <w:b/>
          <w:bCs/>
          <w:color w:val="auto"/>
          <w:kern w:val="0"/>
          <w:szCs w:val="21"/>
          <w:highlight w:val="none"/>
        </w:rPr>
        <w:t>2.2.1</w:t>
      </w:r>
      <w:r>
        <w:rPr>
          <w:b/>
          <w:bCs/>
          <w:color w:val="auto"/>
          <w:kern w:val="0"/>
          <w:szCs w:val="21"/>
          <w:highlight w:val="none"/>
        </w:rPr>
        <w:t>响应文件的组成</w:t>
      </w:r>
      <w:bookmarkEnd w:id="44"/>
      <w:bookmarkEnd w:id="45"/>
    </w:p>
    <w:p w14:paraId="14715530">
      <w:pPr>
        <w:spacing w:before="120" w:line="320" w:lineRule="atLeast"/>
        <w:ind w:firstLine="420" w:firstLineChars="200"/>
        <w:rPr>
          <w:color w:val="auto"/>
          <w:szCs w:val="21"/>
          <w:highlight w:val="none"/>
        </w:rPr>
      </w:pPr>
      <w:r>
        <w:rPr>
          <w:color w:val="auto"/>
          <w:szCs w:val="21"/>
          <w:highlight w:val="none"/>
        </w:rPr>
        <w:t>响应文件由第</w:t>
      </w:r>
      <w:r>
        <w:rPr>
          <w:rFonts w:hint="eastAsia"/>
          <w:color w:val="auto"/>
          <w:szCs w:val="21"/>
          <w:highlight w:val="none"/>
        </w:rPr>
        <w:t>七</w:t>
      </w:r>
      <w:r>
        <w:rPr>
          <w:color w:val="auto"/>
          <w:szCs w:val="21"/>
          <w:highlight w:val="none"/>
        </w:rPr>
        <w:t>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3FC22F1E">
      <w:pPr>
        <w:spacing w:before="120" w:line="320" w:lineRule="atLeast"/>
        <w:ind w:firstLine="422" w:firstLineChars="200"/>
        <w:outlineLvl w:val="3"/>
        <w:rPr>
          <w:b/>
          <w:bCs/>
          <w:color w:val="auto"/>
          <w:kern w:val="0"/>
          <w:szCs w:val="21"/>
          <w:highlight w:val="none"/>
        </w:rPr>
      </w:pPr>
      <w:bookmarkStart w:id="46" w:name="_Toc254970537"/>
      <w:bookmarkStart w:id="47" w:name="_Toc254970678"/>
      <w:r>
        <w:rPr>
          <w:rFonts w:hint="eastAsia"/>
          <w:b/>
          <w:color w:val="auto"/>
          <w:szCs w:val="21"/>
          <w:highlight w:val="none"/>
        </w:rPr>
        <w:t>2.2.2</w:t>
      </w:r>
      <w:r>
        <w:rPr>
          <w:b/>
          <w:bCs/>
          <w:color w:val="auto"/>
          <w:kern w:val="0"/>
          <w:szCs w:val="21"/>
          <w:highlight w:val="none"/>
        </w:rPr>
        <w:t>响应文件的语言及计量</w:t>
      </w:r>
      <w:bookmarkEnd w:id="46"/>
      <w:bookmarkEnd w:id="47"/>
    </w:p>
    <w:p w14:paraId="4A7C35DB">
      <w:pPr>
        <w:spacing w:before="120" w:line="320" w:lineRule="atLeast"/>
        <w:ind w:firstLine="420" w:firstLineChars="200"/>
        <w:rPr>
          <w:color w:val="auto"/>
          <w:szCs w:val="21"/>
          <w:highlight w:val="none"/>
        </w:rPr>
      </w:pPr>
      <w:r>
        <w:rPr>
          <w:rFonts w:hint="eastAsia"/>
          <w:color w:val="auto"/>
          <w:szCs w:val="21"/>
          <w:highlight w:val="none"/>
        </w:rPr>
        <w:t>2.2.2.1响应文件以及供应商与征集人就有关响应事宜的所有来往函电，均应以中文书写（除专用术语外，与采购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67421496">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.2.2</w:t>
      </w:r>
      <w:r>
        <w:rPr>
          <w:rFonts w:hint="eastAsia"/>
          <w:color w:val="auto"/>
          <w:szCs w:val="21"/>
          <w:highlight w:val="none"/>
        </w:rPr>
        <w:t>.2</w:t>
      </w:r>
      <w:r>
        <w:rPr>
          <w:color w:val="auto"/>
          <w:szCs w:val="21"/>
          <w:highlight w:val="none"/>
        </w:rPr>
        <w:t>计量单位征集文件已有明确规定的，响应使用征集文件规定的计量单位；征集文件没有规定的，应采用中华人民共和国法定计量单位。</w:t>
      </w:r>
    </w:p>
    <w:p w14:paraId="0393D8A7">
      <w:pPr>
        <w:spacing w:before="120" w:line="320" w:lineRule="atLeast"/>
        <w:ind w:firstLine="422" w:firstLineChars="200"/>
        <w:outlineLvl w:val="3"/>
        <w:rPr>
          <w:b/>
          <w:bCs/>
          <w:color w:val="auto"/>
          <w:kern w:val="0"/>
          <w:szCs w:val="21"/>
          <w:highlight w:val="none"/>
        </w:rPr>
      </w:pPr>
      <w:bookmarkStart w:id="48" w:name="_Toc254970538"/>
      <w:bookmarkStart w:id="49" w:name="_Toc254970679"/>
      <w:r>
        <w:rPr>
          <w:rFonts w:hint="eastAsia"/>
          <w:b/>
          <w:bCs/>
          <w:color w:val="auto"/>
          <w:kern w:val="0"/>
          <w:szCs w:val="21"/>
          <w:highlight w:val="none"/>
        </w:rPr>
        <w:t>2</w:t>
      </w:r>
      <w:r>
        <w:rPr>
          <w:b/>
          <w:bCs/>
          <w:color w:val="auto"/>
          <w:kern w:val="0"/>
          <w:szCs w:val="21"/>
          <w:highlight w:val="none"/>
        </w:rPr>
        <w:t>.</w:t>
      </w:r>
      <w:r>
        <w:rPr>
          <w:rFonts w:hint="eastAsia"/>
          <w:b/>
          <w:bCs/>
          <w:color w:val="auto"/>
          <w:kern w:val="0"/>
          <w:szCs w:val="21"/>
          <w:highlight w:val="none"/>
        </w:rPr>
        <w:t>2.</w:t>
      </w:r>
      <w:r>
        <w:rPr>
          <w:b/>
          <w:bCs/>
          <w:color w:val="auto"/>
          <w:kern w:val="0"/>
          <w:szCs w:val="21"/>
          <w:highlight w:val="none"/>
        </w:rPr>
        <w:t>3</w:t>
      </w:r>
      <w:r>
        <w:rPr>
          <w:rFonts w:hint="eastAsia"/>
          <w:b/>
          <w:bCs/>
          <w:color w:val="auto"/>
          <w:kern w:val="0"/>
          <w:szCs w:val="21"/>
          <w:highlight w:val="none"/>
        </w:rPr>
        <w:t>响应</w:t>
      </w:r>
      <w:r>
        <w:rPr>
          <w:b/>
          <w:bCs/>
          <w:color w:val="auto"/>
          <w:kern w:val="0"/>
          <w:szCs w:val="21"/>
          <w:highlight w:val="none"/>
        </w:rPr>
        <w:t>报价</w:t>
      </w:r>
      <w:bookmarkEnd w:id="48"/>
      <w:bookmarkEnd w:id="49"/>
      <w:r>
        <w:rPr>
          <w:rFonts w:hint="eastAsia"/>
          <w:b/>
          <w:bCs/>
          <w:color w:val="auto"/>
          <w:kern w:val="0"/>
          <w:szCs w:val="21"/>
          <w:highlight w:val="none"/>
        </w:rPr>
        <w:t>（如本项目需要报价时）</w:t>
      </w:r>
    </w:p>
    <w:p w14:paraId="65EA3CDF">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2.</w:t>
      </w:r>
      <w:r>
        <w:rPr>
          <w:color w:val="auto"/>
          <w:szCs w:val="21"/>
          <w:highlight w:val="none"/>
        </w:rPr>
        <w:t>3.1</w:t>
      </w:r>
      <w:r>
        <w:rPr>
          <w:rFonts w:hint="eastAsia"/>
          <w:color w:val="auto"/>
          <w:szCs w:val="21"/>
          <w:highlight w:val="none"/>
        </w:rPr>
        <w:t>响应</w:t>
      </w:r>
      <w:r>
        <w:rPr>
          <w:color w:val="auto"/>
          <w:szCs w:val="21"/>
          <w:highlight w:val="none"/>
        </w:rPr>
        <w:t>报价应按征集文件中相关附表格式填写。</w:t>
      </w:r>
    </w:p>
    <w:p w14:paraId="3F0E445F">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2.</w:t>
      </w:r>
      <w:r>
        <w:rPr>
          <w:color w:val="auto"/>
          <w:szCs w:val="21"/>
          <w:highlight w:val="none"/>
        </w:rPr>
        <w:t>3.2响应文件只允许有一个报价，有选择的或有条件的报价将不予接受。</w:t>
      </w:r>
    </w:p>
    <w:p w14:paraId="3DC86C59">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2.2.</w:t>
      </w:r>
      <w:r>
        <w:rPr>
          <w:color w:val="auto"/>
          <w:kern w:val="1"/>
          <w:szCs w:val="21"/>
          <w:highlight w:val="none"/>
        </w:rPr>
        <w:t>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0B2D4F4D">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2</w:t>
      </w:r>
      <w:r>
        <w:rPr>
          <w:color w:val="auto"/>
          <w:kern w:val="1"/>
          <w:szCs w:val="21"/>
          <w:highlight w:val="none"/>
        </w:rPr>
        <w:t>.</w:t>
      </w:r>
      <w:r>
        <w:rPr>
          <w:rFonts w:hint="eastAsia"/>
          <w:color w:val="auto"/>
          <w:kern w:val="1"/>
          <w:szCs w:val="21"/>
          <w:highlight w:val="none"/>
        </w:rPr>
        <w:t>2.</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04178ABD">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2</w:t>
      </w:r>
      <w:r>
        <w:rPr>
          <w:b/>
          <w:bCs/>
          <w:color w:val="auto"/>
          <w:kern w:val="0"/>
          <w:szCs w:val="21"/>
          <w:highlight w:val="none"/>
        </w:rPr>
        <w:t>.</w:t>
      </w:r>
      <w:r>
        <w:rPr>
          <w:rFonts w:hint="eastAsia"/>
          <w:b/>
          <w:bCs/>
          <w:color w:val="auto"/>
          <w:kern w:val="0"/>
          <w:szCs w:val="21"/>
          <w:highlight w:val="none"/>
        </w:rPr>
        <w:t>2.</w:t>
      </w:r>
      <w:r>
        <w:rPr>
          <w:b/>
          <w:bCs/>
          <w:color w:val="auto"/>
          <w:kern w:val="0"/>
          <w:szCs w:val="21"/>
          <w:highlight w:val="none"/>
        </w:rPr>
        <w:t>4</w:t>
      </w:r>
      <w:r>
        <w:rPr>
          <w:rFonts w:hint="eastAsia"/>
          <w:b/>
          <w:bCs/>
          <w:color w:val="auto"/>
          <w:kern w:val="0"/>
          <w:szCs w:val="21"/>
          <w:highlight w:val="none"/>
        </w:rPr>
        <w:t>响应</w:t>
      </w:r>
      <w:r>
        <w:rPr>
          <w:b/>
          <w:bCs/>
          <w:color w:val="auto"/>
          <w:kern w:val="0"/>
          <w:szCs w:val="21"/>
          <w:highlight w:val="none"/>
        </w:rPr>
        <w:t>有效期</w:t>
      </w:r>
    </w:p>
    <w:p w14:paraId="1AB1B460">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.2.4.1如征集文件其他地方无特别规定</w:t>
      </w:r>
      <w:r>
        <w:rPr>
          <w:rFonts w:hint="eastAsia"/>
          <w:color w:val="auto"/>
          <w:szCs w:val="21"/>
          <w:highlight w:val="none"/>
        </w:rPr>
        <w:t>，响应</w:t>
      </w:r>
      <w:r>
        <w:rPr>
          <w:color w:val="auto"/>
          <w:szCs w:val="21"/>
          <w:highlight w:val="none"/>
        </w:rPr>
        <w:t>有效期则为响应截止之日起90天</w:t>
      </w:r>
      <w:r>
        <w:rPr>
          <w:rFonts w:hint="eastAsia"/>
          <w:color w:val="auto"/>
          <w:szCs w:val="21"/>
          <w:highlight w:val="none"/>
        </w:rPr>
        <w:t>。</w:t>
      </w:r>
      <w:r>
        <w:rPr>
          <w:color w:val="auto"/>
          <w:szCs w:val="21"/>
          <w:highlight w:val="none"/>
        </w:rPr>
        <w:t>在</w:t>
      </w:r>
      <w:r>
        <w:rPr>
          <w:rFonts w:hint="eastAsia"/>
          <w:color w:val="auto"/>
          <w:szCs w:val="21"/>
          <w:highlight w:val="none"/>
        </w:rPr>
        <w:t>响应</w:t>
      </w:r>
      <w:r>
        <w:rPr>
          <w:color w:val="auto"/>
          <w:szCs w:val="21"/>
          <w:highlight w:val="none"/>
        </w:rPr>
        <w:t>有效期内响应文件应保持有效。</w:t>
      </w:r>
      <w:r>
        <w:rPr>
          <w:b/>
          <w:bCs/>
          <w:color w:val="auto"/>
          <w:szCs w:val="21"/>
          <w:highlight w:val="none"/>
        </w:rPr>
        <w:t>有效期不足的响应文件将被否决</w:t>
      </w:r>
      <w:r>
        <w:rPr>
          <w:color w:val="auto"/>
          <w:szCs w:val="21"/>
          <w:highlight w:val="none"/>
        </w:rPr>
        <w:t>。</w:t>
      </w:r>
    </w:p>
    <w:p w14:paraId="053452E5">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.2.4.2在特殊情况下，</w:t>
      </w:r>
      <w:r>
        <w:rPr>
          <w:rFonts w:hint="eastAsia"/>
          <w:color w:val="auto"/>
          <w:szCs w:val="21"/>
          <w:highlight w:val="none"/>
        </w:rPr>
        <w:t>征集人</w:t>
      </w:r>
      <w:r>
        <w:rPr>
          <w:color w:val="auto"/>
          <w:szCs w:val="21"/>
          <w:highlight w:val="none"/>
        </w:rPr>
        <w:t>可与供应商协商延长响应文件的有效期，这种要求和答复均以书面形式进行。</w:t>
      </w:r>
    </w:p>
    <w:p w14:paraId="628EC849">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.2.4.3</w:t>
      </w:r>
      <w:r>
        <w:rPr>
          <w:rFonts w:hint="eastAsia"/>
          <w:color w:val="auto"/>
          <w:szCs w:val="21"/>
          <w:highlight w:val="none"/>
        </w:rPr>
        <w:t>供应商同意延长的响应有效期的，如本项目要求提交保证金则应相应延长其响应保证金的有效期，但不得要求或被允许修改或撤销其响应文件；供应商拒绝延长的，其响应无效，但供应商有权收回其响应保证金。</w:t>
      </w:r>
    </w:p>
    <w:p w14:paraId="7C4B96E5">
      <w:pPr>
        <w:spacing w:before="120" w:line="320" w:lineRule="atLeast"/>
        <w:ind w:firstLine="422" w:firstLineChars="200"/>
        <w:outlineLvl w:val="3"/>
        <w:rPr>
          <w:b/>
          <w:bCs/>
          <w:color w:val="auto"/>
          <w:kern w:val="0"/>
          <w:szCs w:val="21"/>
          <w:highlight w:val="none"/>
        </w:rPr>
      </w:pPr>
      <w:bookmarkStart w:id="50" w:name="_Toc254970682"/>
      <w:bookmarkStart w:id="51" w:name="_Toc254970541"/>
      <w:r>
        <w:rPr>
          <w:rFonts w:hint="eastAsia"/>
          <w:b/>
          <w:bCs/>
          <w:color w:val="auto"/>
          <w:kern w:val="0"/>
          <w:szCs w:val="21"/>
          <w:highlight w:val="none"/>
        </w:rPr>
        <w:t>2</w:t>
      </w:r>
      <w:r>
        <w:rPr>
          <w:b/>
          <w:bCs/>
          <w:color w:val="auto"/>
          <w:kern w:val="0"/>
          <w:szCs w:val="21"/>
          <w:highlight w:val="none"/>
        </w:rPr>
        <w:t>.2.5</w:t>
      </w:r>
      <w:r>
        <w:rPr>
          <w:rFonts w:hint="eastAsia"/>
          <w:b/>
          <w:bCs/>
          <w:color w:val="auto"/>
          <w:kern w:val="0"/>
          <w:szCs w:val="21"/>
          <w:highlight w:val="none"/>
        </w:rPr>
        <w:t>响应保证金</w:t>
      </w:r>
      <w:bookmarkEnd w:id="50"/>
      <w:bookmarkEnd w:id="51"/>
    </w:p>
    <w:p w14:paraId="398CDD15">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.2.5.1供应商须按须知前附表规定提交</w:t>
      </w:r>
      <w:r>
        <w:rPr>
          <w:rFonts w:hint="eastAsia"/>
          <w:color w:val="auto"/>
          <w:szCs w:val="21"/>
          <w:highlight w:val="none"/>
        </w:rPr>
        <w:t>响应保证金</w:t>
      </w:r>
      <w:r>
        <w:rPr>
          <w:color w:val="auto"/>
          <w:szCs w:val="21"/>
          <w:highlight w:val="none"/>
        </w:rPr>
        <w:t>，</w:t>
      </w:r>
      <w:r>
        <w:rPr>
          <w:b/>
          <w:bCs/>
          <w:color w:val="auto"/>
          <w:szCs w:val="21"/>
          <w:highlight w:val="none"/>
        </w:rPr>
        <w:t>否则其响应将被否决</w:t>
      </w:r>
      <w:r>
        <w:rPr>
          <w:color w:val="auto"/>
          <w:szCs w:val="21"/>
          <w:highlight w:val="none"/>
        </w:rPr>
        <w:t>。除征集文件规定不予退还保证金的情形外，</w:t>
      </w:r>
      <w:r>
        <w:rPr>
          <w:rFonts w:hint="eastAsia"/>
          <w:color w:val="auto"/>
          <w:szCs w:val="21"/>
          <w:highlight w:val="none"/>
        </w:rPr>
        <w:t>采购代理机构</w:t>
      </w:r>
      <w:r>
        <w:rPr>
          <w:color w:val="auto"/>
          <w:szCs w:val="21"/>
          <w:highlight w:val="none"/>
        </w:rPr>
        <w:t>在规定时间内退回供应商的</w:t>
      </w:r>
      <w:r>
        <w:rPr>
          <w:rFonts w:hint="eastAsia"/>
          <w:color w:val="auto"/>
          <w:szCs w:val="21"/>
          <w:highlight w:val="none"/>
        </w:rPr>
        <w:t>响应保证金</w:t>
      </w:r>
      <w:r>
        <w:rPr>
          <w:color w:val="auto"/>
          <w:szCs w:val="21"/>
          <w:highlight w:val="none"/>
        </w:rPr>
        <w:t>（供应商自行承担因未按供应商须知前附表要求交纳导致</w:t>
      </w:r>
      <w:r>
        <w:rPr>
          <w:rFonts w:hint="eastAsia"/>
          <w:color w:val="auto"/>
          <w:szCs w:val="21"/>
          <w:highlight w:val="none"/>
        </w:rPr>
        <w:t>响应保证金</w:t>
      </w:r>
      <w:r>
        <w:rPr>
          <w:color w:val="auto"/>
          <w:szCs w:val="21"/>
          <w:highlight w:val="none"/>
        </w:rPr>
        <w:t>无法及时退还的责任）。</w:t>
      </w:r>
    </w:p>
    <w:p w14:paraId="76463B29">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.2.5.2</w:t>
      </w:r>
      <w:r>
        <w:rPr>
          <w:rFonts w:hint="eastAsia"/>
          <w:color w:val="auto"/>
          <w:szCs w:val="21"/>
          <w:highlight w:val="none"/>
        </w:rPr>
        <w:t>响应保证金</w:t>
      </w:r>
      <w:r>
        <w:rPr>
          <w:color w:val="auto"/>
          <w:szCs w:val="21"/>
          <w:highlight w:val="none"/>
        </w:rPr>
        <w:t>币种应与</w:t>
      </w:r>
      <w:r>
        <w:rPr>
          <w:rFonts w:hint="eastAsia"/>
          <w:color w:val="auto"/>
          <w:szCs w:val="21"/>
          <w:highlight w:val="none"/>
        </w:rPr>
        <w:t>响应</w:t>
      </w:r>
      <w:r>
        <w:rPr>
          <w:color w:val="auto"/>
          <w:szCs w:val="21"/>
          <w:highlight w:val="none"/>
        </w:rPr>
        <w:t>报价币种相同。</w:t>
      </w:r>
    </w:p>
    <w:p w14:paraId="09B6F917">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.2.5.3</w:t>
      </w:r>
      <w:r>
        <w:rPr>
          <w:rFonts w:hint="eastAsia"/>
          <w:color w:val="auto"/>
          <w:szCs w:val="21"/>
          <w:highlight w:val="none"/>
        </w:rPr>
        <w:t>非入围供应商</w:t>
      </w:r>
      <w:r>
        <w:rPr>
          <w:color w:val="auto"/>
          <w:szCs w:val="21"/>
          <w:highlight w:val="none"/>
        </w:rPr>
        <w:t>的</w:t>
      </w:r>
      <w:r>
        <w:rPr>
          <w:rFonts w:hint="eastAsia"/>
          <w:color w:val="auto"/>
          <w:szCs w:val="21"/>
          <w:highlight w:val="none"/>
        </w:rPr>
        <w:t>响应保证金</w:t>
      </w:r>
      <w:r>
        <w:rPr>
          <w:color w:val="auto"/>
          <w:szCs w:val="21"/>
          <w:highlight w:val="none"/>
        </w:rPr>
        <w:t>在</w:t>
      </w:r>
      <w:r>
        <w:rPr>
          <w:rFonts w:hint="eastAsia"/>
          <w:color w:val="auto"/>
          <w:szCs w:val="21"/>
          <w:highlight w:val="none"/>
        </w:rPr>
        <w:t>入围</w:t>
      </w:r>
      <w:r>
        <w:rPr>
          <w:color w:val="auto"/>
          <w:szCs w:val="21"/>
          <w:highlight w:val="none"/>
        </w:rPr>
        <w:t>通知书发出后5个工作日内退还。</w:t>
      </w:r>
      <w:r>
        <w:rPr>
          <w:rFonts w:hint="eastAsia"/>
          <w:color w:val="auto"/>
          <w:szCs w:val="21"/>
          <w:highlight w:val="none"/>
        </w:rPr>
        <w:t>入围供应商</w:t>
      </w:r>
      <w:r>
        <w:rPr>
          <w:color w:val="auto"/>
          <w:szCs w:val="21"/>
          <w:highlight w:val="none"/>
        </w:rPr>
        <w:t>的</w:t>
      </w:r>
      <w:r>
        <w:rPr>
          <w:rFonts w:hint="eastAsia"/>
          <w:color w:val="auto"/>
          <w:szCs w:val="21"/>
          <w:highlight w:val="none"/>
        </w:rPr>
        <w:t>响应保证金</w:t>
      </w:r>
      <w:r>
        <w:rPr>
          <w:color w:val="auto"/>
          <w:szCs w:val="21"/>
          <w:highlight w:val="none"/>
        </w:rPr>
        <w:t>在</w:t>
      </w:r>
      <w:r>
        <w:rPr>
          <w:rFonts w:hint="eastAsia"/>
          <w:color w:val="auto"/>
          <w:szCs w:val="21"/>
          <w:highlight w:val="none"/>
        </w:rPr>
        <w:t>框架协议</w:t>
      </w:r>
      <w:r>
        <w:rPr>
          <w:color w:val="auto"/>
          <w:szCs w:val="21"/>
          <w:highlight w:val="none"/>
        </w:rPr>
        <w:t>签订后5个工作日内退还</w:t>
      </w:r>
      <w:r>
        <w:rPr>
          <w:rFonts w:hint="eastAsia"/>
          <w:color w:val="auto"/>
          <w:szCs w:val="21"/>
          <w:highlight w:val="none"/>
        </w:rPr>
        <w:t>。</w:t>
      </w:r>
    </w:p>
    <w:p w14:paraId="4EE64169">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.2.5.4供应商有下列情形之一的，响应保证金将不予退还：</w:t>
      </w:r>
    </w:p>
    <w:p w14:paraId="0775DFAF">
      <w:pPr>
        <w:numPr>
          <w:ilvl w:val="0"/>
          <w:numId w:val="1"/>
        </w:numPr>
        <w:spacing w:before="120" w:line="320" w:lineRule="atLeast"/>
        <w:rPr>
          <w:color w:val="auto"/>
          <w:szCs w:val="21"/>
          <w:highlight w:val="none"/>
        </w:rPr>
      </w:pPr>
      <w:r>
        <w:rPr>
          <w:color w:val="auto"/>
          <w:szCs w:val="21"/>
          <w:highlight w:val="none"/>
        </w:rPr>
        <w:t>供应商在</w:t>
      </w:r>
      <w:r>
        <w:rPr>
          <w:rFonts w:hint="eastAsia"/>
          <w:color w:val="auto"/>
          <w:szCs w:val="21"/>
          <w:highlight w:val="none"/>
        </w:rPr>
        <w:t>响应</w:t>
      </w:r>
      <w:r>
        <w:rPr>
          <w:color w:val="auto"/>
          <w:szCs w:val="21"/>
          <w:highlight w:val="none"/>
        </w:rPr>
        <w:t>有效期内撤销响应文件的；</w:t>
      </w:r>
    </w:p>
    <w:p w14:paraId="19BA3E50">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0C77CA03">
      <w:pPr>
        <w:numPr>
          <w:ilvl w:val="0"/>
          <w:numId w:val="1"/>
        </w:numPr>
        <w:spacing w:before="120" w:line="320" w:lineRule="atLeast"/>
        <w:rPr>
          <w:color w:val="auto"/>
          <w:szCs w:val="21"/>
          <w:highlight w:val="none"/>
        </w:rPr>
      </w:pPr>
      <w:r>
        <w:rPr>
          <w:color w:val="auto"/>
          <w:szCs w:val="21"/>
          <w:highlight w:val="none"/>
        </w:rPr>
        <w:t>供应商无正当理由不与</w:t>
      </w:r>
      <w:r>
        <w:rPr>
          <w:rFonts w:hint="eastAsia"/>
          <w:color w:val="auto"/>
          <w:szCs w:val="21"/>
          <w:highlight w:val="none"/>
        </w:rPr>
        <w:t>征集人</w:t>
      </w:r>
      <w:r>
        <w:rPr>
          <w:color w:val="auto"/>
          <w:szCs w:val="21"/>
          <w:highlight w:val="none"/>
        </w:rPr>
        <w:t>签订</w:t>
      </w:r>
      <w:r>
        <w:rPr>
          <w:rFonts w:hint="eastAsia"/>
          <w:color w:val="auto"/>
          <w:szCs w:val="21"/>
          <w:highlight w:val="none"/>
        </w:rPr>
        <w:t>框架协议</w:t>
      </w:r>
      <w:r>
        <w:rPr>
          <w:color w:val="auto"/>
          <w:szCs w:val="21"/>
          <w:highlight w:val="none"/>
        </w:rPr>
        <w:t>的；</w:t>
      </w:r>
    </w:p>
    <w:p w14:paraId="7C979368">
      <w:pPr>
        <w:numPr>
          <w:ilvl w:val="0"/>
          <w:numId w:val="1"/>
        </w:numPr>
        <w:spacing w:before="120" w:line="320" w:lineRule="atLeast"/>
        <w:rPr>
          <w:color w:val="auto"/>
          <w:szCs w:val="21"/>
          <w:highlight w:val="none"/>
        </w:rPr>
      </w:pPr>
      <w:r>
        <w:rPr>
          <w:color w:val="auto"/>
          <w:szCs w:val="21"/>
          <w:highlight w:val="none"/>
        </w:rPr>
        <w:t>将入围项目转让给他人或者在响应文件中未说明且未经采购人同意，将入围项目分包给他人的；</w:t>
      </w:r>
    </w:p>
    <w:p w14:paraId="51534A10">
      <w:pPr>
        <w:numPr>
          <w:ilvl w:val="0"/>
          <w:numId w:val="1"/>
        </w:numPr>
        <w:rPr>
          <w:color w:val="auto"/>
          <w:szCs w:val="21"/>
          <w:highlight w:val="none"/>
        </w:rPr>
      </w:pPr>
      <w:r>
        <w:rPr>
          <w:rFonts w:hint="eastAsia"/>
          <w:color w:val="auto"/>
          <w:szCs w:val="21"/>
          <w:highlight w:val="none"/>
        </w:rPr>
        <w:t>退出框架协议或拒绝授予合同的；</w:t>
      </w:r>
    </w:p>
    <w:p w14:paraId="08CB65D7">
      <w:pPr>
        <w:numPr>
          <w:ilvl w:val="0"/>
          <w:numId w:val="1"/>
        </w:numPr>
        <w:spacing w:before="120" w:line="320" w:lineRule="atLeast"/>
        <w:rPr>
          <w:color w:val="auto"/>
          <w:szCs w:val="21"/>
          <w:highlight w:val="none"/>
        </w:rPr>
      </w:pPr>
      <w:r>
        <w:rPr>
          <w:color w:val="auto"/>
          <w:szCs w:val="21"/>
          <w:highlight w:val="none"/>
        </w:rPr>
        <w:t>其他严重扰乱</w:t>
      </w:r>
      <w:r>
        <w:rPr>
          <w:rFonts w:hint="eastAsia"/>
          <w:color w:val="auto"/>
          <w:szCs w:val="21"/>
          <w:highlight w:val="none"/>
        </w:rPr>
        <w:t>征集活动</w:t>
      </w:r>
      <w:r>
        <w:rPr>
          <w:color w:val="auto"/>
          <w:szCs w:val="21"/>
          <w:highlight w:val="none"/>
        </w:rPr>
        <w:t>的</w:t>
      </w:r>
      <w:r>
        <w:rPr>
          <w:rFonts w:hint="eastAsia"/>
          <w:color w:val="auto"/>
          <w:szCs w:val="21"/>
          <w:highlight w:val="none"/>
        </w:rPr>
        <w:t>。</w:t>
      </w:r>
    </w:p>
    <w:p w14:paraId="007C1F11">
      <w:pPr>
        <w:spacing w:before="120" w:line="320" w:lineRule="atLeast"/>
        <w:ind w:firstLine="422" w:firstLineChars="200"/>
        <w:outlineLvl w:val="3"/>
        <w:rPr>
          <w:b/>
          <w:bCs/>
          <w:color w:val="auto"/>
          <w:kern w:val="0"/>
          <w:szCs w:val="21"/>
          <w:highlight w:val="none"/>
        </w:rPr>
      </w:pPr>
      <w:bookmarkStart w:id="52" w:name="_Toc254970683"/>
      <w:bookmarkStart w:id="53" w:name="_Toc254970542"/>
      <w:r>
        <w:rPr>
          <w:rFonts w:hint="eastAsia"/>
          <w:b/>
          <w:bCs/>
          <w:color w:val="auto"/>
          <w:kern w:val="0"/>
          <w:szCs w:val="21"/>
          <w:highlight w:val="none"/>
        </w:rPr>
        <w:t>2</w:t>
      </w:r>
      <w:r>
        <w:rPr>
          <w:b/>
          <w:bCs/>
          <w:color w:val="auto"/>
          <w:kern w:val="0"/>
          <w:szCs w:val="21"/>
          <w:highlight w:val="none"/>
        </w:rPr>
        <w:t>.2.6响应文件的</w:t>
      </w:r>
      <w:bookmarkEnd w:id="52"/>
      <w:bookmarkEnd w:id="53"/>
      <w:r>
        <w:rPr>
          <w:b/>
          <w:bCs/>
          <w:color w:val="auto"/>
          <w:kern w:val="0"/>
          <w:szCs w:val="21"/>
          <w:highlight w:val="none"/>
        </w:rPr>
        <w:t>编制要求</w:t>
      </w:r>
    </w:p>
    <w:p w14:paraId="2CB8E2EA">
      <w:pPr>
        <w:spacing w:before="120" w:line="320" w:lineRule="atLeast"/>
        <w:ind w:firstLine="420" w:firstLineChars="200"/>
        <w:rPr>
          <w:b/>
          <w:bCs/>
          <w:color w:val="auto"/>
          <w:kern w:val="0"/>
          <w:szCs w:val="21"/>
          <w:highlight w:val="none"/>
        </w:rPr>
      </w:pPr>
      <w:r>
        <w:rPr>
          <w:rFonts w:hint="eastAsia"/>
          <w:color w:val="auto"/>
          <w:kern w:val="0"/>
          <w:szCs w:val="21"/>
          <w:highlight w:val="none"/>
        </w:rPr>
        <w:t>2</w:t>
      </w:r>
      <w:r>
        <w:rPr>
          <w:color w:val="auto"/>
          <w:kern w:val="0"/>
          <w:szCs w:val="21"/>
          <w:highlight w:val="none"/>
        </w:rPr>
        <w:t>.2.6.1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6520FB84">
      <w:pPr>
        <w:spacing w:before="120" w:line="320" w:lineRule="atLeast"/>
        <w:ind w:firstLine="420" w:firstLineChars="200"/>
        <w:rPr>
          <w:color w:val="auto"/>
          <w:szCs w:val="21"/>
          <w:highlight w:val="none"/>
        </w:rPr>
      </w:pPr>
      <w:bookmarkStart w:id="54" w:name="_Hlk139297273"/>
      <w:r>
        <w:rPr>
          <w:rFonts w:hint="eastAsia"/>
          <w:color w:val="auto"/>
          <w:szCs w:val="21"/>
          <w:highlight w:val="none"/>
        </w:rPr>
        <w:t>2</w:t>
      </w:r>
      <w:r>
        <w:rPr>
          <w:color w:val="auto"/>
          <w:szCs w:val="21"/>
          <w:highlight w:val="none"/>
        </w:rPr>
        <w:t>.2.6.2供应商应按本</w:t>
      </w:r>
      <w:r>
        <w:rPr>
          <w:rFonts w:hint="eastAsia"/>
          <w:color w:val="auto"/>
          <w:szCs w:val="21"/>
          <w:highlight w:val="none"/>
        </w:rPr>
        <w:t>征集</w:t>
      </w:r>
      <w:r>
        <w:rPr>
          <w:color w:val="auto"/>
          <w:szCs w:val="21"/>
          <w:highlight w:val="none"/>
        </w:rPr>
        <w:t>文件规定的格式和顺序编制</w:t>
      </w:r>
      <w:r>
        <w:rPr>
          <w:rFonts w:hint="eastAsia"/>
          <w:color w:val="auto"/>
          <w:szCs w:val="21"/>
          <w:highlight w:val="none"/>
        </w:rPr>
        <w:t>响应</w:t>
      </w:r>
      <w:r>
        <w:rPr>
          <w:color w:val="auto"/>
          <w:szCs w:val="21"/>
          <w:highlight w:val="none"/>
        </w:rPr>
        <w:t>文件</w:t>
      </w:r>
      <w:r>
        <w:rPr>
          <w:rFonts w:hint="eastAsia"/>
          <w:color w:val="auto"/>
          <w:szCs w:val="21"/>
          <w:highlight w:val="none"/>
        </w:rPr>
        <w:t>并进行关联定位</w:t>
      </w:r>
      <w:r>
        <w:rPr>
          <w:color w:val="auto"/>
          <w:szCs w:val="21"/>
          <w:highlight w:val="none"/>
        </w:rPr>
        <w:t>，</w:t>
      </w:r>
      <w:r>
        <w:rPr>
          <w:rFonts w:hint="eastAsia"/>
          <w:color w:val="auto"/>
          <w:szCs w:val="21"/>
          <w:highlight w:val="none"/>
        </w:rPr>
        <w:t>以便评审委员会在评审时，点击评分项可直接定位到该评分项内容。如对征集文件的某项要求，供应商的响应文件未能关联定位提供相应的内容与其对应，则评审委员会在评审时如做出对供应商不利的评审由供应商自行承担。响应文件如内容不完整、编排混乱导致响应文件被误读、漏读，或者在按征集文件规定的部位查找不到相关内容的，由供应商自行承担。</w:t>
      </w:r>
    </w:p>
    <w:bookmarkEnd w:id="54"/>
    <w:p w14:paraId="2FC337EC">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.2.6.3</w:t>
      </w:r>
      <w:r>
        <w:rPr>
          <w:rFonts w:hint="eastAsia"/>
          <w:color w:val="auto"/>
          <w:szCs w:val="21"/>
          <w:highlight w:val="none"/>
        </w:rPr>
        <w:t>为确保网上操作合法、有效和安全，供应商应当在响应文件递交截止时间前完成在“广西政府采购云”平台的身份认证，确保在电子响应过程中能够对相关数据电文进行加密和使用电子签名。</w:t>
      </w:r>
    </w:p>
    <w:p w14:paraId="3C8849C9">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.2.6.4</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5EEE83A1">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2</w:t>
      </w:r>
      <w:r>
        <w:rPr>
          <w:b/>
          <w:bCs/>
          <w:color w:val="auto"/>
          <w:kern w:val="0"/>
          <w:szCs w:val="21"/>
          <w:highlight w:val="none"/>
        </w:rPr>
        <w:t>.2.7响应文件的递交、修改和撤回</w:t>
      </w:r>
    </w:p>
    <w:p w14:paraId="38D91662">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.2.7.1</w:t>
      </w:r>
      <w:r>
        <w:rPr>
          <w:rFonts w:hint="eastAsia"/>
          <w:color w:val="auto"/>
          <w:szCs w:val="21"/>
          <w:highlight w:val="none"/>
        </w:rPr>
        <w:t xml:space="preserve">供应商必须在供应商须知前附表规定的响应文件截标时间和截标地点提交电子版响应文件。电子响应文件应在制作完成后，在响应文件提交截止时间前通过有效数字证书（CA认证锁）进行电子签章、加密，然后通过网络将加密的电子响应文件递交至广西政府采购云平台。 </w:t>
      </w:r>
    </w:p>
    <w:p w14:paraId="22E450C2">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.2.7.2</w:t>
      </w:r>
      <w:r>
        <w:rPr>
          <w:rFonts w:hint="eastAsia"/>
          <w:color w:val="auto"/>
          <w:szCs w:val="21"/>
          <w:highlight w:val="none"/>
        </w:rPr>
        <w:t xml:space="preserve">未在规定时间内提交或者未按照征集文件要求签章、加密的电子响应文件，广西政府采购云平台将拒收。 </w:t>
      </w:r>
    </w:p>
    <w:p w14:paraId="12366E92">
      <w:pPr>
        <w:spacing w:before="120" w:line="320" w:lineRule="atLeast"/>
        <w:ind w:left="2" w:leftChars="1" w:firstLine="420" w:firstLineChars="200"/>
        <w:rPr>
          <w:color w:val="auto"/>
          <w:szCs w:val="21"/>
          <w:highlight w:val="none"/>
        </w:rPr>
      </w:pPr>
      <w:bookmarkStart w:id="55" w:name="_Toc254970685"/>
      <w:bookmarkStart w:id="56" w:name="_Toc254970544"/>
      <w:r>
        <w:rPr>
          <w:color w:val="auto"/>
          <w:szCs w:val="21"/>
          <w:highlight w:val="none"/>
        </w:rPr>
        <w:t>2.2.7.3</w:t>
      </w:r>
      <w:r>
        <w:rPr>
          <w:rFonts w:hint="eastAsia"/>
          <w:color w:val="auto"/>
          <w:szCs w:val="21"/>
          <w:highlight w:val="none"/>
        </w:rPr>
        <w:t>供应商应当在响应文件提交截止时间前完成响应文件的传输递交，并可以补充、修改或者撤回响应文件。补充或者修改响应文件的，应当先行撤回原文件，补充、修改后重新传输递交。响应文件提交截止时间前未完成传输的，视为撤回响应文件。响应文件提交截止时间后递交的响应文件，广西政府采购云平台将拒收。</w:t>
      </w:r>
    </w:p>
    <w:p w14:paraId="40968E81">
      <w:pPr>
        <w:spacing w:before="120" w:line="320" w:lineRule="atLeast"/>
        <w:ind w:left="2" w:leftChars="1" w:firstLine="420" w:firstLineChars="200"/>
        <w:rPr>
          <w:color w:val="auto"/>
          <w:szCs w:val="21"/>
          <w:highlight w:val="none"/>
        </w:rPr>
      </w:pPr>
      <w:r>
        <w:rPr>
          <w:color w:val="auto"/>
          <w:szCs w:val="21"/>
          <w:highlight w:val="none"/>
        </w:rPr>
        <w:t>2.2.7.4</w:t>
      </w:r>
      <w:r>
        <w:rPr>
          <w:rFonts w:hint="eastAsia"/>
          <w:color w:val="auto"/>
          <w:szCs w:val="21"/>
          <w:highlight w:val="none"/>
        </w:rPr>
        <w:t>在响应文件提交截止时间前，除供应商补充、修改或者撤回响应文件外，任何单位和个人不得解密或提取响应文件。</w:t>
      </w:r>
    </w:p>
    <w:p w14:paraId="11A1A254">
      <w:pPr>
        <w:spacing w:before="120" w:line="320" w:lineRule="atLeast"/>
        <w:ind w:left="2" w:leftChars="1" w:firstLine="420" w:firstLineChars="200"/>
        <w:rPr>
          <w:color w:val="auto"/>
          <w:szCs w:val="21"/>
          <w:highlight w:val="none"/>
        </w:rPr>
      </w:pPr>
      <w:r>
        <w:rPr>
          <w:color w:val="auto"/>
          <w:szCs w:val="21"/>
          <w:highlight w:val="none"/>
        </w:rPr>
        <w:t>2.2.7.5</w:t>
      </w:r>
      <w:r>
        <w:rPr>
          <w:rFonts w:hint="eastAsia"/>
          <w:color w:val="auto"/>
          <w:szCs w:val="21"/>
          <w:highlight w:val="none"/>
        </w:rPr>
        <w:t>在响应文件提交截止时间止提交电子版响应文件的供应商不足</w:t>
      </w:r>
      <w:r>
        <w:rPr>
          <w:color w:val="auto"/>
          <w:szCs w:val="21"/>
          <w:highlight w:val="none"/>
        </w:rPr>
        <w:t>2</w:t>
      </w:r>
      <w:r>
        <w:rPr>
          <w:rFonts w:hint="eastAsia"/>
          <w:color w:val="auto"/>
          <w:szCs w:val="21"/>
          <w:highlight w:val="none"/>
        </w:rPr>
        <w:t>家时，电子版响应文件由征集人在广西政府采购云平台操作退回，除此之外征集人对已提交的响应文件概不退回。</w:t>
      </w:r>
    </w:p>
    <w:p w14:paraId="2D1EB62E">
      <w:pPr>
        <w:spacing w:before="120" w:line="320" w:lineRule="atLeast"/>
        <w:ind w:left="2" w:leftChars="1" w:firstLine="420" w:firstLineChars="200"/>
        <w:rPr>
          <w:color w:val="auto"/>
          <w:szCs w:val="21"/>
          <w:highlight w:val="none"/>
        </w:rPr>
      </w:pPr>
      <w:r>
        <w:rPr>
          <w:color w:val="auto"/>
          <w:szCs w:val="21"/>
          <w:highlight w:val="none"/>
        </w:rPr>
        <w:t>2.2.7.6</w:t>
      </w:r>
      <w:r>
        <w:rPr>
          <w:rFonts w:hint="eastAsia"/>
          <w:color w:val="auto"/>
          <w:szCs w:val="21"/>
          <w:highlight w:val="none"/>
        </w:rPr>
        <w:t>征集文件</w:t>
      </w:r>
      <w:bookmarkStart w:id="57"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57"/>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p>
    <w:p w14:paraId="49BBBDB5">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2.3截标</w:t>
      </w:r>
      <w:bookmarkEnd w:id="55"/>
      <w:bookmarkEnd w:id="56"/>
    </w:p>
    <w:p w14:paraId="59EC95C6">
      <w:pPr>
        <w:spacing w:before="120" w:line="320" w:lineRule="atLeast"/>
        <w:ind w:firstLine="422" w:firstLineChars="200"/>
        <w:outlineLvl w:val="3"/>
        <w:rPr>
          <w:b/>
          <w:bCs/>
          <w:color w:val="auto"/>
          <w:kern w:val="0"/>
          <w:szCs w:val="21"/>
          <w:highlight w:val="none"/>
        </w:rPr>
      </w:pPr>
      <w:r>
        <w:rPr>
          <w:b/>
          <w:bCs/>
          <w:color w:val="auto"/>
          <w:kern w:val="0"/>
          <w:szCs w:val="21"/>
          <w:highlight w:val="none"/>
        </w:rPr>
        <w:t>2.3.1截标准备</w:t>
      </w:r>
    </w:p>
    <w:p w14:paraId="111833A2">
      <w:pPr>
        <w:spacing w:before="120" w:line="276" w:lineRule="auto"/>
        <w:ind w:firstLine="420" w:firstLineChars="200"/>
        <w:rPr>
          <w:color w:val="auto"/>
          <w:szCs w:val="21"/>
          <w:highlight w:val="none"/>
        </w:rPr>
      </w:pPr>
      <w:r>
        <w:rPr>
          <w:color w:val="auto"/>
          <w:szCs w:val="21"/>
          <w:highlight w:val="none"/>
        </w:rPr>
        <w:t>本项目</w:t>
      </w:r>
      <w:r>
        <w:rPr>
          <w:rFonts w:hint="eastAsia"/>
          <w:color w:val="auto"/>
          <w:szCs w:val="21"/>
          <w:highlight w:val="none"/>
        </w:rPr>
        <w:t>响应文件提交</w:t>
      </w:r>
      <w:r>
        <w:rPr>
          <w:color w:val="auto"/>
          <w:szCs w:val="21"/>
          <w:highlight w:val="none"/>
        </w:rPr>
        <w:t>截止时间及地点见供应商须知前附表规定。</w:t>
      </w:r>
    </w:p>
    <w:p w14:paraId="245D8ABA">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全流程电子化项目没有现场递交响应文件及现场截标环节。征集人将按照征集文件规定的时间通过广西政府采购云平台组织线上截标活动、开启响应文件，所有供应商均应当准时在线参加。供应商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741DC36B">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如供应商成功解密响应文件，但未在广西政府采购云平台电子截标大厅参加截标的，视同认可截标过程和结果，由此产生的后果由供应商自行负责。 </w:t>
      </w:r>
    </w:p>
    <w:p w14:paraId="07F100FF">
      <w:pPr>
        <w:spacing w:before="120" w:line="320" w:lineRule="atLeast"/>
        <w:ind w:firstLine="422" w:firstLineChars="200"/>
        <w:outlineLvl w:val="3"/>
        <w:rPr>
          <w:b/>
          <w:bCs/>
          <w:color w:val="auto"/>
          <w:kern w:val="0"/>
          <w:szCs w:val="21"/>
          <w:highlight w:val="none"/>
        </w:rPr>
      </w:pPr>
      <w:r>
        <w:rPr>
          <w:b/>
          <w:bCs/>
          <w:color w:val="auto"/>
          <w:kern w:val="0"/>
          <w:szCs w:val="21"/>
          <w:highlight w:val="none"/>
        </w:rPr>
        <w:t>2.3.2截标程序</w:t>
      </w:r>
    </w:p>
    <w:p w14:paraId="0E94D731">
      <w:pPr>
        <w:spacing w:before="120" w:line="320" w:lineRule="atLeast"/>
        <w:ind w:firstLine="420" w:firstLineChars="200"/>
        <w:rPr>
          <w:color w:val="auto"/>
          <w:szCs w:val="21"/>
          <w:highlight w:val="none"/>
        </w:rPr>
      </w:pPr>
      <w:r>
        <w:rPr>
          <w:color w:val="auto"/>
          <w:szCs w:val="21"/>
          <w:highlight w:val="none"/>
        </w:rPr>
        <w:t>2.3.2.1</w:t>
      </w:r>
      <w:r>
        <w:rPr>
          <w:rFonts w:hint="eastAsia"/>
          <w:color w:val="auto"/>
          <w:szCs w:val="21"/>
          <w:highlight w:val="none"/>
        </w:rPr>
        <w:t>供应商登录广西政府采购云平台进入截标大厅签到。</w:t>
      </w:r>
    </w:p>
    <w:p w14:paraId="1F6611E4">
      <w:pPr>
        <w:spacing w:before="120" w:line="320" w:lineRule="atLeast"/>
        <w:ind w:firstLine="420" w:firstLineChars="200"/>
        <w:rPr>
          <w:color w:val="auto"/>
          <w:szCs w:val="21"/>
          <w:highlight w:val="none"/>
        </w:rPr>
      </w:pPr>
      <w:r>
        <w:rPr>
          <w:color w:val="auto"/>
          <w:szCs w:val="21"/>
          <w:highlight w:val="none"/>
        </w:rPr>
        <w:t>2.3.2.2</w:t>
      </w:r>
      <w:r>
        <w:rPr>
          <w:rFonts w:hint="eastAsia"/>
          <w:color w:val="auto"/>
          <w:szCs w:val="21"/>
          <w:highlight w:val="none"/>
        </w:rPr>
        <w:t>解密电子响应文件。广西政府采购云平台按截标时间自动提取所有响应文件。征集人在广西政府采购云平台向各供应商发出电子加密响应文件开始解密通知，由供应商平台设置时间内自行进行响应文件解密。供应商须使用加密时所用的CA锁准时登录到广西政府采购云平台电子截标大厅签到并对电子响应文件解密。截标后供应商未及时进行解密的，征集人可通知供应商。</w:t>
      </w:r>
      <w:r>
        <w:rPr>
          <w:rFonts w:hint="eastAsia"/>
          <w:color w:val="auto"/>
          <w:highlight w:val="none"/>
        </w:rPr>
        <w:t>通知后供应商仍未在上述规定时间内解密响应文件</w:t>
      </w:r>
      <w:r>
        <w:rPr>
          <w:rFonts w:hint="eastAsia"/>
          <w:color w:val="auto"/>
          <w:szCs w:val="21"/>
          <w:highlight w:val="none"/>
        </w:rPr>
        <w:t>，或者供应商没预留联系方式或预留联系方式无效导致征集人无法联系到供应商的，均视为无效响应。</w:t>
      </w:r>
    </w:p>
    <w:p w14:paraId="1BC43682">
      <w:pPr>
        <w:spacing w:before="120" w:line="320" w:lineRule="atLeast"/>
        <w:ind w:firstLine="420" w:firstLineChars="200"/>
        <w:rPr>
          <w:color w:val="auto"/>
          <w:szCs w:val="21"/>
          <w:highlight w:val="none"/>
        </w:rPr>
      </w:pPr>
      <w:r>
        <w:rPr>
          <w:color w:val="auto"/>
          <w:szCs w:val="21"/>
          <w:highlight w:val="none"/>
        </w:rPr>
        <w:t>2.3.2.3</w:t>
      </w:r>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征集人（代理机构），由代理机构上传备份响应文件后自动解密从而避免被视为无效响应。是否接受备份响应文件详见供应商须知前附表，如接受备份文件，供应商未在规定时间内发送备份响应文件的将视为无效响应。</w:t>
      </w:r>
    </w:p>
    <w:p w14:paraId="0C3DD0BA">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.3.2.4</w:t>
      </w:r>
      <w:r>
        <w:rPr>
          <w:rFonts w:hint="eastAsia"/>
          <w:color w:val="auto"/>
          <w:szCs w:val="21"/>
          <w:highlight w:val="none"/>
        </w:rPr>
        <w:t>解密异常情况处理：详见本章</w:t>
      </w:r>
      <w:r>
        <w:rPr>
          <w:color w:val="auto"/>
          <w:szCs w:val="21"/>
          <w:highlight w:val="none"/>
        </w:rPr>
        <w:t>4.2</w:t>
      </w:r>
      <w:r>
        <w:rPr>
          <w:rFonts w:hint="eastAsia"/>
          <w:color w:val="auto"/>
          <w:szCs w:val="21"/>
          <w:highlight w:val="none"/>
        </w:rPr>
        <w:t>电子交易活动的中止。</w:t>
      </w:r>
    </w:p>
    <w:p w14:paraId="1CB83754">
      <w:pPr>
        <w:spacing w:before="120" w:line="320" w:lineRule="atLeast"/>
        <w:ind w:firstLine="420" w:firstLineChars="200"/>
        <w:rPr>
          <w:color w:val="auto"/>
          <w:szCs w:val="21"/>
          <w:highlight w:val="none"/>
        </w:rPr>
      </w:pPr>
      <w:r>
        <w:rPr>
          <w:color w:val="auto"/>
          <w:szCs w:val="21"/>
          <w:highlight w:val="none"/>
        </w:rPr>
        <w:t>2.3.2.5</w:t>
      </w:r>
      <w:r>
        <w:rPr>
          <w:rFonts w:hint="eastAsia"/>
          <w:color w:val="auto"/>
          <w:szCs w:val="21"/>
          <w:highlight w:val="none"/>
        </w:rPr>
        <w:t>供应商对报价进行确认（如有）。</w:t>
      </w:r>
    </w:p>
    <w:p w14:paraId="467A4A3D">
      <w:pPr>
        <w:spacing w:before="120" w:line="320" w:lineRule="atLeast"/>
        <w:ind w:firstLine="420" w:firstLineChars="200"/>
        <w:rPr>
          <w:color w:val="auto"/>
          <w:szCs w:val="21"/>
          <w:highlight w:val="none"/>
        </w:rPr>
      </w:pPr>
      <w:r>
        <w:rPr>
          <w:color w:val="auto"/>
          <w:szCs w:val="21"/>
          <w:highlight w:val="none"/>
        </w:rPr>
        <w:t>2.3.2.6截标结束。</w:t>
      </w:r>
    </w:p>
    <w:p w14:paraId="5A297066">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如遇广西政府采购云平台相关程序调整的，按调整后的程序执行。</w:t>
      </w:r>
    </w:p>
    <w:p w14:paraId="0545662B">
      <w:pPr>
        <w:spacing w:before="120" w:line="320" w:lineRule="atLeast"/>
        <w:ind w:firstLine="422" w:firstLineChars="200"/>
        <w:outlineLvl w:val="3"/>
        <w:rPr>
          <w:b/>
          <w:bCs/>
          <w:color w:val="auto"/>
          <w:kern w:val="0"/>
          <w:szCs w:val="21"/>
          <w:highlight w:val="none"/>
        </w:rPr>
      </w:pPr>
      <w:r>
        <w:rPr>
          <w:b/>
          <w:bCs/>
          <w:color w:val="auto"/>
          <w:kern w:val="0"/>
          <w:szCs w:val="21"/>
          <w:highlight w:val="none"/>
        </w:rPr>
        <w:t>2.3.3演示</w:t>
      </w:r>
    </w:p>
    <w:p w14:paraId="664ABFB7">
      <w:pPr>
        <w:spacing w:before="120" w:line="320" w:lineRule="atLeast"/>
        <w:ind w:firstLine="420" w:firstLineChars="200"/>
        <w:rPr>
          <w:color w:val="auto"/>
          <w:szCs w:val="21"/>
          <w:highlight w:val="none"/>
        </w:rPr>
      </w:pPr>
      <w:r>
        <w:rPr>
          <w:color w:val="auto"/>
          <w:szCs w:val="21"/>
          <w:highlight w:val="none"/>
        </w:rPr>
        <w:t>2.3.3.1供应商须知前附表规定在截标会议结束后进行演示的，供应商应按规定进行演示。</w:t>
      </w:r>
    </w:p>
    <w:p w14:paraId="38C22BA2">
      <w:pPr>
        <w:spacing w:before="120" w:line="320" w:lineRule="atLeast"/>
        <w:ind w:firstLine="420" w:firstLineChars="200"/>
        <w:rPr>
          <w:color w:val="auto"/>
          <w:szCs w:val="21"/>
          <w:highlight w:val="none"/>
        </w:rPr>
      </w:pPr>
      <w:r>
        <w:rPr>
          <w:color w:val="auto"/>
          <w:szCs w:val="21"/>
          <w:highlight w:val="none"/>
        </w:rPr>
        <w:t>2.3.3.2未按规定时间进行演示可能引起的演示分数被计为0分或响应无效等后果由供应商自行承担。</w:t>
      </w:r>
    </w:p>
    <w:p w14:paraId="00D58A19">
      <w:pPr>
        <w:spacing w:before="120" w:line="320" w:lineRule="atLeast"/>
        <w:ind w:left="2" w:leftChars="1" w:firstLine="422" w:firstLineChars="200"/>
        <w:outlineLvl w:val="2"/>
        <w:rPr>
          <w:b/>
          <w:bCs/>
          <w:color w:val="auto"/>
          <w:kern w:val="0"/>
          <w:szCs w:val="21"/>
          <w:highlight w:val="none"/>
        </w:rPr>
      </w:pPr>
      <w:bookmarkStart w:id="58" w:name="_Toc254970545"/>
      <w:bookmarkStart w:id="59" w:name="_Toc254970686"/>
      <w:r>
        <w:rPr>
          <w:b/>
          <w:bCs/>
          <w:color w:val="auto"/>
          <w:kern w:val="0"/>
          <w:szCs w:val="21"/>
          <w:highlight w:val="none"/>
        </w:rPr>
        <w:t>2.4</w:t>
      </w:r>
      <w:r>
        <w:rPr>
          <w:rFonts w:hint="eastAsia"/>
          <w:b/>
          <w:bCs/>
          <w:color w:val="auto"/>
          <w:kern w:val="0"/>
          <w:szCs w:val="21"/>
          <w:highlight w:val="none"/>
        </w:rPr>
        <w:t>资格审查</w:t>
      </w:r>
    </w:p>
    <w:p w14:paraId="271E7AE2">
      <w:pPr>
        <w:spacing w:before="120" w:line="320" w:lineRule="atLeast"/>
        <w:ind w:firstLine="420" w:firstLineChars="200"/>
        <w:outlineLvl w:val="3"/>
        <w:rPr>
          <w:bCs/>
          <w:color w:val="auto"/>
          <w:kern w:val="0"/>
          <w:szCs w:val="21"/>
          <w:highlight w:val="none"/>
        </w:rPr>
      </w:pPr>
      <w:r>
        <w:rPr>
          <w:bCs/>
          <w:color w:val="auto"/>
          <w:kern w:val="0"/>
          <w:szCs w:val="21"/>
          <w:highlight w:val="none"/>
        </w:rPr>
        <w:t>2.4.1</w:t>
      </w:r>
      <w:r>
        <w:rPr>
          <w:rFonts w:hint="eastAsia"/>
          <w:bCs/>
          <w:color w:val="auto"/>
          <w:kern w:val="0"/>
          <w:szCs w:val="21"/>
          <w:highlight w:val="none"/>
        </w:rPr>
        <w:t>本项目采用资格后审方法。</w:t>
      </w:r>
      <w:r>
        <w:rPr>
          <w:color w:val="auto"/>
          <w:kern w:val="0"/>
          <w:szCs w:val="21"/>
          <w:highlight w:val="none"/>
        </w:rPr>
        <w:t>截标</w:t>
      </w:r>
      <w:r>
        <w:rPr>
          <w:rFonts w:ascii="宋体" w:hAnsi="宋体"/>
          <w:bCs/>
          <w:color w:val="auto"/>
          <w:szCs w:val="21"/>
          <w:highlight w:val="none"/>
        </w:rPr>
        <w:t>结束后，</w:t>
      </w:r>
      <w:r>
        <w:rPr>
          <w:rFonts w:hint="eastAsia" w:ascii="宋体" w:hAnsi="宋体"/>
          <w:bCs/>
          <w:color w:val="auto"/>
          <w:szCs w:val="21"/>
          <w:highlight w:val="none"/>
        </w:rPr>
        <w:t>征集人通过电子交易平台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是根据法律法规和征集文件的规定，对供应商的基本资格条件、特定资格条件进行审查。</w:t>
      </w:r>
    </w:p>
    <w:p w14:paraId="47A112BC">
      <w:pPr>
        <w:spacing w:before="120" w:line="320" w:lineRule="atLeast"/>
        <w:ind w:firstLine="420" w:firstLineChars="200"/>
        <w:outlineLvl w:val="3"/>
        <w:rPr>
          <w:bCs/>
          <w:color w:val="auto"/>
          <w:kern w:val="0"/>
          <w:szCs w:val="21"/>
          <w:highlight w:val="none"/>
        </w:rPr>
      </w:pPr>
      <w:r>
        <w:rPr>
          <w:bCs/>
          <w:color w:val="auto"/>
          <w:kern w:val="0"/>
          <w:szCs w:val="21"/>
          <w:highlight w:val="none"/>
        </w:rPr>
        <w:t>2.4</w:t>
      </w:r>
      <w:r>
        <w:rPr>
          <w:rFonts w:hint="eastAsia"/>
          <w:bCs/>
          <w:color w:val="auto"/>
          <w:kern w:val="0"/>
          <w:szCs w:val="21"/>
          <w:highlight w:val="none"/>
        </w:rPr>
        <w:t>.</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6C951ECC">
      <w:pPr>
        <w:spacing w:before="120" w:line="320" w:lineRule="atLeast"/>
        <w:ind w:firstLine="420" w:firstLineChars="200"/>
        <w:outlineLvl w:val="3"/>
        <w:rPr>
          <w:rFonts w:hAnsi="宋体"/>
          <w:color w:val="auto"/>
          <w:highlight w:val="none"/>
        </w:rPr>
      </w:pPr>
      <w:r>
        <w:rPr>
          <w:bCs/>
          <w:color w:val="auto"/>
          <w:kern w:val="0"/>
          <w:szCs w:val="21"/>
          <w:highlight w:val="none"/>
        </w:rPr>
        <w:t>2.4.3</w:t>
      </w:r>
      <w:r>
        <w:rPr>
          <w:rFonts w:hint="eastAsia"/>
          <w:color w:val="auto"/>
          <w:kern w:val="0"/>
          <w:szCs w:val="21"/>
          <w:highlight w:val="none"/>
        </w:rPr>
        <w:t>信用</w:t>
      </w:r>
      <w:r>
        <w:rPr>
          <w:rFonts w:hint="eastAsia"/>
          <w:color w:val="auto"/>
          <w:szCs w:val="21"/>
          <w:highlight w:val="none"/>
        </w:rPr>
        <w:t>查询要求如下</w:t>
      </w:r>
      <w:r>
        <w:rPr>
          <w:rFonts w:hint="eastAsia" w:hAnsi="宋体"/>
          <w:color w:val="auto"/>
          <w:highlight w:val="none"/>
        </w:rPr>
        <w:t>（注： 广西政府采购云平台已与“信用中国”平台做接口，审查专家可直接在线查询）</w:t>
      </w:r>
    </w:p>
    <w:p w14:paraId="7481796E">
      <w:pPr>
        <w:spacing w:line="276" w:lineRule="auto"/>
        <w:ind w:firstLine="420" w:firstLineChars="200"/>
        <w:rPr>
          <w:color w:val="auto"/>
          <w:szCs w:val="21"/>
          <w:highlight w:val="none"/>
        </w:rPr>
      </w:pPr>
      <w:r>
        <w:rPr>
          <w:rFonts w:hint="eastAsia"/>
          <w:color w:val="auto"/>
          <w:highlight w:val="none"/>
        </w:rPr>
        <w:t>（1）</w:t>
      </w:r>
      <w:r>
        <w:rPr>
          <w:rFonts w:hint="eastAsia"/>
          <w:color w:val="auto"/>
          <w:szCs w:val="21"/>
          <w:highlight w:val="none"/>
        </w:rPr>
        <w:t>信用信息查询渠道：</w:t>
      </w:r>
    </w:p>
    <w:p w14:paraId="0706B0E1">
      <w:pPr>
        <w:spacing w:line="276" w:lineRule="auto"/>
        <w:ind w:firstLine="420" w:firstLineChars="200"/>
        <w:rPr>
          <w:color w:val="auto"/>
          <w:szCs w:val="21"/>
          <w:highlight w:val="none"/>
        </w:rPr>
      </w:pPr>
      <w:r>
        <w:rPr>
          <w:rFonts w:hint="eastAsia"/>
          <w:color w:val="auto"/>
          <w:szCs w:val="21"/>
          <w:highlight w:val="none"/>
        </w:rPr>
        <w:t xml:space="preserve">中国政府采购网 “政府采购严重违法失信行为记录名单” 信用中国网：“失信被执行人”、“重大税收违法失信主体”  </w:t>
      </w:r>
    </w:p>
    <w:p w14:paraId="60FEA03A">
      <w:pPr>
        <w:spacing w:line="276" w:lineRule="auto"/>
        <w:ind w:firstLine="420" w:firstLineChars="200"/>
        <w:rPr>
          <w:color w:val="auto"/>
          <w:szCs w:val="21"/>
          <w:highlight w:val="none"/>
        </w:rPr>
      </w:pPr>
      <w:r>
        <w:rPr>
          <w:rFonts w:hint="eastAsia"/>
          <w:color w:val="auto"/>
          <w:szCs w:val="21"/>
          <w:highlight w:val="none"/>
        </w:rPr>
        <w:t>（2）信用信息查询截止时点：征集公告发布后任1日。</w:t>
      </w:r>
    </w:p>
    <w:p w14:paraId="341A7E98">
      <w:pPr>
        <w:spacing w:line="276" w:lineRule="auto"/>
        <w:ind w:firstLine="420" w:firstLineChars="200"/>
        <w:rPr>
          <w:color w:val="auto"/>
          <w:szCs w:val="21"/>
          <w:highlight w:val="none"/>
        </w:rPr>
      </w:pPr>
      <w:r>
        <w:rPr>
          <w:rFonts w:hint="eastAsia"/>
          <w:color w:val="auto"/>
          <w:szCs w:val="21"/>
          <w:highlight w:val="none"/>
        </w:rPr>
        <w:t>（3）信用信息查询记录和证据留存的具体方式：通过广西政府采购云平台查询</w:t>
      </w:r>
    </w:p>
    <w:p w14:paraId="12525745">
      <w:pPr>
        <w:spacing w:line="276" w:lineRule="auto"/>
        <w:ind w:firstLine="420" w:firstLineChars="200"/>
        <w:rPr>
          <w:color w:val="auto"/>
          <w:szCs w:val="21"/>
          <w:highlight w:val="none"/>
        </w:rPr>
      </w:pPr>
      <w:r>
        <w:rPr>
          <w:rFonts w:hint="eastAsia"/>
          <w:color w:val="auto"/>
          <w:szCs w:val="21"/>
          <w:highlight w:val="none"/>
        </w:rPr>
        <w:t>（4）信用信息的使用规则：供应商如被列入失信被执行人、重大税收违法失信主体、政府采购严重违法失信行为记录名单则资格审查不予通过，响应被否决。</w:t>
      </w:r>
      <w:r>
        <w:rPr>
          <w:color w:val="auto"/>
          <w:szCs w:val="21"/>
          <w:highlight w:val="none"/>
        </w:rPr>
        <w:t xml:space="preserve"> </w:t>
      </w:r>
    </w:p>
    <w:p w14:paraId="145E202A">
      <w:pPr>
        <w:spacing w:before="120" w:line="276" w:lineRule="auto"/>
        <w:ind w:firstLine="420" w:firstLineChars="200"/>
        <w:outlineLvl w:val="3"/>
        <w:rPr>
          <w:bCs/>
          <w:color w:val="auto"/>
          <w:kern w:val="0"/>
          <w:szCs w:val="21"/>
          <w:highlight w:val="none"/>
        </w:rPr>
      </w:pPr>
      <w:r>
        <w:rPr>
          <w:bCs/>
          <w:color w:val="auto"/>
          <w:kern w:val="0"/>
          <w:szCs w:val="21"/>
          <w:highlight w:val="none"/>
        </w:rPr>
        <w:t>2.4.4</w:t>
      </w:r>
      <w:r>
        <w:rPr>
          <w:rFonts w:hint="eastAsia"/>
          <w:bCs/>
          <w:color w:val="auto"/>
          <w:kern w:val="0"/>
          <w:szCs w:val="21"/>
          <w:highlight w:val="none"/>
        </w:rPr>
        <w:t>供应商有下列情形之一的，资格审查不合格，作无效响应处理：</w:t>
      </w:r>
    </w:p>
    <w:p w14:paraId="6E1D1D07">
      <w:pPr>
        <w:ind w:firstLine="420" w:firstLineChars="200"/>
        <w:rPr>
          <w:color w:val="auto"/>
          <w:szCs w:val="21"/>
          <w:highlight w:val="none"/>
        </w:rPr>
      </w:pPr>
      <w:r>
        <w:rPr>
          <w:rFonts w:hint="eastAsia"/>
          <w:color w:val="auto"/>
          <w:szCs w:val="21"/>
          <w:highlight w:val="none"/>
        </w:rPr>
        <w:t>（1）不具备征集文件中规定的资格要求或资格条件的；</w:t>
      </w:r>
    </w:p>
    <w:p w14:paraId="267E2EAB">
      <w:pPr>
        <w:spacing w:before="120"/>
        <w:ind w:firstLine="420" w:firstLineChars="200"/>
        <w:rPr>
          <w:color w:val="auto"/>
          <w:szCs w:val="21"/>
          <w:highlight w:val="none"/>
        </w:rPr>
      </w:pPr>
      <w:r>
        <w:rPr>
          <w:rFonts w:hint="eastAsia"/>
          <w:color w:val="auto"/>
          <w:szCs w:val="21"/>
          <w:highlight w:val="none"/>
        </w:rPr>
        <w:t>（2）响应文件缺少任何一项资格证明文件或不符合第四章评审方法及标准中资格审查标准规定的评审内容的；</w:t>
      </w:r>
    </w:p>
    <w:p w14:paraId="4B17EEC6">
      <w:pPr>
        <w:spacing w:before="120"/>
        <w:ind w:left="2" w:leftChars="1" w:firstLine="420" w:firstLineChars="200"/>
        <w:rPr>
          <w:bCs/>
          <w:color w:val="auto"/>
          <w:kern w:val="0"/>
          <w:szCs w:val="21"/>
          <w:highlight w:val="none"/>
        </w:rPr>
      </w:pPr>
      <w:r>
        <w:rPr>
          <w:rFonts w:hint="eastAsia"/>
          <w:bCs/>
          <w:color w:val="auto"/>
          <w:kern w:val="0"/>
          <w:szCs w:val="21"/>
          <w:highlight w:val="none"/>
        </w:rPr>
        <w:t>（3）资格审查合格的供应商不足</w:t>
      </w:r>
      <w:r>
        <w:rPr>
          <w:bCs/>
          <w:color w:val="auto"/>
          <w:kern w:val="0"/>
          <w:szCs w:val="21"/>
          <w:highlight w:val="none"/>
        </w:rPr>
        <w:t>2</w:t>
      </w:r>
      <w:r>
        <w:rPr>
          <w:rFonts w:hint="eastAsia"/>
          <w:bCs/>
          <w:color w:val="auto"/>
          <w:kern w:val="0"/>
          <w:szCs w:val="21"/>
          <w:highlight w:val="none"/>
        </w:rPr>
        <w:t>家的，不得</w:t>
      </w:r>
      <w:r>
        <w:rPr>
          <w:rFonts w:hint="eastAsia"/>
          <w:color w:val="auto"/>
          <w:highlight w:val="none"/>
        </w:rPr>
        <w:t>进行后续评审</w:t>
      </w:r>
      <w:r>
        <w:rPr>
          <w:rFonts w:hint="eastAsia"/>
          <w:bCs/>
          <w:color w:val="auto"/>
          <w:kern w:val="0"/>
          <w:szCs w:val="21"/>
          <w:highlight w:val="none"/>
        </w:rPr>
        <w:t>。</w:t>
      </w:r>
    </w:p>
    <w:p w14:paraId="74B76217">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2.5评审</w:t>
      </w:r>
      <w:bookmarkEnd w:id="58"/>
      <w:bookmarkEnd w:id="59"/>
    </w:p>
    <w:p w14:paraId="3FA62BAE">
      <w:pPr>
        <w:spacing w:before="120" w:line="320" w:lineRule="atLeast"/>
        <w:ind w:firstLine="422" w:firstLineChars="200"/>
        <w:outlineLvl w:val="3"/>
        <w:rPr>
          <w:b/>
          <w:bCs/>
          <w:color w:val="auto"/>
          <w:kern w:val="0"/>
          <w:szCs w:val="21"/>
          <w:highlight w:val="none"/>
        </w:rPr>
      </w:pPr>
      <w:bookmarkStart w:id="60" w:name="_Toc254970546"/>
      <w:bookmarkStart w:id="61" w:name="_Toc254970687"/>
      <w:r>
        <w:rPr>
          <w:b/>
          <w:bCs/>
          <w:color w:val="auto"/>
          <w:kern w:val="0"/>
          <w:szCs w:val="21"/>
          <w:highlight w:val="none"/>
        </w:rPr>
        <w:t>2.5.1评审委员会</w:t>
      </w:r>
      <w:r>
        <w:rPr>
          <w:rFonts w:hint="eastAsia"/>
          <w:b/>
          <w:bCs/>
          <w:color w:val="auto"/>
          <w:kern w:val="0"/>
          <w:szCs w:val="21"/>
          <w:highlight w:val="none"/>
        </w:rPr>
        <w:t>及评审原则</w:t>
      </w:r>
    </w:p>
    <w:p w14:paraId="1AC705D2">
      <w:pPr>
        <w:spacing w:before="120" w:line="320" w:lineRule="atLeast"/>
        <w:ind w:firstLine="420" w:firstLineChars="200"/>
        <w:rPr>
          <w:color w:val="auto"/>
          <w:szCs w:val="21"/>
          <w:highlight w:val="none"/>
        </w:rPr>
      </w:pPr>
      <w:r>
        <w:rPr>
          <w:color w:val="auto"/>
          <w:szCs w:val="21"/>
          <w:highlight w:val="none"/>
        </w:rPr>
        <w:t>2.5</w:t>
      </w:r>
      <w:r>
        <w:rPr>
          <w:rFonts w:hint="eastAsia"/>
          <w:color w:val="auto"/>
          <w:szCs w:val="21"/>
          <w:highlight w:val="none"/>
        </w:rPr>
        <w:t>.1.1</w:t>
      </w:r>
      <w:r>
        <w:rPr>
          <w:color w:val="auto"/>
          <w:szCs w:val="21"/>
          <w:highlight w:val="none"/>
        </w:rPr>
        <w:t>本项目</w:t>
      </w:r>
      <w:r>
        <w:rPr>
          <w:rFonts w:hint="eastAsia"/>
          <w:color w:val="auto"/>
          <w:szCs w:val="21"/>
          <w:highlight w:val="none"/>
        </w:rPr>
        <w:t>评审工作由</w:t>
      </w:r>
      <w:r>
        <w:rPr>
          <w:color w:val="auto"/>
          <w:szCs w:val="21"/>
          <w:highlight w:val="none"/>
        </w:rPr>
        <w:t>评审委员会</w:t>
      </w:r>
      <w:r>
        <w:rPr>
          <w:rFonts w:hint="eastAsia"/>
          <w:color w:val="auto"/>
          <w:szCs w:val="21"/>
          <w:highlight w:val="none"/>
        </w:rPr>
        <w:t>负责，评审委员会</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46EB719A">
      <w:pPr>
        <w:spacing w:before="120" w:line="320" w:lineRule="atLeast"/>
        <w:ind w:firstLine="420" w:firstLineChars="200"/>
        <w:rPr>
          <w:color w:val="auto"/>
          <w:szCs w:val="21"/>
          <w:highlight w:val="none"/>
        </w:rPr>
      </w:pPr>
      <w:r>
        <w:rPr>
          <w:color w:val="auto"/>
          <w:szCs w:val="21"/>
          <w:highlight w:val="none"/>
        </w:rPr>
        <w:t>2.5</w:t>
      </w:r>
      <w:r>
        <w:rPr>
          <w:rFonts w:hint="eastAsia"/>
          <w:color w:val="auto"/>
          <w:szCs w:val="21"/>
          <w:highlight w:val="none"/>
        </w:rPr>
        <w:t>.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征集文件均没有明确规定的情形时，由评审委员会现场协商确定，协商不一致的，由全体评审委员会成员投票表决，应当按照少数服从多数的原则作出结论并由征集人记录在评审报告中。</w:t>
      </w:r>
    </w:p>
    <w:p w14:paraId="755D15E8">
      <w:pPr>
        <w:spacing w:before="120" w:line="320" w:lineRule="atLeast"/>
        <w:ind w:firstLine="420" w:firstLineChars="200"/>
        <w:rPr>
          <w:color w:val="auto"/>
          <w:szCs w:val="21"/>
          <w:highlight w:val="none"/>
        </w:rPr>
      </w:pPr>
      <w:r>
        <w:rPr>
          <w:color w:val="auto"/>
          <w:szCs w:val="21"/>
          <w:highlight w:val="none"/>
        </w:rPr>
        <w:t>2.5</w:t>
      </w:r>
      <w:r>
        <w:rPr>
          <w:rFonts w:hint="eastAsia"/>
          <w:color w:val="auto"/>
          <w:szCs w:val="21"/>
          <w:highlight w:val="none"/>
        </w:rPr>
        <w:t>.1.3征集人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EF67B0A">
      <w:pPr>
        <w:spacing w:before="120" w:line="320" w:lineRule="atLeast"/>
        <w:ind w:firstLine="420" w:firstLineChars="200"/>
        <w:rPr>
          <w:color w:val="auto"/>
          <w:szCs w:val="21"/>
          <w:highlight w:val="none"/>
        </w:rPr>
      </w:pPr>
      <w:r>
        <w:rPr>
          <w:color w:val="auto"/>
          <w:szCs w:val="21"/>
          <w:highlight w:val="none"/>
        </w:rPr>
        <w:t>2.5</w:t>
      </w:r>
      <w:r>
        <w:rPr>
          <w:rFonts w:hint="eastAsia"/>
          <w:color w:val="auto"/>
          <w:szCs w:val="21"/>
          <w:highlight w:val="none"/>
        </w:rPr>
        <w:t>.1.4本项目评审过程实行全程网上留痕及录音、录像监控，供应商在评审过程中所进行的试图影响评审结果的不公正活动，可能导致其响应按无效处理。</w:t>
      </w:r>
    </w:p>
    <w:p w14:paraId="6591807F">
      <w:pPr>
        <w:spacing w:before="120" w:line="320" w:lineRule="atLeast"/>
        <w:ind w:firstLine="422" w:firstLineChars="200"/>
        <w:outlineLvl w:val="3"/>
        <w:rPr>
          <w:b/>
          <w:bCs/>
          <w:color w:val="auto"/>
          <w:kern w:val="0"/>
          <w:szCs w:val="21"/>
          <w:highlight w:val="none"/>
        </w:rPr>
      </w:pPr>
      <w:r>
        <w:rPr>
          <w:b/>
          <w:bCs/>
          <w:color w:val="auto"/>
          <w:kern w:val="0"/>
          <w:szCs w:val="21"/>
          <w:highlight w:val="none"/>
        </w:rPr>
        <w:t>2.5.2</w:t>
      </w:r>
      <w:r>
        <w:rPr>
          <w:rFonts w:hint="eastAsia"/>
          <w:b/>
          <w:bCs/>
          <w:color w:val="auto"/>
          <w:kern w:val="0"/>
          <w:szCs w:val="21"/>
          <w:highlight w:val="none"/>
        </w:rPr>
        <w:t>评审方法及依据</w:t>
      </w:r>
    </w:p>
    <w:p w14:paraId="53DB901E">
      <w:pPr>
        <w:spacing w:before="120" w:line="320" w:lineRule="atLeast"/>
        <w:ind w:firstLine="420" w:firstLineChars="200"/>
        <w:rPr>
          <w:bCs/>
          <w:color w:val="auto"/>
          <w:kern w:val="0"/>
          <w:szCs w:val="21"/>
          <w:highlight w:val="none"/>
        </w:rPr>
      </w:pPr>
      <w:r>
        <w:rPr>
          <w:bCs/>
          <w:color w:val="auto"/>
          <w:kern w:val="0"/>
          <w:szCs w:val="21"/>
          <w:highlight w:val="none"/>
        </w:rPr>
        <w:t>2.5.2.1</w:t>
      </w:r>
      <w:r>
        <w:rPr>
          <w:rFonts w:hint="eastAsia"/>
          <w:bCs/>
          <w:color w:val="auto"/>
          <w:kern w:val="0"/>
          <w:szCs w:val="21"/>
          <w:highlight w:val="none"/>
        </w:rPr>
        <w:t>本项目采用第四章评审方法及标准规定的方法进行评审。</w:t>
      </w:r>
    </w:p>
    <w:p w14:paraId="0AC19EE0">
      <w:pPr>
        <w:suppressAutoHyphens/>
        <w:spacing w:before="120" w:line="320" w:lineRule="atLeast"/>
        <w:ind w:firstLine="420" w:firstLineChars="200"/>
        <w:rPr>
          <w:bCs/>
          <w:color w:val="auto"/>
          <w:kern w:val="0"/>
          <w:szCs w:val="21"/>
          <w:highlight w:val="none"/>
        </w:rPr>
      </w:pPr>
      <w:r>
        <w:rPr>
          <w:bCs/>
          <w:color w:val="auto"/>
          <w:kern w:val="0"/>
          <w:szCs w:val="21"/>
          <w:highlight w:val="none"/>
        </w:rPr>
        <w:t>2.5.2.2</w:t>
      </w:r>
      <w:r>
        <w:rPr>
          <w:rFonts w:hint="eastAsia"/>
          <w:color w:val="auto"/>
          <w:highlight w:val="none"/>
        </w:rPr>
        <w:t>评审委员会</w:t>
      </w:r>
      <w:r>
        <w:rPr>
          <w:color w:val="auto"/>
          <w:highlight w:val="none"/>
        </w:rPr>
        <w:t>以</w:t>
      </w:r>
      <w:r>
        <w:rPr>
          <w:rFonts w:hint="eastAsia"/>
          <w:color w:val="auto"/>
          <w:highlight w:val="none"/>
        </w:rPr>
        <w:t>征集文件</w:t>
      </w:r>
      <w:r>
        <w:rPr>
          <w:color w:val="auto"/>
          <w:highlight w:val="none"/>
        </w:rPr>
        <w:t>、补充文件、</w:t>
      </w:r>
      <w:r>
        <w:rPr>
          <w:rFonts w:hint="eastAsia"/>
          <w:color w:val="auto"/>
          <w:highlight w:val="none"/>
        </w:rPr>
        <w:t>响应文件</w:t>
      </w:r>
      <w:r>
        <w:rPr>
          <w:color w:val="auto"/>
          <w:highlight w:val="none"/>
        </w:rPr>
        <w:t>、澄清及答复为评审依据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32FC112D">
      <w:pPr>
        <w:spacing w:before="120" w:line="320" w:lineRule="atLeast"/>
        <w:ind w:firstLine="422" w:firstLineChars="200"/>
        <w:outlineLvl w:val="3"/>
        <w:rPr>
          <w:b/>
          <w:bCs/>
          <w:color w:val="auto"/>
          <w:kern w:val="0"/>
          <w:szCs w:val="21"/>
          <w:highlight w:val="none"/>
        </w:rPr>
      </w:pPr>
      <w:r>
        <w:rPr>
          <w:b/>
          <w:bCs/>
          <w:color w:val="auto"/>
          <w:kern w:val="0"/>
          <w:szCs w:val="21"/>
          <w:highlight w:val="none"/>
        </w:rPr>
        <w:t>2.5.3评审</w:t>
      </w:r>
      <w:r>
        <w:rPr>
          <w:rFonts w:hint="eastAsia"/>
          <w:b/>
          <w:bCs/>
          <w:color w:val="auto"/>
          <w:kern w:val="0"/>
          <w:szCs w:val="21"/>
          <w:highlight w:val="none"/>
        </w:rPr>
        <w:t>程序</w:t>
      </w:r>
    </w:p>
    <w:p w14:paraId="3EB4E6AA">
      <w:pPr>
        <w:spacing w:before="120" w:line="320" w:lineRule="atLeast"/>
        <w:ind w:firstLine="420" w:firstLineChars="200"/>
        <w:rPr>
          <w:color w:val="auto"/>
          <w:highlight w:val="none"/>
        </w:rPr>
      </w:pPr>
      <w:r>
        <w:rPr>
          <w:color w:val="auto"/>
          <w:highlight w:val="none"/>
        </w:rPr>
        <w:t>2.5.3.1</w:t>
      </w:r>
      <w:r>
        <w:rPr>
          <w:rFonts w:hint="eastAsia"/>
          <w:color w:val="auto"/>
          <w:highlight w:val="none"/>
        </w:rPr>
        <w:t>符合性审查</w:t>
      </w:r>
    </w:p>
    <w:p w14:paraId="0886554C">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评审委员会对</w:t>
      </w:r>
      <w:r>
        <w:rPr>
          <w:color w:val="auto"/>
          <w:highlight w:val="none"/>
        </w:rPr>
        <w:t>通过资格审查的供应商</w:t>
      </w:r>
      <w:r>
        <w:rPr>
          <w:rFonts w:hint="eastAsia" w:hAnsi="宋体"/>
          <w:color w:val="auto"/>
          <w:highlight w:val="none"/>
        </w:rPr>
        <w:t>的响应文件进行报价（如有）、商务资信、技术等方面实质性内容进行符合性审查，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p w14:paraId="08E4F5BB">
      <w:pPr>
        <w:spacing w:before="120" w:line="320" w:lineRule="atLeast"/>
        <w:ind w:firstLine="420" w:firstLineChars="200"/>
        <w:rPr>
          <w:color w:val="auto"/>
          <w:highlight w:val="none"/>
        </w:rPr>
      </w:pPr>
      <w:bookmarkStart w:id="62" w:name="_Hlk19176155"/>
      <w:r>
        <w:rPr>
          <w:color w:val="auto"/>
          <w:highlight w:val="none"/>
        </w:rPr>
        <w:t>2.5.3.2澄清、说明或补正</w:t>
      </w:r>
    </w:p>
    <w:p w14:paraId="5C8DFDCB">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评审委员会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评审委员会。供应商的澄清、说明或者补正不得超出响应文件的范围或者改变响应文件的实质性内容。供应商未在规定时间内进行澄清、说明或者补正的，按无效响应处理。</w:t>
      </w:r>
    </w:p>
    <w:p w14:paraId="06AA88F0">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2166B909">
      <w:pPr>
        <w:spacing w:before="120" w:line="320" w:lineRule="atLeast"/>
        <w:ind w:firstLine="420" w:firstLineChars="200"/>
        <w:rPr>
          <w:color w:val="auto"/>
          <w:highlight w:val="none"/>
        </w:rPr>
      </w:pPr>
      <w:r>
        <w:rPr>
          <w:color w:val="auto"/>
          <w:highlight w:val="none"/>
        </w:rPr>
        <w:t>2.5.3.3</w:t>
      </w:r>
      <w:r>
        <w:rPr>
          <w:rFonts w:hint="eastAsia"/>
          <w:color w:val="auto"/>
          <w:highlight w:val="none"/>
        </w:rPr>
        <w:t>报价</w:t>
      </w:r>
      <w:r>
        <w:rPr>
          <w:color w:val="auto"/>
          <w:highlight w:val="none"/>
        </w:rPr>
        <w:t>修正</w:t>
      </w:r>
      <w:r>
        <w:rPr>
          <w:rFonts w:hint="eastAsia"/>
          <w:b/>
          <w:bCs/>
          <w:color w:val="auto"/>
          <w:kern w:val="0"/>
          <w:szCs w:val="21"/>
          <w:highlight w:val="none"/>
        </w:rPr>
        <w:t>（如本项目需要报价时）</w:t>
      </w:r>
    </w:p>
    <w:p w14:paraId="1A18502A">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5B6066D3">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响应文件中截标一览表（报价表）内容与响应文件中相应内容不一致的，以截标一览表（报价表）为准；</w:t>
      </w:r>
    </w:p>
    <w:p w14:paraId="6521CCC5">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52AA2E28">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单价金额小数点或者百分比有明显错位的，以截标一览表的总价为准，并修改单价；</w:t>
      </w:r>
    </w:p>
    <w:p w14:paraId="02C544C6">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57A873D9">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2.5.3.2</w:t>
      </w:r>
      <w:r>
        <w:rPr>
          <w:rFonts w:hint="eastAsia"/>
          <w:color w:val="auto"/>
          <w:szCs w:val="21"/>
          <w:highlight w:val="none"/>
        </w:rPr>
        <w:t>澄清、说明或补正”的规定经供应商确认后产生约束力，供应商不确认的，其响应无效。</w:t>
      </w:r>
    </w:p>
    <w:p w14:paraId="28168490">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）评审委员会认为供应商的报价明显低于其他通过符合性审查供应商的报价，有可能影响产品质量或者不能诚信履约的，应当要求其在合理的时间内提交相关书面证明材料；书面证明应当按照上述“</w:t>
      </w:r>
      <w:r>
        <w:rPr>
          <w:color w:val="auto"/>
          <w:szCs w:val="21"/>
          <w:highlight w:val="none"/>
        </w:rPr>
        <w:t>2.5.3.2</w:t>
      </w:r>
      <w:r>
        <w:rPr>
          <w:rFonts w:hint="eastAsia"/>
          <w:color w:val="auto"/>
          <w:szCs w:val="21"/>
          <w:highlight w:val="none"/>
        </w:rPr>
        <w:t>澄清、说明或补正”的规定提交。供应商未按规定提交或不能证明其报价合理性的，评审委员会应当将其作为无效响应处理。</w:t>
      </w:r>
    </w:p>
    <w:p w14:paraId="2847A06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 经供应商确认修正后的报价若超过采购预算金额或者最高限制单价，其响应文件作无效响应处理。</w:t>
      </w:r>
    </w:p>
    <w:p w14:paraId="7486D1F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）经供应产确认修正后的报价作为签订框架协议的依据。</w:t>
      </w:r>
    </w:p>
    <w:bookmarkEnd w:id="62"/>
    <w:p w14:paraId="16C8DDA9">
      <w:pPr>
        <w:spacing w:before="120" w:line="320" w:lineRule="atLeast"/>
        <w:ind w:firstLine="420" w:firstLineChars="200"/>
        <w:rPr>
          <w:color w:val="auto"/>
          <w:szCs w:val="21"/>
          <w:highlight w:val="none"/>
        </w:rPr>
      </w:pPr>
      <w:r>
        <w:rPr>
          <w:color w:val="auto"/>
          <w:szCs w:val="21"/>
          <w:highlight w:val="none"/>
        </w:rPr>
        <w:t>2.5.3.4串通</w:t>
      </w:r>
      <w:r>
        <w:rPr>
          <w:rFonts w:hint="eastAsia"/>
          <w:color w:val="auto"/>
          <w:szCs w:val="21"/>
          <w:highlight w:val="none"/>
        </w:rPr>
        <w:t>投标</w:t>
      </w:r>
      <w:r>
        <w:rPr>
          <w:color w:val="auto"/>
          <w:szCs w:val="21"/>
          <w:highlight w:val="none"/>
        </w:rPr>
        <w:t>认定</w:t>
      </w:r>
    </w:p>
    <w:p w14:paraId="5F295FD5">
      <w:pPr>
        <w:spacing w:before="120" w:line="320" w:lineRule="atLeast"/>
        <w:ind w:firstLine="420" w:firstLineChars="200"/>
        <w:rPr>
          <w:color w:val="auto"/>
          <w:szCs w:val="21"/>
          <w:highlight w:val="none"/>
        </w:rPr>
      </w:pPr>
      <w:bookmarkStart w:id="63" w:name="_Hlk19122095"/>
      <w:r>
        <w:rPr>
          <w:rFonts w:hint="eastAsia"/>
          <w:color w:val="auto"/>
          <w:szCs w:val="21"/>
          <w:highlight w:val="none"/>
        </w:rPr>
        <w:t>评审委员会须根据以下规定认定供应商是否有串通投标的行为。</w:t>
      </w:r>
    </w:p>
    <w:p w14:paraId="03A9ACA7">
      <w:pPr>
        <w:spacing w:before="120" w:line="320" w:lineRule="atLeast"/>
        <w:ind w:firstLine="420" w:firstLineChars="200"/>
        <w:rPr>
          <w:color w:val="auto"/>
          <w:szCs w:val="21"/>
          <w:highlight w:val="none"/>
        </w:rPr>
      </w:pPr>
      <w:r>
        <w:rPr>
          <w:rFonts w:hint="eastAsia"/>
          <w:color w:val="auto"/>
          <w:szCs w:val="21"/>
          <w:highlight w:val="none"/>
        </w:rPr>
        <w:t>（1）根据《关于防治政府采购招标中串通投标行为的通知》（桂财采[2016]42号）规定，出现下述情况的，相关供应商的投标作无效投标处理。</w:t>
      </w:r>
    </w:p>
    <w:p w14:paraId="3FF88028">
      <w:pPr>
        <w:spacing w:before="120" w:line="320" w:lineRule="atLeast"/>
        <w:ind w:firstLine="420" w:firstLineChars="200"/>
        <w:rPr>
          <w:color w:val="auto"/>
          <w:szCs w:val="21"/>
          <w:highlight w:val="none"/>
        </w:rPr>
      </w:pPr>
      <w:r>
        <w:rPr>
          <w:rFonts w:hint="eastAsia"/>
          <w:color w:val="auto"/>
          <w:szCs w:val="21"/>
          <w:highlight w:val="none"/>
        </w:rPr>
        <w:t>①单位负责人为同一人或者存在直接控股、管理关系，参加同一合同项下政府采购活动的不同供应商。</w:t>
      </w:r>
    </w:p>
    <w:p w14:paraId="783F1D24">
      <w:pPr>
        <w:spacing w:before="120" w:line="320" w:lineRule="atLeast"/>
        <w:ind w:firstLine="420" w:firstLineChars="200"/>
        <w:rPr>
          <w:color w:val="auto"/>
          <w:szCs w:val="21"/>
          <w:highlight w:val="none"/>
        </w:rPr>
      </w:pPr>
      <w:r>
        <w:rPr>
          <w:rFonts w:hint="eastAsia"/>
          <w:color w:val="auto"/>
          <w:szCs w:val="21"/>
          <w:highlight w:val="none"/>
        </w:rPr>
        <w:t>②授权给供应商后参加同一合同项（分标、分包）投标的生产厂商。</w:t>
      </w:r>
    </w:p>
    <w:p w14:paraId="229D7011">
      <w:pPr>
        <w:spacing w:before="120" w:line="320" w:lineRule="atLeast"/>
        <w:ind w:firstLine="420" w:firstLineChars="200"/>
        <w:rPr>
          <w:color w:val="auto"/>
          <w:szCs w:val="21"/>
          <w:highlight w:val="none"/>
        </w:rPr>
      </w:pPr>
      <w:r>
        <w:rPr>
          <w:rFonts w:hint="eastAsia"/>
          <w:color w:val="auto"/>
          <w:szCs w:val="21"/>
          <w:highlight w:val="none"/>
        </w:rPr>
        <w:t>③视为或被认定为串通投标的相关供应商。</w:t>
      </w:r>
    </w:p>
    <w:p w14:paraId="604B0FE5">
      <w:pPr>
        <w:spacing w:before="120" w:line="320" w:lineRule="atLeast"/>
        <w:ind w:firstLine="420" w:firstLineChars="200"/>
        <w:rPr>
          <w:color w:val="auto"/>
          <w:szCs w:val="21"/>
          <w:highlight w:val="none"/>
        </w:rPr>
      </w:pPr>
      <w:r>
        <w:rPr>
          <w:rFonts w:hint="eastAsia"/>
          <w:color w:val="auto"/>
          <w:szCs w:val="21"/>
          <w:highlight w:val="none"/>
        </w:rPr>
        <w:t>（2）根据《关于防治政府采购招标中串通投标行为的通知》（桂财采[2016]42号）规定，有下列情形之一的视为供应商相互串通投标，投标文件将被视为无效。</w:t>
      </w:r>
    </w:p>
    <w:p w14:paraId="6B7D5956">
      <w:pPr>
        <w:spacing w:before="120" w:line="320" w:lineRule="atLeast"/>
        <w:ind w:firstLine="420" w:firstLineChars="200"/>
        <w:rPr>
          <w:color w:val="auto"/>
          <w:szCs w:val="21"/>
          <w:highlight w:val="none"/>
        </w:rPr>
      </w:pPr>
      <w:r>
        <w:rPr>
          <w:rFonts w:hint="eastAsia"/>
          <w:color w:val="auto"/>
          <w:szCs w:val="21"/>
          <w:highlight w:val="none"/>
        </w:rPr>
        <w:t>①不同供应商的投标文件由同一单位或者个人编制；或不同供应商报名的IP地址一致的；</w:t>
      </w:r>
    </w:p>
    <w:p w14:paraId="28A86DB7">
      <w:pPr>
        <w:spacing w:before="120" w:line="320" w:lineRule="atLeast"/>
        <w:ind w:firstLine="420" w:firstLineChars="200"/>
        <w:rPr>
          <w:color w:val="auto"/>
          <w:szCs w:val="21"/>
          <w:highlight w:val="none"/>
        </w:rPr>
      </w:pPr>
      <w:r>
        <w:rPr>
          <w:rFonts w:hint="eastAsia"/>
          <w:color w:val="auto"/>
          <w:szCs w:val="21"/>
          <w:highlight w:val="none"/>
        </w:rPr>
        <w:t>②不同供应商委托同一单位或者个人办理投标事宜；</w:t>
      </w:r>
    </w:p>
    <w:p w14:paraId="6735565E">
      <w:pPr>
        <w:spacing w:before="120" w:line="320" w:lineRule="atLeast"/>
        <w:ind w:firstLine="420" w:firstLineChars="200"/>
        <w:rPr>
          <w:color w:val="auto"/>
          <w:szCs w:val="21"/>
          <w:highlight w:val="none"/>
        </w:rPr>
      </w:pPr>
      <w:r>
        <w:rPr>
          <w:rFonts w:hint="eastAsia"/>
          <w:color w:val="auto"/>
          <w:szCs w:val="21"/>
          <w:highlight w:val="none"/>
        </w:rPr>
        <w:t>③不同的供应商的投标文件载明的项目管理员为同一个人；</w:t>
      </w:r>
    </w:p>
    <w:p w14:paraId="69AA281E">
      <w:pPr>
        <w:spacing w:before="120" w:line="320" w:lineRule="atLeast"/>
        <w:ind w:firstLine="420" w:firstLineChars="200"/>
        <w:rPr>
          <w:color w:val="auto"/>
          <w:szCs w:val="21"/>
          <w:highlight w:val="none"/>
        </w:rPr>
      </w:pPr>
      <w:r>
        <w:rPr>
          <w:rFonts w:hint="eastAsia"/>
          <w:color w:val="auto"/>
          <w:szCs w:val="21"/>
          <w:highlight w:val="none"/>
        </w:rPr>
        <w:t>④不同供应商的投标文件异常一致或投标报价呈规律性差异；</w:t>
      </w:r>
    </w:p>
    <w:p w14:paraId="0951394E">
      <w:pPr>
        <w:spacing w:before="120" w:line="320" w:lineRule="atLeast"/>
        <w:ind w:firstLine="420" w:firstLineChars="200"/>
        <w:rPr>
          <w:color w:val="auto"/>
          <w:szCs w:val="21"/>
          <w:highlight w:val="none"/>
        </w:rPr>
      </w:pPr>
      <w:r>
        <w:rPr>
          <w:rFonts w:hint="eastAsia"/>
          <w:color w:val="auto"/>
          <w:szCs w:val="21"/>
          <w:highlight w:val="none"/>
        </w:rPr>
        <w:t>⑤不同供应商的投标文件相互混装；</w:t>
      </w:r>
    </w:p>
    <w:p w14:paraId="48675F2C">
      <w:pPr>
        <w:spacing w:before="120" w:line="320" w:lineRule="atLeast"/>
        <w:ind w:firstLine="420" w:firstLineChars="200"/>
        <w:rPr>
          <w:color w:val="auto"/>
          <w:szCs w:val="21"/>
          <w:highlight w:val="none"/>
        </w:rPr>
      </w:pPr>
      <w:r>
        <w:rPr>
          <w:rFonts w:hint="eastAsia"/>
          <w:color w:val="auto"/>
          <w:szCs w:val="21"/>
          <w:highlight w:val="none"/>
        </w:rPr>
        <w:t>⑥不同供应商的保证金从同一单位或者个人账户转出。</w:t>
      </w:r>
    </w:p>
    <w:p w14:paraId="40CAE58E">
      <w:pPr>
        <w:spacing w:before="120" w:line="320" w:lineRule="atLeast"/>
        <w:ind w:firstLine="420" w:firstLineChars="200"/>
        <w:rPr>
          <w:color w:val="auto"/>
          <w:szCs w:val="21"/>
          <w:highlight w:val="none"/>
        </w:rPr>
      </w:pPr>
      <w:r>
        <w:rPr>
          <w:rFonts w:hint="eastAsia"/>
          <w:color w:val="auto"/>
          <w:szCs w:val="21"/>
          <w:highlight w:val="none"/>
        </w:rPr>
        <w:t>（3）根据《关于防治政府采购招标中串通投标行为的通知》（桂财采[2016]42号）规定，供应商有下列情形之一的，属于恶意串通行为，投标文件将被视为无效。</w:t>
      </w:r>
    </w:p>
    <w:p w14:paraId="4D304A93">
      <w:pPr>
        <w:spacing w:before="120" w:line="320" w:lineRule="atLeast"/>
        <w:ind w:firstLine="420" w:firstLineChars="200"/>
        <w:rPr>
          <w:color w:val="auto"/>
          <w:szCs w:val="21"/>
          <w:highlight w:val="none"/>
        </w:rPr>
      </w:pPr>
      <w:r>
        <w:rPr>
          <w:rFonts w:hint="eastAsia"/>
          <w:color w:val="auto"/>
          <w:szCs w:val="21"/>
          <w:highlight w:val="none"/>
        </w:rPr>
        <w:t>①供应商直接或者间接从采购人或者采购代理机构处获得其他供应商的相关信息并修改其投标文件或者响应文件；</w:t>
      </w:r>
    </w:p>
    <w:p w14:paraId="55F7B618">
      <w:pPr>
        <w:spacing w:before="120" w:line="320" w:lineRule="atLeast"/>
        <w:ind w:firstLine="420" w:firstLineChars="200"/>
        <w:rPr>
          <w:color w:val="auto"/>
          <w:szCs w:val="21"/>
          <w:highlight w:val="none"/>
        </w:rPr>
      </w:pPr>
      <w:r>
        <w:rPr>
          <w:rFonts w:hint="eastAsia"/>
          <w:color w:val="auto"/>
          <w:szCs w:val="21"/>
          <w:highlight w:val="none"/>
        </w:rPr>
        <w:t>②供应商按照采购人或者采购代理机构的授意撤换、修改投标文件或者响应文件;；</w:t>
      </w:r>
    </w:p>
    <w:p w14:paraId="45F8BFFA">
      <w:pPr>
        <w:spacing w:before="120" w:line="320" w:lineRule="atLeast"/>
        <w:ind w:firstLine="420" w:firstLineChars="200"/>
        <w:rPr>
          <w:color w:val="auto"/>
          <w:szCs w:val="21"/>
          <w:highlight w:val="none"/>
        </w:rPr>
      </w:pPr>
      <w:r>
        <w:rPr>
          <w:rFonts w:hint="eastAsia"/>
          <w:color w:val="auto"/>
          <w:szCs w:val="21"/>
          <w:highlight w:val="none"/>
        </w:rPr>
        <w:t>③供应商之间协商报价、技术方案等投标文件或者响应文件的实质性内容；</w:t>
      </w:r>
    </w:p>
    <w:p w14:paraId="653DA21F">
      <w:pPr>
        <w:spacing w:before="120" w:line="320" w:lineRule="atLeast"/>
        <w:ind w:firstLine="420" w:firstLineChars="200"/>
        <w:rPr>
          <w:color w:val="auto"/>
          <w:szCs w:val="21"/>
          <w:highlight w:val="none"/>
        </w:rPr>
      </w:pPr>
      <w:r>
        <w:rPr>
          <w:rFonts w:hint="eastAsia"/>
          <w:color w:val="auto"/>
          <w:szCs w:val="21"/>
          <w:highlight w:val="none"/>
        </w:rPr>
        <w:t>④属于同一集团、协会、商会等组织成员的供应商按照该组织要求协同参加政府采购活动；</w:t>
      </w:r>
    </w:p>
    <w:p w14:paraId="10138257">
      <w:pPr>
        <w:spacing w:before="120" w:line="320" w:lineRule="atLeast"/>
        <w:ind w:firstLine="420" w:firstLineChars="200"/>
        <w:rPr>
          <w:color w:val="auto"/>
          <w:szCs w:val="21"/>
          <w:highlight w:val="none"/>
        </w:rPr>
      </w:pPr>
      <w:r>
        <w:rPr>
          <w:rFonts w:hint="eastAsia"/>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011EA461">
      <w:pPr>
        <w:spacing w:before="120" w:line="320" w:lineRule="atLeast"/>
        <w:ind w:firstLine="420" w:firstLineChars="200"/>
        <w:rPr>
          <w:color w:val="auto"/>
          <w:szCs w:val="21"/>
          <w:highlight w:val="none"/>
        </w:rPr>
      </w:pPr>
      <w:r>
        <w:rPr>
          <w:rFonts w:hint="eastAsia"/>
          <w:color w:val="auto"/>
          <w:szCs w:val="21"/>
          <w:highlight w:val="none"/>
        </w:rPr>
        <w:t>⑥供应商之间商定部分供应商放弃参加政府采购活动或者放弃中标；</w:t>
      </w:r>
    </w:p>
    <w:p w14:paraId="5C933B61">
      <w:pPr>
        <w:spacing w:before="120" w:line="320" w:lineRule="atLeast"/>
        <w:ind w:firstLine="420" w:firstLineChars="200"/>
        <w:rPr>
          <w:color w:val="auto"/>
          <w:szCs w:val="21"/>
          <w:highlight w:val="none"/>
        </w:rPr>
      </w:pPr>
      <w:r>
        <w:rPr>
          <w:rFonts w:hint="eastAsia"/>
          <w:color w:val="auto"/>
          <w:szCs w:val="21"/>
          <w:highlight w:val="none"/>
        </w:rPr>
        <w:t>⑦供应商与采购人或者采购代理机构之间、供应商相互之间，为谋求特定供应商中标或者排斥其他供应商的其他串通行为。</w:t>
      </w:r>
    </w:p>
    <w:p w14:paraId="3D425B50">
      <w:pPr>
        <w:spacing w:before="120" w:line="320" w:lineRule="atLeast"/>
        <w:ind w:firstLine="420" w:firstLineChars="200"/>
        <w:rPr>
          <w:color w:val="auto"/>
          <w:szCs w:val="21"/>
          <w:highlight w:val="none"/>
        </w:rPr>
      </w:pPr>
      <w:r>
        <w:rPr>
          <w:rFonts w:hint="eastAsia"/>
          <w:color w:val="auto"/>
          <w:szCs w:val="21"/>
          <w:highlight w:val="none"/>
        </w:rPr>
        <w:t>注：本款所述“投标”即为“响应”，“中标”即为“入围”。</w:t>
      </w:r>
    </w:p>
    <w:bookmarkEnd w:id="63"/>
    <w:p w14:paraId="6885BA47">
      <w:pPr>
        <w:spacing w:before="120" w:line="320" w:lineRule="atLeast"/>
        <w:ind w:firstLine="420" w:firstLineChars="200"/>
        <w:rPr>
          <w:color w:val="auto"/>
          <w:szCs w:val="21"/>
          <w:highlight w:val="none"/>
        </w:rPr>
      </w:pPr>
      <w:r>
        <w:rPr>
          <w:color w:val="auto"/>
          <w:szCs w:val="21"/>
          <w:highlight w:val="none"/>
        </w:rPr>
        <w:t>2.5.3.5响应</w:t>
      </w:r>
      <w:r>
        <w:rPr>
          <w:rFonts w:hint="eastAsia"/>
          <w:color w:val="auto"/>
          <w:szCs w:val="21"/>
          <w:highlight w:val="none"/>
        </w:rPr>
        <w:t>无效</w:t>
      </w:r>
      <w:r>
        <w:rPr>
          <w:color w:val="auto"/>
          <w:szCs w:val="21"/>
          <w:highlight w:val="none"/>
        </w:rPr>
        <w:t>认定</w:t>
      </w:r>
    </w:p>
    <w:p w14:paraId="1A810432">
      <w:pPr>
        <w:spacing w:before="120" w:line="320" w:lineRule="atLeast"/>
        <w:ind w:firstLine="420" w:firstLineChars="200"/>
        <w:rPr>
          <w:color w:val="auto"/>
          <w:szCs w:val="21"/>
          <w:highlight w:val="none"/>
        </w:rPr>
      </w:pPr>
      <w:bookmarkStart w:id="64" w:name="_Hlk19113301"/>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0552321C">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04ECC3C3">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存在征集文件规定的无效情形。</w:t>
      </w:r>
    </w:p>
    <w:bookmarkEnd w:id="64"/>
    <w:p w14:paraId="72301467">
      <w:pPr>
        <w:spacing w:before="120" w:line="320" w:lineRule="atLeast"/>
        <w:ind w:firstLine="420" w:firstLineChars="200"/>
        <w:rPr>
          <w:color w:val="auto"/>
          <w:szCs w:val="21"/>
          <w:highlight w:val="none"/>
        </w:rPr>
      </w:pPr>
      <w:bookmarkStart w:id="65"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评审委员会不得因装订、纸张、文件排序等非实质性的格式、形式问题认定响应无效或否决响应，从而限制和影响供应商响应（响应）。</w:t>
      </w:r>
    </w:p>
    <w:bookmarkEnd w:id="65"/>
    <w:p w14:paraId="7ABF0FA6">
      <w:pPr>
        <w:spacing w:before="120" w:line="320" w:lineRule="atLeast"/>
        <w:ind w:firstLine="420" w:firstLineChars="200"/>
        <w:rPr>
          <w:color w:val="auto"/>
          <w:szCs w:val="21"/>
          <w:highlight w:val="none"/>
        </w:rPr>
      </w:pPr>
      <w:bookmarkStart w:id="66" w:name="_Hlk19113363"/>
      <w:r>
        <w:rPr>
          <w:color w:val="auto"/>
          <w:szCs w:val="21"/>
          <w:highlight w:val="none"/>
        </w:rPr>
        <w:t>2.5.3.6比较与评价</w:t>
      </w:r>
    </w:p>
    <w:p w14:paraId="451A0B41">
      <w:pPr>
        <w:spacing w:before="120" w:line="320" w:lineRule="atLeast"/>
        <w:ind w:firstLine="420" w:firstLineChars="200"/>
        <w:rPr>
          <w:color w:val="auto"/>
          <w:szCs w:val="21"/>
          <w:highlight w:val="none"/>
        </w:rPr>
      </w:pPr>
      <w:r>
        <w:rPr>
          <w:rFonts w:hint="eastAsia"/>
          <w:color w:val="auto"/>
          <w:szCs w:val="21"/>
          <w:highlight w:val="none"/>
        </w:rPr>
        <w:t>（1）评审委员会</w:t>
      </w:r>
      <w:r>
        <w:rPr>
          <w:color w:val="auto"/>
          <w:szCs w:val="21"/>
          <w:highlight w:val="none"/>
        </w:rPr>
        <w:t>按征集文件中规定的评审方法和标准，对符合性审查合格的响应文件进行综合比较与评价。</w:t>
      </w:r>
    </w:p>
    <w:p w14:paraId="49DFEFB5">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评审委员会各成员独立对每个有效供应商的响应文件进行评价</w:t>
      </w:r>
      <w:r>
        <w:rPr>
          <w:rFonts w:hint="eastAsia"/>
          <w:color w:val="auto"/>
          <w:szCs w:val="21"/>
          <w:highlight w:val="none"/>
        </w:rPr>
        <w:t>。评价</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标准如有客观分定义，评审委员会所有成员的客观分</w:t>
      </w:r>
      <w:r>
        <w:rPr>
          <w:rFonts w:hint="eastAsia"/>
          <w:color w:val="auto"/>
          <w:szCs w:val="21"/>
          <w:highlight w:val="none"/>
        </w:rPr>
        <w:t>评分分值</w:t>
      </w:r>
      <w:r>
        <w:rPr>
          <w:color w:val="auto"/>
          <w:szCs w:val="21"/>
          <w:highlight w:val="none"/>
        </w:rPr>
        <w:t>应当一致。</w:t>
      </w:r>
    </w:p>
    <w:p w14:paraId="33F53963">
      <w:pPr>
        <w:spacing w:before="120" w:line="320" w:lineRule="atLeast"/>
        <w:ind w:firstLine="420" w:firstLineChars="200"/>
        <w:rPr>
          <w:color w:val="auto"/>
          <w:szCs w:val="21"/>
          <w:highlight w:val="none"/>
        </w:rPr>
      </w:pPr>
      <w:r>
        <w:rPr>
          <w:rFonts w:hint="eastAsia"/>
          <w:color w:val="auto"/>
          <w:szCs w:val="21"/>
          <w:highlight w:val="none"/>
        </w:rPr>
        <w:t>（3）评审委员会</w:t>
      </w:r>
      <w:r>
        <w:rPr>
          <w:color w:val="auto"/>
          <w:szCs w:val="21"/>
          <w:highlight w:val="none"/>
        </w:rPr>
        <w:t>按</w:t>
      </w:r>
      <w:r>
        <w:rPr>
          <w:rFonts w:hint="eastAsia"/>
          <w:color w:val="auto"/>
          <w:szCs w:val="21"/>
          <w:highlight w:val="none"/>
        </w:rPr>
        <w:t>质量综合评</w:t>
      </w:r>
      <w:r>
        <w:rPr>
          <w:color w:val="auto"/>
          <w:szCs w:val="21"/>
          <w:highlight w:val="none"/>
        </w:rPr>
        <w:t>分由高到低的排列顺序</w:t>
      </w:r>
      <w:r>
        <w:rPr>
          <w:rFonts w:hint="eastAsia"/>
          <w:color w:val="auto"/>
          <w:szCs w:val="21"/>
          <w:highlight w:val="none"/>
        </w:rPr>
        <w:t>以及评审方法及标准规定的入围供应商数量上限或淘汰率</w:t>
      </w:r>
      <w:r>
        <w:rPr>
          <w:color w:val="auto"/>
          <w:szCs w:val="21"/>
          <w:highlight w:val="none"/>
        </w:rPr>
        <w:t>推荐</w:t>
      </w:r>
      <w:r>
        <w:rPr>
          <w:rFonts w:hint="eastAsia"/>
          <w:color w:val="auto"/>
          <w:szCs w:val="21"/>
          <w:highlight w:val="none"/>
        </w:rPr>
        <w:t>入围供应商</w:t>
      </w:r>
      <w:r>
        <w:rPr>
          <w:color w:val="auto"/>
          <w:szCs w:val="21"/>
          <w:highlight w:val="none"/>
        </w:rPr>
        <w:t>。</w:t>
      </w:r>
    </w:p>
    <w:p w14:paraId="5ED2D595">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）评审委员会根据评审记录及评审结果编写评审报告，评审委员会成员均应当在评审报告上签字，对自己的评审意见承担法律责任。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情形之一的，评审委员会应当当场修改评审结果，并在评审报告中记载；评审报告签署后，</w:t>
      </w:r>
      <w:r>
        <w:rPr>
          <w:rFonts w:hint="eastAsia"/>
          <w:color w:val="auto"/>
          <w:highlight w:val="none"/>
        </w:rPr>
        <w:t>征集人</w:t>
      </w:r>
      <w:r>
        <w:rPr>
          <w:color w:val="auto"/>
          <w:highlight w:val="none"/>
        </w:rPr>
        <w:t>发现存在以</w:t>
      </w:r>
      <w:r>
        <w:rPr>
          <w:rFonts w:hint="eastAsia"/>
          <w:color w:val="auto"/>
          <w:highlight w:val="none"/>
        </w:rPr>
        <w:t>下</w:t>
      </w:r>
      <w:r>
        <w:rPr>
          <w:color w:val="auto"/>
          <w:highlight w:val="none"/>
        </w:rPr>
        <w:t>情形之一的，应当组织原评审委员会进行重新评审。</w:t>
      </w:r>
    </w:p>
    <w:p w14:paraId="0A9C6AB6">
      <w:pPr>
        <w:spacing w:before="120" w:line="320" w:lineRule="atLeast"/>
        <w:ind w:firstLine="420" w:firstLineChars="200"/>
        <w:rPr>
          <w:color w:val="auto"/>
          <w:highlight w:val="none"/>
        </w:rPr>
      </w:pPr>
      <w:r>
        <w:rPr>
          <w:color w:val="auto"/>
          <w:highlight w:val="none"/>
        </w:rPr>
        <w:t>分值汇总计算错误的；分项评分超出评分标准范围的；评审委员会成员对客观评审因素评分不一致的；经评审委员会认定评分畸高、畸低的。</w:t>
      </w:r>
    </w:p>
    <w:bookmarkEnd w:id="60"/>
    <w:bookmarkEnd w:id="61"/>
    <w:bookmarkEnd w:id="66"/>
    <w:p w14:paraId="2712925D">
      <w:pPr>
        <w:spacing w:before="120" w:line="320" w:lineRule="atLeast"/>
        <w:ind w:firstLine="422" w:firstLineChars="200"/>
        <w:outlineLvl w:val="3"/>
        <w:rPr>
          <w:b/>
          <w:bCs/>
          <w:color w:val="auto"/>
          <w:kern w:val="0"/>
          <w:szCs w:val="21"/>
          <w:highlight w:val="none"/>
        </w:rPr>
      </w:pPr>
      <w:r>
        <w:rPr>
          <w:b/>
          <w:bCs/>
          <w:color w:val="auto"/>
          <w:kern w:val="0"/>
          <w:szCs w:val="21"/>
          <w:highlight w:val="none"/>
        </w:rPr>
        <w:t>2.5.4确定入围供应商</w:t>
      </w:r>
    </w:p>
    <w:p w14:paraId="41C62DD7">
      <w:pPr>
        <w:spacing w:before="120" w:line="276" w:lineRule="auto"/>
        <w:ind w:firstLine="420" w:firstLineChars="200"/>
        <w:rPr>
          <w:color w:val="auto"/>
          <w:szCs w:val="21"/>
          <w:highlight w:val="none"/>
        </w:rPr>
      </w:pPr>
      <w:r>
        <w:rPr>
          <w:color w:val="auto"/>
          <w:szCs w:val="21"/>
          <w:highlight w:val="none"/>
        </w:rPr>
        <w:t>2.5</w:t>
      </w:r>
      <w:r>
        <w:rPr>
          <w:rFonts w:hint="eastAsia"/>
          <w:color w:val="auto"/>
          <w:szCs w:val="21"/>
          <w:highlight w:val="none"/>
        </w:rPr>
        <w:t>.</w:t>
      </w:r>
      <w:r>
        <w:rPr>
          <w:color w:val="auto"/>
          <w:szCs w:val="21"/>
          <w:highlight w:val="none"/>
        </w:rPr>
        <w:t>4.1采购代理机构将在评审结束后2个工作日内将评审报告送</w:t>
      </w:r>
      <w:r>
        <w:rPr>
          <w:rFonts w:hint="eastAsia"/>
          <w:color w:val="auto"/>
          <w:szCs w:val="21"/>
          <w:highlight w:val="none"/>
        </w:rPr>
        <w:t>征集人</w:t>
      </w:r>
      <w:r>
        <w:rPr>
          <w:color w:val="auto"/>
          <w:szCs w:val="21"/>
          <w:highlight w:val="none"/>
        </w:rPr>
        <w:t>，</w:t>
      </w:r>
      <w:r>
        <w:rPr>
          <w:rFonts w:hint="eastAsia"/>
          <w:color w:val="auto"/>
          <w:szCs w:val="21"/>
          <w:highlight w:val="none"/>
        </w:rPr>
        <w:t>征集人</w:t>
      </w:r>
      <w:r>
        <w:rPr>
          <w:color w:val="auto"/>
          <w:szCs w:val="21"/>
          <w:highlight w:val="none"/>
        </w:rPr>
        <w:t>在5个工作日内按照评审报告确定入围供应商。</w:t>
      </w:r>
    </w:p>
    <w:p w14:paraId="4B729B30">
      <w:pPr>
        <w:spacing w:before="120" w:line="276" w:lineRule="auto"/>
        <w:ind w:firstLine="420" w:firstLineChars="200"/>
        <w:rPr>
          <w:color w:val="auto"/>
          <w:szCs w:val="21"/>
          <w:highlight w:val="none"/>
        </w:rPr>
      </w:pPr>
      <w:r>
        <w:rPr>
          <w:color w:val="auto"/>
          <w:szCs w:val="21"/>
          <w:highlight w:val="none"/>
        </w:rPr>
        <w:t>2.5.4.2</w:t>
      </w:r>
      <w:r>
        <w:rPr>
          <w:rFonts w:hint="eastAsia"/>
          <w:color w:val="auto"/>
          <w:szCs w:val="21"/>
          <w:highlight w:val="none"/>
        </w:rPr>
        <w:t>征集人认为供应商对征集过程、成交结果提出的质疑成立且影响或者可能影响成交结果的，合格供应商符合法定数量时，可以从合格的候选入围供应商（除入围供应商之外的其他通过资格审查和符合性审查的供应商）中另行确定入围供应商的，应当依法另行确定入围供应商；否则应当重新开展征集活动。</w:t>
      </w:r>
    </w:p>
    <w:p w14:paraId="31DE70DB">
      <w:pPr>
        <w:spacing w:before="120" w:line="320" w:lineRule="atLeast"/>
        <w:ind w:firstLine="422" w:firstLineChars="200"/>
        <w:outlineLvl w:val="3"/>
        <w:rPr>
          <w:b/>
          <w:bCs/>
          <w:color w:val="auto"/>
          <w:kern w:val="0"/>
          <w:szCs w:val="21"/>
          <w:highlight w:val="none"/>
        </w:rPr>
      </w:pPr>
      <w:r>
        <w:rPr>
          <w:b/>
          <w:bCs/>
          <w:color w:val="auto"/>
          <w:kern w:val="0"/>
          <w:szCs w:val="21"/>
          <w:highlight w:val="none"/>
        </w:rPr>
        <w:t>2.5.5</w:t>
      </w:r>
      <w:r>
        <w:rPr>
          <w:rFonts w:hint="eastAsia"/>
          <w:b/>
          <w:bCs/>
          <w:color w:val="auto"/>
          <w:kern w:val="0"/>
          <w:szCs w:val="21"/>
          <w:highlight w:val="none"/>
        </w:rPr>
        <w:t>入围结果公告</w:t>
      </w:r>
    </w:p>
    <w:p w14:paraId="40528187">
      <w:pPr>
        <w:spacing w:before="120" w:line="320" w:lineRule="atLeast"/>
        <w:ind w:firstLine="420" w:firstLineChars="200"/>
        <w:rPr>
          <w:color w:val="auto"/>
          <w:szCs w:val="21"/>
          <w:highlight w:val="none"/>
        </w:rPr>
      </w:pPr>
      <w:r>
        <w:rPr>
          <w:color w:val="auto"/>
          <w:szCs w:val="21"/>
          <w:highlight w:val="none"/>
        </w:rPr>
        <w:t>2.5.5.1自入围供应商确定后2个工作日内，</w:t>
      </w:r>
      <w:r>
        <w:rPr>
          <w:rFonts w:hint="eastAsia"/>
          <w:color w:val="auto"/>
          <w:szCs w:val="21"/>
          <w:highlight w:val="none"/>
        </w:rPr>
        <w:t>采购代理机构按照供应商须知</w:t>
      </w:r>
      <w:r>
        <w:rPr>
          <w:rFonts w:hint="eastAsia"/>
          <w:color w:val="auto"/>
          <w:kern w:val="0"/>
          <w:szCs w:val="21"/>
          <w:highlight w:val="none"/>
        </w:rPr>
        <w:t>前附表的规定</w:t>
      </w:r>
      <w:r>
        <w:rPr>
          <w:color w:val="auto"/>
          <w:kern w:val="0"/>
          <w:szCs w:val="21"/>
          <w:highlight w:val="none"/>
        </w:rPr>
        <w:t>公告</w:t>
      </w:r>
      <w:r>
        <w:rPr>
          <w:rFonts w:hint="eastAsia"/>
          <w:color w:val="auto"/>
          <w:kern w:val="0"/>
          <w:szCs w:val="21"/>
          <w:highlight w:val="none"/>
        </w:rPr>
        <w:t>入围</w:t>
      </w:r>
      <w:r>
        <w:rPr>
          <w:color w:val="auto"/>
          <w:szCs w:val="21"/>
          <w:highlight w:val="none"/>
        </w:rPr>
        <w:t>结果。</w:t>
      </w:r>
    </w:p>
    <w:p w14:paraId="00338E16">
      <w:pPr>
        <w:spacing w:before="120" w:line="320" w:lineRule="atLeast"/>
        <w:ind w:firstLine="420" w:firstLineChars="200"/>
        <w:rPr>
          <w:color w:val="auto"/>
          <w:szCs w:val="21"/>
          <w:highlight w:val="none"/>
        </w:rPr>
      </w:pPr>
      <w:r>
        <w:rPr>
          <w:color w:val="auto"/>
          <w:szCs w:val="21"/>
          <w:highlight w:val="none"/>
        </w:rPr>
        <w:t>2.5.5.2在发布</w:t>
      </w:r>
      <w:r>
        <w:rPr>
          <w:rFonts w:hint="eastAsia"/>
          <w:color w:val="auto"/>
          <w:szCs w:val="21"/>
          <w:highlight w:val="none"/>
        </w:rPr>
        <w:t>入围结果</w:t>
      </w:r>
      <w:r>
        <w:rPr>
          <w:color w:val="auto"/>
          <w:szCs w:val="21"/>
          <w:highlight w:val="none"/>
        </w:rPr>
        <w:t>公告的同时，</w:t>
      </w:r>
      <w:r>
        <w:rPr>
          <w:rFonts w:hint="eastAsia"/>
          <w:color w:val="auto"/>
          <w:szCs w:val="21"/>
          <w:highlight w:val="none"/>
        </w:rPr>
        <w:t>采购代理机构</w:t>
      </w:r>
      <w:r>
        <w:rPr>
          <w:color w:val="auto"/>
          <w:szCs w:val="21"/>
          <w:highlight w:val="none"/>
        </w:rPr>
        <w:t>以供应商须知前附表规定的形式向入围供应商发出</w:t>
      </w:r>
      <w:r>
        <w:rPr>
          <w:rFonts w:hint="eastAsia"/>
          <w:color w:val="auto"/>
          <w:szCs w:val="21"/>
          <w:highlight w:val="none"/>
        </w:rPr>
        <w:t>入围</w:t>
      </w:r>
      <w:r>
        <w:rPr>
          <w:color w:val="auto"/>
          <w:szCs w:val="21"/>
          <w:highlight w:val="none"/>
        </w:rPr>
        <w:t>通知书。</w:t>
      </w:r>
      <w:r>
        <w:rPr>
          <w:rFonts w:hint="eastAsia"/>
          <w:color w:val="auto"/>
          <w:szCs w:val="21"/>
          <w:highlight w:val="none"/>
        </w:rPr>
        <w:t>入围</w:t>
      </w:r>
      <w:r>
        <w:rPr>
          <w:color w:val="auto"/>
          <w:szCs w:val="21"/>
          <w:highlight w:val="none"/>
        </w:rPr>
        <w:t>通知书发出后，</w:t>
      </w:r>
      <w:r>
        <w:rPr>
          <w:rFonts w:hint="eastAsia"/>
          <w:color w:val="auto"/>
          <w:szCs w:val="21"/>
          <w:highlight w:val="none"/>
        </w:rPr>
        <w:t>征集人</w:t>
      </w:r>
      <w:r>
        <w:rPr>
          <w:color w:val="auto"/>
          <w:szCs w:val="21"/>
          <w:highlight w:val="none"/>
        </w:rPr>
        <w:t>改变</w:t>
      </w:r>
      <w:r>
        <w:rPr>
          <w:rFonts w:hint="eastAsia"/>
          <w:color w:val="auto"/>
          <w:szCs w:val="21"/>
          <w:highlight w:val="none"/>
        </w:rPr>
        <w:t>入围</w:t>
      </w:r>
      <w:r>
        <w:rPr>
          <w:color w:val="auto"/>
          <w:szCs w:val="21"/>
          <w:highlight w:val="none"/>
        </w:rPr>
        <w:t>结果，或者入围供应商放弃</w:t>
      </w:r>
      <w:r>
        <w:rPr>
          <w:rFonts w:hint="eastAsia"/>
          <w:color w:val="auto"/>
          <w:szCs w:val="21"/>
          <w:highlight w:val="none"/>
        </w:rPr>
        <w:t>入围资格</w:t>
      </w:r>
      <w:r>
        <w:rPr>
          <w:color w:val="auto"/>
          <w:szCs w:val="21"/>
          <w:highlight w:val="none"/>
        </w:rPr>
        <w:t>，应当承担相应的法律责任。</w:t>
      </w:r>
    </w:p>
    <w:p w14:paraId="28D893E3">
      <w:pPr>
        <w:spacing w:before="120" w:line="320" w:lineRule="atLeast"/>
        <w:ind w:firstLine="422" w:firstLineChars="200"/>
        <w:outlineLvl w:val="3"/>
        <w:rPr>
          <w:b/>
          <w:bCs/>
          <w:color w:val="auto"/>
          <w:kern w:val="0"/>
          <w:szCs w:val="21"/>
          <w:highlight w:val="none"/>
        </w:rPr>
      </w:pPr>
      <w:r>
        <w:rPr>
          <w:b/>
          <w:bCs/>
          <w:color w:val="auto"/>
          <w:kern w:val="0"/>
          <w:szCs w:val="21"/>
          <w:highlight w:val="none"/>
        </w:rPr>
        <w:t>2.5.6</w:t>
      </w:r>
      <w:r>
        <w:rPr>
          <w:rFonts w:hint="eastAsia"/>
          <w:b/>
          <w:bCs/>
          <w:color w:val="auto"/>
          <w:kern w:val="0"/>
          <w:szCs w:val="21"/>
          <w:highlight w:val="none"/>
        </w:rPr>
        <w:t>废标</w:t>
      </w:r>
    </w:p>
    <w:p w14:paraId="69F317D0">
      <w:pPr>
        <w:spacing w:before="120" w:line="320" w:lineRule="atLeast"/>
        <w:ind w:firstLine="420" w:firstLineChars="200"/>
        <w:rPr>
          <w:color w:val="auto"/>
          <w:kern w:val="1"/>
          <w:szCs w:val="21"/>
          <w:highlight w:val="none"/>
        </w:rPr>
      </w:pPr>
      <w:r>
        <w:rPr>
          <w:color w:val="auto"/>
          <w:kern w:val="1"/>
          <w:szCs w:val="21"/>
          <w:highlight w:val="none"/>
        </w:rPr>
        <w:t>2.5.6.1</w:t>
      </w:r>
      <w:r>
        <w:rPr>
          <w:rFonts w:hint="eastAsia"/>
          <w:color w:val="auto"/>
          <w:kern w:val="1"/>
          <w:szCs w:val="21"/>
          <w:highlight w:val="none"/>
        </w:rPr>
        <w:t xml:space="preserve">出现下列情形之一，将导致项目废标： </w:t>
      </w:r>
    </w:p>
    <w:p w14:paraId="3C912DBB">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）符合专业条件的供应商或者对征集文件做实质性响应的供应商不足两家；</w:t>
      </w:r>
    </w:p>
    <w:p w14:paraId="49C2A6B3">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56674FD1">
      <w:pPr>
        <w:spacing w:before="120" w:line="320" w:lineRule="atLeast"/>
        <w:ind w:firstLine="420" w:firstLineChars="200"/>
        <w:rPr>
          <w:color w:val="auto"/>
          <w:szCs w:val="21"/>
          <w:highlight w:val="none"/>
        </w:rPr>
      </w:pPr>
      <w:r>
        <w:rPr>
          <w:rFonts w:hint="eastAsia"/>
          <w:color w:val="auto"/>
          <w:szCs w:val="21"/>
          <w:highlight w:val="none"/>
        </w:rPr>
        <w:t>（3）供应商的报价均超过了</w:t>
      </w:r>
      <w:r>
        <w:rPr>
          <w:rFonts w:hint="eastAsia"/>
          <w:color w:val="auto"/>
          <w:highlight w:val="none"/>
        </w:rPr>
        <w:t>最高限制单价</w:t>
      </w:r>
      <w:r>
        <w:rPr>
          <w:rFonts w:hint="eastAsia"/>
          <w:color w:val="auto"/>
          <w:szCs w:val="21"/>
          <w:highlight w:val="none"/>
        </w:rPr>
        <w:t>，采购人不能支付的；</w:t>
      </w:r>
    </w:p>
    <w:p w14:paraId="7841A723">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227F364A">
      <w:pPr>
        <w:spacing w:before="120" w:line="320" w:lineRule="atLeast"/>
        <w:ind w:firstLine="420" w:firstLineChars="200"/>
        <w:rPr>
          <w:color w:val="auto"/>
          <w:kern w:val="1"/>
          <w:szCs w:val="21"/>
          <w:highlight w:val="none"/>
        </w:rPr>
      </w:pPr>
      <w:r>
        <w:rPr>
          <w:color w:val="auto"/>
          <w:kern w:val="1"/>
          <w:szCs w:val="21"/>
          <w:highlight w:val="none"/>
        </w:rPr>
        <w:t>2.5.6.2</w:t>
      </w:r>
      <w:r>
        <w:rPr>
          <w:rFonts w:hint="eastAsia"/>
          <w:color w:val="auto"/>
          <w:kern w:val="1"/>
          <w:szCs w:val="21"/>
          <w:highlight w:val="none"/>
        </w:rPr>
        <w:t>废标后</w:t>
      </w:r>
      <w:r>
        <w:rPr>
          <w:rFonts w:hint="eastAsia"/>
          <w:color w:val="auto"/>
          <w:szCs w:val="21"/>
          <w:highlight w:val="none"/>
        </w:rPr>
        <w:t>征集人</w:t>
      </w:r>
      <w:r>
        <w:rPr>
          <w:rFonts w:hint="eastAsia"/>
          <w:color w:val="auto"/>
          <w:kern w:val="1"/>
          <w:szCs w:val="21"/>
          <w:highlight w:val="none"/>
        </w:rPr>
        <w:t>将发布废标公告通知供应商。</w:t>
      </w:r>
    </w:p>
    <w:p w14:paraId="512F1370">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2.6</w:t>
      </w:r>
      <w:r>
        <w:rPr>
          <w:rFonts w:hint="eastAsia"/>
          <w:b/>
          <w:bCs/>
          <w:color w:val="auto"/>
          <w:kern w:val="0"/>
          <w:szCs w:val="21"/>
          <w:highlight w:val="none"/>
        </w:rPr>
        <w:t>签订框架协议</w:t>
      </w:r>
    </w:p>
    <w:p w14:paraId="267531B5">
      <w:pPr>
        <w:spacing w:before="120" w:line="320" w:lineRule="atLeast"/>
        <w:ind w:left="2" w:leftChars="1" w:firstLine="420" w:firstLineChars="200"/>
        <w:rPr>
          <w:color w:val="auto"/>
          <w:kern w:val="0"/>
          <w:szCs w:val="21"/>
          <w:highlight w:val="none"/>
        </w:rPr>
      </w:pPr>
      <w:r>
        <w:rPr>
          <w:color w:val="auto"/>
          <w:kern w:val="0"/>
          <w:szCs w:val="21"/>
          <w:highlight w:val="none"/>
        </w:rPr>
        <w:t>2.6.1</w:t>
      </w:r>
      <w:r>
        <w:rPr>
          <w:rFonts w:hint="eastAsia"/>
          <w:color w:val="auto"/>
          <w:kern w:val="0"/>
          <w:szCs w:val="21"/>
          <w:highlight w:val="none"/>
        </w:rPr>
        <w:t>征集人在征集文件规定的时间内与入围供应商签订框架协议，如无特别规定，签订时间应不晚于入围通知书发出之日起3</w:t>
      </w:r>
      <w:r>
        <w:rPr>
          <w:color w:val="auto"/>
          <w:kern w:val="0"/>
          <w:szCs w:val="21"/>
          <w:highlight w:val="none"/>
        </w:rPr>
        <w:t>0</w:t>
      </w:r>
      <w:r>
        <w:rPr>
          <w:rFonts w:hint="eastAsia"/>
          <w:color w:val="auto"/>
          <w:kern w:val="0"/>
          <w:szCs w:val="21"/>
          <w:highlight w:val="none"/>
        </w:rPr>
        <w:t>日内。</w:t>
      </w:r>
    </w:p>
    <w:p w14:paraId="3BB7A10E">
      <w:pPr>
        <w:spacing w:before="120" w:line="320" w:lineRule="atLeast"/>
        <w:ind w:left="2" w:leftChars="1" w:firstLine="420" w:firstLineChars="200"/>
        <w:rPr>
          <w:color w:val="auto"/>
          <w:kern w:val="0"/>
          <w:szCs w:val="21"/>
          <w:highlight w:val="none"/>
        </w:rPr>
      </w:pPr>
      <w:r>
        <w:rPr>
          <w:color w:val="auto"/>
          <w:kern w:val="0"/>
          <w:szCs w:val="21"/>
          <w:highlight w:val="none"/>
        </w:rPr>
        <w:t>2.6.2</w:t>
      </w:r>
      <w:r>
        <w:rPr>
          <w:rFonts w:hint="eastAsia"/>
          <w:color w:val="auto"/>
          <w:kern w:val="0"/>
          <w:szCs w:val="21"/>
          <w:highlight w:val="none"/>
        </w:rPr>
        <w:t>征集人在框架协议签订后7个工作日内，将框架协议副本报本级财政部门备案。</w:t>
      </w:r>
    </w:p>
    <w:p w14:paraId="4874B9F0">
      <w:pPr>
        <w:spacing w:before="120" w:line="320" w:lineRule="atLeast"/>
        <w:ind w:left="2" w:leftChars="1" w:firstLine="420" w:firstLineChars="200"/>
        <w:rPr>
          <w:color w:val="auto"/>
          <w:kern w:val="0"/>
          <w:szCs w:val="21"/>
          <w:highlight w:val="none"/>
        </w:rPr>
      </w:pPr>
      <w:r>
        <w:rPr>
          <w:color w:val="auto"/>
          <w:kern w:val="0"/>
          <w:szCs w:val="21"/>
          <w:highlight w:val="none"/>
        </w:rPr>
        <w:t>2.6.3</w:t>
      </w:r>
      <w:r>
        <w:rPr>
          <w:rFonts w:hint="eastAsia"/>
          <w:color w:val="auto"/>
          <w:kern w:val="0"/>
          <w:szCs w:val="21"/>
          <w:highlight w:val="none"/>
        </w:rPr>
        <w:t>框架协议不得对征集文件确定的事项以及入围供应商的响应文件作实质性修改。</w:t>
      </w:r>
    </w:p>
    <w:p w14:paraId="75E2E6E3">
      <w:pPr>
        <w:spacing w:before="120" w:line="276" w:lineRule="auto"/>
        <w:ind w:firstLine="420" w:firstLineChars="200"/>
        <w:rPr>
          <w:color w:val="auto"/>
          <w:szCs w:val="21"/>
          <w:highlight w:val="none"/>
        </w:rPr>
      </w:pPr>
      <w:r>
        <w:rPr>
          <w:rFonts w:hint="eastAsia"/>
          <w:color w:val="auto"/>
          <w:szCs w:val="21"/>
          <w:highlight w:val="none"/>
        </w:rPr>
        <w:t>2</w:t>
      </w:r>
      <w:r>
        <w:rPr>
          <w:color w:val="auto"/>
          <w:szCs w:val="21"/>
          <w:highlight w:val="none"/>
        </w:rPr>
        <w:t>.6.4</w:t>
      </w:r>
      <w:r>
        <w:rPr>
          <w:rFonts w:hint="eastAsia"/>
          <w:color w:val="auto"/>
          <w:szCs w:val="21"/>
          <w:highlight w:val="none"/>
        </w:rPr>
        <w:t>签订框架协议前，入围供应商无正当理由主动放弃入围资格、拒绝签订框架协议的，征集人可以从合格的候选入围供应商（除入围供应商之外的其他通过资格审查和符合性审查的供应商）中按照排名从高到低的顺序依次另行确定入围供应商，另行确定的入围供应商数量不得超过放弃入围资格的供应商数量。</w:t>
      </w:r>
    </w:p>
    <w:p w14:paraId="7B7C9182">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2.7</w:t>
      </w:r>
      <w:r>
        <w:rPr>
          <w:rFonts w:hint="eastAsia"/>
          <w:b/>
          <w:bCs/>
          <w:color w:val="auto"/>
          <w:kern w:val="0"/>
          <w:szCs w:val="21"/>
          <w:highlight w:val="none"/>
        </w:rPr>
        <w:t>告知入围信息</w:t>
      </w:r>
    </w:p>
    <w:p w14:paraId="73AE1C05">
      <w:pPr>
        <w:spacing w:before="120" w:line="320" w:lineRule="atLeast"/>
        <w:ind w:left="2" w:leftChars="1" w:firstLine="420" w:firstLineChars="200"/>
        <w:rPr>
          <w:color w:val="auto"/>
          <w:kern w:val="0"/>
          <w:szCs w:val="21"/>
          <w:highlight w:val="none"/>
        </w:rPr>
      </w:pPr>
      <w:r>
        <w:rPr>
          <w:color w:val="auto"/>
          <w:kern w:val="0"/>
          <w:szCs w:val="21"/>
          <w:highlight w:val="none"/>
        </w:rPr>
        <w:t>2.7.1</w:t>
      </w:r>
      <w:r>
        <w:rPr>
          <w:rFonts w:hint="eastAsia"/>
          <w:color w:val="auto"/>
          <w:kern w:val="0"/>
          <w:szCs w:val="21"/>
          <w:highlight w:val="none"/>
        </w:rPr>
        <w:t>征集人在框架协议签订后3个工作日内将入围信息告知适用框架协议的所有采购人。</w:t>
      </w:r>
    </w:p>
    <w:p w14:paraId="7B9560D4">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2.8.</w:t>
      </w:r>
      <w:r>
        <w:rPr>
          <w:rFonts w:hint="eastAsia"/>
          <w:b/>
          <w:bCs/>
          <w:color w:val="auto"/>
          <w:kern w:val="0"/>
          <w:szCs w:val="21"/>
          <w:highlight w:val="none"/>
        </w:rPr>
        <w:t>入围供应商的清退和补充</w:t>
      </w:r>
    </w:p>
    <w:p w14:paraId="152A0FBF">
      <w:pPr>
        <w:spacing w:before="120" w:line="320" w:lineRule="atLeast"/>
        <w:ind w:left="2" w:leftChars="1" w:firstLine="420" w:firstLineChars="200"/>
        <w:outlineLvl w:val="2"/>
        <w:rPr>
          <w:color w:val="auto"/>
          <w:kern w:val="0"/>
          <w:szCs w:val="21"/>
          <w:highlight w:val="none"/>
        </w:rPr>
      </w:pPr>
      <w:r>
        <w:rPr>
          <w:rFonts w:hint="eastAsia"/>
          <w:color w:val="auto"/>
          <w:kern w:val="0"/>
          <w:szCs w:val="21"/>
          <w:highlight w:val="none"/>
        </w:rPr>
        <w:t>2</w:t>
      </w:r>
      <w:r>
        <w:rPr>
          <w:color w:val="auto"/>
          <w:kern w:val="0"/>
          <w:szCs w:val="21"/>
          <w:highlight w:val="none"/>
        </w:rPr>
        <w:t>.8.1</w:t>
      </w:r>
      <w:r>
        <w:rPr>
          <w:rFonts w:hint="eastAsia"/>
          <w:color w:val="auto"/>
          <w:kern w:val="0"/>
          <w:szCs w:val="21"/>
          <w:highlight w:val="none"/>
        </w:rPr>
        <w:t xml:space="preserve">封闭式框架协议入围供应商无正当理由，不得主动放弃入围资格或者退出框架协议。 </w:t>
      </w:r>
    </w:p>
    <w:p w14:paraId="6108E0AF">
      <w:pPr>
        <w:spacing w:before="120" w:line="320" w:lineRule="atLeast"/>
        <w:ind w:left="2" w:leftChars="1" w:firstLine="420" w:firstLineChars="200"/>
        <w:rPr>
          <w:color w:val="auto"/>
          <w:kern w:val="0"/>
          <w:szCs w:val="21"/>
          <w:highlight w:val="none"/>
        </w:rPr>
      </w:pPr>
      <w:r>
        <w:rPr>
          <w:color w:val="auto"/>
          <w:kern w:val="0"/>
          <w:szCs w:val="21"/>
          <w:highlight w:val="none"/>
        </w:rPr>
        <w:t>2.8</w:t>
      </w:r>
      <w:r>
        <w:rPr>
          <w:rFonts w:hint="eastAsia"/>
          <w:color w:val="auto"/>
          <w:kern w:val="0"/>
          <w:szCs w:val="21"/>
          <w:highlight w:val="none"/>
        </w:rPr>
        <w:t>.</w:t>
      </w:r>
      <w:r>
        <w:rPr>
          <w:color w:val="auto"/>
          <w:kern w:val="0"/>
          <w:szCs w:val="21"/>
          <w:highlight w:val="none"/>
        </w:rPr>
        <w:t xml:space="preserve">2 </w:t>
      </w:r>
      <w:r>
        <w:rPr>
          <w:rFonts w:hint="eastAsia"/>
          <w:color w:val="auto"/>
          <w:kern w:val="0"/>
          <w:szCs w:val="21"/>
          <w:highlight w:val="none"/>
        </w:rPr>
        <w:t xml:space="preserve">入围供应商有下列情形之一，尚未签订框架协议的，取消其入围资格；已经签订框架协议的，解除与其签订的框架协议： </w:t>
      </w:r>
    </w:p>
    <w:p w14:paraId="6B5EC799">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 xml:space="preserve">（1）恶意串通谋取入围或者合同成交的； </w:t>
      </w:r>
    </w:p>
    <w:p w14:paraId="754740DA">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 xml:space="preserve">（2）提供虚假材料谋取入围或者合同成交的； </w:t>
      </w:r>
    </w:p>
    <w:p w14:paraId="3BC2E54E">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 xml:space="preserve">（3）无正当理由拒不接受合同授予的； </w:t>
      </w:r>
    </w:p>
    <w:p w14:paraId="7A19A43D">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 xml:space="preserve">（4）不履行合同义务或者履行合同义务不符合约定，经采购人请求履行后仍不履行或者仍未按约定履行的； </w:t>
      </w:r>
    </w:p>
    <w:p w14:paraId="527A9446">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 xml:space="preserve">（5）框架协议有效期内，因违法行为被禁止或限制参加政府采购活动的； </w:t>
      </w:r>
    </w:p>
    <w:p w14:paraId="20DFFBC0">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（6）框架协议约定的其他情形。</w:t>
      </w:r>
    </w:p>
    <w:p w14:paraId="1F53800B">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 xml:space="preserve">被取消入围资格或者被解除框架协议的供应商不得参加同一封闭式框架协议补充征集。 </w:t>
      </w:r>
    </w:p>
    <w:p w14:paraId="4302E0A5">
      <w:pPr>
        <w:spacing w:before="120" w:line="320" w:lineRule="atLeast"/>
        <w:ind w:left="2" w:leftChars="1" w:firstLine="420" w:firstLineChars="200"/>
        <w:rPr>
          <w:color w:val="auto"/>
          <w:kern w:val="0"/>
          <w:szCs w:val="21"/>
          <w:highlight w:val="none"/>
        </w:rPr>
      </w:pPr>
      <w:r>
        <w:rPr>
          <w:color w:val="auto"/>
          <w:kern w:val="0"/>
          <w:szCs w:val="21"/>
          <w:highlight w:val="none"/>
        </w:rPr>
        <w:t>2.8</w:t>
      </w: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出现剩余入围供应商不足入围供应商总数70%且影响框架协议执行的情形时，征集人可以启动补充征集程序，补充征集规则在框架协议中约定，补充征集应遵守原框架协议的有效期。补充征集期间，原框架协议继续履行。</w:t>
      </w:r>
    </w:p>
    <w:p w14:paraId="6C7195AB">
      <w:pPr>
        <w:spacing w:before="120" w:line="320" w:lineRule="atLeast"/>
        <w:ind w:left="2" w:leftChars="1" w:firstLine="422" w:firstLineChars="200"/>
        <w:outlineLvl w:val="2"/>
        <w:rPr>
          <w:b/>
          <w:bCs/>
          <w:color w:val="auto"/>
          <w:kern w:val="0"/>
          <w:szCs w:val="21"/>
          <w:highlight w:val="none"/>
        </w:rPr>
      </w:pPr>
      <w:bookmarkStart w:id="67" w:name="_Toc254970674"/>
      <w:bookmarkStart w:id="68" w:name="_Toc254970533"/>
      <w:r>
        <w:rPr>
          <w:rFonts w:hint="eastAsia"/>
          <w:b/>
          <w:bCs/>
          <w:color w:val="auto"/>
          <w:kern w:val="0"/>
          <w:szCs w:val="21"/>
          <w:highlight w:val="none"/>
        </w:rPr>
        <w:t>2.9</w:t>
      </w:r>
      <w:r>
        <w:rPr>
          <w:b/>
          <w:bCs/>
          <w:color w:val="auto"/>
          <w:kern w:val="0"/>
          <w:szCs w:val="21"/>
          <w:highlight w:val="none"/>
        </w:rPr>
        <w:t>质疑和投诉</w:t>
      </w:r>
      <w:bookmarkEnd w:id="67"/>
      <w:bookmarkEnd w:id="68"/>
    </w:p>
    <w:p w14:paraId="74B13FFE">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2.9</w:t>
      </w:r>
      <w:r>
        <w:rPr>
          <w:b/>
          <w:bCs/>
          <w:color w:val="auto"/>
          <w:kern w:val="0"/>
          <w:szCs w:val="21"/>
          <w:highlight w:val="none"/>
        </w:rPr>
        <w:t>.1质疑</w:t>
      </w:r>
    </w:p>
    <w:p w14:paraId="1A86C7E0">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.1.1质疑内容、时限</w:t>
      </w:r>
    </w:p>
    <w:p w14:paraId="08AC4688">
      <w:pPr>
        <w:spacing w:before="120" w:line="320" w:lineRule="atLeast"/>
        <w:ind w:firstLine="420" w:firstLineChars="200"/>
        <w:rPr>
          <w:color w:val="auto"/>
          <w:szCs w:val="21"/>
          <w:highlight w:val="none"/>
        </w:rPr>
      </w:pPr>
      <w:r>
        <w:rPr>
          <w:rFonts w:hint="eastAsia"/>
          <w:color w:val="auto"/>
          <w:szCs w:val="21"/>
          <w:highlight w:val="none"/>
        </w:rPr>
        <w:t>（1）供应商对征集活动有疑问的，可以向采购代理机构提出询问。采购代理机构应当在3个工作日内对供应商依法提出的询问作出答复。</w:t>
      </w:r>
    </w:p>
    <w:p w14:paraId="2C9DCA18">
      <w:pPr>
        <w:tabs>
          <w:tab w:val="left" w:pos="5670"/>
        </w:tabs>
        <w:spacing w:before="120" w:line="320" w:lineRule="atLeast"/>
        <w:ind w:firstLine="420" w:firstLineChars="200"/>
        <w:rPr>
          <w:color w:val="auto"/>
          <w:szCs w:val="21"/>
          <w:highlight w:val="none"/>
        </w:rPr>
      </w:pPr>
      <w:r>
        <w:rPr>
          <w:rFonts w:hint="eastAsia"/>
          <w:color w:val="auto"/>
          <w:szCs w:val="21"/>
          <w:highlight w:val="none"/>
        </w:rPr>
        <w:t>（2）供应商为认为征集文件、征集过程、入围结果使自己的权益受到损害的，可以在知道或者应知其权益受到损害之日起7个工作日内向采购代理机构提出质疑。采购代理机构</w:t>
      </w:r>
      <w:r>
        <w:rPr>
          <w:color w:val="auto"/>
          <w:szCs w:val="21"/>
          <w:highlight w:val="none"/>
        </w:rPr>
        <w:t>在收到供应商书面质疑后7个工作日内，对质疑内容作出答复。</w:t>
      </w:r>
    </w:p>
    <w:p w14:paraId="44FC18E7">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.1.2质疑形式</w:t>
      </w:r>
    </w:p>
    <w:p w14:paraId="31E96E1C">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征集文件</w:t>
      </w:r>
      <w:r>
        <w:rPr>
          <w:color w:val="auto"/>
          <w:szCs w:val="21"/>
          <w:highlight w:val="none"/>
        </w:rPr>
        <w:t>、</w:t>
      </w:r>
      <w:r>
        <w:rPr>
          <w:rFonts w:hint="eastAsia"/>
          <w:color w:val="auto"/>
          <w:szCs w:val="21"/>
          <w:highlight w:val="none"/>
        </w:rPr>
        <w:t>征集</w:t>
      </w:r>
      <w:r>
        <w:rPr>
          <w:color w:val="auto"/>
          <w:szCs w:val="21"/>
          <w:highlight w:val="none"/>
        </w:rPr>
        <w:t>过程或</w:t>
      </w:r>
      <w:r>
        <w:rPr>
          <w:rFonts w:hint="eastAsia"/>
          <w:color w:val="auto"/>
          <w:szCs w:val="21"/>
          <w:highlight w:val="none"/>
        </w:rPr>
        <w:t>成交</w:t>
      </w:r>
      <w:r>
        <w:rPr>
          <w:color w:val="auto"/>
          <w:szCs w:val="21"/>
          <w:highlight w:val="none"/>
        </w:rPr>
        <w:t>结果中使自己合法权益受到损害的实质性内容，提供相关事实、依据和证据及其来源或线索，便于有关单位调查、答复和处理。</w:t>
      </w:r>
    </w:p>
    <w:p w14:paraId="32A91D9F">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6D692D63">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65619F17">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03C15987">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0AF0487F">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53C40720">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54B03221">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4B8D4BA6">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6E35A470">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2.9</w:t>
      </w:r>
      <w:r>
        <w:rPr>
          <w:b/>
          <w:bCs/>
          <w:color w:val="auto"/>
          <w:kern w:val="0"/>
          <w:szCs w:val="21"/>
          <w:highlight w:val="none"/>
        </w:rPr>
        <w:t>.2投诉</w:t>
      </w:r>
    </w:p>
    <w:p w14:paraId="6E4BDA7B">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.2.1供应商对</w:t>
      </w:r>
      <w:r>
        <w:rPr>
          <w:rFonts w:hint="eastAsia"/>
          <w:color w:val="auto"/>
          <w:szCs w:val="21"/>
          <w:highlight w:val="none"/>
        </w:rPr>
        <w:t>采购代理机构</w:t>
      </w:r>
      <w:r>
        <w:rPr>
          <w:color w:val="auto"/>
          <w:szCs w:val="21"/>
          <w:highlight w:val="none"/>
        </w:rPr>
        <w:t>的答复不满意，或者</w:t>
      </w:r>
      <w:r>
        <w:rPr>
          <w:rFonts w:hint="eastAsia"/>
          <w:color w:val="auto"/>
          <w:szCs w:val="21"/>
          <w:highlight w:val="none"/>
        </w:rPr>
        <w:t>采购代理机构</w:t>
      </w:r>
      <w:r>
        <w:rPr>
          <w:color w:val="auto"/>
          <w:szCs w:val="21"/>
          <w:highlight w:val="none"/>
        </w:rPr>
        <w:t>未在规定时间内答复的，可在答复期满后15个工作日内按有关规定，向同级财政部门投诉。</w:t>
      </w:r>
    </w:p>
    <w:p w14:paraId="08182F9C">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0516CE38">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3</w:t>
      </w:r>
      <w:r>
        <w:rPr>
          <w:rFonts w:hint="eastAsia"/>
          <w:b/>
          <w:bCs/>
          <w:color w:val="auto"/>
          <w:kern w:val="0"/>
          <w:szCs w:val="21"/>
          <w:highlight w:val="none"/>
        </w:rPr>
        <w:t>．第二阶段（确定成交阶段）</w:t>
      </w:r>
    </w:p>
    <w:p w14:paraId="25F01F39">
      <w:pPr>
        <w:spacing w:before="120" w:line="320" w:lineRule="atLeast"/>
        <w:ind w:left="2" w:leftChars="1" w:firstLine="422" w:firstLineChars="200"/>
        <w:outlineLvl w:val="2"/>
        <w:rPr>
          <w:b/>
          <w:bCs/>
          <w:color w:val="auto"/>
          <w:kern w:val="0"/>
          <w:szCs w:val="21"/>
          <w:highlight w:val="none"/>
        </w:rPr>
      </w:pPr>
      <w:r>
        <w:rPr>
          <w:rFonts w:hint="eastAsia"/>
          <w:b/>
          <w:bCs/>
          <w:color w:val="auto"/>
          <w:kern w:val="0"/>
          <w:szCs w:val="21"/>
          <w:highlight w:val="none"/>
        </w:rPr>
        <w:t>3.1确定成交供应商</w:t>
      </w:r>
    </w:p>
    <w:p w14:paraId="7090DC01">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3.1</w:t>
      </w:r>
      <w:r>
        <w:rPr>
          <w:color w:val="auto"/>
          <w:kern w:val="0"/>
          <w:szCs w:val="21"/>
          <w:highlight w:val="none"/>
        </w:rPr>
        <w:t>.1</w:t>
      </w:r>
      <w:r>
        <w:rPr>
          <w:rFonts w:hint="eastAsia"/>
          <w:color w:val="auto"/>
          <w:kern w:val="0"/>
          <w:szCs w:val="21"/>
          <w:highlight w:val="none"/>
        </w:rPr>
        <w:t>采购人按照征集文件或框架协议中规定的方式从入围供应商中选定成交供应商签订合同。</w:t>
      </w:r>
    </w:p>
    <w:p w14:paraId="446789F9">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3</w:t>
      </w:r>
      <w:r>
        <w:rPr>
          <w:color w:val="auto"/>
          <w:kern w:val="0"/>
          <w:szCs w:val="21"/>
          <w:highlight w:val="none"/>
        </w:rPr>
        <w:t>.1.2</w:t>
      </w:r>
      <w:r>
        <w:rPr>
          <w:rFonts w:hint="eastAsia"/>
          <w:color w:val="auto"/>
          <w:kern w:val="0"/>
          <w:szCs w:val="21"/>
          <w:highlight w:val="none"/>
        </w:rPr>
        <w:t>采购人不保证所有入围供应商均有机会被授予实际采购项目合同，入围供应商排名次序的先后不作为授予合同份额多少的标准。</w:t>
      </w:r>
    </w:p>
    <w:p w14:paraId="0A3C8ADA">
      <w:pPr>
        <w:spacing w:before="120" w:line="320" w:lineRule="atLeast"/>
        <w:ind w:left="2" w:leftChars="1" w:firstLine="422" w:firstLineChars="200"/>
        <w:outlineLvl w:val="2"/>
        <w:rPr>
          <w:b/>
          <w:bCs/>
          <w:color w:val="auto"/>
          <w:kern w:val="0"/>
          <w:szCs w:val="21"/>
          <w:highlight w:val="none"/>
        </w:rPr>
      </w:pPr>
      <w:r>
        <w:rPr>
          <w:rFonts w:hint="eastAsia"/>
          <w:b/>
          <w:bCs/>
          <w:color w:val="auto"/>
          <w:kern w:val="0"/>
          <w:szCs w:val="21"/>
          <w:highlight w:val="none"/>
        </w:rPr>
        <w:t>3.2成交结果公告</w:t>
      </w:r>
    </w:p>
    <w:p w14:paraId="0493D712">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3.2</w:t>
      </w:r>
      <w:r>
        <w:rPr>
          <w:color w:val="auto"/>
          <w:kern w:val="0"/>
          <w:szCs w:val="21"/>
          <w:highlight w:val="none"/>
        </w:rPr>
        <w:t>.1</w:t>
      </w:r>
      <w:r>
        <w:rPr>
          <w:rFonts w:hint="eastAsia"/>
          <w:color w:val="auto"/>
          <w:kern w:val="0"/>
          <w:szCs w:val="21"/>
          <w:highlight w:val="none"/>
        </w:rPr>
        <w:t>如征集文件或框架协议中规定确定成交供应商的方式为二次竞价或顺序轮候方式，或者采购人在满足规定的前提下将合同授予非入围供应商，征集人在确定成交供应商后2个工作日内发布单笔成交结果公告，单笔成交公告在征集公告发布媒体上发布。</w:t>
      </w:r>
    </w:p>
    <w:p w14:paraId="3EC14FE1">
      <w:pPr>
        <w:spacing w:before="120" w:line="320" w:lineRule="atLeast"/>
        <w:ind w:left="2" w:leftChars="1" w:firstLine="422" w:firstLineChars="200"/>
        <w:outlineLvl w:val="2"/>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合同</w:t>
      </w:r>
    </w:p>
    <w:p w14:paraId="16F0E5E2">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.1合同授予标准</w:t>
      </w:r>
    </w:p>
    <w:p w14:paraId="0267F08C">
      <w:pPr>
        <w:spacing w:before="120" w:line="320" w:lineRule="atLeast"/>
        <w:ind w:firstLine="420" w:firstLineChars="200"/>
        <w:rPr>
          <w:color w:val="auto"/>
          <w:szCs w:val="21"/>
          <w:highlight w:val="none"/>
        </w:rPr>
      </w:pPr>
      <w:r>
        <w:rPr>
          <w:rFonts w:hint="eastAsia"/>
          <w:color w:val="auto"/>
          <w:szCs w:val="21"/>
          <w:highlight w:val="none"/>
        </w:rPr>
        <w:t>除框架协议另有规定外，采购人采购框架协议约定的货物、服务，应当将采购合同授予入围供应商，成交供应商选定方式在框架协议中规定。</w:t>
      </w:r>
    </w:p>
    <w:p w14:paraId="146706DB">
      <w:pPr>
        <w:spacing w:before="120" w:line="320" w:lineRule="atLeast"/>
        <w:ind w:firstLine="420" w:firstLineChars="200"/>
        <w:rPr>
          <w:color w:val="auto"/>
          <w:szCs w:val="21"/>
          <w:highlight w:val="none"/>
        </w:rPr>
      </w:pPr>
      <w:r>
        <w:rPr>
          <w:rFonts w:hint="eastAsia"/>
          <w:color w:val="auto"/>
          <w:szCs w:val="21"/>
          <w:highlight w:val="none"/>
        </w:rPr>
        <w:t>合同</w:t>
      </w:r>
      <w:r>
        <w:rPr>
          <w:color w:val="auto"/>
          <w:szCs w:val="21"/>
          <w:highlight w:val="none"/>
        </w:rPr>
        <w:t>在签订合同前，如果</w:t>
      </w:r>
      <w:r>
        <w:rPr>
          <w:rFonts w:hint="eastAsia"/>
          <w:color w:val="auto"/>
          <w:szCs w:val="21"/>
          <w:highlight w:val="none"/>
        </w:rPr>
        <w:t>入围供应商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w:t>
      </w:r>
      <w:r>
        <w:rPr>
          <w:rFonts w:hint="eastAsia"/>
          <w:color w:val="auto"/>
          <w:highlight w:val="none"/>
        </w:rPr>
        <w:t>框架协议或合同</w:t>
      </w:r>
      <w:r>
        <w:rPr>
          <w:color w:val="auto"/>
          <w:szCs w:val="21"/>
          <w:highlight w:val="none"/>
        </w:rPr>
        <w:t>、无法按照</w:t>
      </w:r>
      <w:r>
        <w:rPr>
          <w:rFonts w:hint="eastAsia"/>
          <w:color w:val="auto"/>
          <w:szCs w:val="21"/>
          <w:highlight w:val="none"/>
        </w:rPr>
        <w:t>征集文件</w:t>
      </w:r>
      <w:r>
        <w:rPr>
          <w:color w:val="auto"/>
          <w:szCs w:val="21"/>
          <w:highlight w:val="none"/>
        </w:rPr>
        <w:t>要求提交履约保证金等情形，不符合入围条件或不满足供应商资格条件要求</w:t>
      </w:r>
      <w:r>
        <w:rPr>
          <w:rFonts w:hint="eastAsia"/>
          <w:color w:val="auto"/>
          <w:szCs w:val="21"/>
          <w:highlight w:val="none"/>
        </w:rPr>
        <w:t>，</w:t>
      </w:r>
      <w:r>
        <w:rPr>
          <w:color w:val="auto"/>
          <w:szCs w:val="21"/>
          <w:highlight w:val="none"/>
        </w:rPr>
        <w:t>应在签订合同前及时书面告知采购人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要求其赔偿损失并取消其入围资格。</w:t>
      </w:r>
    </w:p>
    <w:p w14:paraId="3D9690C2">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.2签订合同</w:t>
      </w:r>
    </w:p>
    <w:p w14:paraId="02D75D02">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.2.1如</w:t>
      </w:r>
      <w:r>
        <w:rPr>
          <w:rFonts w:hint="eastAsia"/>
          <w:color w:val="auto"/>
          <w:szCs w:val="21"/>
          <w:highlight w:val="none"/>
        </w:rPr>
        <w:t>征集文件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成交供应商按征集文件及框架协议确定的事项签订政府采购合同。</w:t>
      </w:r>
    </w:p>
    <w:p w14:paraId="64607153">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框架协议、征集文件、成交供应商的响应文件及澄清文件等，均为签订政府采购合同的依据。</w:t>
      </w:r>
    </w:p>
    <w:p w14:paraId="54222662">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.3履行合同</w:t>
      </w:r>
    </w:p>
    <w:p w14:paraId="1F2EACD2">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.3.1</w:t>
      </w:r>
      <w:bookmarkStart w:id="69" w:name="_Toc308164814"/>
      <w:bookmarkStart w:id="70" w:name="_Toc217446070"/>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868309A">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.4履约验收</w:t>
      </w:r>
      <w:bookmarkEnd w:id="69"/>
      <w:bookmarkEnd w:id="70"/>
    </w:p>
    <w:p w14:paraId="3E8D7E97">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.4.1采购人可以根据政府采购项目具体情况自行组织验收，或者委托政府采购代理机构、国家认可的</w:t>
      </w:r>
      <w:r>
        <w:rPr>
          <w:rFonts w:hint="eastAsia"/>
          <w:color w:val="auto"/>
          <w:szCs w:val="21"/>
          <w:highlight w:val="none"/>
        </w:rPr>
        <w:t>第三方</w:t>
      </w:r>
      <w:r>
        <w:rPr>
          <w:color w:val="auto"/>
          <w:szCs w:val="21"/>
          <w:highlight w:val="none"/>
        </w:rPr>
        <w:t>检测机构开展采购项目履约验收工作。</w:t>
      </w:r>
    </w:p>
    <w:p w14:paraId="197B8E72">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.4.2验收结果合格的，</w:t>
      </w:r>
      <w:r>
        <w:rPr>
          <w:rFonts w:hint="eastAsia"/>
          <w:color w:val="auto"/>
          <w:szCs w:val="21"/>
          <w:highlight w:val="none"/>
        </w:rPr>
        <w:t>成交</w:t>
      </w:r>
      <w:r>
        <w:rPr>
          <w:color w:val="auto"/>
          <w:szCs w:val="21"/>
          <w:highlight w:val="none"/>
        </w:rPr>
        <w:t>供应商可向采购人申请办理履约保证金（如有）的退付手续；验收结果不合格的，履约保证金（如有）将不予退还，并按合同约定处理，还</w:t>
      </w:r>
      <w:r>
        <w:rPr>
          <w:rFonts w:hint="eastAsia"/>
          <w:color w:val="auto"/>
          <w:szCs w:val="21"/>
          <w:highlight w:val="none"/>
        </w:rPr>
        <w:t>将</w:t>
      </w:r>
      <w:r>
        <w:rPr>
          <w:color w:val="auto"/>
          <w:szCs w:val="21"/>
          <w:highlight w:val="none"/>
        </w:rPr>
        <w:t>报告本项目同级财政部门并按照政府采购法律法规及有关规定给予行政处罚或者以失信行为记入诚信档案。</w:t>
      </w:r>
    </w:p>
    <w:p w14:paraId="6B1AA1F4">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.4.3采购合同项目完成验收后，采购人应当将验收原始记录、验收书</w:t>
      </w:r>
      <w:r>
        <w:rPr>
          <w:rFonts w:hint="eastAsia"/>
          <w:color w:val="auto"/>
          <w:szCs w:val="21"/>
          <w:highlight w:val="none"/>
        </w:rPr>
        <w:t>、成交供应商按合同数量或工作量清单履约的记录或凭证</w:t>
      </w:r>
      <w:r>
        <w:rPr>
          <w:color w:val="auto"/>
          <w:szCs w:val="21"/>
          <w:highlight w:val="none"/>
        </w:rPr>
        <w:t>等资料作为该采购项目档案妥善保管，不得伪造、变造、隐匿或者销毁，</w:t>
      </w:r>
    </w:p>
    <w:p w14:paraId="2A0DE6DD">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4.4本项目将严格按照本征集文件及合同有关规定进行合同履约验收。征集文件或合同未规定的按财政部关于进一步加强政府采购需求和履约验收管理的指导意见（财库〔2016〕205号）以及《广西壮族自治区政府采购项目履约验收管理办法》（桂财采〔2015〕22号）的规定执行。</w:t>
      </w:r>
    </w:p>
    <w:p w14:paraId="780E5E27">
      <w:pPr>
        <w:spacing w:before="120" w:line="320" w:lineRule="atLeast"/>
        <w:ind w:left="2" w:leftChars="1" w:firstLine="422" w:firstLineChars="200"/>
        <w:outlineLvl w:val="2"/>
        <w:rPr>
          <w:b/>
          <w:bCs/>
          <w:color w:val="auto"/>
          <w:kern w:val="0"/>
          <w:szCs w:val="21"/>
          <w:highlight w:val="none"/>
        </w:rPr>
      </w:pPr>
      <w:r>
        <w:rPr>
          <w:rFonts w:hint="eastAsia"/>
          <w:b/>
          <w:bCs/>
          <w:color w:val="auto"/>
          <w:kern w:val="0"/>
          <w:szCs w:val="21"/>
          <w:highlight w:val="none"/>
        </w:rPr>
        <w:t>3.4</w:t>
      </w:r>
      <w:r>
        <w:rPr>
          <w:b/>
          <w:bCs/>
          <w:color w:val="auto"/>
          <w:kern w:val="0"/>
          <w:szCs w:val="21"/>
          <w:highlight w:val="none"/>
        </w:rPr>
        <w:t>.</w:t>
      </w:r>
      <w:r>
        <w:rPr>
          <w:rFonts w:hint="eastAsia"/>
          <w:b/>
          <w:bCs/>
          <w:color w:val="auto"/>
          <w:kern w:val="0"/>
          <w:szCs w:val="21"/>
          <w:highlight w:val="none"/>
        </w:rPr>
        <w:t>用户反馈及评价机制</w:t>
      </w:r>
    </w:p>
    <w:p w14:paraId="1447A573">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3.4</w:t>
      </w:r>
      <w:r>
        <w:rPr>
          <w:color w:val="auto"/>
          <w:kern w:val="0"/>
          <w:szCs w:val="21"/>
          <w:highlight w:val="none"/>
        </w:rPr>
        <w:t>.1</w:t>
      </w:r>
      <w:r>
        <w:rPr>
          <w:rFonts w:hint="eastAsia"/>
          <w:color w:val="auto"/>
          <w:kern w:val="0"/>
          <w:szCs w:val="21"/>
          <w:highlight w:val="none"/>
        </w:rPr>
        <w:t>由征集人收集采购人对入围供应商履行框架协议和采购合同的情况的反馈与评价，并向所有采购人公开，作为第二阶段直接选定成交供应商的参考。</w:t>
      </w:r>
    </w:p>
    <w:p w14:paraId="7B857683">
      <w:pPr>
        <w:spacing w:before="120" w:line="320" w:lineRule="atLeast"/>
        <w:ind w:left="2" w:leftChars="1" w:firstLine="422" w:firstLineChars="200"/>
        <w:outlineLvl w:val="1"/>
        <w:rPr>
          <w:b/>
          <w:bCs/>
          <w:color w:val="auto"/>
          <w:kern w:val="0"/>
          <w:szCs w:val="21"/>
          <w:highlight w:val="none"/>
        </w:rPr>
      </w:pPr>
      <w:r>
        <w:rPr>
          <w:rFonts w:hint="eastAsia"/>
          <w:b/>
          <w:bCs/>
          <w:color w:val="auto"/>
          <w:kern w:val="0"/>
          <w:szCs w:val="21"/>
          <w:highlight w:val="none"/>
        </w:rPr>
        <w:t>4</w:t>
      </w:r>
      <w:r>
        <w:rPr>
          <w:b/>
          <w:bCs/>
          <w:color w:val="auto"/>
          <w:kern w:val="0"/>
          <w:szCs w:val="21"/>
          <w:highlight w:val="none"/>
        </w:rPr>
        <w:t>．其他事项</w:t>
      </w:r>
    </w:p>
    <w:p w14:paraId="413FA9BE">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.1代理服务收费由采购代理机构向入围供应商收取。</w:t>
      </w:r>
      <w:r>
        <w:rPr>
          <w:rFonts w:hint="eastAsia"/>
          <w:color w:val="auto"/>
          <w:szCs w:val="21"/>
          <w:highlight w:val="none"/>
        </w:rPr>
        <w:t>发布入围结果公告5个工作日内，</w:t>
      </w:r>
      <w:r>
        <w:rPr>
          <w:color w:val="auto"/>
          <w:szCs w:val="21"/>
          <w:highlight w:val="none"/>
        </w:rPr>
        <w:t>入围供应商应向采购代理机构一次付清代理服务费。</w:t>
      </w:r>
    </w:p>
    <w:p w14:paraId="0E9B1600">
      <w:pPr>
        <w:spacing w:before="120" w:line="276" w:lineRule="auto"/>
        <w:ind w:firstLine="420" w:firstLineChars="200"/>
        <w:rPr>
          <w:color w:val="auto"/>
          <w:szCs w:val="21"/>
          <w:highlight w:val="none"/>
        </w:rPr>
      </w:pPr>
      <w:r>
        <w:rPr>
          <w:rFonts w:hint="eastAsia"/>
          <w:color w:val="auto"/>
          <w:szCs w:val="21"/>
          <w:highlight w:val="none"/>
        </w:rPr>
        <w:t>4</w:t>
      </w:r>
      <w:r>
        <w:rPr>
          <w:color w:val="auto"/>
          <w:szCs w:val="21"/>
          <w:highlight w:val="none"/>
        </w:rPr>
        <w:t>.2</w:t>
      </w:r>
      <w:r>
        <w:rPr>
          <w:rFonts w:hint="eastAsia"/>
          <w:color w:val="auto"/>
          <w:szCs w:val="21"/>
          <w:highlight w:val="none"/>
        </w:rPr>
        <w:t>电子交易活动的中止。征集过程中出现以下情形，导致电子交易平台无法正常运行，或者无法保证电子交易的公平、公正和安全时，征集人可中止电子交易活动：</w:t>
      </w:r>
    </w:p>
    <w:p w14:paraId="40B58DAA">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2E7F895">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2B4700E7">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56A3D007">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68089C48">
      <w:pPr>
        <w:spacing w:before="120" w:line="276" w:lineRule="auto"/>
        <w:ind w:firstLine="420" w:firstLineChars="200"/>
        <w:rPr>
          <w:color w:val="auto"/>
          <w:szCs w:val="21"/>
          <w:highlight w:val="none"/>
        </w:rPr>
      </w:pPr>
      <w:r>
        <w:rPr>
          <w:rFonts w:hint="eastAsia"/>
          <w:color w:val="auto"/>
          <w:szCs w:val="21"/>
          <w:highlight w:val="none"/>
        </w:rPr>
        <w:t>（4）其他无法保证电子交易的公平、公正和安全的情况。</w:t>
      </w:r>
    </w:p>
    <w:p w14:paraId="50388C7F">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征集人可以待上述情形消除后继续组织电子交易活动；影响或可能影响采购公平、公正性的，经征集人确认后，应当重新采购。征集人必须对原有的资料及信息作出妥善保密处理，并报财政部门备案。</w:t>
      </w:r>
      <w:r>
        <w:rPr>
          <w:color w:val="auto"/>
          <w:szCs w:val="21"/>
          <w:highlight w:val="none"/>
        </w:rPr>
        <w:t xml:space="preserve"> </w:t>
      </w:r>
    </w:p>
    <w:p w14:paraId="297E7633">
      <w:pPr>
        <w:spacing w:line="360" w:lineRule="auto"/>
        <w:ind w:firstLine="420"/>
        <w:rPr>
          <w:color w:val="auto"/>
          <w:szCs w:val="21"/>
          <w:highlight w:val="none"/>
        </w:rPr>
      </w:pPr>
      <w:r>
        <w:rPr>
          <w:rFonts w:hint="eastAsia"/>
          <w:color w:val="auto"/>
          <w:szCs w:val="21"/>
          <w:highlight w:val="none"/>
        </w:rPr>
        <w:t>4</w:t>
      </w:r>
      <w:r>
        <w:rPr>
          <w:color w:val="auto"/>
          <w:szCs w:val="21"/>
          <w:highlight w:val="none"/>
        </w:rPr>
        <w:t>.3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276D2A81">
      <w:pPr>
        <w:spacing w:line="360" w:lineRule="auto"/>
        <w:ind w:firstLine="420"/>
        <w:rPr>
          <w:color w:val="auto"/>
          <w:szCs w:val="21"/>
          <w:highlight w:val="none"/>
        </w:rPr>
      </w:pPr>
      <w:r>
        <w:rPr>
          <w:rFonts w:hint="eastAsia"/>
          <w:color w:val="auto"/>
          <w:szCs w:val="21"/>
          <w:highlight w:val="none"/>
        </w:rPr>
        <w:t>4</w:t>
      </w:r>
      <w:r>
        <w:rPr>
          <w:color w:val="auto"/>
          <w:szCs w:val="21"/>
          <w:highlight w:val="none"/>
        </w:rPr>
        <w:t>.4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01F1E184">
      <w:pPr>
        <w:spacing w:before="120" w:line="320" w:lineRule="atLeast"/>
        <w:ind w:left="2" w:leftChars="1" w:firstLine="422" w:firstLineChars="200"/>
        <w:outlineLvl w:val="1"/>
        <w:rPr>
          <w:b/>
          <w:bCs/>
          <w:color w:val="auto"/>
          <w:kern w:val="0"/>
          <w:szCs w:val="21"/>
          <w:highlight w:val="none"/>
        </w:rPr>
      </w:pPr>
      <w:r>
        <w:rPr>
          <w:rFonts w:hint="eastAsia"/>
          <w:b/>
          <w:bCs/>
          <w:color w:val="auto"/>
          <w:kern w:val="0"/>
          <w:szCs w:val="21"/>
          <w:highlight w:val="none"/>
        </w:rPr>
        <w:t>5</w:t>
      </w:r>
      <w:r>
        <w:rPr>
          <w:b/>
          <w:bCs/>
          <w:color w:val="auto"/>
          <w:kern w:val="0"/>
          <w:szCs w:val="21"/>
          <w:highlight w:val="none"/>
        </w:rPr>
        <w:t>．</w:t>
      </w:r>
      <w:r>
        <w:rPr>
          <w:rFonts w:hint="eastAsia"/>
          <w:b/>
          <w:bCs/>
          <w:color w:val="auto"/>
          <w:kern w:val="0"/>
          <w:szCs w:val="21"/>
          <w:highlight w:val="none"/>
        </w:rPr>
        <w:t>其他说明</w:t>
      </w:r>
    </w:p>
    <w:p w14:paraId="43917A85">
      <w:pPr>
        <w:spacing w:before="120" w:line="320" w:lineRule="atLeast"/>
        <w:ind w:left="2" w:leftChars="1" w:firstLine="422" w:firstLineChars="200"/>
        <w:rPr>
          <w:color w:val="auto"/>
          <w:kern w:val="0"/>
          <w:szCs w:val="21"/>
          <w:highlight w:val="none"/>
        </w:rPr>
      </w:pPr>
      <w:r>
        <w:rPr>
          <w:rFonts w:hint="eastAsia"/>
          <w:b/>
          <w:bCs/>
          <w:color w:val="auto"/>
          <w:kern w:val="0"/>
          <w:szCs w:val="21"/>
          <w:highlight w:val="none"/>
        </w:rPr>
        <w:t>5</w:t>
      </w:r>
      <w:r>
        <w:rPr>
          <w:b/>
          <w:bCs/>
          <w:color w:val="auto"/>
          <w:kern w:val="0"/>
          <w:szCs w:val="21"/>
          <w:highlight w:val="none"/>
        </w:rPr>
        <w:t>.1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、《政府采购框架协议采购方式管理暂行办法》的相关规定执行。</w:t>
      </w:r>
    </w:p>
    <w:p w14:paraId="3521318E">
      <w:pPr>
        <w:spacing w:before="120" w:line="320" w:lineRule="atLeast"/>
        <w:ind w:left="2" w:leftChars="1" w:firstLine="422" w:firstLineChars="200"/>
        <w:rPr>
          <w:color w:val="auto"/>
          <w:sz w:val="32"/>
          <w:szCs w:val="32"/>
          <w:highlight w:val="none"/>
        </w:rPr>
      </w:pPr>
      <w:r>
        <w:rPr>
          <w:rFonts w:hint="eastAsia"/>
          <w:b/>
          <w:bCs/>
          <w:color w:val="auto"/>
          <w:kern w:val="0"/>
          <w:szCs w:val="21"/>
          <w:highlight w:val="none"/>
        </w:rPr>
        <w:t>5</w:t>
      </w:r>
      <w:r>
        <w:rPr>
          <w:b/>
          <w:bCs/>
          <w:color w:val="auto"/>
          <w:kern w:val="0"/>
          <w:szCs w:val="21"/>
          <w:highlight w:val="none"/>
        </w:rPr>
        <w:t>.2</w:t>
      </w:r>
      <w:r>
        <w:rPr>
          <w:rFonts w:hint="eastAsia"/>
          <w:color w:val="auto"/>
          <w:highlight w:val="none"/>
        </w:rPr>
        <w:t>本</w:t>
      </w:r>
      <w:r>
        <w:rPr>
          <w:color w:val="auto"/>
          <w:highlight w:val="none"/>
        </w:rPr>
        <w:t>征集文件是根据国家有关法律及有关政策、法规和参照国际惯例编制，解释权属采购代理机构。</w:t>
      </w:r>
      <w:bookmarkEnd w:id="26"/>
    </w:p>
    <w:p w14:paraId="4ED2BDFD">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71" w:name="_Toc7130"/>
      <w:r>
        <w:rPr>
          <w:rFonts w:ascii="Times New Roman" w:hAnsi="Times New Roman" w:cs="Times New Roman"/>
          <w:color w:val="auto"/>
          <w:sz w:val="32"/>
          <w:szCs w:val="32"/>
          <w:highlight w:val="none"/>
        </w:rPr>
        <w:t>第四章  评审方法及标准</w:t>
      </w:r>
      <w:bookmarkEnd w:id="71"/>
    </w:p>
    <w:p w14:paraId="7BBEC857">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评审方法</w:t>
      </w:r>
    </w:p>
    <w:p w14:paraId="1DE1B98D">
      <w:pPr>
        <w:suppressAutoHyphens/>
        <w:spacing w:before="120" w:line="320" w:lineRule="atLeast"/>
        <w:ind w:firstLine="420" w:firstLineChars="200"/>
        <w:rPr>
          <w:color w:val="auto"/>
          <w:highlight w:val="none"/>
        </w:rPr>
      </w:pPr>
      <w:r>
        <w:rPr>
          <w:rFonts w:hint="eastAsia"/>
          <w:color w:val="auto"/>
          <w:highlight w:val="none"/>
        </w:rPr>
        <w:t>1.</w:t>
      </w:r>
      <w:r>
        <w:rPr>
          <w:color w:val="auto"/>
          <w:highlight w:val="none"/>
        </w:rPr>
        <w:t>1本项目采用</w:t>
      </w:r>
      <w:r>
        <w:rPr>
          <w:rFonts w:hint="eastAsia"/>
          <w:color w:val="auto"/>
          <w:highlight w:val="none"/>
        </w:rPr>
        <w:t>质量优先法</w:t>
      </w:r>
      <w:r>
        <w:rPr>
          <w:color w:val="auto"/>
          <w:highlight w:val="none"/>
        </w:rPr>
        <w:t>进行评审</w:t>
      </w:r>
      <w:r>
        <w:rPr>
          <w:rFonts w:hint="eastAsia"/>
          <w:color w:val="auto"/>
          <w:highlight w:val="none"/>
        </w:rPr>
        <w:t>。</w:t>
      </w:r>
    </w:p>
    <w:p w14:paraId="6A96D9AC">
      <w:pPr>
        <w:suppressAutoHyphens/>
        <w:spacing w:before="120" w:line="320" w:lineRule="atLeast"/>
        <w:ind w:firstLine="420" w:firstLineChars="200"/>
        <w:rPr>
          <w:color w:val="auto"/>
          <w:highlight w:val="none"/>
        </w:rPr>
      </w:pPr>
      <w:r>
        <w:rPr>
          <w:rFonts w:hint="eastAsia"/>
          <w:color w:val="auto"/>
          <w:highlight w:val="none"/>
        </w:rPr>
        <w:t>质量优先法是对合格供应商响应内容进行质量综合评分，按照质量评分从高到低排序，根据下方规定的淘汰率及入围供应商最大数量及最小数量，确定入围供应商的评审方法。</w:t>
      </w:r>
    </w:p>
    <w:p w14:paraId="0B1DD169">
      <w:pPr>
        <w:suppressAutoHyphens/>
        <w:spacing w:before="120" w:line="320" w:lineRule="atLeast"/>
        <w:ind w:firstLine="420" w:firstLineChars="200"/>
        <w:rPr>
          <w:color w:val="auto"/>
          <w:highlight w:val="none"/>
        </w:rPr>
      </w:pPr>
      <w:r>
        <w:rPr>
          <w:rFonts w:hint="eastAsia"/>
          <w:color w:val="auto"/>
          <w:highlight w:val="none"/>
        </w:rPr>
        <w:t>合格供应商是指对满足采购需求、响应报价不超过最高限制单价且资格审查合格的供应商，假设数量为Y。</w:t>
      </w:r>
    </w:p>
    <w:tbl>
      <w:tblPr>
        <w:tblStyle w:val="5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126"/>
        <w:gridCol w:w="2268"/>
        <w:gridCol w:w="2268"/>
      </w:tblGrid>
      <w:tr w14:paraId="3F34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vAlign w:val="center"/>
          </w:tcPr>
          <w:p w14:paraId="055E58F0">
            <w:pPr>
              <w:jc w:val="center"/>
              <w:rPr>
                <w:b/>
                <w:bCs/>
                <w:color w:val="auto"/>
                <w:highlight w:val="none"/>
              </w:rPr>
            </w:pPr>
            <w:r>
              <w:rPr>
                <w:rFonts w:hint="eastAsia"/>
                <w:b/>
                <w:bCs/>
                <w:color w:val="auto"/>
                <w:highlight w:val="none"/>
              </w:rPr>
              <w:t>标项</w:t>
            </w:r>
          </w:p>
        </w:tc>
        <w:tc>
          <w:tcPr>
            <w:tcW w:w="2126" w:type="dxa"/>
            <w:vAlign w:val="center"/>
          </w:tcPr>
          <w:p w14:paraId="748091DD">
            <w:pPr>
              <w:jc w:val="center"/>
              <w:rPr>
                <w:b/>
                <w:bCs/>
                <w:color w:val="auto"/>
                <w:highlight w:val="none"/>
              </w:rPr>
            </w:pPr>
            <w:r>
              <w:rPr>
                <w:rFonts w:hint="eastAsia"/>
                <w:b/>
                <w:bCs/>
                <w:color w:val="auto"/>
                <w:highlight w:val="none"/>
              </w:rPr>
              <w:t>淘汰率</w:t>
            </w:r>
          </w:p>
        </w:tc>
        <w:tc>
          <w:tcPr>
            <w:tcW w:w="2268" w:type="dxa"/>
            <w:vAlign w:val="center"/>
          </w:tcPr>
          <w:p w14:paraId="398456F6">
            <w:pPr>
              <w:jc w:val="center"/>
              <w:rPr>
                <w:b/>
                <w:bCs/>
                <w:color w:val="auto"/>
                <w:highlight w:val="none"/>
              </w:rPr>
            </w:pPr>
            <w:r>
              <w:rPr>
                <w:rFonts w:hint="eastAsia"/>
                <w:b/>
                <w:bCs/>
                <w:color w:val="auto"/>
                <w:highlight w:val="none"/>
              </w:rPr>
              <w:t>入围供应商最大数量</w:t>
            </w:r>
          </w:p>
        </w:tc>
        <w:tc>
          <w:tcPr>
            <w:tcW w:w="2268" w:type="dxa"/>
            <w:vAlign w:val="center"/>
          </w:tcPr>
          <w:p w14:paraId="0D8EAFC7">
            <w:pPr>
              <w:jc w:val="center"/>
              <w:rPr>
                <w:b/>
                <w:bCs/>
                <w:color w:val="auto"/>
                <w:highlight w:val="none"/>
              </w:rPr>
            </w:pPr>
            <w:r>
              <w:rPr>
                <w:rFonts w:hint="eastAsia"/>
                <w:b/>
                <w:bCs/>
                <w:color w:val="auto"/>
                <w:highlight w:val="none"/>
              </w:rPr>
              <w:t>入围供应商最小数量</w:t>
            </w:r>
          </w:p>
        </w:tc>
      </w:tr>
      <w:tr w14:paraId="2A59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13" w:type="dxa"/>
            <w:vAlign w:val="center"/>
          </w:tcPr>
          <w:p w14:paraId="10CBEB38">
            <w:pPr>
              <w:jc w:val="center"/>
              <w:rPr>
                <w:color w:val="auto"/>
                <w:highlight w:val="none"/>
              </w:rPr>
            </w:pPr>
            <w:r>
              <w:rPr>
                <w:rFonts w:hint="eastAsia"/>
                <w:color w:val="auto"/>
                <w:highlight w:val="none"/>
              </w:rPr>
              <w:t>一</w:t>
            </w:r>
          </w:p>
        </w:tc>
        <w:tc>
          <w:tcPr>
            <w:tcW w:w="2126" w:type="dxa"/>
            <w:vAlign w:val="center"/>
          </w:tcPr>
          <w:p w14:paraId="7D30D13D">
            <w:pPr>
              <w:jc w:val="center"/>
              <w:rPr>
                <w:color w:val="auto"/>
                <w:szCs w:val="21"/>
                <w:highlight w:val="none"/>
              </w:rPr>
            </w:pPr>
            <w:r>
              <w:rPr>
                <w:color w:val="auto"/>
                <w:szCs w:val="21"/>
                <w:highlight w:val="none"/>
                <w:lang w:bidi="ar"/>
              </w:rPr>
              <w:t>20%</w:t>
            </w:r>
          </w:p>
        </w:tc>
        <w:tc>
          <w:tcPr>
            <w:tcW w:w="2268" w:type="dxa"/>
            <w:vAlign w:val="center"/>
          </w:tcPr>
          <w:p w14:paraId="72BD86DE">
            <w:pPr>
              <w:jc w:val="center"/>
              <w:rPr>
                <w:color w:val="auto"/>
                <w:szCs w:val="21"/>
                <w:highlight w:val="none"/>
              </w:rPr>
            </w:pPr>
            <w:r>
              <w:rPr>
                <w:color w:val="auto"/>
                <w:szCs w:val="21"/>
                <w:highlight w:val="none"/>
                <w:lang w:bidi="ar"/>
              </w:rPr>
              <w:t>10</w:t>
            </w:r>
          </w:p>
        </w:tc>
        <w:tc>
          <w:tcPr>
            <w:tcW w:w="2268" w:type="dxa"/>
            <w:vAlign w:val="center"/>
          </w:tcPr>
          <w:p w14:paraId="13C8C955">
            <w:pPr>
              <w:jc w:val="center"/>
              <w:rPr>
                <w:color w:val="auto"/>
                <w:szCs w:val="21"/>
                <w:highlight w:val="none"/>
              </w:rPr>
            </w:pPr>
            <w:r>
              <w:rPr>
                <w:color w:val="auto"/>
                <w:szCs w:val="21"/>
                <w:highlight w:val="none"/>
                <w:lang w:bidi="ar"/>
              </w:rPr>
              <w:t>8</w:t>
            </w:r>
          </w:p>
        </w:tc>
      </w:tr>
      <w:tr w14:paraId="7A30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13" w:type="dxa"/>
            <w:vAlign w:val="center"/>
          </w:tcPr>
          <w:p w14:paraId="34EB4E6F">
            <w:pPr>
              <w:jc w:val="center"/>
              <w:rPr>
                <w:color w:val="auto"/>
                <w:highlight w:val="none"/>
              </w:rPr>
            </w:pPr>
            <w:r>
              <w:rPr>
                <w:rFonts w:hint="eastAsia"/>
                <w:color w:val="auto"/>
                <w:highlight w:val="none"/>
              </w:rPr>
              <w:t>二</w:t>
            </w:r>
          </w:p>
        </w:tc>
        <w:tc>
          <w:tcPr>
            <w:tcW w:w="2126" w:type="dxa"/>
            <w:vAlign w:val="center"/>
          </w:tcPr>
          <w:p w14:paraId="258E1967">
            <w:pPr>
              <w:jc w:val="center"/>
              <w:rPr>
                <w:color w:val="auto"/>
                <w:szCs w:val="21"/>
                <w:highlight w:val="none"/>
              </w:rPr>
            </w:pPr>
            <w:r>
              <w:rPr>
                <w:color w:val="auto"/>
                <w:szCs w:val="21"/>
                <w:highlight w:val="none"/>
                <w:lang w:bidi="ar"/>
              </w:rPr>
              <w:t>20%</w:t>
            </w:r>
          </w:p>
        </w:tc>
        <w:tc>
          <w:tcPr>
            <w:tcW w:w="2268" w:type="dxa"/>
            <w:vAlign w:val="center"/>
          </w:tcPr>
          <w:p w14:paraId="05E85FE6">
            <w:pPr>
              <w:jc w:val="center"/>
              <w:rPr>
                <w:rFonts w:hint="eastAsia" w:eastAsia="宋体"/>
                <w:color w:val="auto"/>
                <w:szCs w:val="21"/>
                <w:highlight w:val="none"/>
                <w:lang w:eastAsia="zh-CN"/>
              </w:rPr>
            </w:pPr>
            <w:r>
              <w:rPr>
                <w:color w:val="auto"/>
                <w:szCs w:val="21"/>
                <w:highlight w:val="none"/>
                <w:lang w:bidi="ar"/>
              </w:rPr>
              <w:t>1</w:t>
            </w:r>
            <w:r>
              <w:rPr>
                <w:rFonts w:hint="eastAsia"/>
                <w:color w:val="auto"/>
                <w:szCs w:val="21"/>
                <w:highlight w:val="none"/>
                <w:lang w:val="en-US" w:eastAsia="zh-CN" w:bidi="ar"/>
              </w:rPr>
              <w:t>2</w:t>
            </w:r>
          </w:p>
        </w:tc>
        <w:tc>
          <w:tcPr>
            <w:tcW w:w="2268" w:type="dxa"/>
            <w:vAlign w:val="center"/>
          </w:tcPr>
          <w:p w14:paraId="038F8F90">
            <w:pPr>
              <w:jc w:val="center"/>
              <w:rPr>
                <w:rFonts w:hint="default" w:eastAsia="宋体"/>
                <w:color w:val="auto"/>
                <w:szCs w:val="21"/>
                <w:highlight w:val="none"/>
                <w:lang w:val="en-US" w:eastAsia="zh-CN"/>
              </w:rPr>
            </w:pPr>
            <w:r>
              <w:rPr>
                <w:rFonts w:hint="eastAsia"/>
                <w:color w:val="auto"/>
                <w:szCs w:val="21"/>
                <w:highlight w:val="none"/>
                <w:lang w:val="en-US" w:eastAsia="zh-CN" w:bidi="ar"/>
              </w:rPr>
              <w:t>10</w:t>
            </w:r>
          </w:p>
        </w:tc>
      </w:tr>
    </w:tbl>
    <w:p w14:paraId="3B57E3B4">
      <w:pPr>
        <w:suppressAutoHyphens/>
        <w:spacing w:before="120" w:line="320" w:lineRule="atLeast"/>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确定入围供应商步骤：</w:t>
      </w:r>
    </w:p>
    <w:p w14:paraId="23196970">
      <w:pPr>
        <w:suppressAutoHyphens/>
        <w:spacing w:before="120" w:line="320" w:lineRule="atLeast"/>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w:t>
      </w:r>
      <w:r>
        <w:rPr>
          <w:color w:val="auto"/>
          <w:highlight w:val="none"/>
        </w:rPr>
        <w:t>1</w:t>
      </w:r>
      <w:r>
        <w:rPr>
          <w:rFonts w:hint="eastAsia"/>
          <w:color w:val="auto"/>
          <w:highlight w:val="none"/>
        </w:rPr>
        <w:t>计算最低淘汰供应商及初步入围供应商数量</w:t>
      </w:r>
    </w:p>
    <w:p w14:paraId="0424FC87">
      <w:pPr>
        <w:suppressAutoHyphens/>
        <w:spacing w:before="120" w:line="320" w:lineRule="atLeast"/>
        <w:ind w:firstLine="420" w:firstLineChars="200"/>
        <w:rPr>
          <w:color w:val="auto"/>
          <w:highlight w:val="none"/>
        </w:rPr>
      </w:pPr>
      <w:r>
        <w:rPr>
          <w:rFonts w:hint="eastAsia"/>
          <w:color w:val="auto"/>
          <w:highlight w:val="none"/>
        </w:rPr>
        <w:t>（1）最低淘汰供应商数量</w:t>
      </w:r>
      <w:r>
        <w:rPr>
          <w:color w:val="auto"/>
          <w:highlight w:val="none"/>
        </w:rPr>
        <w:t>Z</w:t>
      </w:r>
      <w:r>
        <w:rPr>
          <w:rFonts w:hint="eastAsia"/>
          <w:color w:val="auto"/>
          <w:highlight w:val="none"/>
        </w:rPr>
        <w:t xml:space="preserve"> =</w:t>
      </w:r>
      <w:r>
        <w:rPr>
          <w:color w:val="auto"/>
          <w:highlight w:val="none"/>
        </w:rPr>
        <w:t xml:space="preserve">Y </w:t>
      </w:r>
      <w:r>
        <w:rPr>
          <w:rFonts w:hint="eastAsia" w:ascii="宋体" w:hAnsi="宋体"/>
          <w:color w:val="auto"/>
          <w:highlight w:val="none"/>
        </w:rPr>
        <w:t>×</w:t>
      </w:r>
      <w:r>
        <w:rPr>
          <w:rFonts w:hint="eastAsia"/>
          <w:color w:val="auto"/>
          <w:highlight w:val="none"/>
        </w:rPr>
        <w:t xml:space="preserve"> 淘汰率（Z应保证为整数，计算结果有小数时向上取整，如计算值为2</w:t>
      </w:r>
      <w:r>
        <w:rPr>
          <w:color w:val="auto"/>
          <w:highlight w:val="none"/>
        </w:rPr>
        <w:t>.1</w:t>
      </w:r>
      <w:r>
        <w:rPr>
          <w:rFonts w:hint="eastAsia"/>
          <w:color w:val="auto"/>
          <w:highlight w:val="none"/>
        </w:rPr>
        <w:t>时取Z</w:t>
      </w:r>
      <w:r>
        <w:rPr>
          <w:color w:val="auto"/>
          <w:highlight w:val="none"/>
        </w:rPr>
        <w:t>=3</w:t>
      </w:r>
      <w:r>
        <w:rPr>
          <w:rFonts w:hint="eastAsia"/>
          <w:color w:val="auto"/>
          <w:highlight w:val="none"/>
        </w:rPr>
        <w:t>）</w:t>
      </w:r>
    </w:p>
    <w:p w14:paraId="15C27520">
      <w:pPr>
        <w:suppressAutoHyphens/>
        <w:spacing w:before="120" w:line="320" w:lineRule="atLeas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）初步入围供应商数量X=</w:t>
      </w:r>
      <w:r>
        <w:rPr>
          <w:color w:val="auto"/>
          <w:highlight w:val="none"/>
        </w:rPr>
        <w:t>Y – Z</w:t>
      </w:r>
    </w:p>
    <w:p w14:paraId="642A3B73">
      <w:pPr>
        <w:suppressAutoHyphens/>
        <w:spacing w:before="120" w:line="320" w:lineRule="atLeast"/>
        <w:ind w:firstLine="420" w:firstLineChars="200"/>
        <w:rPr>
          <w:color w:val="auto"/>
          <w:highlight w:val="none"/>
        </w:rPr>
      </w:pPr>
      <w:r>
        <w:rPr>
          <w:color w:val="auto"/>
          <w:highlight w:val="none"/>
        </w:rPr>
        <w:t>1.2.2</w:t>
      </w:r>
      <w:r>
        <w:rPr>
          <w:rFonts w:hint="eastAsia"/>
          <w:color w:val="auto"/>
          <w:highlight w:val="none"/>
        </w:rPr>
        <w:t>对合格供应商进行评审及首次排序，首次排序即按照质量评分从高到低排序，相同分数的并列排序。然后将供应商按首次排序从末位开始淘汰Z家，并列的供应商一并淘汰。</w:t>
      </w:r>
    </w:p>
    <w:p w14:paraId="545904DE">
      <w:pPr>
        <w:suppressAutoHyphens/>
        <w:spacing w:before="120" w:line="320" w:lineRule="atLeast"/>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w:t>
      </w:r>
      <w:r>
        <w:rPr>
          <w:color w:val="auto"/>
          <w:highlight w:val="none"/>
        </w:rPr>
        <w:t>3</w:t>
      </w:r>
      <w:r>
        <w:rPr>
          <w:rFonts w:hint="eastAsia"/>
          <w:color w:val="auto"/>
          <w:highlight w:val="none"/>
        </w:rPr>
        <w:t>淘汰供应商</w:t>
      </w:r>
    </w:p>
    <w:p w14:paraId="31C5B873">
      <w:pPr>
        <w:suppressAutoHyphens/>
        <w:spacing w:before="120" w:line="320" w:lineRule="atLeast"/>
        <w:ind w:firstLine="420" w:firstLineChars="200"/>
        <w:rPr>
          <w:color w:val="auto"/>
          <w:highlight w:val="none"/>
        </w:rPr>
      </w:pPr>
      <w:r>
        <w:rPr>
          <w:rFonts w:hint="eastAsia"/>
          <w:color w:val="auto"/>
          <w:highlight w:val="none"/>
        </w:rPr>
        <w:t>将X与入围供应商最大最小数量对比，按下列不同情况淘汰供应商：</w:t>
      </w:r>
    </w:p>
    <w:p w14:paraId="7DF7AFD1">
      <w:pPr>
        <w:suppressAutoHyphens/>
        <w:spacing w:before="120" w:line="320" w:lineRule="atLeast"/>
        <w:ind w:firstLine="420" w:firstLineChars="200"/>
        <w:rPr>
          <w:color w:val="auto"/>
          <w:highlight w:val="none"/>
        </w:rPr>
      </w:pPr>
      <w:r>
        <w:rPr>
          <w:rFonts w:hint="eastAsia"/>
          <w:color w:val="auto"/>
          <w:highlight w:val="none"/>
        </w:rPr>
        <w:t>（1）X＝入围供应商最大数量时，X即为最终入围供应商数量。</w:t>
      </w:r>
    </w:p>
    <w:p w14:paraId="02DA074C">
      <w:pPr>
        <w:suppressAutoHyphens/>
        <w:spacing w:before="120" w:line="320" w:lineRule="atLeas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）当X＞入围供应商最大数量时，应按首次排序将剩余供应商从末位开始继续淘汰，直至最终入围供应商数量等于入围供应商最大数量；在此过程中并列的供应商应一并淘汰。</w:t>
      </w:r>
    </w:p>
    <w:p w14:paraId="474EBF2C">
      <w:pPr>
        <w:suppressAutoHyphens/>
        <w:spacing w:before="120" w:line="320" w:lineRule="atLeast"/>
        <w:ind w:firstLine="525" w:firstLineChars="250"/>
        <w:rPr>
          <w:color w:val="auto"/>
          <w:highlight w:val="none"/>
        </w:rPr>
      </w:pPr>
      <w:r>
        <w:rPr>
          <w:rFonts w:hint="eastAsia"/>
          <w:color w:val="auto"/>
          <w:highlight w:val="none"/>
        </w:rPr>
        <w:t>如果淘汰某排序并列供应商后，入围供应商最小数量≤X＜入围供应商最大数量，应将该排序并列供应商进行二次排序，并按二次排序从末位开始淘汰，直至最终入围供应商数量等于入围供应商最大数量；在此过程中如果出现供应商二次排序并列的情况，并列的供应商应一并淘汰。</w:t>
      </w:r>
    </w:p>
    <w:p w14:paraId="3DFC589D">
      <w:pPr>
        <w:suppressAutoHyphens/>
        <w:spacing w:before="120" w:line="320" w:lineRule="atLeast"/>
        <w:ind w:firstLine="525" w:firstLineChars="250"/>
        <w:rPr>
          <w:color w:val="auto"/>
          <w:highlight w:val="none"/>
        </w:rPr>
      </w:pPr>
      <w:r>
        <w:rPr>
          <w:rFonts w:hint="eastAsia"/>
          <w:color w:val="auto"/>
          <w:highlight w:val="none"/>
        </w:rPr>
        <w:t>在上述二次排序淘汰过程中，如果淘汰某排序并列供应商后，入围供应商最小数量≤X＜入围供应商最大数量，应将该排序并列供应商进行三次排序，并按三次排序从末位开始淘汰，直至最终入围供应商数量等于入围供应商最大数量。</w:t>
      </w:r>
    </w:p>
    <w:p w14:paraId="48F8C1A8">
      <w:pPr>
        <w:suppressAutoHyphens/>
        <w:spacing w:before="120" w:line="320" w:lineRule="atLeas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）当2≤X＜入围供应商最小数量时，征集人认为可以满足框架协议需求时，X为最终入围供应商数量；如果征集人认为不能满足框架协议需求时，应重新开展征集活动。</w:t>
      </w:r>
    </w:p>
    <w:p w14:paraId="63060CA9">
      <w:pPr>
        <w:suppressAutoHyphens/>
        <w:spacing w:before="120" w:line="320" w:lineRule="atLeast"/>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）当X＜2时，本次框架协议采购失败，应重新开展征集活动。</w:t>
      </w:r>
    </w:p>
    <w:p w14:paraId="30E00787">
      <w:pPr>
        <w:suppressAutoHyphens/>
        <w:spacing w:before="120" w:line="320" w:lineRule="atLeast"/>
        <w:ind w:firstLine="420" w:firstLineChars="200"/>
        <w:rPr>
          <w:color w:val="auto"/>
          <w:highlight w:val="none"/>
        </w:rPr>
      </w:pPr>
      <w:r>
        <w:rPr>
          <w:color w:val="auto"/>
          <w:highlight w:val="none"/>
        </w:rPr>
        <w:t>1</w:t>
      </w:r>
      <w:r>
        <w:rPr>
          <w:rFonts w:hint="eastAsia"/>
          <w:color w:val="auto"/>
          <w:highlight w:val="none"/>
        </w:rPr>
        <w:t>.</w:t>
      </w:r>
      <w:r>
        <w:rPr>
          <w:color w:val="auto"/>
          <w:highlight w:val="none"/>
        </w:rPr>
        <w:t>2</w:t>
      </w:r>
      <w:r>
        <w:rPr>
          <w:rFonts w:hint="eastAsia"/>
          <w:color w:val="auto"/>
          <w:highlight w:val="none"/>
        </w:rPr>
        <w:t>.</w:t>
      </w:r>
      <w:r>
        <w:rPr>
          <w:color w:val="auto"/>
          <w:highlight w:val="none"/>
        </w:rPr>
        <w:t>4</w:t>
      </w:r>
      <w:r>
        <w:rPr>
          <w:rFonts w:hint="eastAsia"/>
          <w:color w:val="auto"/>
          <w:highlight w:val="none"/>
        </w:rPr>
        <w:t>二次三次排序规则</w:t>
      </w:r>
    </w:p>
    <w:p w14:paraId="56DB9131">
      <w:pPr>
        <w:suppressAutoHyphens/>
        <w:spacing w:before="120" w:line="320" w:lineRule="atLeast"/>
        <w:ind w:firstLine="420" w:firstLineChars="200"/>
        <w:rPr>
          <w:color w:val="auto"/>
          <w:highlight w:val="none"/>
        </w:rPr>
      </w:pPr>
      <w:r>
        <w:rPr>
          <w:rFonts w:hint="eastAsia"/>
          <w:color w:val="auto"/>
          <w:highlight w:val="none"/>
        </w:rPr>
        <w:t>（1）二次排序规则：并列供应商按质量控制方案分由高到低排序，质量控制方案分相同的，按服务方案分由高到低排序，服务方案分相同的，按评审报告编制水平分由高到低排序，评审报告编制水平分相同的，按业绩分由高到低排序，以上分数均相同的并列排序。</w:t>
      </w:r>
    </w:p>
    <w:p w14:paraId="749B3A95">
      <w:pPr>
        <w:spacing w:before="120" w:line="320" w:lineRule="atLeast"/>
        <w:ind w:firstLine="411" w:firstLineChars="196"/>
        <w:outlineLvl w:val="1"/>
        <w:rPr>
          <w:color w:val="auto"/>
          <w:highlight w:val="none"/>
        </w:rPr>
      </w:pPr>
      <w:r>
        <w:rPr>
          <w:rFonts w:hint="eastAsia"/>
          <w:color w:val="auto"/>
          <w:highlight w:val="none"/>
        </w:rPr>
        <w:t>（2）三次排序规则：并列供应商进行数字抽签，按数字从大到小排序。</w:t>
      </w:r>
      <w:r>
        <w:rPr>
          <w:color w:val="auto"/>
          <w:highlight w:val="none"/>
        </w:rPr>
        <w:br w:type="page"/>
      </w: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p>
    <w:p w14:paraId="58172C97">
      <w:pPr>
        <w:rPr>
          <w:b/>
          <w:color w:val="auto"/>
          <w:kern w:val="0"/>
          <w:szCs w:val="21"/>
          <w:highlight w:val="none"/>
        </w:rPr>
      </w:pPr>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5851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5B99A6C8">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vAlign w:val="center"/>
          </w:tcPr>
          <w:p w14:paraId="6372DD7D">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vAlign w:val="center"/>
          </w:tcPr>
          <w:p w14:paraId="1E13EDD2">
            <w:pPr>
              <w:spacing w:line="240" w:lineRule="exact"/>
              <w:jc w:val="center"/>
              <w:rPr>
                <w:b/>
                <w:color w:val="auto"/>
                <w:kern w:val="0"/>
                <w:szCs w:val="21"/>
                <w:highlight w:val="none"/>
              </w:rPr>
            </w:pPr>
            <w:r>
              <w:rPr>
                <w:rFonts w:hint="eastAsia"/>
                <w:b/>
                <w:color w:val="auto"/>
                <w:kern w:val="0"/>
                <w:szCs w:val="21"/>
                <w:highlight w:val="none"/>
              </w:rPr>
              <w:t>说明</w:t>
            </w:r>
          </w:p>
        </w:tc>
      </w:tr>
      <w:tr w14:paraId="7308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46" w:type="dxa"/>
            <w:vMerge w:val="restart"/>
            <w:vAlign w:val="center"/>
          </w:tcPr>
          <w:p w14:paraId="3FCCBBC7">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vAlign w:val="center"/>
          </w:tcPr>
          <w:p w14:paraId="266DD448">
            <w:pPr>
              <w:spacing w:line="240" w:lineRule="exact"/>
              <w:jc w:val="left"/>
              <w:rPr>
                <w:color w:val="auto"/>
                <w:szCs w:val="21"/>
                <w:highlight w:val="none"/>
              </w:rPr>
            </w:pPr>
            <w:r>
              <w:rPr>
                <w:color w:val="auto"/>
                <w:szCs w:val="21"/>
                <w:highlight w:val="none"/>
              </w:rPr>
              <w:t>（1）具有独立承担民事责任的能力</w:t>
            </w:r>
          </w:p>
        </w:tc>
        <w:tc>
          <w:tcPr>
            <w:tcW w:w="6242" w:type="dxa"/>
            <w:vMerge w:val="restart"/>
            <w:vAlign w:val="center"/>
          </w:tcPr>
          <w:p w14:paraId="7716B26C">
            <w:pPr>
              <w:spacing w:line="240" w:lineRule="exact"/>
              <w:rPr>
                <w:color w:val="auto"/>
                <w:szCs w:val="21"/>
                <w:highlight w:val="none"/>
              </w:rPr>
            </w:pPr>
            <w:r>
              <w:rPr>
                <w:color w:val="auto"/>
                <w:szCs w:val="21"/>
                <w:highlight w:val="none"/>
              </w:rPr>
              <w:t>提供《贺州市政府采购供应商信用承诺函》</w:t>
            </w:r>
          </w:p>
        </w:tc>
      </w:tr>
      <w:tr w14:paraId="3C84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4E202DEE">
            <w:pPr>
              <w:spacing w:line="240" w:lineRule="exact"/>
              <w:rPr>
                <w:color w:val="auto"/>
                <w:szCs w:val="21"/>
                <w:highlight w:val="none"/>
                <w:lang w:val="zh-CN"/>
              </w:rPr>
            </w:pPr>
          </w:p>
        </w:tc>
        <w:tc>
          <w:tcPr>
            <w:tcW w:w="1843" w:type="dxa"/>
            <w:vAlign w:val="center"/>
          </w:tcPr>
          <w:p w14:paraId="5014FCA6">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vMerge w:val="continue"/>
          </w:tcPr>
          <w:p w14:paraId="0A7CDD9C">
            <w:pPr>
              <w:spacing w:line="240" w:lineRule="exact"/>
              <w:jc w:val="left"/>
              <w:rPr>
                <w:color w:val="auto"/>
                <w:szCs w:val="21"/>
                <w:highlight w:val="none"/>
              </w:rPr>
            </w:pPr>
          </w:p>
        </w:tc>
      </w:tr>
      <w:tr w14:paraId="74F0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31D0C9F8">
            <w:pPr>
              <w:spacing w:line="240" w:lineRule="exact"/>
              <w:rPr>
                <w:color w:val="auto"/>
                <w:szCs w:val="21"/>
                <w:highlight w:val="none"/>
                <w:lang w:val="zh-CN"/>
              </w:rPr>
            </w:pPr>
          </w:p>
        </w:tc>
        <w:tc>
          <w:tcPr>
            <w:tcW w:w="1843" w:type="dxa"/>
            <w:vAlign w:val="center"/>
          </w:tcPr>
          <w:p w14:paraId="6C4684F8">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vMerge w:val="continue"/>
          </w:tcPr>
          <w:p w14:paraId="3C83568D">
            <w:pPr>
              <w:spacing w:line="240" w:lineRule="exact"/>
              <w:jc w:val="left"/>
              <w:rPr>
                <w:color w:val="auto"/>
                <w:szCs w:val="21"/>
                <w:highlight w:val="none"/>
              </w:rPr>
            </w:pPr>
          </w:p>
        </w:tc>
      </w:tr>
      <w:tr w14:paraId="59A7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4E9BB01D">
            <w:pPr>
              <w:spacing w:line="240" w:lineRule="exact"/>
              <w:rPr>
                <w:color w:val="auto"/>
                <w:szCs w:val="21"/>
                <w:highlight w:val="none"/>
                <w:lang w:val="zh-CN"/>
              </w:rPr>
            </w:pPr>
          </w:p>
        </w:tc>
        <w:tc>
          <w:tcPr>
            <w:tcW w:w="1843" w:type="dxa"/>
            <w:vAlign w:val="center"/>
          </w:tcPr>
          <w:p w14:paraId="3578614A">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vMerge w:val="continue"/>
          </w:tcPr>
          <w:p w14:paraId="30B2D5AA">
            <w:pPr>
              <w:spacing w:line="240" w:lineRule="exact"/>
              <w:jc w:val="left"/>
              <w:rPr>
                <w:color w:val="auto"/>
                <w:szCs w:val="21"/>
                <w:highlight w:val="none"/>
              </w:rPr>
            </w:pPr>
          </w:p>
        </w:tc>
      </w:tr>
      <w:tr w14:paraId="6806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75F96BAE">
            <w:pPr>
              <w:spacing w:line="240" w:lineRule="exact"/>
              <w:rPr>
                <w:color w:val="auto"/>
                <w:szCs w:val="21"/>
                <w:highlight w:val="none"/>
                <w:lang w:val="zh-CN"/>
              </w:rPr>
            </w:pPr>
          </w:p>
        </w:tc>
        <w:tc>
          <w:tcPr>
            <w:tcW w:w="1843" w:type="dxa"/>
            <w:vAlign w:val="center"/>
          </w:tcPr>
          <w:p w14:paraId="0A7F2BA2">
            <w:pPr>
              <w:spacing w:line="240" w:lineRule="exact"/>
              <w:jc w:val="left"/>
              <w:rPr>
                <w:color w:val="auto"/>
                <w:szCs w:val="21"/>
                <w:highlight w:val="none"/>
              </w:rPr>
            </w:pPr>
            <w:r>
              <w:rPr>
                <w:color w:val="auto"/>
                <w:szCs w:val="21"/>
                <w:highlight w:val="none"/>
              </w:rPr>
              <w:t>（5）参加政府采购活动前三年内，在经营活动中没有重大违法记录及不良信用记录</w:t>
            </w:r>
          </w:p>
        </w:tc>
        <w:tc>
          <w:tcPr>
            <w:tcW w:w="6242" w:type="dxa"/>
            <w:vMerge w:val="continue"/>
            <w:vAlign w:val="center"/>
          </w:tcPr>
          <w:p w14:paraId="6DA0FB1D">
            <w:pPr>
              <w:spacing w:line="240" w:lineRule="exact"/>
              <w:jc w:val="left"/>
              <w:rPr>
                <w:color w:val="auto"/>
                <w:szCs w:val="21"/>
                <w:highlight w:val="none"/>
              </w:rPr>
            </w:pPr>
          </w:p>
        </w:tc>
      </w:tr>
      <w:tr w14:paraId="5CB5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5F87C250">
            <w:pPr>
              <w:spacing w:line="240" w:lineRule="exact"/>
              <w:rPr>
                <w:color w:val="auto"/>
                <w:szCs w:val="21"/>
                <w:highlight w:val="none"/>
                <w:lang w:val="zh-CN"/>
              </w:rPr>
            </w:pPr>
          </w:p>
        </w:tc>
        <w:tc>
          <w:tcPr>
            <w:tcW w:w="1843" w:type="dxa"/>
            <w:vAlign w:val="center"/>
          </w:tcPr>
          <w:p w14:paraId="23483E2F">
            <w:pPr>
              <w:spacing w:line="240" w:lineRule="exact"/>
              <w:jc w:val="left"/>
              <w:rPr>
                <w:color w:val="auto"/>
                <w:szCs w:val="21"/>
                <w:highlight w:val="none"/>
              </w:rPr>
            </w:pPr>
            <w:r>
              <w:rPr>
                <w:color w:val="auto"/>
                <w:szCs w:val="21"/>
                <w:highlight w:val="none"/>
              </w:rPr>
              <w:t>（6）具备法律、行政法规规定的其他要求</w:t>
            </w:r>
          </w:p>
        </w:tc>
        <w:tc>
          <w:tcPr>
            <w:tcW w:w="6242" w:type="dxa"/>
            <w:vMerge w:val="continue"/>
            <w:vAlign w:val="center"/>
          </w:tcPr>
          <w:p w14:paraId="51C1A68D">
            <w:pPr>
              <w:spacing w:line="240" w:lineRule="exact"/>
              <w:jc w:val="left"/>
              <w:rPr>
                <w:color w:val="auto"/>
                <w:szCs w:val="21"/>
                <w:highlight w:val="none"/>
              </w:rPr>
            </w:pPr>
          </w:p>
        </w:tc>
      </w:tr>
      <w:tr w14:paraId="64A0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46" w:type="dxa"/>
            <w:vMerge w:val="restart"/>
            <w:vAlign w:val="center"/>
          </w:tcPr>
          <w:p w14:paraId="02273BD0">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vAlign w:val="center"/>
          </w:tcPr>
          <w:p w14:paraId="2D1AEC0C">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vAlign w:val="center"/>
          </w:tcPr>
          <w:p w14:paraId="0DC994CA">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“征集公告”</w:t>
            </w:r>
            <w:r>
              <w:rPr>
                <w:color w:val="auto"/>
                <w:szCs w:val="21"/>
                <w:highlight w:val="none"/>
              </w:rPr>
              <w:t>的要求</w:t>
            </w:r>
            <w:r>
              <w:rPr>
                <w:rFonts w:hint="eastAsia"/>
                <w:color w:val="auto"/>
                <w:szCs w:val="21"/>
                <w:highlight w:val="none"/>
              </w:rPr>
              <w:t>。</w:t>
            </w:r>
          </w:p>
        </w:tc>
      </w:tr>
      <w:tr w14:paraId="579E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67BADF10">
            <w:pPr>
              <w:spacing w:line="240" w:lineRule="exact"/>
              <w:rPr>
                <w:color w:val="auto"/>
                <w:szCs w:val="21"/>
                <w:highlight w:val="none"/>
              </w:rPr>
            </w:pPr>
          </w:p>
        </w:tc>
        <w:tc>
          <w:tcPr>
            <w:tcW w:w="1843" w:type="dxa"/>
            <w:vAlign w:val="center"/>
          </w:tcPr>
          <w:p w14:paraId="5F5D3A79">
            <w:pPr>
              <w:spacing w:line="240" w:lineRule="exact"/>
              <w:jc w:val="left"/>
              <w:rPr>
                <w:color w:val="auto"/>
                <w:szCs w:val="21"/>
                <w:highlight w:val="none"/>
              </w:rPr>
            </w:pPr>
            <w:r>
              <w:rPr>
                <w:color w:val="auto"/>
                <w:szCs w:val="21"/>
                <w:highlight w:val="none"/>
              </w:rPr>
              <w:t>（2）业绩要求</w:t>
            </w:r>
          </w:p>
        </w:tc>
        <w:tc>
          <w:tcPr>
            <w:tcW w:w="6242" w:type="dxa"/>
            <w:vAlign w:val="center"/>
          </w:tcPr>
          <w:p w14:paraId="2856478C">
            <w:pPr>
              <w:spacing w:line="240" w:lineRule="exact"/>
              <w:jc w:val="left"/>
              <w:rPr>
                <w:rFonts w:hint="eastAsia" w:eastAsia="宋体"/>
                <w:color w:val="auto"/>
                <w:szCs w:val="21"/>
                <w:highlight w:val="none"/>
                <w:lang w:eastAsia="zh-CN"/>
              </w:rPr>
            </w:pPr>
            <w:r>
              <w:rPr>
                <w:color w:val="auto"/>
                <w:szCs w:val="21"/>
                <w:highlight w:val="none"/>
              </w:rPr>
              <w:t>须符合</w:t>
            </w:r>
            <w:r>
              <w:rPr>
                <w:rFonts w:hint="eastAsia"/>
                <w:color w:val="auto"/>
                <w:szCs w:val="21"/>
                <w:highlight w:val="none"/>
              </w:rPr>
              <w:t>“征集公告”</w:t>
            </w:r>
            <w:r>
              <w:rPr>
                <w:color w:val="auto"/>
                <w:szCs w:val="21"/>
                <w:highlight w:val="none"/>
              </w:rPr>
              <w:t>的要求</w:t>
            </w:r>
            <w:r>
              <w:rPr>
                <w:rFonts w:hint="eastAsia"/>
                <w:color w:val="auto"/>
                <w:szCs w:val="21"/>
                <w:highlight w:val="none"/>
                <w:lang w:eastAsia="zh-CN"/>
              </w:rPr>
              <w:t>。</w:t>
            </w:r>
          </w:p>
        </w:tc>
      </w:tr>
      <w:tr w14:paraId="3EC5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6" w:type="dxa"/>
            <w:vMerge w:val="continue"/>
            <w:vAlign w:val="center"/>
          </w:tcPr>
          <w:p w14:paraId="4DD03267">
            <w:pPr>
              <w:spacing w:line="240" w:lineRule="exact"/>
              <w:jc w:val="left"/>
              <w:rPr>
                <w:color w:val="auto"/>
                <w:szCs w:val="21"/>
                <w:highlight w:val="none"/>
              </w:rPr>
            </w:pPr>
          </w:p>
        </w:tc>
        <w:tc>
          <w:tcPr>
            <w:tcW w:w="1843" w:type="dxa"/>
            <w:vAlign w:val="center"/>
          </w:tcPr>
          <w:p w14:paraId="6CAF6C93">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vAlign w:val="center"/>
          </w:tcPr>
          <w:p w14:paraId="72CA5E7B">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6A543F1A">
            <w:pPr>
              <w:spacing w:line="240" w:lineRule="exact"/>
              <w:jc w:val="left"/>
              <w:rPr>
                <w:color w:val="auto"/>
                <w:szCs w:val="21"/>
                <w:highlight w:val="none"/>
              </w:rPr>
            </w:pPr>
            <w:r>
              <w:rPr>
                <w:color w:val="auto"/>
                <w:szCs w:val="21"/>
                <w:highlight w:val="none"/>
              </w:rPr>
              <w:t>须提供，格式见第</w:t>
            </w:r>
            <w:r>
              <w:rPr>
                <w:rFonts w:hint="eastAsia"/>
                <w:color w:val="auto"/>
                <w:szCs w:val="21"/>
                <w:highlight w:val="none"/>
              </w:rPr>
              <w:t>七</w:t>
            </w:r>
            <w:r>
              <w:rPr>
                <w:color w:val="auto"/>
                <w:szCs w:val="21"/>
                <w:highlight w:val="none"/>
              </w:rPr>
              <w:t>章响应文件格式“</w:t>
            </w:r>
            <w:r>
              <w:rPr>
                <w:rFonts w:hint="eastAsia"/>
                <w:color w:val="auto"/>
                <w:szCs w:val="21"/>
                <w:highlight w:val="none"/>
              </w:rPr>
              <w:t>供应商直接控股股东、管理关系信息表</w:t>
            </w:r>
            <w:r>
              <w:rPr>
                <w:color w:val="auto"/>
                <w:szCs w:val="21"/>
                <w:highlight w:val="none"/>
              </w:rPr>
              <w:t>”。</w:t>
            </w:r>
          </w:p>
        </w:tc>
      </w:tr>
      <w:tr w14:paraId="5D51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1ED48067">
            <w:pPr>
              <w:spacing w:line="240" w:lineRule="exact"/>
              <w:jc w:val="left"/>
              <w:rPr>
                <w:color w:val="auto"/>
                <w:kern w:val="0"/>
                <w:szCs w:val="21"/>
                <w:highlight w:val="none"/>
              </w:rPr>
            </w:pPr>
          </w:p>
        </w:tc>
        <w:tc>
          <w:tcPr>
            <w:tcW w:w="1843" w:type="dxa"/>
            <w:vAlign w:val="center"/>
          </w:tcPr>
          <w:p w14:paraId="62202336">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tcPr>
          <w:p w14:paraId="1CAF4664">
            <w:pPr>
              <w:spacing w:line="312" w:lineRule="auto"/>
              <w:jc w:val="left"/>
              <w:rPr>
                <w:color w:val="auto"/>
                <w:kern w:val="0"/>
                <w:szCs w:val="21"/>
                <w:highlight w:val="none"/>
              </w:rPr>
            </w:pPr>
            <w:r>
              <w:rPr>
                <w:color w:val="auto"/>
                <w:kern w:val="0"/>
                <w:szCs w:val="21"/>
                <w:highlight w:val="none"/>
              </w:rPr>
              <w:t>未被列入失信被执行人、重大税收违法失信主体、政府采购严重违法失信行为记录名单。</w:t>
            </w:r>
          </w:p>
        </w:tc>
      </w:tr>
      <w:tr w14:paraId="29FF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7D537BA3">
            <w:pPr>
              <w:spacing w:line="240" w:lineRule="exact"/>
              <w:jc w:val="left"/>
              <w:rPr>
                <w:color w:val="auto"/>
                <w:kern w:val="0"/>
                <w:szCs w:val="21"/>
                <w:highlight w:val="none"/>
              </w:rPr>
            </w:pPr>
          </w:p>
        </w:tc>
        <w:tc>
          <w:tcPr>
            <w:tcW w:w="1843" w:type="dxa"/>
            <w:vAlign w:val="center"/>
          </w:tcPr>
          <w:p w14:paraId="75D861F4">
            <w:pPr>
              <w:spacing w:line="240" w:lineRule="exact"/>
              <w:jc w:val="left"/>
              <w:rPr>
                <w:color w:val="auto"/>
                <w:szCs w:val="21"/>
                <w:highlight w:val="none"/>
              </w:rPr>
            </w:pPr>
            <w:r>
              <w:rPr>
                <w:rFonts w:hint="eastAsia"/>
                <w:color w:val="auto"/>
                <w:szCs w:val="21"/>
                <w:highlight w:val="none"/>
              </w:rPr>
              <w:t>（5）其他要求</w:t>
            </w:r>
          </w:p>
        </w:tc>
        <w:tc>
          <w:tcPr>
            <w:tcW w:w="6242" w:type="dxa"/>
          </w:tcPr>
          <w:p w14:paraId="17C111BE">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照征集公告规定获得征集文件。</w:t>
            </w:r>
            <w:r>
              <w:rPr>
                <w:rFonts w:hint="eastAsia"/>
                <w:color w:val="auto"/>
                <w:kern w:val="0"/>
                <w:szCs w:val="21"/>
                <w:highlight w:val="none"/>
              </w:rPr>
              <w:t>足额、及时缴纳响应保证金。</w:t>
            </w:r>
          </w:p>
        </w:tc>
      </w:tr>
      <w:tr w14:paraId="35A6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846" w:type="dxa"/>
            <w:vAlign w:val="center"/>
          </w:tcPr>
          <w:p w14:paraId="003C5A81">
            <w:pPr>
              <w:spacing w:line="240" w:lineRule="exact"/>
              <w:jc w:val="left"/>
              <w:rPr>
                <w:color w:val="auto"/>
                <w:kern w:val="0"/>
                <w:szCs w:val="21"/>
                <w:highlight w:val="none"/>
              </w:rPr>
            </w:pPr>
            <w:r>
              <w:rPr>
                <w:rFonts w:hint="eastAsia"/>
                <w:color w:val="auto"/>
                <w:kern w:val="0"/>
                <w:szCs w:val="21"/>
                <w:highlight w:val="none"/>
              </w:rPr>
              <w:t>采购政策</w:t>
            </w:r>
          </w:p>
        </w:tc>
        <w:tc>
          <w:tcPr>
            <w:tcW w:w="1843" w:type="dxa"/>
            <w:vAlign w:val="center"/>
          </w:tcPr>
          <w:p w14:paraId="7A4E1371">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vAlign w:val="center"/>
          </w:tcPr>
          <w:p w14:paraId="3B027604">
            <w:pPr>
              <w:spacing w:line="240" w:lineRule="exact"/>
              <w:rPr>
                <w:rFonts w:ascii="宋体" w:hAnsi="宋体" w:cs="宋体"/>
                <w:color w:val="auto"/>
                <w:szCs w:val="21"/>
                <w:highlight w:val="none"/>
              </w:rPr>
            </w:pPr>
            <w:r>
              <w:rPr>
                <w:rFonts w:hint="eastAsia"/>
                <w:color w:val="auto"/>
                <w:szCs w:val="21"/>
                <w:highlight w:val="none"/>
              </w:rPr>
              <w:t>无</w:t>
            </w:r>
          </w:p>
        </w:tc>
      </w:tr>
      <w:tr w14:paraId="59F8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53C0F075">
            <w:pPr>
              <w:spacing w:line="240" w:lineRule="exact"/>
              <w:rPr>
                <w:color w:val="auto"/>
                <w:szCs w:val="21"/>
                <w:highlight w:val="none"/>
              </w:rPr>
            </w:pPr>
            <w:r>
              <w:rPr>
                <w:rFonts w:hint="eastAsia"/>
                <w:color w:val="auto"/>
                <w:szCs w:val="21"/>
                <w:highlight w:val="none"/>
              </w:rPr>
              <w:t>联合体</w:t>
            </w:r>
          </w:p>
        </w:tc>
        <w:tc>
          <w:tcPr>
            <w:tcW w:w="1843" w:type="dxa"/>
            <w:vAlign w:val="center"/>
          </w:tcPr>
          <w:p w14:paraId="4008161F">
            <w:pPr>
              <w:spacing w:line="240" w:lineRule="exact"/>
              <w:rPr>
                <w:color w:val="auto"/>
                <w:szCs w:val="21"/>
                <w:highlight w:val="none"/>
              </w:rPr>
            </w:pPr>
            <w:r>
              <w:rPr>
                <w:rFonts w:hint="eastAsia"/>
                <w:color w:val="auto"/>
                <w:szCs w:val="21"/>
                <w:highlight w:val="none"/>
              </w:rPr>
              <w:t>联合体要求</w:t>
            </w:r>
          </w:p>
        </w:tc>
        <w:tc>
          <w:tcPr>
            <w:tcW w:w="6242" w:type="dxa"/>
            <w:vAlign w:val="center"/>
          </w:tcPr>
          <w:p w14:paraId="0BCDAEF8">
            <w:pPr>
              <w:spacing w:line="240" w:lineRule="exact"/>
              <w:rPr>
                <w:color w:val="auto"/>
                <w:szCs w:val="21"/>
                <w:highlight w:val="none"/>
              </w:rPr>
            </w:pPr>
            <w:r>
              <w:rPr>
                <w:rFonts w:hint="eastAsia"/>
                <w:color w:val="auto"/>
                <w:szCs w:val="21"/>
                <w:highlight w:val="none"/>
                <w:lang w:val="zh-CN"/>
              </w:rPr>
              <w:t>本项目如允许联合体，应提交联合体协议书。</w:t>
            </w:r>
          </w:p>
        </w:tc>
      </w:tr>
    </w:tbl>
    <w:p w14:paraId="47F39EBA">
      <w:pPr>
        <w:rPr>
          <w:b/>
          <w:color w:val="auto"/>
          <w:kern w:val="0"/>
          <w:szCs w:val="21"/>
          <w:highlight w:val="none"/>
        </w:rPr>
      </w:pPr>
    </w:p>
    <w:p w14:paraId="1799EE15">
      <w:pPr>
        <w:spacing w:before="120" w:line="320" w:lineRule="atLeast"/>
        <w:ind w:firstLine="413" w:firstLineChars="196"/>
        <w:outlineLvl w:val="1"/>
        <w:rPr>
          <w:b/>
          <w:bCs/>
          <w:color w:val="auto"/>
          <w:kern w:val="0"/>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75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286"/>
        <w:gridCol w:w="4984"/>
      </w:tblGrid>
      <w:tr w14:paraId="5A61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82" w:type="dxa"/>
            <w:vAlign w:val="center"/>
          </w:tcPr>
          <w:p w14:paraId="0148D2E6">
            <w:pPr>
              <w:spacing w:line="240" w:lineRule="exact"/>
              <w:jc w:val="center"/>
              <w:rPr>
                <w:b/>
                <w:color w:val="auto"/>
                <w:kern w:val="0"/>
                <w:szCs w:val="21"/>
                <w:highlight w:val="none"/>
              </w:rPr>
            </w:pPr>
            <w:bookmarkStart w:id="72" w:name="_Hlk92966680"/>
            <w:r>
              <w:rPr>
                <w:rFonts w:hint="eastAsia"/>
                <w:b/>
                <w:color w:val="auto"/>
                <w:kern w:val="0"/>
                <w:szCs w:val="21"/>
                <w:highlight w:val="none"/>
              </w:rPr>
              <w:t>审查</w:t>
            </w:r>
            <w:r>
              <w:rPr>
                <w:b/>
                <w:color w:val="auto"/>
                <w:kern w:val="0"/>
                <w:szCs w:val="21"/>
                <w:highlight w:val="none"/>
              </w:rPr>
              <w:t>因素</w:t>
            </w:r>
          </w:p>
        </w:tc>
        <w:tc>
          <w:tcPr>
            <w:tcW w:w="2286" w:type="dxa"/>
            <w:vAlign w:val="center"/>
          </w:tcPr>
          <w:p w14:paraId="21FC9B53">
            <w:pPr>
              <w:spacing w:line="240" w:lineRule="exact"/>
              <w:jc w:val="center"/>
              <w:rPr>
                <w:b/>
                <w:color w:val="auto"/>
                <w:kern w:val="0"/>
                <w:szCs w:val="21"/>
                <w:highlight w:val="none"/>
              </w:rPr>
            </w:pPr>
            <w:r>
              <w:rPr>
                <w:rFonts w:hint="eastAsia"/>
                <w:b/>
                <w:color w:val="auto"/>
                <w:kern w:val="0"/>
                <w:szCs w:val="21"/>
                <w:highlight w:val="none"/>
              </w:rPr>
              <w:t>审查内容</w:t>
            </w:r>
          </w:p>
        </w:tc>
        <w:tc>
          <w:tcPr>
            <w:tcW w:w="4984" w:type="dxa"/>
          </w:tcPr>
          <w:p w14:paraId="663B5316">
            <w:pPr>
              <w:spacing w:line="240" w:lineRule="exact"/>
              <w:jc w:val="center"/>
              <w:rPr>
                <w:b/>
                <w:color w:val="auto"/>
                <w:kern w:val="0"/>
                <w:szCs w:val="21"/>
                <w:highlight w:val="none"/>
              </w:rPr>
            </w:pPr>
          </w:p>
          <w:p w14:paraId="161A802F">
            <w:pPr>
              <w:spacing w:line="240" w:lineRule="exact"/>
              <w:jc w:val="center"/>
              <w:rPr>
                <w:b/>
                <w:color w:val="auto"/>
                <w:kern w:val="0"/>
                <w:szCs w:val="21"/>
                <w:highlight w:val="none"/>
              </w:rPr>
            </w:pPr>
            <w:r>
              <w:rPr>
                <w:rFonts w:hint="eastAsia"/>
                <w:b/>
                <w:color w:val="auto"/>
                <w:kern w:val="0"/>
                <w:szCs w:val="21"/>
                <w:highlight w:val="none"/>
              </w:rPr>
              <w:t>说明</w:t>
            </w:r>
          </w:p>
        </w:tc>
      </w:tr>
      <w:tr w14:paraId="5818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482" w:type="dxa"/>
            <w:vMerge w:val="restart"/>
            <w:vAlign w:val="center"/>
          </w:tcPr>
          <w:p w14:paraId="4CCBA1D2">
            <w:pPr>
              <w:spacing w:line="240" w:lineRule="exact"/>
              <w:jc w:val="center"/>
              <w:rPr>
                <w:color w:val="auto"/>
                <w:kern w:val="0"/>
                <w:szCs w:val="21"/>
                <w:highlight w:val="none"/>
              </w:rPr>
            </w:pPr>
            <w:r>
              <w:rPr>
                <w:rFonts w:hint="eastAsia"/>
                <w:color w:val="auto"/>
                <w:kern w:val="0"/>
                <w:szCs w:val="21"/>
                <w:highlight w:val="none"/>
              </w:rPr>
              <w:t>商务资信</w:t>
            </w:r>
          </w:p>
        </w:tc>
        <w:tc>
          <w:tcPr>
            <w:tcW w:w="2286" w:type="dxa"/>
            <w:vAlign w:val="center"/>
          </w:tcPr>
          <w:p w14:paraId="7A49DCA6">
            <w:pPr>
              <w:spacing w:line="240" w:lineRule="exact"/>
              <w:rPr>
                <w:color w:val="auto"/>
                <w:highlight w:val="none"/>
              </w:rPr>
            </w:pPr>
            <w:r>
              <w:rPr>
                <w:rFonts w:hint="eastAsia"/>
                <w:color w:val="auto"/>
                <w:highlight w:val="none"/>
              </w:rPr>
              <w:t>法定代表人身份证明及授权委托书</w:t>
            </w:r>
          </w:p>
        </w:tc>
        <w:tc>
          <w:tcPr>
            <w:tcW w:w="4984" w:type="dxa"/>
            <w:vAlign w:val="center"/>
          </w:tcPr>
          <w:p w14:paraId="7D89A65A">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035FC62C">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690F5C40">
            <w:pPr>
              <w:spacing w:line="240" w:lineRule="exact"/>
              <w:rPr>
                <w:color w:val="auto"/>
                <w:highlight w:val="none"/>
              </w:rPr>
            </w:pPr>
            <w:r>
              <w:rPr>
                <w:rFonts w:ascii="宋体" w:hAnsi="宋体"/>
                <w:color w:val="auto"/>
                <w:szCs w:val="21"/>
                <w:highlight w:val="none"/>
              </w:rPr>
              <w:t>格式及附件见第</w:t>
            </w:r>
            <w:r>
              <w:rPr>
                <w:rFonts w:hint="eastAsia"/>
                <w:color w:val="auto"/>
                <w:szCs w:val="21"/>
                <w:highlight w:val="none"/>
              </w:rPr>
              <w:t>七</w:t>
            </w:r>
            <w:r>
              <w:rPr>
                <w:rFonts w:ascii="宋体" w:hAnsi="宋体"/>
                <w:color w:val="auto"/>
                <w:szCs w:val="21"/>
                <w:highlight w:val="none"/>
              </w:rPr>
              <w:t>章响应文件格式要求</w:t>
            </w:r>
          </w:p>
        </w:tc>
      </w:tr>
      <w:tr w14:paraId="0A40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82" w:type="dxa"/>
            <w:vMerge w:val="continue"/>
            <w:vAlign w:val="center"/>
          </w:tcPr>
          <w:p w14:paraId="551F35B8">
            <w:pPr>
              <w:spacing w:line="240" w:lineRule="exact"/>
              <w:jc w:val="center"/>
              <w:rPr>
                <w:color w:val="auto"/>
                <w:kern w:val="0"/>
                <w:szCs w:val="21"/>
                <w:highlight w:val="none"/>
              </w:rPr>
            </w:pPr>
          </w:p>
        </w:tc>
        <w:tc>
          <w:tcPr>
            <w:tcW w:w="2286" w:type="dxa"/>
            <w:vAlign w:val="center"/>
          </w:tcPr>
          <w:p w14:paraId="38F8444C">
            <w:pPr>
              <w:spacing w:line="240" w:lineRule="exact"/>
              <w:rPr>
                <w:color w:val="auto"/>
                <w:szCs w:val="21"/>
                <w:highlight w:val="none"/>
              </w:rPr>
            </w:pPr>
            <w:r>
              <w:rPr>
                <w:rFonts w:hint="eastAsia"/>
                <w:color w:val="auto"/>
                <w:szCs w:val="21"/>
                <w:highlight w:val="none"/>
              </w:rPr>
              <w:t>实质性条款响应</w:t>
            </w:r>
          </w:p>
        </w:tc>
        <w:tc>
          <w:tcPr>
            <w:tcW w:w="4984" w:type="dxa"/>
            <w:vAlign w:val="center"/>
          </w:tcPr>
          <w:p w14:paraId="47433112">
            <w:pPr>
              <w:spacing w:line="240" w:lineRule="exact"/>
              <w:rPr>
                <w:color w:val="auto"/>
                <w:szCs w:val="21"/>
                <w:highlight w:val="none"/>
              </w:rPr>
            </w:pPr>
            <w:r>
              <w:rPr>
                <w:rFonts w:hint="eastAsia" w:ascii="宋体" w:hAnsi="宋体"/>
                <w:color w:val="auto"/>
                <w:szCs w:val="21"/>
                <w:highlight w:val="none"/>
              </w:rPr>
              <w:t>征集文件第二章采购需求响应均无负偏离</w:t>
            </w:r>
          </w:p>
        </w:tc>
      </w:tr>
      <w:tr w14:paraId="698F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82" w:type="dxa"/>
            <w:vMerge w:val="continue"/>
            <w:vAlign w:val="center"/>
          </w:tcPr>
          <w:p w14:paraId="13C5D6D8">
            <w:pPr>
              <w:spacing w:line="240" w:lineRule="exact"/>
              <w:jc w:val="center"/>
              <w:rPr>
                <w:color w:val="auto"/>
                <w:kern w:val="0"/>
                <w:szCs w:val="21"/>
                <w:highlight w:val="none"/>
              </w:rPr>
            </w:pPr>
          </w:p>
        </w:tc>
        <w:tc>
          <w:tcPr>
            <w:tcW w:w="2286" w:type="dxa"/>
            <w:vAlign w:val="center"/>
          </w:tcPr>
          <w:p w14:paraId="07168F87">
            <w:pPr>
              <w:spacing w:line="240" w:lineRule="exact"/>
              <w:rPr>
                <w:color w:val="auto"/>
                <w:szCs w:val="21"/>
                <w:highlight w:val="none"/>
              </w:rPr>
            </w:pPr>
            <w:r>
              <w:rPr>
                <w:rFonts w:hint="eastAsia"/>
                <w:color w:val="auto"/>
                <w:szCs w:val="21"/>
                <w:highlight w:val="none"/>
              </w:rPr>
              <w:t>串通响应</w:t>
            </w:r>
          </w:p>
        </w:tc>
        <w:tc>
          <w:tcPr>
            <w:tcW w:w="4984" w:type="dxa"/>
            <w:vAlign w:val="center"/>
          </w:tcPr>
          <w:p w14:paraId="7101D239">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2.5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规定的串通响应情形，见</w:t>
            </w:r>
            <w:r>
              <w:rPr>
                <w:rFonts w:ascii="宋体" w:hAnsi="宋体"/>
                <w:color w:val="auto"/>
                <w:szCs w:val="21"/>
                <w:highlight w:val="none"/>
              </w:rPr>
              <w:t>第</w:t>
            </w:r>
            <w:r>
              <w:rPr>
                <w:rFonts w:hint="eastAsia"/>
                <w:color w:val="auto"/>
                <w:szCs w:val="21"/>
                <w:highlight w:val="none"/>
              </w:rPr>
              <w:t>七</w:t>
            </w:r>
            <w:r>
              <w:rPr>
                <w:rFonts w:ascii="宋体" w:hAnsi="宋体"/>
                <w:color w:val="auto"/>
                <w:szCs w:val="21"/>
                <w:highlight w:val="none"/>
              </w:rPr>
              <w:t>章响应文件格式要求</w:t>
            </w:r>
          </w:p>
        </w:tc>
      </w:tr>
      <w:tr w14:paraId="475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82" w:type="dxa"/>
            <w:vMerge w:val="restart"/>
            <w:vAlign w:val="center"/>
          </w:tcPr>
          <w:p w14:paraId="2EC69B8D">
            <w:pPr>
              <w:spacing w:line="240" w:lineRule="exact"/>
              <w:jc w:val="center"/>
              <w:rPr>
                <w:color w:val="auto"/>
                <w:kern w:val="0"/>
                <w:szCs w:val="21"/>
                <w:highlight w:val="none"/>
              </w:rPr>
            </w:pPr>
            <w:r>
              <w:rPr>
                <w:rFonts w:hint="eastAsia"/>
                <w:color w:val="auto"/>
                <w:kern w:val="0"/>
                <w:szCs w:val="21"/>
                <w:highlight w:val="none"/>
              </w:rPr>
              <w:t>报价</w:t>
            </w:r>
            <w:r>
              <w:rPr>
                <w:rFonts w:hint="eastAsia"/>
                <w:b/>
                <w:bCs/>
                <w:color w:val="auto"/>
                <w:kern w:val="0"/>
                <w:szCs w:val="21"/>
                <w:highlight w:val="none"/>
              </w:rPr>
              <w:t>（如本项目需要报价时）</w:t>
            </w:r>
          </w:p>
        </w:tc>
        <w:tc>
          <w:tcPr>
            <w:tcW w:w="2286" w:type="dxa"/>
            <w:tcBorders>
              <w:top w:val="single" w:color="auto" w:sz="4" w:space="0"/>
              <w:left w:val="single" w:color="auto" w:sz="4" w:space="0"/>
              <w:bottom w:val="single" w:color="auto" w:sz="4" w:space="0"/>
              <w:right w:val="single" w:color="auto" w:sz="4" w:space="0"/>
            </w:tcBorders>
            <w:vAlign w:val="center"/>
          </w:tcPr>
          <w:p w14:paraId="53538E60">
            <w:pPr>
              <w:spacing w:line="240" w:lineRule="exact"/>
              <w:rPr>
                <w:color w:val="auto"/>
                <w:szCs w:val="21"/>
                <w:highlight w:val="none"/>
              </w:rPr>
            </w:pPr>
            <w:r>
              <w:rPr>
                <w:rFonts w:hint="eastAsia"/>
                <w:color w:val="auto"/>
                <w:szCs w:val="21"/>
                <w:highlight w:val="none"/>
              </w:rPr>
              <w:t>有效报价</w:t>
            </w:r>
          </w:p>
        </w:tc>
        <w:tc>
          <w:tcPr>
            <w:tcW w:w="4984" w:type="dxa"/>
            <w:tcBorders>
              <w:top w:val="single" w:color="auto" w:sz="4" w:space="0"/>
              <w:left w:val="single" w:color="auto" w:sz="4" w:space="0"/>
              <w:bottom w:val="single" w:color="auto" w:sz="4" w:space="0"/>
              <w:right w:val="single" w:color="auto" w:sz="4" w:space="0"/>
            </w:tcBorders>
            <w:vAlign w:val="center"/>
          </w:tcPr>
          <w:p w14:paraId="36451351">
            <w:pPr>
              <w:spacing w:line="240" w:lineRule="exact"/>
              <w:rPr>
                <w:bCs/>
                <w:color w:val="auto"/>
                <w:kern w:val="0"/>
                <w:szCs w:val="21"/>
                <w:highlight w:val="none"/>
              </w:rPr>
            </w:pPr>
            <w:r>
              <w:rPr>
                <w:rFonts w:hint="eastAsia"/>
                <w:color w:val="auto"/>
                <w:highlight w:val="none"/>
              </w:rPr>
              <w:t>报价未超出最高限制单价，有分项的不超过分项最高限制单价</w:t>
            </w:r>
          </w:p>
        </w:tc>
      </w:tr>
      <w:tr w14:paraId="526A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82" w:type="dxa"/>
            <w:vMerge w:val="continue"/>
            <w:vAlign w:val="center"/>
          </w:tcPr>
          <w:p w14:paraId="7DBD353F">
            <w:pPr>
              <w:spacing w:line="240" w:lineRule="exact"/>
              <w:jc w:val="center"/>
              <w:rPr>
                <w:color w:val="auto"/>
                <w:kern w:val="0"/>
                <w:szCs w:val="21"/>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50EE5401">
            <w:pPr>
              <w:spacing w:line="240" w:lineRule="exact"/>
              <w:rPr>
                <w:bCs/>
                <w:color w:val="auto"/>
                <w:kern w:val="0"/>
                <w:szCs w:val="21"/>
                <w:highlight w:val="none"/>
              </w:rPr>
            </w:pPr>
            <w:r>
              <w:rPr>
                <w:rFonts w:hint="eastAsia"/>
                <w:bCs/>
                <w:color w:val="auto"/>
                <w:kern w:val="0"/>
                <w:szCs w:val="21"/>
                <w:highlight w:val="none"/>
              </w:rPr>
              <w:t>漏项报价</w:t>
            </w:r>
          </w:p>
        </w:tc>
        <w:tc>
          <w:tcPr>
            <w:tcW w:w="4984" w:type="dxa"/>
            <w:tcBorders>
              <w:top w:val="single" w:color="auto" w:sz="4" w:space="0"/>
              <w:left w:val="single" w:color="auto" w:sz="4" w:space="0"/>
              <w:bottom w:val="single" w:color="auto" w:sz="4" w:space="0"/>
              <w:right w:val="single" w:color="auto" w:sz="4" w:space="0"/>
            </w:tcBorders>
            <w:vAlign w:val="center"/>
          </w:tcPr>
          <w:p w14:paraId="42067CFA">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6822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2" w:type="dxa"/>
            <w:vMerge w:val="continue"/>
            <w:vAlign w:val="center"/>
          </w:tcPr>
          <w:p w14:paraId="06B51164">
            <w:pPr>
              <w:spacing w:line="240" w:lineRule="exact"/>
              <w:jc w:val="center"/>
              <w:rPr>
                <w:color w:val="auto"/>
                <w:kern w:val="0"/>
                <w:szCs w:val="21"/>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4897B95B">
            <w:pPr>
              <w:spacing w:line="240" w:lineRule="exact"/>
              <w:rPr>
                <w:rFonts w:hAnsi="宋体"/>
                <w:color w:val="auto"/>
                <w:szCs w:val="21"/>
                <w:highlight w:val="none"/>
              </w:rPr>
            </w:pPr>
            <w:r>
              <w:rPr>
                <w:rFonts w:hint="eastAsia" w:hAnsi="宋体"/>
                <w:color w:val="auto"/>
                <w:szCs w:val="21"/>
                <w:highlight w:val="none"/>
              </w:rPr>
              <w:t>响应报价唯一性</w:t>
            </w:r>
          </w:p>
        </w:tc>
        <w:tc>
          <w:tcPr>
            <w:tcW w:w="4984" w:type="dxa"/>
            <w:tcBorders>
              <w:top w:val="single" w:color="auto" w:sz="4" w:space="0"/>
              <w:left w:val="single" w:color="auto" w:sz="4" w:space="0"/>
              <w:bottom w:val="single" w:color="auto" w:sz="4" w:space="0"/>
              <w:right w:val="single" w:color="auto" w:sz="4" w:space="0"/>
            </w:tcBorders>
            <w:vAlign w:val="center"/>
          </w:tcPr>
          <w:p w14:paraId="7F5DD77A">
            <w:pPr>
              <w:spacing w:line="240" w:lineRule="exact"/>
              <w:rPr>
                <w:color w:val="auto"/>
                <w:szCs w:val="21"/>
                <w:highlight w:val="none"/>
              </w:rPr>
            </w:pPr>
            <w:r>
              <w:rPr>
                <w:rFonts w:hint="eastAsia" w:ascii="宋体" w:hAnsi="宋体"/>
                <w:color w:val="auto"/>
                <w:szCs w:val="21"/>
                <w:highlight w:val="none"/>
              </w:rPr>
              <w:t>不存在有选择、有条件报价（征集文件允许有备选方案或者其他约定的除外）</w:t>
            </w:r>
          </w:p>
        </w:tc>
      </w:tr>
      <w:tr w14:paraId="4144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82" w:type="dxa"/>
            <w:vMerge w:val="continue"/>
            <w:vAlign w:val="center"/>
          </w:tcPr>
          <w:p w14:paraId="154C550C">
            <w:pPr>
              <w:spacing w:line="240" w:lineRule="exact"/>
              <w:jc w:val="center"/>
              <w:rPr>
                <w:color w:val="auto"/>
                <w:kern w:val="0"/>
                <w:szCs w:val="21"/>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5D991BCB">
            <w:pPr>
              <w:spacing w:line="240" w:lineRule="exact"/>
              <w:rPr>
                <w:color w:val="auto"/>
                <w:szCs w:val="21"/>
                <w:highlight w:val="none"/>
                <w:lang w:val="zh-CN"/>
              </w:rPr>
            </w:pPr>
            <w:r>
              <w:rPr>
                <w:rFonts w:hint="eastAsia"/>
                <w:color w:val="auto"/>
                <w:szCs w:val="21"/>
                <w:highlight w:val="none"/>
                <w:lang w:val="zh-CN"/>
              </w:rPr>
              <w:t>过低报价合理性</w:t>
            </w:r>
          </w:p>
        </w:tc>
        <w:tc>
          <w:tcPr>
            <w:tcW w:w="4984" w:type="dxa"/>
            <w:tcBorders>
              <w:top w:val="single" w:color="auto" w:sz="4" w:space="0"/>
              <w:left w:val="single" w:color="auto" w:sz="4" w:space="0"/>
              <w:bottom w:val="single" w:color="auto" w:sz="4" w:space="0"/>
              <w:right w:val="single" w:color="auto" w:sz="4" w:space="0"/>
            </w:tcBorders>
            <w:vAlign w:val="center"/>
          </w:tcPr>
          <w:p w14:paraId="6485636A">
            <w:pPr>
              <w:spacing w:line="240" w:lineRule="exact"/>
              <w:rPr>
                <w:rFonts w:hAnsi="宋体"/>
                <w:color w:val="auto"/>
                <w:szCs w:val="21"/>
                <w:highlight w:val="none"/>
              </w:rPr>
            </w:pPr>
            <w:r>
              <w:rPr>
                <w:color w:val="auto"/>
                <w:highlight w:val="none"/>
              </w:rPr>
              <w:t>供应商的报价</w:t>
            </w:r>
            <w:r>
              <w:rPr>
                <w:rFonts w:hint="eastAsia"/>
                <w:color w:val="auto"/>
                <w:highlight w:val="none"/>
              </w:rPr>
              <w:t>不存在</w:t>
            </w:r>
            <w:r>
              <w:rPr>
                <w:color w:val="auto"/>
                <w:highlight w:val="none"/>
              </w:rPr>
              <w:t>明显低于其他通过符合性审查供应商报价</w:t>
            </w:r>
            <w:r>
              <w:rPr>
                <w:rFonts w:hint="eastAsia"/>
                <w:color w:val="auto"/>
                <w:highlight w:val="none"/>
              </w:rPr>
              <w:t>的情况</w:t>
            </w:r>
            <w:r>
              <w:rPr>
                <w:color w:val="auto"/>
                <w:highlight w:val="none"/>
              </w:rPr>
              <w:t>，</w:t>
            </w:r>
            <w:r>
              <w:rPr>
                <w:rFonts w:hint="eastAsia"/>
                <w:color w:val="auto"/>
                <w:highlight w:val="none"/>
              </w:rPr>
              <w:t>并可能</w:t>
            </w:r>
            <w:r>
              <w:rPr>
                <w:color w:val="auto"/>
                <w:highlight w:val="none"/>
              </w:rPr>
              <w:t>影响产品质量或者不能诚信履约</w:t>
            </w:r>
            <w:r>
              <w:rPr>
                <w:rFonts w:hint="eastAsia"/>
                <w:color w:val="auto"/>
                <w:highlight w:val="none"/>
              </w:rPr>
              <w:t>。</w:t>
            </w:r>
            <w:r>
              <w:rPr>
                <w:rFonts w:hint="eastAsia"/>
                <w:color w:val="auto"/>
                <w:szCs w:val="21"/>
                <w:highlight w:val="none"/>
              </w:rPr>
              <w:t>如存在应提供书面说明，必要时提交相关证明材料；</w:t>
            </w:r>
          </w:p>
        </w:tc>
      </w:tr>
      <w:tr w14:paraId="3BDD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82" w:type="dxa"/>
            <w:vMerge w:val="continue"/>
            <w:vAlign w:val="center"/>
          </w:tcPr>
          <w:p w14:paraId="512894E8">
            <w:pPr>
              <w:spacing w:line="240" w:lineRule="exact"/>
              <w:jc w:val="center"/>
              <w:rPr>
                <w:color w:val="auto"/>
                <w:kern w:val="0"/>
                <w:szCs w:val="21"/>
                <w:highlight w:val="none"/>
              </w:rPr>
            </w:pPr>
          </w:p>
        </w:tc>
        <w:tc>
          <w:tcPr>
            <w:tcW w:w="2286" w:type="dxa"/>
            <w:tcBorders>
              <w:top w:val="single" w:color="auto" w:sz="4" w:space="0"/>
              <w:left w:val="single" w:color="auto" w:sz="4" w:space="0"/>
              <w:bottom w:val="single" w:color="auto" w:sz="4" w:space="0"/>
              <w:right w:val="single" w:color="auto" w:sz="4" w:space="0"/>
            </w:tcBorders>
            <w:vAlign w:val="center"/>
          </w:tcPr>
          <w:p w14:paraId="72279A2D">
            <w:pPr>
              <w:spacing w:line="240" w:lineRule="exact"/>
              <w:rPr>
                <w:rFonts w:ascii="宋体" w:hAnsi="宋体"/>
                <w:color w:val="auto"/>
                <w:szCs w:val="21"/>
                <w:highlight w:val="none"/>
              </w:rPr>
            </w:pPr>
            <w:r>
              <w:rPr>
                <w:rFonts w:hint="eastAsia"/>
                <w:color w:val="auto"/>
                <w:szCs w:val="21"/>
                <w:highlight w:val="none"/>
              </w:rPr>
              <w:t>响应有效期</w:t>
            </w:r>
          </w:p>
        </w:tc>
        <w:tc>
          <w:tcPr>
            <w:tcW w:w="4984" w:type="dxa"/>
            <w:tcBorders>
              <w:top w:val="single" w:color="auto" w:sz="4" w:space="0"/>
              <w:left w:val="single" w:color="auto" w:sz="4" w:space="0"/>
              <w:bottom w:val="single" w:color="auto" w:sz="4" w:space="0"/>
              <w:right w:val="single" w:color="auto" w:sz="4" w:space="0"/>
            </w:tcBorders>
            <w:vAlign w:val="center"/>
          </w:tcPr>
          <w:p w14:paraId="7AA48BB4">
            <w:pPr>
              <w:spacing w:line="240" w:lineRule="exact"/>
              <w:rPr>
                <w:color w:val="auto"/>
                <w:szCs w:val="21"/>
                <w:highlight w:val="none"/>
              </w:rPr>
            </w:pPr>
            <w:r>
              <w:rPr>
                <w:rFonts w:hint="eastAsia" w:ascii="宋体" w:hAnsi="宋体"/>
                <w:color w:val="auto"/>
                <w:szCs w:val="21"/>
                <w:highlight w:val="none"/>
              </w:rPr>
              <w:t>满足征集文件规定</w:t>
            </w:r>
          </w:p>
        </w:tc>
      </w:tr>
      <w:bookmarkEnd w:id="72"/>
    </w:tbl>
    <w:p w14:paraId="4E0B4AC2">
      <w:pPr>
        <w:tabs>
          <w:tab w:val="left" w:pos="993"/>
        </w:tabs>
        <w:spacing w:line="300" w:lineRule="exact"/>
        <w:ind w:left="426"/>
        <w:rPr>
          <w:rFonts w:ascii="Arial" w:hAnsi="Arial" w:cs="Arial"/>
          <w:b/>
          <w:bCs/>
          <w:color w:val="auto"/>
          <w:kern w:val="0"/>
          <w:szCs w:val="21"/>
          <w:highlight w:val="none"/>
        </w:rPr>
        <w:sectPr>
          <w:headerReference r:id="rId14" w:type="first"/>
          <w:headerReference r:id="rId13" w:type="default"/>
          <w:footerReference r:id="rId15" w:type="default"/>
          <w:pgSz w:w="11906" w:h="16838"/>
          <w:pgMar w:top="1418" w:right="1133" w:bottom="1246" w:left="1418" w:header="851" w:footer="992" w:gutter="0"/>
          <w:cols w:space="720" w:num="1"/>
          <w:docGrid w:linePitch="312" w:charSpace="0"/>
        </w:sectPr>
      </w:pPr>
    </w:p>
    <w:p w14:paraId="0F49E1EE">
      <w:pPr>
        <w:spacing w:before="120" w:line="320" w:lineRule="atLeast"/>
        <w:outlineLvl w:val="1"/>
        <w:rPr>
          <w:b/>
          <w:bCs/>
          <w:color w:val="auto"/>
          <w:kern w:val="0"/>
          <w:szCs w:val="21"/>
          <w:highlight w:val="none"/>
        </w:rPr>
      </w:pPr>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p>
    <w:p w14:paraId="06CCDD17">
      <w:pPr>
        <w:ind w:firstLine="420" w:firstLineChars="200"/>
        <w:rPr>
          <w:color w:val="auto"/>
          <w:highlight w:val="none"/>
        </w:rPr>
      </w:pPr>
      <w:r>
        <w:rPr>
          <w:rFonts w:hint="eastAsia" w:ascii="Calibri" w:hAnsi="Calibri"/>
          <w:color w:val="auto"/>
          <w:highlight w:val="none"/>
        </w:rPr>
        <w:t>（</w:t>
      </w:r>
      <w:r>
        <w:rPr>
          <w:rFonts w:ascii="Calibri" w:hAnsi="Calibri"/>
          <w:color w:val="auto"/>
          <w:highlight w:val="none"/>
        </w:rPr>
        <w:t>1</w:t>
      </w:r>
      <w:r>
        <w:rPr>
          <w:rFonts w:hint="eastAsia" w:ascii="Calibri" w:hAnsi="Calibri"/>
          <w:color w:val="auto"/>
          <w:highlight w:val="none"/>
        </w:rPr>
        <w:t>）技术及商务资信分</w:t>
      </w:r>
      <w:r>
        <w:rPr>
          <w:rFonts w:hint="eastAsia"/>
          <w:color w:val="auto"/>
          <w:highlight w:val="none"/>
        </w:rPr>
        <w:t>（标项一）</w:t>
      </w:r>
    </w:p>
    <w:tbl>
      <w:tblPr>
        <w:tblStyle w:val="51"/>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51"/>
        <w:gridCol w:w="4967"/>
        <w:gridCol w:w="1102"/>
        <w:gridCol w:w="1470"/>
      </w:tblGrid>
      <w:tr w14:paraId="3A4B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Align w:val="center"/>
          </w:tcPr>
          <w:p w14:paraId="3A4C85E6">
            <w:pPr>
              <w:jc w:val="center"/>
              <w:rPr>
                <w:b/>
                <w:color w:val="auto"/>
                <w:szCs w:val="21"/>
                <w:highlight w:val="none"/>
              </w:rPr>
            </w:pPr>
            <w:bookmarkStart w:id="73" w:name="_Hlk99126794"/>
            <w:r>
              <w:rPr>
                <w:b/>
                <w:color w:val="auto"/>
                <w:szCs w:val="21"/>
                <w:highlight w:val="none"/>
              </w:rPr>
              <w:t>序号</w:t>
            </w:r>
          </w:p>
        </w:tc>
        <w:tc>
          <w:tcPr>
            <w:tcW w:w="851" w:type="dxa"/>
            <w:vAlign w:val="center"/>
          </w:tcPr>
          <w:p w14:paraId="12DC42D1">
            <w:pPr>
              <w:jc w:val="center"/>
              <w:rPr>
                <w:b/>
                <w:color w:val="auto"/>
                <w:szCs w:val="21"/>
                <w:highlight w:val="none"/>
              </w:rPr>
            </w:pPr>
            <w:r>
              <w:rPr>
                <w:b/>
                <w:color w:val="auto"/>
                <w:szCs w:val="21"/>
                <w:highlight w:val="none"/>
              </w:rPr>
              <w:t>类型</w:t>
            </w:r>
          </w:p>
        </w:tc>
        <w:tc>
          <w:tcPr>
            <w:tcW w:w="4967" w:type="dxa"/>
            <w:vAlign w:val="center"/>
          </w:tcPr>
          <w:p w14:paraId="1A87EA89">
            <w:pPr>
              <w:jc w:val="center"/>
              <w:rPr>
                <w:b/>
                <w:color w:val="auto"/>
                <w:szCs w:val="21"/>
                <w:highlight w:val="none"/>
              </w:rPr>
            </w:pPr>
            <w:r>
              <w:rPr>
                <w:b/>
                <w:color w:val="auto"/>
                <w:szCs w:val="21"/>
                <w:highlight w:val="none"/>
              </w:rPr>
              <w:t>评分标准</w:t>
            </w:r>
          </w:p>
        </w:tc>
        <w:tc>
          <w:tcPr>
            <w:tcW w:w="1102" w:type="dxa"/>
            <w:vAlign w:val="center"/>
          </w:tcPr>
          <w:p w14:paraId="016DB521">
            <w:pPr>
              <w:jc w:val="center"/>
              <w:rPr>
                <w:b/>
                <w:color w:val="auto"/>
                <w:szCs w:val="21"/>
                <w:highlight w:val="none"/>
              </w:rPr>
            </w:pPr>
            <w:r>
              <w:rPr>
                <w:b/>
                <w:color w:val="auto"/>
                <w:szCs w:val="21"/>
                <w:highlight w:val="none"/>
              </w:rPr>
              <w:t>分值权重</w:t>
            </w:r>
          </w:p>
        </w:tc>
        <w:tc>
          <w:tcPr>
            <w:tcW w:w="1470" w:type="dxa"/>
            <w:vAlign w:val="center"/>
          </w:tcPr>
          <w:p w14:paraId="7BFA037C">
            <w:pPr>
              <w:jc w:val="center"/>
              <w:rPr>
                <w:b/>
                <w:color w:val="auto"/>
                <w:szCs w:val="21"/>
                <w:highlight w:val="none"/>
              </w:rPr>
            </w:pPr>
            <w:r>
              <w:rPr>
                <w:b/>
                <w:color w:val="auto"/>
                <w:szCs w:val="21"/>
                <w:highlight w:val="none"/>
              </w:rPr>
              <w:t>说明</w:t>
            </w:r>
          </w:p>
        </w:tc>
      </w:tr>
      <w:tr w14:paraId="2487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428" w:type="dxa"/>
            <w:vMerge w:val="restart"/>
            <w:vAlign w:val="center"/>
          </w:tcPr>
          <w:p w14:paraId="685BF762">
            <w:pPr>
              <w:jc w:val="center"/>
              <w:rPr>
                <w:bCs/>
                <w:color w:val="auto"/>
                <w:szCs w:val="21"/>
                <w:highlight w:val="none"/>
              </w:rPr>
            </w:pPr>
            <w:r>
              <w:rPr>
                <w:bCs/>
                <w:color w:val="auto"/>
                <w:szCs w:val="21"/>
                <w:highlight w:val="none"/>
              </w:rPr>
              <w:t>1</w:t>
            </w:r>
          </w:p>
        </w:tc>
        <w:tc>
          <w:tcPr>
            <w:tcW w:w="851" w:type="dxa"/>
            <w:vMerge w:val="restart"/>
            <w:vAlign w:val="center"/>
          </w:tcPr>
          <w:p w14:paraId="1DF5B601">
            <w:pPr>
              <w:jc w:val="center"/>
              <w:rPr>
                <w:color w:val="auto"/>
                <w:szCs w:val="21"/>
                <w:highlight w:val="none"/>
              </w:rPr>
            </w:pPr>
            <w:r>
              <w:rPr>
                <w:color w:val="auto"/>
                <w:szCs w:val="21"/>
                <w:highlight w:val="none"/>
              </w:rPr>
              <w:t xml:space="preserve">技术分 </w:t>
            </w:r>
          </w:p>
          <w:p w14:paraId="63863FB2">
            <w:pPr>
              <w:jc w:val="center"/>
              <w:rPr>
                <w:b/>
                <w:color w:val="auto"/>
                <w:szCs w:val="21"/>
                <w:highlight w:val="none"/>
              </w:rPr>
            </w:pPr>
            <w:r>
              <w:rPr>
                <w:color w:val="auto"/>
                <w:szCs w:val="21"/>
                <w:highlight w:val="none"/>
              </w:rPr>
              <w:t>（</w:t>
            </w:r>
            <w:r>
              <w:rPr>
                <w:rFonts w:hint="eastAsia"/>
                <w:color w:val="auto"/>
                <w:szCs w:val="21"/>
                <w:highlight w:val="none"/>
              </w:rPr>
              <w:t>85</w:t>
            </w:r>
            <w:r>
              <w:rPr>
                <w:color w:val="auto"/>
                <w:szCs w:val="21"/>
                <w:highlight w:val="none"/>
              </w:rPr>
              <w:t>分）</w:t>
            </w:r>
          </w:p>
        </w:tc>
        <w:tc>
          <w:tcPr>
            <w:tcW w:w="4967" w:type="dxa"/>
            <w:tcBorders>
              <w:top w:val="single" w:color="auto" w:sz="4" w:space="0"/>
              <w:left w:val="single" w:color="auto" w:sz="4" w:space="0"/>
              <w:bottom w:val="single" w:color="auto" w:sz="4" w:space="0"/>
              <w:right w:val="single" w:color="auto" w:sz="4" w:space="0"/>
            </w:tcBorders>
            <w:vAlign w:val="center"/>
          </w:tcPr>
          <w:p w14:paraId="41BEC3B7">
            <w:pPr>
              <w:jc w:val="left"/>
              <w:rPr>
                <w:rFonts w:ascii="宋体" w:hAnsi="宋体" w:cs="宋体"/>
                <w:bCs/>
                <w:color w:val="auto"/>
                <w:szCs w:val="21"/>
                <w:highlight w:val="none"/>
              </w:rPr>
            </w:pPr>
            <w:r>
              <w:rPr>
                <w:rFonts w:hint="eastAsia" w:ascii="宋体" w:hAnsi="宋体" w:cs="宋体"/>
                <w:bCs/>
                <w:color w:val="auto"/>
                <w:szCs w:val="21"/>
                <w:highlight w:val="none"/>
                <w:lang w:bidi="ar"/>
              </w:rPr>
              <w:t>1、拟派评审人员资格（客观分）</w:t>
            </w:r>
          </w:p>
          <w:p w14:paraId="542578AA">
            <w:pPr>
              <w:jc w:val="left"/>
              <w:rPr>
                <w:rFonts w:ascii="宋体" w:hAnsi="宋体" w:cs="宋体"/>
                <w:bCs/>
                <w:color w:val="auto"/>
                <w:szCs w:val="21"/>
                <w:highlight w:val="none"/>
              </w:rPr>
            </w:pPr>
            <w:r>
              <w:rPr>
                <w:rFonts w:hint="eastAsia" w:ascii="宋体" w:hAnsi="宋体" w:cs="宋体"/>
                <w:bCs/>
                <w:color w:val="auto"/>
                <w:szCs w:val="21"/>
                <w:highlight w:val="none"/>
                <w:lang w:bidi="ar"/>
              </w:rPr>
              <w:t>（1）人员中具有一级造价工程师资格1人得1分。（此项满分6分）</w:t>
            </w:r>
          </w:p>
          <w:p w14:paraId="0CEA7ABE">
            <w:pPr>
              <w:jc w:val="left"/>
              <w:rPr>
                <w:rFonts w:ascii="宋体" w:hAnsi="宋体" w:cs="宋体"/>
                <w:bCs/>
                <w:color w:val="auto"/>
                <w:szCs w:val="21"/>
                <w:highlight w:val="none"/>
              </w:rPr>
            </w:pPr>
            <w:r>
              <w:rPr>
                <w:rFonts w:hint="eastAsia" w:ascii="宋体" w:hAnsi="宋体" w:cs="宋体"/>
                <w:bCs/>
                <w:color w:val="auto"/>
                <w:szCs w:val="21"/>
                <w:highlight w:val="none"/>
                <w:lang w:bidi="ar"/>
              </w:rPr>
              <w:t>（2）人员中具有二级造价工程师资格1人得1分。（此项满分4分）</w:t>
            </w:r>
          </w:p>
          <w:p w14:paraId="57F4AD57">
            <w:pPr>
              <w:jc w:val="left"/>
              <w:rPr>
                <w:rFonts w:ascii="宋体" w:hAnsi="宋体" w:cs="宋体"/>
                <w:bCs/>
                <w:color w:val="auto"/>
                <w:szCs w:val="21"/>
                <w:highlight w:val="none"/>
              </w:rPr>
            </w:pPr>
            <w:r>
              <w:rPr>
                <w:rFonts w:hint="eastAsia" w:ascii="宋体" w:hAnsi="宋体" w:cs="宋体"/>
                <w:bCs/>
                <w:color w:val="auto"/>
                <w:szCs w:val="21"/>
                <w:highlight w:val="none"/>
                <w:lang w:bidi="ar"/>
              </w:rPr>
              <w:t>（3）人员中造价工程师专业包括土建、安装、公路、水利四类得2分，专业缺一类不得分。（此项满分2分）</w:t>
            </w:r>
          </w:p>
          <w:p w14:paraId="4C60A6DC">
            <w:pPr>
              <w:jc w:val="left"/>
              <w:rPr>
                <w:rFonts w:ascii="宋体" w:hAnsi="宋体" w:cs="宋体"/>
                <w:bCs/>
                <w:color w:val="auto"/>
                <w:szCs w:val="21"/>
                <w:highlight w:val="none"/>
              </w:rPr>
            </w:pPr>
            <w:r>
              <w:rPr>
                <w:rFonts w:hint="eastAsia" w:ascii="宋体" w:hAnsi="宋体" w:cs="宋体"/>
                <w:bCs/>
                <w:color w:val="auto"/>
                <w:szCs w:val="21"/>
                <w:highlight w:val="none"/>
                <w:lang w:bidi="ar"/>
              </w:rPr>
              <w:t>注：①已有一级造价工程师按（1）计分的人员，不再计入二级造价工程师（2）得分。</w:t>
            </w:r>
          </w:p>
          <w:p w14:paraId="16BF8873">
            <w:pPr>
              <w:jc w:val="left"/>
              <w:rPr>
                <w:b/>
                <w:color w:val="auto"/>
                <w:szCs w:val="21"/>
                <w:highlight w:val="none"/>
              </w:rPr>
            </w:pPr>
            <w:r>
              <w:rPr>
                <w:rFonts w:hint="eastAsia" w:ascii="宋体" w:hAnsi="宋体" w:cs="宋体"/>
                <w:bCs/>
                <w:color w:val="auto"/>
                <w:szCs w:val="21"/>
                <w:highlight w:val="none"/>
                <w:lang w:bidi="ar"/>
              </w:rPr>
              <w:t>②如（1）已得满分情况下，未计入（1）的一级造价工程师可按二级造价工程师（2）得分。</w:t>
            </w:r>
          </w:p>
        </w:tc>
        <w:tc>
          <w:tcPr>
            <w:tcW w:w="1102" w:type="dxa"/>
            <w:tcBorders>
              <w:top w:val="single" w:color="auto" w:sz="4" w:space="0"/>
              <w:left w:val="single" w:color="auto" w:sz="4" w:space="0"/>
              <w:bottom w:val="single" w:color="auto" w:sz="4" w:space="0"/>
              <w:right w:val="single" w:color="auto" w:sz="4" w:space="0"/>
            </w:tcBorders>
            <w:vAlign w:val="center"/>
          </w:tcPr>
          <w:p w14:paraId="3B1A328A">
            <w:pPr>
              <w:jc w:val="center"/>
              <w:rPr>
                <w:b/>
                <w:color w:val="auto"/>
                <w:szCs w:val="21"/>
                <w:highlight w:val="none"/>
              </w:rPr>
            </w:pPr>
            <w:r>
              <w:rPr>
                <w:rFonts w:hint="eastAsia" w:ascii="宋体" w:hAnsi="宋体" w:cs="宋体"/>
                <w:bCs/>
                <w:color w:val="auto"/>
                <w:szCs w:val="21"/>
                <w:highlight w:val="none"/>
                <w:lang w:bidi="ar"/>
              </w:rPr>
              <w:t>0-12</w:t>
            </w:r>
          </w:p>
        </w:tc>
        <w:tc>
          <w:tcPr>
            <w:tcW w:w="1470" w:type="dxa"/>
            <w:tcBorders>
              <w:top w:val="single" w:color="auto" w:sz="4" w:space="0"/>
              <w:left w:val="single" w:color="auto" w:sz="4" w:space="0"/>
              <w:bottom w:val="single" w:color="auto" w:sz="4" w:space="0"/>
              <w:right w:val="single" w:color="auto" w:sz="4" w:space="0"/>
            </w:tcBorders>
            <w:vAlign w:val="center"/>
          </w:tcPr>
          <w:p w14:paraId="47FAF3AC">
            <w:pPr>
              <w:jc w:val="left"/>
              <w:rPr>
                <w:bCs/>
                <w:color w:val="auto"/>
                <w:highlight w:val="none"/>
              </w:rPr>
            </w:pPr>
            <w:r>
              <w:rPr>
                <w:rFonts w:hint="eastAsia"/>
                <w:bCs/>
                <w:color w:val="auto"/>
                <w:highlight w:val="none"/>
              </w:rPr>
              <w:t>1.附注册证书或资格证，否则不得分。</w:t>
            </w:r>
          </w:p>
          <w:p w14:paraId="709C96CD">
            <w:pPr>
              <w:jc w:val="left"/>
              <w:rPr>
                <w:b/>
                <w:color w:val="auto"/>
                <w:szCs w:val="21"/>
                <w:highlight w:val="none"/>
              </w:rPr>
            </w:pPr>
            <w:r>
              <w:rPr>
                <w:rFonts w:hint="eastAsia"/>
                <w:bCs/>
                <w:color w:val="auto"/>
                <w:highlight w:val="none"/>
                <w:lang w:val="en-US" w:eastAsia="zh-CN"/>
              </w:rPr>
              <w:t>2</w:t>
            </w:r>
            <w:r>
              <w:rPr>
                <w:rFonts w:hint="eastAsia"/>
                <w:bCs/>
                <w:color w:val="auto"/>
                <w:highlight w:val="none"/>
              </w:rPr>
              <w:t>.公路</w:t>
            </w:r>
            <w:r>
              <w:rPr>
                <w:bCs/>
                <w:color w:val="auto"/>
                <w:highlight w:val="none"/>
              </w:rPr>
              <w:t>甲级造价师</w:t>
            </w:r>
            <w:r>
              <w:rPr>
                <w:rFonts w:hint="eastAsia"/>
                <w:bCs/>
                <w:color w:val="auto"/>
                <w:highlight w:val="none"/>
              </w:rPr>
              <w:t>、</w:t>
            </w:r>
            <w:r>
              <w:rPr>
                <w:bCs/>
                <w:color w:val="auto"/>
                <w:highlight w:val="none"/>
              </w:rPr>
              <w:t>水利工程造价工程师</w:t>
            </w:r>
            <w:r>
              <w:rPr>
                <w:rFonts w:hint="eastAsia"/>
                <w:bCs/>
                <w:color w:val="auto"/>
                <w:highlight w:val="none"/>
              </w:rPr>
              <w:t>按一级</w:t>
            </w:r>
            <w:r>
              <w:rPr>
                <w:bCs/>
                <w:color w:val="auto"/>
                <w:highlight w:val="none"/>
              </w:rPr>
              <w:t>造价师计分</w:t>
            </w:r>
            <w:r>
              <w:rPr>
                <w:rFonts w:hint="eastAsia"/>
                <w:bCs/>
                <w:color w:val="auto"/>
                <w:highlight w:val="none"/>
              </w:rPr>
              <w:t>；公路乙</w:t>
            </w:r>
            <w:r>
              <w:rPr>
                <w:bCs/>
                <w:color w:val="auto"/>
                <w:highlight w:val="none"/>
              </w:rPr>
              <w:t>级造价师</w:t>
            </w:r>
            <w:r>
              <w:rPr>
                <w:rFonts w:hint="eastAsia"/>
                <w:bCs/>
                <w:color w:val="auto"/>
                <w:highlight w:val="none"/>
              </w:rPr>
              <w:t>、</w:t>
            </w:r>
            <w:r>
              <w:rPr>
                <w:bCs/>
                <w:color w:val="auto"/>
                <w:highlight w:val="none"/>
              </w:rPr>
              <w:t>造价</w:t>
            </w:r>
            <w:r>
              <w:rPr>
                <w:rFonts w:hint="eastAsia"/>
                <w:bCs/>
                <w:color w:val="auto"/>
                <w:highlight w:val="none"/>
              </w:rPr>
              <w:t>员按二级</w:t>
            </w:r>
            <w:r>
              <w:rPr>
                <w:bCs/>
                <w:color w:val="auto"/>
                <w:highlight w:val="none"/>
              </w:rPr>
              <w:t>造价师计分</w:t>
            </w:r>
            <w:r>
              <w:rPr>
                <w:rFonts w:hint="eastAsia"/>
                <w:bCs/>
                <w:color w:val="auto"/>
                <w:highlight w:val="none"/>
              </w:rPr>
              <w:t>。下同。</w:t>
            </w:r>
          </w:p>
        </w:tc>
      </w:tr>
      <w:tr w14:paraId="50BF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vAlign w:val="center"/>
          </w:tcPr>
          <w:p w14:paraId="519AD6E9">
            <w:pPr>
              <w:jc w:val="center"/>
              <w:rPr>
                <w:b/>
                <w:color w:val="auto"/>
                <w:szCs w:val="21"/>
                <w:highlight w:val="none"/>
              </w:rPr>
            </w:pPr>
          </w:p>
        </w:tc>
        <w:tc>
          <w:tcPr>
            <w:tcW w:w="851" w:type="dxa"/>
            <w:vMerge w:val="continue"/>
            <w:vAlign w:val="center"/>
          </w:tcPr>
          <w:p w14:paraId="62A9E98C">
            <w:pPr>
              <w:jc w:val="center"/>
              <w:rPr>
                <w:b/>
                <w:color w:val="auto"/>
                <w:szCs w:val="21"/>
                <w:highlight w:val="none"/>
              </w:rPr>
            </w:pPr>
          </w:p>
        </w:tc>
        <w:tc>
          <w:tcPr>
            <w:tcW w:w="4967" w:type="dxa"/>
            <w:tcBorders>
              <w:top w:val="single" w:color="auto" w:sz="4" w:space="0"/>
              <w:left w:val="single" w:color="auto" w:sz="4" w:space="0"/>
              <w:bottom w:val="single" w:color="auto" w:sz="4" w:space="0"/>
              <w:right w:val="single" w:color="auto" w:sz="4" w:space="0"/>
            </w:tcBorders>
            <w:vAlign w:val="center"/>
          </w:tcPr>
          <w:p w14:paraId="2A6D0358">
            <w:pPr>
              <w:jc w:val="left"/>
              <w:rPr>
                <w:rFonts w:ascii="宋体" w:hAnsi="宋体" w:cs="宋体"/>
                <w:bCs/>
                <w:color w:val="auto"/>
                <w:szCs w:val="21"/>
                <w:highlight w:val="none"/>
              </w:rPr>
            </w:pPr>
            <w:r>
              <w:rPr>
                <w:rFonts w:hint="eastAsia" w:ascii="宋体" w:hAnsi="宋体" w:cs="宋体"/>
                <w:bCs/>
                <w:color w:val="auto"/>
                <w:szCs w:val="21"/>
                <w:highlight w:val="none"/>
                <w:lang w:bidi="ar"/>
              </w:rPr>
              <w:t>2、拟派评审人员职称（客观分）</w:t>
            </w:r>
          </w:p>
          <w:p w14:paraId="06CA6510">
            <w:pPr>
              <w:jc w:val="left"/>
              <w:rPr>
                <w:b/>
                <w:color w:val="auto"/>
                <w:szCs w:val="21"/>
                <w:highlight w:val="none"/>
              </w:rPr>
            </w:pPr>
            <w:r>
              <w:rPr>
                <w:rFonts w:hint="eastAsia" w:ascii="宋体" w:hAnsi="宋体" w:cs="宋体"/>
                <w:bCs/>
                <w:color w:val="auto"/>
                <w:szCs w:val="21"/>
                <w:highlight w:val="none"/>
                <w:lang w:bidi="ar"/>
              </w:rPr>
              <w:t>人员中具有</w:t>
            </w:r>
            <w:r>
              <w:rPr>
                <w:rFonts w:hint="eastAsia" w:ascii="宋体" w:hAnsi="宋体" w:cs="宋体"/>
                <w:bCs/>
                <w:color w:val="auto"/>
                <w:szCs w:val="21"/>
                <w:highlight w:val="none"/>
                <w:lang w:val="en-US" w:eastAsia="zh-CN" w:bidi="ar"/>
              </w:rPr>
              <w:t>工程类</w:t>
            </w:r>
            <w:r>
              <w:rPr>
                <w:rFonts w:hint="eastAsia" w:ascii="宋体" w:hAnsi="宋体" w:cs="宋体"/>
                <w:bCs/>
                <w:color w:val="auto"/>
                <w:szCs w:val="21"/>
                <w:highlight w:val="none"/>
                <w:lang w:bidi="ar"/>
              </w:rPr>
              <w:t>高级工程师职称每人得1分；工程类</w:t>
            </w:r>
            <w:r>
              <w:rPr>
                <w:rFonts w:hint="eastAsia" w:ascii="宋体" w:hAnsi="宋体" w:cs="宋体"/>
                <w:bCs/>
                <w:color w:val="auto"/>
                <w:szCs w:val="21"/>
                <w:highlight w:val="none"/>
                <w:lang w:val="en-US" w:eastAsia="zh-CN" w:bidi="ar"/>
              </w:rPr>
              <w:t>中级</w:t>
            </w:r>
            <w:r>
              <w:rPr>
                <w:rFonts w:hint="eastAsia" w:ascii="宋体" w:hAnsi="宋体" w:cs="宋体"/>
                <w:bCs/>
                <w:color w:val="auto"/>
                <w:szCs w:val="21"/>
                <w:highlight w:val="none"/>
                <w:lang w:bidi="ar"/>
              </w:rPr>
              <w:t>职称每人得0.5分。此项满分4分。</w:t>
            </w:r>
          </w:p>
        </w:tc>
        <w:tc>
          <w:tcPr>
            <w:tcW w:w="1102" w:type="dxa"/>
            <w:tcBorders>
              <w:top w:val="single" w:color="auto" w:sz="4" w:space="0"/>
              <w:left w:val="single" w:color="auto" w:sz="4" w:space="0"/>
              <w:bottom w:val="single" w:color="auto" w:sz="4" w:space="0"/>
              <w:right w:val="single" w:color="auto" w:sz="4" w:space="0"/>
            </w:tcBorders>
            <w:vAlign w:val="center"/>
          </w:tcPr>
          <w:p w14:paraId="586D5B8A">
            <w:pPr>
              <w:jc w:val="center"/>
              <w:rPr>
                <w:b/>
                <w:color w:val="auto"/>
                <w:szCs w:val="21"/>
                <w:highlight w:val="none"/>
              </w:rPr>
            </w:pPr>
            <w:r>
              <w:rPr>
                <w:rFonts w:hint="eastAsia" w:ascii="宋体" w:hAnsi="宋体" w:cs="宋体"/>
                <w:bCs/>
                <w:color w:val="auto"/>
                <w:szCs w:val="21"/>
                <w:highlight w:val="none"/>
                <w:lang w:bidi="ar"/>
              </w:rPr>
              <w:t>0-4</w:t>
            </w:r>
            <w:r>
              <w:rPr>
                <w:rFonts w:hint="eastAsia" w:ascii="宋体" w:hAnsi="宋体" w:cs="宋体"/>
                <w:b/>
                <w:color w:val="auto"/>
                <w:szCs w:val="21"/>
                <w:highlight w:val="none"/>
                <w:lang w:bidi="ar"/>
              </w:rPr>
              <w:t xml:space="preserve"> </w:t>
            </w:r>
          </w:p>
        </w:tc>
        <w:tc>
          <w:tcPr>
            <w:tcW w:w="1470" w:type="dxa"/>
            <w:tcBorders>
              <w:top w:val="single" w:color="auto" w:sz="4" w:space="0"/>
              <w:left w:val="single" w:color="auto" w:sz="4" w:space="0"/>
              <w:bottom w:val="single" w:color="auto" w:sz="4" w:space="0"/>
              <w:right w:val="single" w:color="auto" w:sz="4" w:space="0"/>
            </w:tcBorders>
            <w:vAlign w:val="center"/>
          </w:tcPr>
          <w:p w14:paraId="4896FF69">
            <w:pPr>
              <w:jc w:val="left"/>
              <w:rPr>
                <w:b/>
                <w:color w:val="auto"/>
                <w:szCs w:val="21"/>
                <w:highlight w:val="none"/>
              </w:rPr>
            </w:pPr>
            <w:r>
              <w:rPr>
                <w:rFonts w:hint="eastAsia"/>
                <w:bCs/>
                <w:color w:val="auto"/>
                <w:highlight w:val="none"/>
              </w:rPr>
              <w:t>附职称证。</w:t>
            </w:r>
          </w:p>
        </w:tc>
      </w:tr>
      <w:tr w14:paraId="6576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428" w:type="dxa"/>
            <w:vMerge w:val="continue"/>
            <w:vAlign w:val="center"/>
          </w:tcPr>
          <w:p w14:paraId="5C11DD58">
            <w:pPr>
              <w:jc w:val="center"/>
              <w:rPr>
                <w:b/>
                <w:color w:val="auto"/>
                <w:szCs w:val="21"/>
                <w:highlight w:val="none"/>
              </w:rPr>
            </w:pPr>
          </w:p>
        </w:tc>
        <w:tc>
          <w:tcPr>
            <w:tcW w:w="851" w:type="dxa"/>
            <w:vMerge w:val="continue"/>
            <w:vAlign w:val="center"/>
          </w:tcPr>
          <w:p w14:paraId="1CBC7C67">
            <w:pPr>
              <w:jc w:val="center"/>
              <w:rPr>
                <w:b/>
                <w:color w:val="auto"/>
                <w:szCs w:val="21"/>
                <w:highlight w:val="none"/>
              </w:rPr>
            </w:pPr>
          </w:p>
        </w:tc>
        <w:tc>
          <w:tcPr>
            <w:tcW w:w="4967" w:type="dxa"/>
            <w:tcBorders>
              <w:top w:val="single" w:color="auto" w:sz="4" w:space="0"/>
              <w:left w:val="single" w:color="auto" w:sz="4" w:space="0"/>
              <w:bottom w:val="single" w:color="auto" w:sz="4" w:space="0"/>
              <w:right w:val="single" w:color="auto" w:sz="4" w:space="0"/>
            </w:tcBorders>
            <w:vAlign w:val="center"/>
          </w:tcPr>
          <w:p w14:paraId="0B02ACAB">
            <w:pPr>
              <w:jc w:val="left"/>
              <w:rPr>
                <w:rFonts w:ascii="宋体" w:hAnsi="宋体" w:cs="宋体"/>
                <w:bCs/>
                <w:color w:val="auto"/>
                <w:szCs w:val="21"/>
                <w:highlight w:val="none"/>
              </w:rPr>
            </w:pPr>
            <w:r>
              <w:rPr>
                <w:rFonts w:hint="eastAsia" w:ascii="宋体" w:hAnsi="宋体" w:cs="宋体"/>
                <w:bCs/>
                <w:color w:val="auto"/>
                <w:szCs w:val="21"/>
                <w:highlight w:val="none"/>
                <w:lang w:bidi="ar"/>
              </w:rPr>
              <w:t>3、质量控制方案（主观分）</w:t>
            </w:r>
          </w:p>
          <w:p w14:paraId="21839629">
            <w:pPr>
              <w:jc w:val="left"/>
              <w:rPr>
                <w:rFonts w:ascii="宋体" w:hAnsi="宋体" w:cs="宋体"/>
                <w:bCs/>
                <w:color w:val="auto"/>
                <w:szCs w:val="21"/>
                <w:highlight w:val="none"/>
              </w:rPr>
            </w:pPr>
            <w:r>
              <w:rPr>
                <w:rFonts w:hint="eastAsia" w:ascii="宋体" w:hAnsi="宋体" w:cs="宋体"/>
                <w:bCs/>
                <w:color w:val="auto"/>
                <w:szCs w:val="21"/>
                <w:highlight w:val="none"/>
                <w:lang w:bidi="ar"/>
              </w:rPr>
              <w:t>一档（0分）：未提供方案或方案明显不满足要求。</w:t>
            </w:r>
          </w:p>
          <w:p w14:paraId="34A5252F">
            <w:pPr>
              <w:jc w:val="left"/>
              <w:rPr>
                <w:rFonts w:ascii="宋体" w:hAnsi="宋体" w:cs="宋体"/>
                <w:bCs/>
                <w:color w:val="auto"/>
                <w:szCs w:val="21"/>
                <w:highlight w:val="none"/>
              </w:rPr>
            </w:pPr>
            <w:r>
              <w:rPr>
                <w:rFonts w:hint="eastAsia" w:ascii="宋体" w:hAnsi="宋体" w:cs="宋体"/>
                <w:bCs/>
                <w:color w:val="auto"/>
                <w:szCs w:val="21"/>
                <w:highlight w:val="none"/>
                <w:lang w:bidi="ar"/>
              </w:rPr>
              <w:t>二档（8分）：复核流程基本达到规范标准，配备有复核人员1人。</w:t>
            </w:r>
          </w:p>
          <w:p w14:paraId="7187114F">
            <w:pPr>
              <w:jc w:val="left"/>
              <w:rPr>
                <w:rFonts w:ascii="宋体" w:hAnsi="宋体" w:cs="宋体"/>
                <w:bCs/>
                <w:color w:val="auto"/>
                <w:szCs w:val="21"/>
                <w:highlight w:val="none"/>
              </w:rPr>
            </w:pPr>
            <w:r>
              <w:rPr>
                <w:rFonts w:hint="eastAsia" w:ascii="宋体" w:hAnsi="宋体" w:cs="宋体"/>
                <w:bCs/>
                <w:color w:val="auto"/>
                <w:szCs w:val="21"/>
                <w:highlight w:val="none"/>
                <w:lang w:bidi="ar"/>
              </w:rPr>
              <w:t>三档（12分）：满足二档的基础上，具有可行的质量控制制度，复核人员2人及以上。</w:t>
            </w:r>
          </w:p>
          <w:p w14:paraId="071C8F7C">
            <w:pPr>
              <w:jc w:val="left"/>
              <w:rPr>
                <w:rFonts w:ascii="宋体" w:hAnsi="宋体" w:cs="宋体"/>
                <w:bCs/>
                <w:color w:val="auto"/>
                <w:szCs w:val="21"/>
                <w:highlight w:val="none"/>
              </w:rPr>
            </w:pPr>
            <w:r>
              <w:rPr>
                <w:rFonts w:hint="eastAsia" w:ascii="宋体" w:hAnsi="宋体" w:cs="宋体"/>
                <w:bCs/>
                <w:color w:val="auto"/>
                <w:szCs w:val="21"/>
                <w:highlight w:val="none"/>
                <w:lang w:bidi="ar"/>
              </w:rPr>
              <w:t>四档（16分）：满足三档的基础上，复核人员专业2类及以上，质量保证措施能够保证投资评审质量，承诺单项工程的评审成果经复核后误差率＜3%。</w:t>
            </w:r>
          </w:p>
          <w:p w14:paraId="34575328">
            <w:pPr>
              <w:jc w:val="left"/>
              <w:rPr>
                <w:rFonts w:ascii="宋体" w:hAnsi="宋体" w:cs="宋体"/>
                <w:bCs/>
                <w:color w:val="auto"/>
                <w:szCs w:val="21"/>
                <w:highlight w:val="none"/>
              </w:rPr>
            </w:pPr>
            <w:r>
              <w:rPr>
                <w:rFonts w:hint="eastAsia" w:ascii="宋体" w:hAnsi="宋体" w:cs="宋体"/>
                <w:bCs/>
                <w:color w:val="auto"/>
                <w:szCs w:val="21"/>
                <w:highlight w:val="none"/>
                <w:lang w:bidi="ar"/>
              </w:rPr>
              <w:t>五档（20分）：满足四档的基础上，复核人员专业达到4类，经验丰富。质量控制制度健全，保证措施具体有效。</w:t>
            </w:r>
          </w:p>
          <w:p w14:paraId="63935B56">
            <w:pPr>
              <w:jc w:val="left"/>
              <w:rPr>
                <w:rFonts w:ascii="宋体" w:hAnsi="宋体" w:cs="宋体"/>
                <w:bCs/>
                <w:color w:val="auto"/>
                <w:szCs w:val="21"/>
                <w:highlight w:val="none"/>
              </w:rPr>
            </w:pPr>
            <w:r>
              <w:rPr>
                <w:rFonts w:hint="eastAsia" w:ascii="宋体" w:hAnsi="宋体" w:cs="宋体"/>
                <w:bCs/>
                <w:color w:val="auto"/>
                <w:szCs w:val="21"/>
                <w:highlight w:val="none"/>
                <w:lang w:bidi="ar"/>
              </w:rPr>
              <w:t>六档（24分）：满足五档的基础上，质量控制方案内容齐全、完整，管控措施合理有效，可操性强，对质量控制、编审工作中的关键流程把控到位。</w:t>
            </w:r>
          </w:p>
        </w:tc>
        <w:tc>
          <w:tcPr>
            <w:tcW w:w="1102" w:type="dxa"/>
            <w:tcBorders>
              <w:top w:val="single" w:color="auto" w:sz="4" w:space="0"/>
              <w:left w:val="single" w:color="auto" w:sz="4" w:space="0"/>
              <w:bottom w:val="single" w:color="auto" w:sz="4" w:space="0"/>
              <w:right w:val="single" w:color="auto" w:sz="4" w:space="0"/>
            </w:tcBorders>
            <w:vAlign w:val="center"/>
          </w:tcPr>
          <w:p w14:paraId="05D15A8F">
            <w:pPr>
              <w:jc w:val="center"/>
              <w:rPr>
                <w:rFonts w:ascii="宋体" w:hAnsi="宋体" w:cs="宋体"/>
                <w:bCs/>
                <w:color w:val="auto"/>
                <w:szCs w:val="21"/>
                <w:highlight w:val="none"/>
              </w:rPr>
            </w:pPr>
            <w:r>
              <w:rPr>
                <w:rFonts w:hint="eastAsia" w:ascii="宋体" w:hAnsi="宋体" w:cs="宋体"/>
                <w:bCs/>
                <w:color w:val="auto"/>
                <w:szCs w:val="21"/>
                <w:highlight w:val="none"/>
                <w:lang w:bidi="ar"/>
              </w:rPr>
              <w:t>0-24</w:t>
            </w:r>
          </w:p>
        </w:tc>
        <w:tc>
          <w:tcPr>
            <w:tcW w:w="1470" w:type="dxa"/>
            <w:tcBorders>
              <w:top w:val="single" w:color="auto" w:sz="4" w:space="0"/>
              <w:left w:val="single" w:color="auto" w:sz="4" w:space="0"/>
              <w:bottom w:val="single" w:color="auto" w:sz="4" w:space="0"/>
              <w:right w:val="single" w:color="auto" w:sz="4" w:space="0"/>
            </w:tcBorders>
            <w:vAlign w:val="center"/>
          </w:tcPr>
          <w:p w14:paraId="0F60F34D">
            <w:pPr>
              <w:jc w:val="left"/>
              <w:rPr>
                <w:b/>
                <w:color w:val="auto"/>
                <w:szCs w:val="21"/>
                <w:highlight w:val="none"/>
              </w:rPr>
            </w:pPr>
          </w:p>
        </w:tc>
      </w:tr>
      <w:tr w14:paraId="2947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vAlign w:val="center"/>
          </w:tcPr>
          <w:p w14:paraId="52A63324">
            <w:pPr>
              <w:jc w:val="center"/>
              <w:rPr>
                <w:b/>
                <w:color w:val="auto"/>
                <w:szCs w:val="21"/>
                <w:highlight w:val="none"/>
              </w:rPr>
            </w:pPr>
          </w:p>
        </w:tc>
        <w:tc>
          <w:tcPr>
            <w:tcW w:w="851" w:type="dxa"/>
            <w:vMerge w:val="continue"/>
            <w:vAlign w:val="center"/>
          </w:tcPr>
          <w:p w14:paraId="735E89AB">
            <w:pPr>
              <w:jc w:val="center"/>
              <w:rPr>
                <w:b/>
                <w:color w:val="auto"/>
                <w:szCs w:val="21"/>
                <w:highlight w:val="none"/>
              </w:rPr>
            </w:pPr>
          </w:p>
        </w:tc>
        <w:tc>
          <w:tcPr>
            <w:tcW w:w="4967" w:type="dxa"/>
            <w:tcBorders>
              <w:top w:val="single" w:color="auto" w:sz="4" w:space="0"/>
              <w:left w:val="single" w:color="auto" w:sz="4" w:space="0"/>
              <w:bottom w:val="single" w:color="auto" w:sz="4" w:space="0"/>
              <w:right w:val="single" w:color="auto" w:sz="4" w:space="0"/>
            </w:tcBorders>
            <w:vAlign w:val="center"/>
          </w:tcPr>
          <w:p w14:paraId="4AC7484D">
            <w:pPr>
              <w:jc w:val="left"/>
              <w:rPr>
                <w:rFonts w:ascii="宋体" w:hAnsi="宋体" w:cs="宋体"/>
                <w:bCs/>
                <w:color w:val="auto"/>
                <w:szCs w:val="21"/>
                <w:highlight w:val="none"/>
              </w:rPr>
            </w:pPr>
            <w:r>
              <w:rPr>
                <w:rFonts w:hint="eastAsia" w:ascii="宋体" w:hAnsi="宋体" w:cs="宋体"/>
                <w:bCs/>
                <w:color w:val="auto"/>
                <w:szCs w:val="21"/>
                <w:highlight w:val="none"/>
                <w:lang w:bidi="ar"/>
              </w:rPr>
              <w:t>4、服务方案分（主观分）</w:t>
            </w:r>
          </w:p>
          <w:p w14:paraId="3D93E547">
            <w:pPr>
              <w:jc w:val="left"/>
              <w:rPr>
                <w:rFonts w:ascii="宋体" w:hAnsi="宋体" w:cs="宋体"/>
                <w:bCs/>
                <w:color w:val="auto"/>
                <w:szCs w:val="21"/>
                <w:highlight w:val="none"/>
              </w:rPr>
            </w:pPr>
            <w:r>
              <w:rPr>
                <w:rFonts w:hint="eastAsia" w:ascii="宋体" w:hAnsi="宋体" w:cs="宋体"/>
                <w:bCs/>
                <w:color w:val="auto"/>
                <w:szCs w:val="21"/>
                <w:highlight w:val="none"/>
                <w:lang w:bidi="ar"/>
              </w:rPr>
              <w:t>一档（0分）：未提供方案或方案明显不满足要求。</w:t>
            </w:r>
          </w:p>
          <w:p w14:paraId="5D2A5E82">
            <w:pPr>
              <w:jc w:val="left"/>
              <w:rPr>
                <w:rFonts w:ascii="宋体" w:hAnsi="宋体" w:cs="宋体"/>
                <w:bCs/>
                <w:color w:val="auto"/>
                <w:szCs w:val="21"/>
                <w:highlight w:val="none"/>
              </w:rPr>
            </w:pPr>
            <w:r>
              <w:rPr>
                <w:rFonts w:hint="eastAsia" w:ascii="宋体" w:hAnsi="宋体" w:cs="宋体"/>
                <w:bCs/>
                <w:color w:val="auto"/>
                <w:szCs w:val="21"/>
                <w:highlight w:val="none"/>
                <w:lang w:bidi="ar"/>
              </w:rPr>
              <w:t>二档（6分）：方案基本能满足本项目的基本需求，有工作计划和流程，完成具体项目的时间和技术安排合理。</w:t>
            </w:r>
          </w:p>
          <w:p w14:paraId="2EE2C15F">
            <w:pPr>
              <w:jc w:val="left"/>
              <w:rPr>
                <w:rFonts w:ascii="宋体" w:hAnsi="宋体" w:cs="宋体"/>
                <w:bCs/>
                <w:color w:val="auto"/>
                <w:szCs w:val="21"/>
                <w:highlight w:val="none"/>
              </w:rPr>
            </w:pPr>
            <w:r>
              <w:rPr>
                <w:rFonts w:hint="eastAsia" w:ascii="宋体" w:hAnsi="宋体" w:cs="宋体"/>
                <w:bCs/>
                <w:color w:val="auto"/>
                <w:szCs w:val="21"/>
                <w:highlight w:val="none"/>
                <w:lang w:bidi="ar"/>
              </w:rPr>
              <w:t>三档（12分）：方案能满足本项目的基本需求，工作计划和流程合理可行，完成具体项目的时间和技术管理措施切实可行，财政投资评审工作重点难点把握不够准确。</w:t>
            </w:r>
          </w:p>
          <w:p w14:paraId="4E39560A">
            <w:pPr>
              <w:jc w:val="left"/>
              <w:rPr>
                <w:rFonts w:ascii="宋体" w:hAnsi="宋体" w:cs="宋体"/>
                <w:bCs/>
                <w:color w:val="auto"/>
                <w:szCs w:val="21"/>
                <w:highlight w:val="none"/>
              </w:rPr>
            </w:pPr>
            <w:r>
              <w:rPr>
                <w:rFonts w:hint="eastAsia" w:ascii="宋体" w:hAnsi="宋体" w:cs="宋体"/>
                <w:bCs/>
                <w:color w:val="auto"/>
                <w:szCs w:val="21"/>
                <w:highlight w:val="none"/>
                <w:lang w:bidi="ar"/>
              </w:rPr>
              <w:t>四档（18分）：方案满足本项目的实际需求，工作计划和流程周详，完成具体项目的时间和技术管理措施稳妥全面，财政投资评审工作重点难点把握到位，能及时响应采购人服务需求，具有廉洁措施。</w:t>
            </w:r>
          </w:p>
          <w:p w14:paraId="005333EB">
            <w:pPr>
              <w:jc w:val="left"/>
              <w:rPr>
                <w:rFonts w:ascii="宋体" w:hAnsi="宋体" w:cs="宋体"/>
                <w:bCs/>
                <w:color w:val="auto"/>
                <w:szCs w:val="21"/>
                <w:highlight w:val="none"/>
              </w:rPr>
            </w:pPr>
            <w:r>
              <w:rPr>
                <w:rFonts w:hint="eastAsia" w:ascii="宋体" w:hAnsi="宋体" w:cs="宋体"/>
                <w:bCs/>
                <w:color w:val="auto"/>
                <w:szCs w:val="21"/>
                <w:highlight w:val="none"/>
                <w:lang w:bidi="ar"/>
              </w:rPr>
              <w:t>五档（24分）：满足四档的基础上，对贺州市平桂区财政投资评审工作重点难点把握准确，熟悉财政投资评审工作并可对具体项目提出针对性建议，服务周到。</w:t>
            </w:r>
          </w:p>
          <w:p w14:paraId="5B794B5F">
            <w:pPr>
              <w:jc w:val="left"/>
              <w:rPr>
                <w:rFonts w:ascii="宋体" w:hAnsi="宋体" w:cs="宋体"/>
                <w:bCs/>
                <w:color w:val="auto"/>
                <w:szCs w:val="21"/>
                <w:highlight w:val="none"/>
              </w:rPr>
            </w:pPr>
            <w:r>
              <w:rPr>
                <w:rFonts w:hint="eastAsia" w:ascii="宋体" w:hAnsi="宋体" w:cs="宋体"/>
                <w:bCs/>
                <w:color w:val="auto"/>
                <w:szCs w:val="21"/>
                <w:highlight w:val="none"/>
                <w:lang w:bidi="ar"/>
              </w:rPr>
              <w:t>六档（30分）：满足五档的基础上，服务便捷响应迅速，至少有技术评审人员3人以上，随时可根据采购人要求配合出差或到项目地办公。</w:t>
            </w:r>
          </w:p>
        </w:tc>
        <w:tc>
          <w:tcPr>
            <w:tcW w:w="1102" w:type="dxa"/>
            <w:tcBorders>
              <w:top w:val="single" w:color="auto" w:sz="4" w:space="0"/>
              <w:left w:val="single" w:color="auto" w:sz="4" w:space="0"/>
              <w:bottom w:val="single" w:color="auto" w:sz="4" w:space="0"/>
              <w:right w:val="single" w:color="auto" w:sz="4" w:space="0"/>
            </w:tcBorders>
            <w:vAlign w:val="center"/>
          </w:tcPr>
          <w:p w14:paraId="62351EBF">
            <w:pPr>
              <w:jc w:val="center"/>
              <w:rPr>
                <w:rFonts w:ascii="宋体" w:hAnsi="宋体" w:cs="宋体"/>
                <w:bCs/>
                <w:color w:val="auto"/>
                <w:szCs w:val="21"/>
                <w:highlight w:val="none"/>
              </w:rPr>
            </w:pPr>
            <w:r>
              <w:rPr>
                <w:rFonts w:hint="eastAsia" w:ascii="宋体" w:hAnsi="宋体" w:cs="宋体"/>
                <w:bCs/>
                <w:color w:val="auto"/>
                <w:szCs w:val="21"/>
                <w:highlight w:val="none"/>
                <w:lang w:bidi="ar"/>
              </w:rPr>
              <w:t>0-30</w:t>
            </w:r>
          </w:p>
        </w:tc>
        <w:tc>
          <w:tcPr>
            <w:tcW w:w="1470" w:type="dxa"/>
            <w:tcBorders>
              <w:top w:val="single" w:color="auto" w:sz="4" w:space="0"/>
              <w:left w:val="single" w:color="auto" w:sz="4" w:space="0"/>
              <w:bottom w:val="single" w:color="auto" w:sz="4" w:space="0"/>
              <w:right w:val="single" w:color="auto" w:sz="4" w:space="0"/>
            </w:tcBorders>
            <w:vAlign w:val="center"/>
          </w:tcPr>
          <w:p w14:paraId="2EE755F6">
            <w:pPr>
              <w:jc w:val="left"/>
              <w:rPr>
                <w:b/>
                <w:color w:val="auto"/>
                <w:szCs w:val="21"/>
                <w:highlight w:val="none"/>
              </w:rPr>
            </w:pPr>
          </w:p>
        </w:tc>
      </w:tr>
      <w:tr w14:paraId="6B9E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8" w:type="dxa"/>
            <w:vMerge w:val="continue"/>
            <w:vAlign w:val="center"/>
          </w:tcPr>
          <w:p w14:paraId="689CAC6A">
            <w:pPr>
              <w:jc w:val="center"/>
              <w:rPr>
                <w:b/>
                <w:color w:val="auto"/>
                <w:szCs w:val="21"/>
                <w:highlight w:val="none"/>
              </w:rPr>
            </w:pPr>
          </w:p>
        </w:tc>
        <w:tc>
          <w:tcPr>
            <w:tcW w:w="851" w:type="dxa"/>
            <w:vMerge w:val="continue"/>
            <w:vAlign w:val="center"/>
          </w:tcPr>
          <w:p w14:paraId="0FF2107A">
            <w:pPr>
              <w:jc w:val="center"/>
              <w:rPr>
                <w:b/>
                <w:color w:val="auto"/>
                <w:szCs w:val="21"/>
                <w:highlight w:val="none"/>
              </w:rPr>
            </w:pPr>
          </w:p>
        </w:tc>
        <w:tc>
          <w:tcPr>
            <w:tcW w:w="4967" w:type="dxa"/>
            <w:vAlign w:val="center"/>
          </w:tcPr>
          <w:p w14:paraId="1918CCF7">
            <w:pPr>
              <w:jc w:val="left"/>
              <w:rPr>
                <w:rFonts w:ascii="宋体" w:hAnsi="宋体" w:cs="宋体"/>
                <w:bCs/>
                <w:color w:val="auto"/>
                <w:szCs w:val="21"/>
                <w:highlight w:val="none"/>
              </w:rPr>
            </w:pPr>
            <w:r>
              <w:rPr>
                <w:rFonts w:hint="eastAsia" w:ascii="宋体" w:hAnsi="宋体" w:cs="宋体"/>
                <w:bCs/>
                <w:color w:val="auto"/>
                <w:szCs w:val="21"/>
                <w:highlight w:val="none"/>
                <w:lang w:bidi="ar"/>
              </w:rPr>
              <w:t>5、评审报告编制水平（主观分）</w:t>
            </w:r>
          </w:p>
          <w:p w14:paraId="43590169">
            <w:pPr>
              <w:jc w:val="left"/>
              <w:rPr>
                <w:rFonts w:ascii="宋体" w:hAnsi="宋体" w:cs="宋体"/>
                <w:bCs/>
                <w:color w:val="auto"/>
                <w:szCs w:val="21"/>
                <w:highlight w:val="none"/>
              </w:rPr>
            </w:pPr>
            <w:r>
              <w:rPr>
                <w:rFonts w:hint="eastAsia" w:ascii="宋体" w:hAnsi="宋体" w:cs="宋体"/>
                <w:bCs/>
                <w:color w:val="auto"/>
                <w:szCs w:val="21"/>
                <w:highlight w:val="none"/>
                <w:lang w:bidi="ar"/>
              </w:rPr>
              <w:t>一档（0分）：未提供符合要求的评审报告。</w:t>
            </w:r>
          </w:p>
          <w:p w14:paraId="33B529E7">
            <w:pPr>
              <w:jc w:val="left"/>
              <w:rPr>
                <w:rFonts w:ascii="宋体" w:hAnsi="宋体" w:cs="宋体"/>
                <w:bCs/>
                <w:color w:val="auto"/>
                <w:szCs w:val="21"/>
                <w:highlight w:val="none"/>
              </w:rPr>
            </w:pPr>
            <w:r>
              <w:rPr>
                <w:rFonts w:hint="eastAsia" w:ascii="宋体" w:hAnsi="宋体" w:cs="宋体"/>
                <w:bCs/>
                <w:color w:val="auto"/>
                <w:szCs w:val="21"/>
                <w:highlight w:val="none"/>
                <w:lang w:bidi="ar"/>
              </w:rPr>
              <w:t>二档（5分）评审报告内容基本完整、数据准确、依据基本充分。评审内容基本全面、完整，评审结论定性基本客观，定量基本准确。</w:t>
            </w:r>
          </w:p>
          <w:p w14:paraId="115A64BD">
            <w:pPr>
              <w:jc w:val="left"/>
              <w:rPr>
                <w:rFonts w:ascii="宋体" w:hAnsi="宋体" w:cs="宋体"/>
                <w:bCs/>
                <w:color w:val="auto"/>
                <w:szCs w:val="21"/>
                <w:highlight w:val="none"/>
              </w:rPr>
            </w:pPr>
            <w:r>
              <w:rPr>
                <w:rFonts w:hint="eastAsia" w:ascii="宋体" w:hAnsi="宋体" w:cs="宋体"/>
                <w:bCs/>
                <w:color w:val="auto"/>
                <w:szCs w:val="21"/>
                <w:highlight w:val="none"/>
                <w:lang w:bidi="ar"/>
              </w:rPr>
              <w:t>三档（10分）：评审报告内容完整、数据准确、依据充分，评审结论定性客观，定量准确，依据充分，表达清楚、完整。</w:t>
            </w:r>
          </w:p>
          <w:p w14:paraId="43923126">
            <w:pPr>
              <w:jc w:val="left"/>
              <w:rPr>
                <w:color w:val="auto"/>
                <w:highlight w:val="none"/>
              </w:rPr>
            </w:pPr>
            <w:r>
              <w:rPr>
                <w:rFonts w:hint="eastAsia" w:ascii="宋体" w:hAnsi="宋体" w:cs="宋体"/>
                <w:bCs/>
                <w:color w:val="auto"/>
                <w:szCs w:val="21"/>
                <w:highlight w:val="none"/>
                <w:lang w:bidi="ar"/>
              </w:rPr>
              <w:t>四档（15分）：满足三档的基础上，核增核减原因定性准确、条理清晰，披露问题有理有据、分析透彻，提出评审建议措施具体、针对性强。</w:t>
            </w:r>
          </w:p>
        </w:tc>
        <w:tc>
          <w:tcPr>
            <w:tcW w:w="1102" w:type="dxa"/>
            <w:vAlign w:val="center"/>
          </w:tcPr>
          <w:p w14:paraId="6BE9D469">
            <w:pPr>
              <w:jc w:val="center"/>
              <w:rPr>
                <w:color w:val="auto"/>
                <w:highlight w:val="none"/>
              </w:rPr>
            </w:pPr>
            <w:r>
              <w:rPr>
                <w:rFonts w:hint="eastAsia" w:ascii="宋体" w:hAnsi="宋体" w:cs="宋体"/>
                <w:bCs/>
                <w:color w:val="auto"/>
                <w:szCs w:val="21"/>
                <w:highlight w:val="none"/>
                <w:lang w:bidi="ar"/>
              </w:rPr>
              <w:t>0-15</w:t>
            </w:r>
          </w:p>
        </w:tc>
        <w:tc>
          <w:tcPr>
            <w:tcW w:w="1470" w:type="dxa"/>
            <w:vAlign w:val="center"/>
          </w:tcPr>
          <w:p w14:paraId="30E7C47A">
            <w:pPr>
              <w:jc w:val="left"/>
              <w:rPr>
                <w:rFonts w:ascii="宋体" w:hAnsi="宋体" w:cs="宋体"/>
                <w:bCs/>
                <w:color w:val="auto"/>
                <w:szCs w:val="21"/>
                <w:highlight w:val="none"/>
              </w:rPr>
            </w:pPr>
            <w:r>
              <w:rPr>
                <w:rFonts w:hint="eastAsia" w:ascii="宋体" w:hAnsi="宋体" w:cs="宋体"/>
                <w:bCs/>
                <w:color w:val="auto"/>
                <w:szCs w:val="21"/>
                <w:highlight w:val="none"/>
                <w:lang w:bidi="ar"/>
              </w:rPr>
              <w:t>1.以“6.业绩”中任一项目的评审报告（只提供正文部分，不需要提供附件）为评分依据。</w:t>
            </w:r>
          </w:p>
          <w:p w14:paraId="48C92F43">
            <w:pPr>
              <w:jc w:val="left"/>
              <w:rPr>
                <w:b/>
                <w:color w:val="auto"/>
                <w:highlight w:val="none"/>
              </w:rPr>
            </w:pPr>
            <w:r>
              <w:rPr>
                <w:rFonts w:hint="eastAsia" w:ascii="宋体" w:hAnsi="宋体" w:cs="宋体"/>
                <w:bCs/>
                <w:color w:val="auto"/>
                <w:szCs w:val="21"/>
                <w:highlight w:val="none"/>
                <w:lang w:bidi="ar"/>
              </w:rPr>
              <w:t>2.如附多份评审报告，仅以第一份报告为评分依据。</w:t>
            </w:r>
          </w:p>
        </w:tc>
      </w:tr>
      <w:tr w14:paraId="10D7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Align w:val="center"/>
          </w:tcPr>
          <w:p w14:paraId="29F8CE8D">
            <w:pPr>
              <w:jc w:val="center"/>
              <w:rPr>
                <w:b/>
                <w:color w:val="auto"/>
                <w:szCs w:val="21"/>
                <w:highlight w:val="none"/>
              </w:rPr>
            </w:pPr>
            <w:r>
              <w:rPr>
                <w:rFonts w:hint="eastAsia"/>
                <w:b/>
                <w:color w:val="auto"/>
                <w:szCs w:val="21"/>
                <w:highlight w:val="none"/>
              </w:rPr>
              <w:t>2</w:t>
            </w:r>
          </w:p>
        </w:tc>
        <w:tc>
          <w:tcPr>
            <w:tcW w:w="851" w:type="dxa"/>
            <w:vAlign w:val="center"/>
          </w:tcPr>
          <w:p w14:paraId="5B2BFDA6">
            <w:pPr>
              <w:jc w:val="center"/>
              <w:rPr>
                <w:b/>
                <w:color w:val="auto"/>
                <w:szCs w:val="21"/>
                <w:highlight w:val="none"/>
              </w:rPr>
            </w:pPr>
            <w:r>
              <w:rPr>
                <w:bCs/>
                <w:color w:val="auto"/>
                <w:highlight w:val="none"/>
              </w:rPr>
              <w:t>商务资信分（</w:t>
            </w:r>
            <w:r>
              <w:rPr>
                <w:rFonts w:hint="eastAsia"/>
                <w:bCs/>
                <w:color w:val="auto"/>
                <w:highlight w:val="none"/>
              </w:rPr>
              <w:t>15</w:t>
            </w:r>
            <w:r>
              <w:rPr>
                <w:bCs/>
                <w:color w:val="auto"/>
                <w:highlight w:val="none"/>
              </w:rPr>
              <w:t>分）</w:t>
            </w:r>
          </w:p>
        </w:tc>
        <w:tc>
          <w:tcPr>
            <w:tcW w:w="4967" w:type="dxa"/>
            <w:tcBorders>
              <w:top w:val="single" w:color="auto" w:sz="4" w:space="0"/>
              <w:left w:val="single" w:color="auto" w:sz="4" w:space="0"/>
              <w:bottom w:val="single" w:color="auto" w:sz="4" w:space="0"/>
              <w:right w:val="single" w:color="auto" w:sz="4" w:space="0"/>
            </w:tcBorders>
            <w:vAlign w:val="center"/>
          </w:tcPr>
          <w:p w14:paraId="3579D4F2">
            <w:pPr>
              <w:jc w:val="left"/>
              <w:rPr>
                <w:rFonts w:ascii="宋体" w:hAnsi="宋体" w:cs="宋体"/>
                <w:bCs/>
                <w:color w:val="auto"/>
                <w:szCs w:val="21"/>
                <w:highlight w:val="none"/>
              </w:rPr>
            </w:pPr>
            <w:r>
              <w:rPr>
                <w:rFonts w:hint="eastAsia" w:ascii="宋体" w:hAnsi="宋体" w:cs="宋体"/>
                <w:bCs/>
                <w:color w:val="auto"/>
                <w:szCs w:val="21"/>
                <w:highlight w:val="none"/>
                <w:lang w:bidi="ar"/>
              </w:rPr>
              <w:t>6、业绩（客观分）</w:t>
            </w:r>
          </w:p>
          <w:p w14:paraId="0DC6B24F">
            <w:pPr>
              <w:jc w:val="left"/>
              <w:rPr>
                <w:bCs/>
                <w:color w:val="auto"/>
                <w:highlight w:val="none"/>
              </w:rPr>
            </w:pPr>
            <w:r>
              <w:rPr>
                <w:rFonts w:hint="eastAsia" w:ascii="宋体" w:hAnsi="宋体" w:cs="宋体"/>
                <w:bCs/>
                <w:color w:val="auto"/>
                <w:szCs w:val="21"/>
                <w:highlight w:val="none"/>
                <w:lang w:bidi="ar"/>
              </w:rPr>
              <w:t>2022年至今，承接过财政、审计部门委托评审且有本次拟派评审人员参与过的工程量清单和招标控制价、项目工程概（预）算编审服务每个项目业绩得1.5分。</w:t>
            </w:r>
          </w:p>
        </w:tc>
        <w:tc>
          <w:tcPr>
            <w:tcW w:w="1102" w:type="dxa"/>
            <w:tcBorders>
              <w:top w:val="single" w:color="auto" w:sz="4" w:space="0"/>
              <w:left w:val="single" w:color="auto" w:sz="4" w:space="0"/>
              <w:bottom w:val="single" w:color="auto" w:sz="4" w:space="0"/>
              <w:right w:val="single" w:color="auto" w:sz="4" w:space="0"/>
            </w:tcBorders>
            <w:vAlign w:val="center"/>
          </w:tcPr>
          <w:p w14:paraId="09CF4085">
            <w:pPr>
              <w:jc w:val="center"/>
              <w:rPr>
                <w:bCs/>
                <w:color w:val="auto"/>
                <w:highlight w:val="none"/>
              </w:rPr>
            </w:pPr>
            <w:r>
              <w:rPr>
                <w:rFonts w:hint="eastAsia" w:ascii="宋体" w:hAnsi="宋体" w:cs="宋体"/>
                <w:bCs/>
                <w:color w:val="auto"/>
                <w:szCs w:val="21"/>
                <w:highlight w:val="none"/>
                <w:lang w:bidi="ar"/>
              </w:rPr>
              <w:t>0-15</w:t>
            </w:r>
          </w:p>
        </w:tc>
        <w:tc>
          <w:tcPr>
            <w:tcW w:w="1470" w:type="dxa"/>
            <w:tcBorders>
              <w:top w:val="single" w:color="auto" w:sz="4" w:space="0"/>
              <w:left w:val="single" w:color="auto" w:sz="4" w:space="0"/>
              <w:bottom w:val="single" w:color="auto" w:sz="4" w:space="0"/>
              <w:right w:val="single" w:color="auto" w:sz="4" w:space="0"/>
            </w:tcBorders>
            <w:vAlign w:val="center"/>
          </w:tcPr>
          <w:p w14:paraId="6A145D12">
            <w:pPr>
              <w:jc w:val="left"/>
              <w:rPr>
                <w:bCs/>
                <w:color w:val="auto"/>
                <w:highlight w:val="none"/>
              </w:rPr>
            </w:pPr>
            <w:r>
              <w:rPr>
                <w:rFonts w:hint="eastAsia" w:ascii="宋体" w:hAnsi="宋体" w:cs="宋体"/>
                <w:bCs/>
                <w:color w:val="auto"/>
                <w:szCs w:val="21"/>
                <w:highlight w:val="none"/>
                <w:lang w:bidi="ar"/>
              </w:rPr>
              <w:t>附单位委托文件或合同或项目审定表/单等证明材料，证明材料一定要有委托单位的公章。</w:t>
            </w:r>
          </w:p>
        </w:tc>
      </w:tr>
      <w:bookmarkEnd w:id="73"/>
    </w:tbl>
    <w:p w14:paraId="010C072D">
      <w:pPr>
        <w:ind w:firstLine="420" w:firstLineChars="200"/>
        <w:rPr>
          <w:color w:val="auto"/>
          <w:highlight w:val="none"/>
        </w:rPr>
      </w:pPr>
      <w:r>
        <w:rPr>
          <w:rFonts w:hint="eastAsia"/>
          <w:color w:val="auto"/>
          <w:highlight w:val="none"/>
        </w:rPr>
        <w:br w:type="page"/>
      </w:r>
      <w:r>
        <w:rPr>
          <w:rFonts w:hint="eastAsia"/>
          <w:color w:val="auto"/>
          <w:highlight w:val="none"/>
        </w:rPr>
        <w:t>技术及商务资信分（标项二）</w:t>
      </w:r>
    </w:p>
    <w:tbl>
      <w:tblPr>
        <w:tblStyle w:val="51"/>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51"/>
        <w:gridCol w:w="5244"/>
        <w:gridCol w:w="825"/>
        <w:gridCol w:w="1470"/>
      </w:tblGrid>
      <w:tr w14:paraId="1E41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Align w:val="center"/>
          </w:tcPr>
          <w:p w14:paraId="491B0F10">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51" w:type="dxa"/>
            <w:vAlign w:val="center"/>
          </w:tcPr>
          <w:p w14:paraId="771E44C8">
            <w:pPr>
              <w:jc w:val="center"/>
              <w:rPr>
                <w:rFonts w:ascii="宋体" w:hAnsi="宋体" w:cs="宋体"/>
                <w:b/>
                <w:color w:val="auto"/>
                <w:szCs w:val="21"/>
                <w:highlight w:val="none"/>
              </w:rPr>
            </w:pPr>
            <w:r>
              <w:rPr>
                <w:rFonts w:hint="eastAsia" w:ascii="宋体" w:hAnsi="宋体" w:cs="宋体"/>
                <w:b/>
                <w:color w:val="auto"/>
                <w:szCs w:val="21"/>
                <w:highlight w:val="none"/>
              </w:rPr>
              <w:t>类型</w:t>
            </w:r>
          </w:p>
        </w:tc>
        <w:tc>
          <w:tcPr>
            <w:tcW w:w="5244" w:type="dxa"/>
            <w:vAlign w:val="center"/>
          </w:tcPr>
          <w:p w14:paraId="78EAC232">
            <w:pPr>
              <w:jc w:val="center"/>
              <w:rPr>
                <w:rFonts w:ascii="宋体" w:hAnsi="宋体" w:cs="宋体"/>
                <w:b/>
                <w:color w:val="auto"/>
                <w:szCs w:val="21"/>
                <w:highlight w:val="none"/>
              </w:rPr>
            </w:pPr>
            <w:r>
              <w:rPr>
                <w:rFonts w:hint="eastAsia" w:ascii="宋体" w:hAnsi="宋体" w:cs="宋体"/>
                <w:b/>
                <w:color w:val="auto"/>
                <w:szCs w:val="21"/>
                <w:highlight w:val="none"/>
              </w:rPr>
              <w:t>评分标准</w:t>
            </w:r>
          </w:p>
        </w:tc>
        <w:tc>
          <w:tcPr>
            <w:tcW w:w="825" w:type="dxa"/>
            <w:vAlign w:val="center"/>
          </w:tcPr>
          <w:p w14:paraId="12A65E3F">
            <w:pPr>
              <w:jc w:val="center"/>
              <w:rPr>
                <w:rFonts w:ascii="宋体" w:hAnsi="宋体" w:cs="宋体"/>
                <w:b/>
                <w:color w:val="auto"/>
                <w:szCs w:val="21"/>
                <w:highlight w:val="none"/>
              </w:rPr>
            </w:pPr>
            <w:r>
              <w:rPr>
                <w:rFonts w:hint="eastAsia" w:ascii="宋体" w:hAnsi="宋体" w:cs="宋体"/>
                <w:b/>
                <w:color w:val="auto"/>
                <w:szCs w:val="21"/>
                <w:highlight w:val="none"/>
              </w:rPr>
              <w:t>分值权重</w:t>
            </w:r>
          </w:p>
        </w:tc>
        <w:tc>
          <w:tcPr>
            <w:tcW w:w="1470" w:type="dxa"/>
            <w:vAlign w:val="center"/>
          </w:tcPr>
          <w:p w14:paraId="73638CC4">
            <w:pPr>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14:paraId="076F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428" w:type="dxa"/>
            <w:vMerge w:val="restart"/>
            <w:vAlign w:val="center"/>
          </w:tcPr>
          <w:p w14:paraId="760BAA7C">
            <w:pPr>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851" w:type="dxa"/>
            <w:vMerge w:val="restart"/>
            <w:vAlign w:val="center"/>
          </w:tcPr>
          <w:p w14:paraId="46213B27">
            <w:pPr>
              <w:jc w:val="center"/>
              <w:rPr>
                <w:rFonts w:ascii="宋体" w:hAnsi="宋体" w:cs="宋体"/>
                <w:color w:val="auto"/>
                <w:szCs w:val="21"/>
                <w:highlight w:val="none"/>
              </w:rPr>
            </w:pPr>
            <w:r>
              <w:rPr>
                <w:rFonts w:hint="eastAsia" w:ascii="宋体" w:hAnsi="宋体" w:cs="宋体"/>
                <w:color w:val="auto"/>
                <w:szCs w:val="21"/>
                <w:highlight w:val="none"/>
              </w:rPr>
              <w:t>技术分</w:t>
            </w:r>
          </w:p>
          <w:p w14:paraId="6CD1F633">
            <w:pPr>
              <w:jc w:val="center"/>
              <w:rPr>
                <w:rFonts w:ascii="宋体" w:hAnsi="宋体" w:cs="宋体"/>
                <w:b/>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5244" w:type="dxa"/>
            <w:tcBorders>
              <w:top w:val="single" w:color="auto" w:sz="4" w:space="0"/>
              <w:left w:val="single" w:color="auto" w:sz="4" w:space="0"/>
              <w:bottom w:val="single" w:color="auto" w:sz="4" w:space="0"/>
              <w:right w:val="single" w:color="auto" w:sz="4" w:space="0"/>
            </w:tcBorders>
            <w:vAlign w:val="center"/>
          </w:tcPr>
          <w:p w14:paraId="79A82361">
            <w:pPr>
              <w:jc w:val="left"/>
              <w:rPr>
                <w:rFonts w:ascii="宋体" w:hAnsi="宋体" w:cs="宋体"/>
                <w:bCs/>
                <w:color w:val="auto"/>
                <w:szCs w:val="21"/>
                <w:highlight w:val="none"/>
              </w:rPr>
            </w:pPr>
            <w:r>
              <w:rPr>
                <w:rFonts w:hint="eastAsia" w:ascii="宋体" w:hAnsi="宋体" w:cs="宋体"/>
                <w:bCs/>
                <w:color w:val="auto"/>
                <w:szCs w:val="21"/>
                <w:highlight w:val="none"/>
              </w:rPr>
              <w:t>1、拟派评审人员资格（不含</w:t>
            </w:r>
            <w:r>
              <w:rPr>
                <w:rFonts w:hint="eastAsia" w:ascii="宋体" w:hAnsi="宋体" w:cs="宋体"/>
                <w:bCs/>
                <w:color w:val="auto"/>
                <w:szCs w:val="21"/>
                <w:highlight w:val="none"/>
                <w:lang w:eastAsia="zh-CN"/>
              </w:rPr>
              <w:t>驻场</w:t>
            </w:r>
            <w:r>
              <w:rPr>
                <w:rFonts w:hint="eastAsia" w:ascii="宋体" w:hAnsi="宋体" w:cs="宋体"/>
                <w:bCs/>
                <w:color w:val="auto"/>
                <w:szCs w:val="21"/>
                <w:highlight w:val="none"/>
              </w:rPr>
              <w:t>人员）（客观分）</w:t>
            </w:r>
          </w:p>
          <w:p w14:paraId="22236F42">
            <w:pPr>
              <w:jc w:val="left"/>
              <w:rPr>
                <w:rFonts w:ascii="宋体" w:hAnsi="宋体" w:cs="宋体"/>
                <w:bCs/>
                <w:color w:val="auto"/>
                <w:szCs w:val="21"/>
                <w:highlight w:val="none"/>
              </w:rPr>
            </w:pPr>
            <w:r>
              <w:rPr>
                <w:rFonts w:hint="eastAsia" w:ascii="宋体" w:hAnsi="宋体" w:cs="宋体"/>
                <w:bCs/>
                <w:color w:val="auto"/>
                <w:szCs w:val="21"/>
                <w:highlight w:val="none"/>
              </w:rPr>
              <w:t>（1）人员中具有一级造价工程师资格1人得1分。（此项满分6分）</w:t>
            </w:r>
          </w:p>
          <w:p w14:paraId="6D12A07C">
            <w:pPr>
              <w:jc w:val="left"/>
              <w:rPr>
                <w:rFonts w:ascii="宋体" w:hAnsi="宋体" w:cs="宋体"/>
                <w:bCs/>
                <w:color w:val="auto"/>
                <w:szCs w:val="21"/>
                <w:highlight w:val="none"/>
              </w:rPr>
            </w:pPr>
            <w:r>
              <w:rPr>
                <w:rFonts w:hint="eastAsia" w:ascii="宋体" w:hAnsi="宋体" w:cs="宋体"/>
                <w:bCs/>
                <w:color w:val="auto"/>
                <w:szCs w:val="21"/>
                <w:highlight w:val="none"/>
              </w:rPr>
              <w:t>（2）人员中具有二级造价工程师资格1人得1分。（此项满分4分）</w:t>
            </w:r>
          </w:p>
          <w:p w14:paraId="409A8382">
            <w:pPr>
              <w:jc w:val="left"/>
              <w:rPr>
                <w:rFonts w:ascii="宋体" w:hAnsi="宋体" w:cs="宋体"/>
                <w:bCs/>
                <w:color w:val="auto"/>
                <w:szCs w:val="21"/>
                <w:highlight w:val="none"/>
              </w:rPr>
            </w:pPr>
            <w:r>
              <w:rPr>
                <w:rFonts w:hint="eastAsia" w:ascii="宋体" w:hAnsi="宋体" w:cs="宋体"/>
                <w:bCs/>
                <w:color w:val="auto"/>
                <w:szCs w:val="21"/>
                <w:highlight w:val="none"/>
              </w:rPr>
              <w:t>（3）人员中造价工程师专业包括土建、安装、公路、水利四类得2分，专业缺一类不得分。（此项满分2分）</w:t>
            </w:r>
          </w:p>
          <w:p w14:paraId="23288AEA">
            <w:pPr>
              <w:jc w:val="left"/>
              <w:rPr>
                <w:rFonts w:ascii="宋体" w:hAnsi="宋体" w:cs="宋体"/>
                <w:bCs/>
                <w:color w:val="auto"/>
                <w:szCs w:val="21"/>
                <w:highlight w:val="none"/>
              </w:rPr>
            </w:pPr>
            <w:r>
              <w:rPr>
                <w:rFonts w:hint="eastAsia" w:ascii="宋体" w:hAnsi="宋体" w:cs="宋体"/>
                <w:bCs/>
                <w:color w:val="auto"/>
                <w:szCs w:val="21"/>
                <w:highlight w:val="none"/>
              </w:rPr>
              <w:t>注：①已有一级造价工程师按（1）计分的人员，不再计入二级造价工程师（2）得分。</w:t>
            </w:r>
          </w:p>
          <w:p w14:paraId="50AA059E">
            <w:pPr>
              <w:jc w:val="left"/>
              <w:rPr>
                <w:rFonts w:ascii="宋体" w:hAnsi="宋体" w:cs="宋体"/>
                <w:b/>
                <w:color w:val="auto"/>
                <w:szCs w:val="21"/>
                <w:highlight w:val="none"/>
              </w:rPr>
            </w:pPr>
            <w:r>
              <w:rPr>
                <w:rFonts w:hint="eastAsia" w:ascii="宋体" w:hAnsi="宋体" w:cs="宋体"/>
                <w:bCs/>
                <w:color w:val="auto"/>
                <w:szCs w:val="21"/>
                <w:highlight w:val="none"/>
              </w:rPr>
              <w:t>②如（1）已得满分情况下，未计入（1）的一级造价工程师可按二级造价工程师（2）得分。</w:t>
            </w:r>
          </w:p>
        </w:tc>
        <w:tc>
          <w:tcPr>
            <w:tcW w:w="825" w:type="dxa"/>
            <w:tcBorders>
              <w:top w:val="single" w:color="auto" w:sz="4" w:space="0"/>
              <w:left w:val="single" w:color="auto" w:sz="4" w:space="0"/>
              <w:bottom w:val="single" w:color="auto" w:sz="4" w:space="0"/>
              <w:right w:val="single" w:color="auto" w:sz="4" w:space="0"/>
            </w:tcBorders>
            <w:vAlign w:val="center"/>
          </w:tcPr>
          <w:p w14:paraId="0D675E45">
            <w:pPr>
              <w:jc w:val="center"/>
              <w:rPr>
                <w:rFonts w:ascii="宋体" w:hAnsi="宋体" w:cs="宋体"/>
                <w:b/>
                <w:color w:val="auto"/>
                <w:szCs w:val="21"/>
                <w:highlight w:val="none"/>
              </w:rPr>
            </w:pPr>
            <w:r>
              <w:rPr>
                <w:rFonts w:hint="eastAsia" w:ascii="宋体" w:hAnsi="宋体" w:cs="宋体"/>
                <w:bCs/>
                <w:color w:val="auto"/>
                <w:szCs w:val="21"/>
                <w:highlight w:val="none"/>
              </w:rPr>
              <w:t>0-12</w:t>
            </w:r>
          </w:p>
        </w:tc>
        <w:tc>
          <w:tcPr>
            <w:tcW w:w="1470" w:type="dxa"/>
            <w:tcBorders>
              <w:top w:val="single" w:color="auto" w:sz="4" w:space="0"/>
              <w:left w:val="single" w:color="auto" w:sz="4" w:space="0"/>
              <w:bottom w:val="single" w:color="auto" w:sz="4" w:space="0"/>
              <w:right w:val="single" w:color="auto" w:sz="4" w:space="0"/>
            </w:tcBorders>
            <w:vAlign w:val="center"/>
          </w:tcPr>
          <w:p w14:paraId="1E60F2F6">
            <w:pPr>
              <w:jc w:val="left"/>
              <w:rPr>
                <w:rFonts w:ascii="宋体" w:hAnsi="宋体" w:cs="宋体"/>
                <w:bCs/>
                <w:color w:val="auto"/>
                <w:szCs w:val="21"/>
                <w:highlight w:val="none"/>
              </w:rPr>
            </w:pPr>
            <w:r>
              <w:rPr>
                <w:rFonts w:hint="eastAsia" w:ascii="宋体" w:hAnsi="宋体" w:cs="宋体"/>
                <w:bCs/>
                <w:color w:val="auto"/>
                <w:szCs w:val="21"/>
                <w:highlight w:val="none"/>
              </w:rPr>
              <w:t>1.附注册证书或资格证，否则不得分。</w:t>
            </w:r>
          </w:p>
          <w:p w14:paraId="2E32CEA5">
            <w:pPr>
              <w:jc w:val="left"/>
              <w:rPr>
                <w:rFonts w:ascii="宋体" w:hAnsi="宋体" w:cs="宋体"/>
                <w:b/>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.公路甲级造价师、水利工程造价工程师按一级造价师计分；公路乙级造价师、造价员按二级造价师计分。下同。</w:t>
            </w:r>
          </w:p>
        </w:tc>
      </w:tr>
      <w:tr w14:paraId="0E1B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vAlign w:val="center"/>
          </w:tcPr>
          <w:p w14:paraId="4628E20A">
            <w:pPr>
              <w:jc w:val="center"/>
              <w:rPr>
                <w:rFonts w:ascii="宋体" w:hAnsi="宋体" w:cs="宋体"/>
                <w:b/>
                <w:color w:val="auto"/>
                <w:szCs w:val="21"/>
                <w:highlight w:val="none"/>
              </w:rPr>
            </w:pPr>
          </w:p>
        </w:tc>
        <w:tc>
          <w:tcPr>
            <w:tcW w:w="851" w:type="dxa"/>
            <w:vMerge w:val="continue"/>
            <w:vAlign w:val="center"/>
          </w:tcPr>
          <w:p w14:paraId="2E22B595">
            <w:pPr>
              <w:jc w:val="center"/>
              <w:rPr>
                <w:rFonts w:ascii="宋体" w:hAnsi="宋体" w:cs="宋体"/>
                <w:b/>
                <w:color w:val="auto"/>
                <w:szCs w:val="21"/>
                <w:highlight w:val="none"/>
              </w:rPr>
            </w:pPr>
          </w:p>
        </w:tc>
        <w:tc>
          <w:tcPr>
            <w:tcW w:w="5244" w:type="dxa"/>
            <w:tcBorders>
              <w:top w:val="single" w:color="auto" w:sz="4" w:space="0"/>
              <w:left w:val="single" w:color="auto" w:sz="4" w:space="0"/>
              <w:bottom w:val="single" w:color="auto" w:sz="4" w:space="0"/>
              <w:right w:val="single" w:color="auto" w:sz="4" w:space="0"/>
            </w:tcBorders>
            <w:vAlign w:val="center"/>
          </w:tcPr>
          <w:p w14:paraId="71EE93B6">
            <w:pPr>
              <w:jc w:val="left"/>
              <w:rPr>
                <w:rFonts w:ascii="宋体" w:hAnsi="宋体" w:cs="宋体"/>
                <w:bCs/>
                <w:color w:val="auto"/>
                <w:szCs w:val="21"/>
                <w:highlight w:val="none"/>
              </w:rPr>
            </w:pPr>
            <w:r>
              <w:rPr>
                <w:rFonts w:hint="eastAsia" w:ascii="宋体" w:hAnsi="宋体" w:cs="宋体"/>
                <w:bCs/>
                <w:color w:val="auto"/>
                <w:szCs w:val="21"/>
                <w:highlight w:val="none"/>
              </w:rPr>
              <w:t>2、拟派评审人员职称（不含</w:t>
            </w:r>
            <w:r>
              <w:rPr>
                <w:rFonts w:hint="eastAsia" w:ascii="宋体" w:hAnsi="宋体" w:cs="宋体"/>
                <w:bCs/>
                <w:color w:val="auto"/>
                <w:szCs w:val="21"/>
                <w:highlight w:val="none"/>
                <w:lang w:eastAsia="zh-CN"/>
              </w:rPr>
              <w:t>驻场</w:t>
            </w:r>
            <w:r>
              <w:rPr>
                <w:rFonts w:hint="eastAsia" w:ascii="宋体" w:hAnsi="宋体" w:cs="宋体"/>
                <w:bCs/>
                <w:color w:val="auto"/>
                <w:szCs w:val="21"/>
                <w:highlight w:val="none"/>
              </w:rPr>
              <w:t>人员）（客观分）</w:t>
            </w:r>
          </w:p>
          <w:p w14:paraId="34A18CEE">
            <w:pPr>
              <w:jc w:val="left"/>
              <w:rPr>
                <w:rFonts w:ascii="宋体" w:hAnsi="宋体" w:cs="宋体"/>
                <w:b/>
                <w:color w:val="auto"/>
                <w:szCs w:val="21"/>
                <w:highlight w:val="none"/>
              </w:rPr>
            </w:pPr>
            <w:r>
              <w:rPr>
                <w:rFonts w:hint="eastAsia" w:ascii="宋体" w:hAnsi="宋体" w:cs="宋体"/>
                <w:bCs/>
                <w:color w:val="auto"/>
                <w:szCs w:val="21"/>
                <w:highlight w:val="none"/>
              </w:rPr>
              <w:t>人员中具有工程类高级工程师职称每人得1分；工程类中级职称每人得0.5分。此项满分</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p>
        </w:tc>
        <w:tc>
          <w:tcPr>
            <w:tcW w:w="825" w:type="dxa"/>
            <w:tcBorders>
              <w:top w:val="single" w:color="auto" w:sz="4" w:space="0"/>
              <w:left w:val="single" w:color="auto" w:sz="4" w:space="0"/>
              <w:bottom w:val="single" w:color="auto" w:sz="4" w:space="0"/>
              <w:right w:val="single" w:color="auto" w:sz="4" w:space="0"/>
            </w:tcBorders>
            <w:vAlign w:val="center"/>
          </w:tcPr>
          <w:p w14:paraId="2705F822">
            <w:pPr>
              <w:jc w:val="center"/>
              <w:rPr>
                <w:rFonts w:ascii="宋体" w:hAnsi="宋体" w:cs="宋体"/>
                <w:b/>
                <w:color w:val="auto"/>
                <w:szCs w:val="21"/>
                <w:highlight w:val="none"/>
              </w:rPr>
            </w:pPr>
            <w:r>
              <w:rPr>
                <w:rFonts w:hint="eastAsia" w:ascii="宋体" w:hAnsi="宋体" w:cs="宋体"/>
                <w:bCs/>
                <w:color w:val="auto"/>
                <w:szCs w:val="21"/>
                <w:highlight w:val="none"/>
              </w:rPr>
              <w:t>0-</w:t>
            </w:r>
            <w:r>
              <w:rPr>
                <w:rFonts w:hint="eastAsia" w:ascii="宋体" w:hAnsi="宋体" w:cs="宋体"/>
                <w:bCs/>
                <w:color w:val="auto"/>
                <w:szCs w:val="21"/>
                <w:highlight w:val="none"/>
                <w:lang w:val="en-US" w:eastAsia="zh-CN"/>
              </w:rPr>
              <w:t>3</w:t>
            </w:r>
          </w:p>
        </w:tc>
        <w:tc>
          <w:tcPr>
            <w:tcW w:w="1470" w:type="dxa"/>
            <w:tcBorders>
              <w:top w:val="single" w:color="auto" w:sz="4" w:space="0"/>
              <w:left w:val="single" w:color="auto" w:sz="4" w:space="0"/>
              <w:bottom w:val="single" w:color="auto" w:sz="4" w:space="0"/>
              <w:right w:val="single" w:color="auto" w:sz="4" w:space="0"/>
            </w:tcBorders>
            <w:vAlign w:val="center"/>
          </w:tcPr>
          <w:p w14:paraId="4F0BB2F9">
            <w:pPr>
              <w:jc w:val="left"/>
              <w:rPr>
                <w:rFonts w:ascii="宋体" w:hAnsi="宋体" w:cs="宋体"/>
                <w:b/>
                <w:color w:val="auto"/>
                <w:szCs w:val="21"/>
                <w:highlight w:val="none"/>
              </w:rPr>
            </w:pPr>
            <w:r>
              <w:rPr>
                <w:rFonts w:hint="eastAsia" w:ascii="宋体" w:hAnsi="宋体" w:cs="宋体"/>
                <w:bCs/>
                <w:color w:val="auto"/>
                <w:szCs w:val="21"/>
                <w:highlight w:val="none"/>
              </w:rPr>
              <w:t>附职称证，否则不得分。</w:t>
            </w:r>
          </w:p>
        </w:tc>
      </w:tr>
      <w:tr w14:paraId="70E5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vAlign w:val="center"/>
          </w:tcPr>
          <w:p w14:paraId="0B8E8C68">
            <w:pPr>
              <w:jc w:val="center"/>
              <w:rPr>
                <w:rFonts w:ascii="宋体" w:hAnsi="宋体" w:cs="宋体"/>
                <w:b/>
                <w:color w:val="auto"/>
                <w:szCs w:val="21"/>
                <w:highlight w:val="none"/>
              </w:rPr>
            </w:pPr>
          </w:p>
        </w:tc>
        <w:tc>
          <w:tcPr>
            <w:tcW w:w="851" w:type="dxa"/>
            <w:vMerge w:val="continue"/>
            <w:vAlign w:val="center"/>
          </w:tcPr>
          <w:p w14:paraId="34350556">
            <w:pPr>
              <w:jc w:val="center"/>
              <w:rPr>
                <w:rFonts w:ascii="宋体" w:hAnsi="宋体" w:cs="宋体"/>
                <w:b/>
                <w:color w:val="auto"/>
                <w:szCs w:val="21"/>
                <w:highlight w:val="none"/>
              </w:rPr>
            </w:pPr>
          </w:p>
        </w:tc>
        <w:tc>
          <w:tcPr>
            <w:tcW w:w="5244" w:type="dxa"/>
            <w:tcBorders>
              <w:top w:val="single" w:color="auto" w:sz="4" w:space="0"/>
              <w:left w:val="single" w:color="auto" w:sz="4" w:space="0"/>
              <w:bottom w:val="single" w:color="auto" w:sz="4" w:space="0"/>
              <w:right w:val="single" w:color="auto" w:sz="4" w:space="0"/>
            </w:tcBorders>
            <w:vAlign w:val="center"/>
          </w:tcPr>
          <w:p w14:paraId="5BC0EC4F">
            <w:pPr>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3、拟派驻场人员（客观分）</w:t>
            </w:r>
          </w:p>
          <w:p w14:paraId="34B49900">
            <w:pPr>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具有一级造价工程师资格的1人得2分，具有二级造价工程师资格的1人得1分，满分得4分；</w:t>
            </w:r>
          </w:p>
          <w:p w14:paraId="58BF04CE">
            <w:pPr>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注：已计入“1、拟投入评审人员”得分的不再计入本项“拟投入驻场人员”得分。</w:t>
            </w:r>
          </w:p>
        </w:tc>
        <w:tc>
          <w:tcPr>
            <w:tcW w:w="825" w:type="dxa"/>
            <w:tcBorders>
              <w:top w:val="single" w:color="auto" w:sz="4" w:space="0"/>
              <w:left w:val="single" w:color="auto" w:sz="4" w:space="0"/>
              <w:bottom w:val="single" w:color="auto" w:sz="4" w:space="0"/>
              <w:right w:val="single" w:color="auto" w:sz="4" w:space="0"/>
            </w:tcBorders>
            <w:vAlign w:val="center"/>
          </w:tcPr>
          <w:p w14:paraId="0E90A65D">
            <w:pPr>
              <w:jc w:val="center"/>
              <w:rPr>
                <w:rFonts w:hint="eastAsia" w:ascii="宋体" w:hAnsi="宋体" w:cs="宋体"/>
                <w:bCs/>
                <w:color w:val="auto"/>
                <w:szCs w:val="21"/>
                <w:highlight w:val="none"/>
              </w:rPr>
            </w:pPr>
            <w:r>
              <w:rPr>
                <w:rFonts w:hint="eastAsia" w:ascii="宋体" w:hAnsi="宋体" w:cs="宋体"/>
                <w:bCs/>
                <w:color w:val="auto"/>
                <w:szCs w:val="21"/>
                <w:highlight w:val="none"/>
              </w:rPr>
              <w:t>0-4</w:t>
            </w:r>
          </w:p>
        </w:tc>
        <w:tc>
          <w:tcPr>
            <w:tcW w:w="1470" w:type="dxa"/>
            <w:tcBorders>
              <w:top w:val="single" w:color="auto" w:sz="4" w:space="0"/>
              <w:left w:val="single" w:color="auto" w:sz="4" w:space="0"/>
              <w:bottom w:val="single" w:color="auto" w:sz="4" w:space="0"/>
              <w:right w:val="single" w:color="auto" w:sz="4" w:space="0"/>
            </w:tcBorders>
            <w:vAlign w:val="center"/>
          </w:tcPr>
          <w:p w14:paraId="7EECEBD2">
            <w:pPr>
              <w:jc w:val="left"/>
              <w:rPr>
                <w:rFonts w:hint="eastAsia" w:ascii="宋体" w:hAnsi="宋体" w:cs="宋体"/>
                <w:bCs/>
                <w:color w:val="auto"/>
                <w:szCs w:val="21"/>
                <w:highlight w:val="none"/>
              </w:rPr>
            </w:pPr>
            <w:r>
              <w:rPr>
                <w:rFonts w:hint="eastAsia" w:ascii="宋体" w:hAnsi="宋体" w:cs="宋体"/>
                <w:bCs/>
                <w:color w:val="auto"/>
                <w:szCs w:val="21"/>
                <w:highlight w:val="none"/>
              </w:rPr>
              <w:t>附相关证书，否则不得分。</w:t>
            </w:r>
          </w:p>
        </w:tc>
      </w:tr>
      <w:tr w14:paraId="5070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vAlign w:val="center"/>
          </w:tcPr>
          <w:p w14:paraId="4CA8E5EB">
            <w:pPr>
              <w:jc w:val="center"/>
              <w:rPr>
                <w:rFonts w:ascii="宋体" w:hAnsi="宋体" w:cs="宋体"/>
                <w:b/>
                <w:color w:val="auto"/>
                <w:szCs w:val="21"/>
                <w:highlight w:val="none"/>
              </w:rPr>
            </w:pPr>
          </w:p>
        </w:tc>
        <w:tc>
          <w:tcPr>
            <w:tcW w:w="851" w:type="dxa"/>
            <w:vMerge w:val="continue"/>
            <w:vAlign w:val="center"/>
          </w:tcPr>
          <w:p w14:paraId="4C77A278">
            <w:pPr>
              <w:jc w:val="center"/>
              <w:rPr>
                <w:rFonts w:ascii="宋体" w:hAnsi="宋体" w:cs="宋体"/>
                <w:b/>
                <w:color w:val="auto"/>
                <w:szCs w:val="21"/>
                <w:highlight w:val="none"/>
              </w:rPr>
            </w:pPr>
          </w:p>
        </w:tc>
        <w:tc>
          <w:tcPr>
            <w:tcW w:w="5244" w:type="dxa"/>
            <w:tcBorders>
              <w:top w:val="single" w:color="auto" w:sz="4" w:space="0"/>
              <w:left w:val="single" w:color="auto" w:sz="4" w:space="0"/>
              <w:bottom w:val="single" w:color="auto" w:sz="4" w:space="0"/>
              <w:right w:val="single" w:color="auto" w:sz="4" w:space="0"/>
            </w:tcBorders>
            <w:vAlign w:val="center"/>
          </w:tcPr>
          <w:p w14:paraId="377D1A0B">
            <w:pPr>
              <w:jc w:val="left"/>
              <w:rPr>
                <w:rFonts w:ascii="宋体" w:hAnsi="宋体" w:cs="宋体"/>
                <w:bCs/>
                <w:color w:val="auto"/>
                <w:szCs w:val="21"/>
                <w:highlight w:val="none"/>
              </w:rPr>
            </w:pPr>
            <w:r>
              <w:rPr>
                <w:rFonts w:hint="eastAsia" w:ascii="宋体" w:hAnsi="宋体" w:cs="宋体"/>
                <w:bCs/>
                <w:color w:val="auto"/>
                <w:szCs w:val="21"/>
                <w:highlight w:val="none"/>
                <w:lang w:val="en-US" w:eastAsia="zh-CN" w:bidi="ar"/>
              </w:rPr>
              <w:t>4</w:t>
            </w:r>
            <w:r>
              <w:rPr>
                <w:rFonts w:hint="eastAsia" w:ascii="宋体" w:hAnsi="宋体" w:cs="宋体"/>
                <w:bCs/>
                <w:color w:val="auto"/>
                <w:szCs w:val="21"/>
                <w:highlight w:val="none"/>
                <w:lang w:bidi="ar"/>
              </w:rPr>
              <w:t>、质量控制方案（主观分）</w:t>
            </w:r>
          </w:p>
          <w:p w14:paraId="1A08A95F">
            <w:pPr>
              <w:jc w:val="left"/>
              <w:rPr>
                <w:rFonts w:ascii="宋体" w:hAnsi="宋体" w:cs="宋体"/>
                <w:bCs/>
                <w:color w:val="auto"/>
                <w:szCs w:val="21"/>
                <w:highlight w:val="none"/>
              </w:rPr>
            </w:pPr>
            <w:r>
              <w:rPr>
                <w:rFonts w:hint="eastAsia" w:ascii="宋体" w:hAnsi="宋体" w:cs="宋体"/>
                <w:bCs/>
                <w:color w:val="auto"/>
                <w:szCs w:val="21"/>
                <w:highlight w:val="none"/>
                <w:lang w:bidi="ar"/>
              </w:rPr>
              <w:t>一档（0分）：未提供方案或方案明显不满足要求。</w:t>
            </w:r>
          </w:p>
          <w:p w14:paraId="03A59909">
            <w:pPr>
              <w:jc w:val="left"/>
              <w:rPr>
                <w:rFonts w:ascii="宋体" w:hAnsi="宋体" w:cs="宋体"/>
                <w:bCs/>
                <w:color w:val="auto"/>
                <w:szCs w:val="21"/>
                <w:highlight w:val="none"/>
                <w:lang w:bidi="ar"/>
              </w:rPr>
            </w:pPr>
            <w:r>
              <w:rPr>
                <w:rFonts w:hint="eastAsia" w:ascii="宋体" w:hAnsi="宋体" w:cs="宋体"/>
                <w:bCs/>
                <w:color w:val="auto"/>
                <w:szCs w:val="21"/>
                <w:highlight w:val="none"/>
                <w:lang w:bidi="ar"/>
              </w:rPr>
              <w:t>二档（8分）：复核流程基本达到规范标准，配备有复核人员1人。</w:t>
            </w:r>
          </w:p>
          <w:p w14:paraId="26054832">
            <w:pPr>
              <w:jc w:val="left"/>
              <w:rPr>
                <w:rFonts w:ascii="宋体" w:hAnsi="宋体" w:cs="宋体"/>
                <w:bCs/>
                <w:color w:val="auto"/>
                <w:szCs w:val="21"/>
                <w:highlight w:val="none"/>
              </w:rPr>
            </w:pPr>
            <w:r>
              <w:rPr>
                <w:rFonts w:hint="eastAsia" w:ascii="宋体" w:hAnsi="宋体" w:cs="宋体"/>
                <w:bCs/>
                <w:color w:val="auto"/>
                <w:szCs w:val="21"/>
                <w:highlight w:val="none"/>
              </w:rPr>
              <w:t>三档（12分）：满足二档的基础上，具有可行的质量控制制度，复核人员2人及以上。</w:t>
            </w:r>
          </w:p>
          <w:p w14:paraId="6892603D">
            <w:pPr>
              <w:jc w:val="left"/>
              <w:rPr>
                <w:rFonts w:ascii="宋体" w:hAnsi="宋体" w:cs="宋体"/>
                <w:bCs/>
                <w:color w:val="auto"/>
                <w:szCs w:val="21"/>
                <w:highlight w:val="none"/>
              </w:rPr>
            </w:pPr>
            <w:r>
              <w:rPr>
                <w:rFonts w:hint="eastAsia" w:ascii="宋体" w:hAnsi="宋体" w:cs="宋体"/>
                <w:bCs/>
                <w:color w:val="auto"/>
                <w:szCs w:val="21"/>
                <w:highlight w:val="none"/>
                <w:lang w:bidi="ar"/>
              </w:rPr>
              <w:t>四档（16分）：满足三档的基础上，复核人员专业2类及以上，质量保证措施能够保证投资评审质量，承诺单项工程的评审成果经复核后误差率＜3%。</w:t>
            </w:r>
          </w:p>
          <w:p w14:paraId="79E380D3">
            <w:pPr>
              <w:jc w:val="left"/>
              <w:rPr>
                <w:rFonts w:ascii="宋体" w:hAnsi="宋体" w:cs="宋体"/>
                <w:bCs/>
                <w:color w:val="auto"/>
                <w:szCs w:val="21"/>
                <w:highlight w:val="none"/>
              </w:rPr>
            </w:pPr>
            <w:r>
              <w:rPr>
                <w:rFonts w:hint="eastAsia" w:ascii="宋体" w:hAnsi="宋体" w:cs="宋体"/>
                <w:bCs/>
                <w:color w:val="auto"/>
                <w:szCs w:val="21"/>
                <w:highlight w:val="none"/>
                <w:lang w:bidi="ar"/>
              </w:rPr>
              <w:t>五档（20分）：满足四档的基础上，复核人员专业达到4类，经验丰富。质量控制制度健全，保证措施具体有效。</w:t>
            </w:r>
          </w:p>
          <w:p w14:paraId="67845861">
            <w:pPr>
              <w:jc w:val="left"/>
              <w:rPr>
                <w:rFonts w:ascii="宋体" w:hAnsi="宋体" w:cs="宋体"/>
                <w:bCs/>
                <w:color w:val="auto"/>
                <w:szCs w:val="21"/>
                <w:highlight w:val="none"/>
              </w:rPr>
            </w:pPr>
            <w:r>
              <w:rPr>
                <w:rFonts w:hint="eastAsia" w:ascii="宋体" w:hAnsi="宋体" w:cs="宋体"/>
                <w:bCs/>
                <w:color w:val="auto"/>
                <w:szCs w:val="21"/>
                <w:highlight w:val="none"/>
                <w:lang w:bidi="ar"/>
              </w:rPr>
              <w:t>六档（24分）：满足五档的基础上，质量控制方案内容齐全、完整，管控措施合理有效，可操性强，对质量控制、编审工作中的关键流程把控到位。</w:t>
            </w:r>
          </w:p>
        </w:tc>
        <w:tc>
          <w:tcPr>
            <w:tcW w:w="825" w:type="dxa"/>
            <w:tcBorders>
              <w:top w:val="single" w:color="auto" w:sz="4" w:space="0"/>
              <w:left w:val="single" w:color="auto" w:sz="4" w:space="0"/>
              <w:bottom w:val="single" w:color="auto" w:sz="4" w:space="0"/>
              <w:right w:val="single" w:color="auto" w:sz="4" w:space="0"/>
            </w:tcBorders>
            <w:vAlign w:val="center"/>
          </w:tcPr>
          <w:p w14:paraId="793A57DF">
            <w:pPr>
              <w:jc w:val="center"/>
              <w:rPr>
                <w:rFonts w:ascii="宋体" w:hAnsi="宋体" w:cs="宋体"/>
                <w:bCs/>
                <w:color w:val="auto"/>
                <w:szCs w:val="21"/>
                <w:highlight w:val="none"/>
              </w:rPr>
            </w:pPr>
            <w:r>
              <w:rPr>
                <w:rFonts w:hint="eastAsia" w:ascii="宋体" w:hAnsi="宋体" w:cs="宋体"/>
                <w:bCs/>
                <w:color w:val="auto"/>
                <w:szCs w:val="21"/>
                <w:highlight w:val="none"/>
                <w:lang w:bidi="ar"/>
              </w:rPr>
              <w:t>0-24</w:t>
            </w:r>
          </w:p>
        </w:tc>
        <w:tc>
          <w:tcPr>
            <w:tcW w:w="1470" w:type="dxa"/>
            <w:tcBorders>
              <w:top w:val="single" w:color="auto" w:sz="4" w:space="0"/>
              <w:left w:val="single" w:color="auto" w:sz="4" w:space="0"/>
              <w:bottom w:val="single" w:color="auto" w:sz="4" w:space="0"/>
              <w:right w:val="single" w:color="auto" w:sz="4" w:space="0"/>
            </w:tcBorders>
            <w:vAlign w:val="center"/>
          </w:tcPr>
          <w:p w14:paraId="0D9C6624">
            <w:pPr>
              <w:jc w:val="left"/>
              <w:rPr>
                <w:rFonts w:ascii="宋体" w:hAnsi="宋体" w:cs="宋体"/>
                <w:b/>
                <w:color w:val="auto"/>
                <w:szCs w:val="21"/>
                <w:highlight w:val="none"/>
              </w:rPr>
            </w:pPr>
          </w:p>
        </w:tc>
      </w:tr>
      <w:tr w14:paraId="4A88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vAlign w:val="center"/>
          </w:tcPr>
          <w:p w14:paraId="45313741">
            <w:pPr>
              <w:jc w:val="center"/>
              <w:rPr>
                <w:rFonts w:ascii="宋体" w:hAnsi="宋体" w:cs="宋体"/>
                <w:b/>
                <w:color w:val="auto"/>
                <w:szCs w:val="21"/>
                <w:highlight w:val="none"/>
              </w:rPr>
            </w:pPr>
          </w:p>
        </w:tc>
        <w:tc>
          <w:tcPr>
            <w:tcW w:w="851" w:type="dxa"/>
            <w:vMerge w:val="continue"/>
            <w:vAlign w:val="center"/>
          </w:tcPr>
          <w:p w14:paraId="3C65B262">
            <w:pPr>
              <w:jc w:val="center"/>
              <w:rPr>
                <w:rFonts w:ascii="宋体" w:hAnsi="宋体" w:cs="宋体"/>
                <w:b/>
                <w:color w:val="auto"/>
                <w:szCs w:val="21"/>
                <w:highlight w:val="none"/>
              </w:rPr>
            </w:pPr>
          </w:p>
        </w:tc>
        <w:tc>
          <w:tcPr>
            <w:tcW w:w="5244" w:type="dxa"/>
            <w:tcBorders>
              <w:top w:val="single" w:color="auto" w:sz="4" w:space="0"/>
              <w:left w:val="single" w:color="auto" w:sz="4" w:space="0"/>
              <w:bottom w:val="single" w:color="auto" w:sz="4" w:space="0"/>
              <w:right w:val="single" w:color="auto" w:sz="4" w:space="0"/>
            </w:tcBorders>
            <w:vAlign w:val="center"/>
          </w:tcPr>
          <w:p w14:paraId="3D0EE918">
            <w:pPr>
              <w:jc w:val="left"/>
              <w:rPr>
                <w:rFonts w:ascii="宋体" w:hAnsi="宋体" w:cs="宋体"/>
                <w:bCs/>
                <w:color w:val="auto"/>
                <w:szCs w:val="21"/>
                <w:highlight w:val="none"/>
              </w:rPr>
            </w:pPr>
            <w:r>
              <w:rPr>
                <w:rFonts w:hint="eastAsia" w:ascii="宋体" w:hAnsi="宋体" w:cs="宋体"/>
                <w:bCs/>
                <w:color w:val="auto"/>
                <w:szCs w:val="21"/>
                <w:highlight w:val="none"/>
                <w:lang w:val="en-US" w:eastAsia="zh-CN" w:bidi="ar"/>
              </w:rPr>
              <w:t>5</w:t>
            </w:r>
            <w:r>
              <w:rPr>
                <w:rFonts w:hint="eastAsia" w:ascii="宋体" w:hAnsi="宋体" w:cs="宋体"/>
                <w:bCs/>
                <w:color w:val="auto"/>
                <w:szCs w:val="21"/>
                <w:highlight w:val="none"/>
                <w:lang w:bidi="ar"/>
              </w:rPr>
              <w:t>、服务方案分（主观分）</w:t>
            </w:r>
          </w:p>
          <w:p w14:paraId="326AB703">
            <w:pPr>
              <w:jc w:val="left"/>
              <w:rPr>
                <w:rFonts w:ascii="宋体" w:hAnsi="宋体" w:cs="宋体"/>
                <w:bCs/>
                <w:color w:val="auto"/>
                <w:szCs w:val="21"/>
                <w:highlight w:val="none"/>
              </w:rPr>
            </w:pPr>
            <w:r>
              <w:rPr>
                <w:rFonts w:hint="eastAsia" w:ascii="宋体" w:hAnsi="宋体" w:cs="宋体"/>
                <w:bCs/>
                <w:color w:val="auto"/>
                <w:szCs w:val="21"/>
                <w:highlight w:val="none"/>
                <w:lang w:bidi="ar"/>
              </w:rPr>
              <w:t>一档（0分）：未提供方案或方案明显不满足要求。</w:t>
            </w:r>
          </w:p>
          <w:p w14:paraId="452FEA8A">
            <w:pPr>
              <w:jc w:val="left"/>
              <w:rPr>
                <w:rFonts w:ascii="宋体" w:hAnsi="宋体" w:cs="宋体"/>
                <w:bCs/>
                <w:color w:val="auto"/>
                <w:szCs w:val="21"/>
                <w:highlight w:val="none"/>
              </w:rPr>
            </w:pPr>
            <w:r>
              <w:rPr>
                <w:rFonts w:hint="eastAsia" w:ascii="宋体" w:hAnsi="宋体" w:cs="宋体"/>
                <w:bCs/>
                <w:color w:val="auto"/>
                <w:szCs w:val="21"/>
                <w:highlight w:val="none"/>
                <w:lang w:bidi="ar"/>
              </w:rPr>
              <w:t>二档（6分）：方案基本能满足本项目的基本需求，有工作计划和流程，完成具体项目的时间和技术安排合理。</w:t>
            </w:r>
          </w:p>
          <w:p w14:paraId="3A593E1D">
            <w:pPr>
              <w:jc w:val="left"/>
              <w:rPr>
                <w:rFonts w:ascii="宋体" w:hAnsi="宋体" w:cs="宋体"/>
                <w:bCs/>
                <w:color w:val="auto"/>
                <w:szCs w:val="21"/>
                <w:highlight w:val="none"/>
              </w:rPr>
            </w:pPr>
            <w:r>
              <w:rPr>
                <w:rFonts w:hint="eastAsia" w:ascii="宋体" w:hAnsi="宋体" w:cs="宋体"/>
                <w:bCs/>
                <w:color w:val="auto"/>
                <w:szCs w:val="21"/>
                <w:highlight w:val="none"/>
                <w:lang w:bidi="ar"/>
              </w:rPr>
              <w:t>三档（12分）：方案能满足本项目的基本需求，工作计划和流程合理可行，完成具体项目的时间和技术管理措施切实可行，财政投资评审工作重点难点把握不够准确。</w:t>
            </w:r>
          </w:p>
          <w:p w14:paraId="5DB52F2F">
            <w:pPr>
              <w:jc w:val="left"/>
              <w:rPr>
                <w:rFonts w:ascii="宋体" w:hAnsi="宋体" w:cs="宋体"/>
                <w:bCs/>
                <w:color w:val="auto"/>
                <w:szCs w:val="21"/>
                <w:highlight w:val="none"/>
              </w:rPr>
            </w:pPr>
            <w:r>
              <w:rPr>
                <w:rFonts w:hint="eastAsia" w:ascii="宋体" w:hAnsi="宋体" w:cs="宋体"/>
                <w:bCs/>
                <w:color w:val="auto"/>
                <w:szCs w:val="21"/>
                <w:highlight w:val="none"/>
                <w:lang w:bidi="ar"/>
              </w:rPr>
              <w:t>四档（18分）：方案满足本项目的实际需求，工作计划和流程周详，完成具体项目的时间和技术管理措施稳妥全面，财政投资评审工作重点难点把握到位，能及时响应采购人服务需求，具有廉洁措施。</w:t>
            </w:r>
          </w:p>
          <w:p w14:paraId="030EFBF6">
            <w:pPr>
              <w:jc w:val="left"/>
              <w:rPr>
                <w:rFonts w:ascii="宋体" w:hAnsi="宋体" w:cs="宋体"/>
                <w:bCs/>
                <w:color w:val="auto"/>
                <w:szCs w:val="21"/>
                <w:highlight w:val="none"/>
                <w:lang w:bidi="ar"/>
              </w:rPr>
            </w:pPr>
            <w:r>
              <w:rPr>
                <w:rFonts w:hint="eastAsia" w:ascii="宋体" w:hAnsi="宋体" w:cs="宋体"/>
                <w:bCs/>
                <w:color w:val="auto"/>
                <w:szCs w:val="21"/>
                <w:highlight w:val="none"/>
                <w:lang w:bidi="ar"/>
              </w:rPr>
              <w:t>五档（24分）：满足四档的基础上，对贺州市平桂区财政投资评审工作重点难点把握准确，熟悉财政投资评审工作并可对具体项目提出针对性建议，服务周到。</w:t>
            </w:r>
          </w:p>
          <w:p w14:paraId="0112B656">
            <w:pPr>
              <w:jc w:val="left"/>
              <w:rPr>
                <w:rFonts w:ascii="宋体" w:hAnsi="宋体" w:cs="宋体"/>
                <w:bCs/>
                <w:color w:val="auto"/>
                <w:szCs w:val="21"/>
                <w:highlight w:val="none"/>
              </w:rPr>
            </w:pPr>
            <w:r>
              <w:rPr>
                <w:rFonts w:hint="eastAsia" w:ascii="宋体" w:hAnsi="宋体" w:cs="宋体"/>
                <w:bCs/>
                <w:color w:val="auto"/>
                <w:szCs w:val="21"/>
                <w:highlight w:val="none"/>
                <w:lang w:bidi="ar"/>
              </w:rPr>
              <w:t>六档（30分）：满足五档的基础上，服务便捷响应迅速，至少有技术评审人员3人以上，随时可根据采购人要求配合出差或到项目地办公。</w:t>
            </w:r>
          </w:p>
        </w:tc>
        <w:tc>
          <w:tcPr>
            <w:tcW w:w="825" w:type="dxa"/>
            <w:tcBorders>
              <w:top w:val="single" w:color="auto" w:sz="4" w:space="0"/>
              <w:left w:val="single" w:color="auto" w:sz="4" w:space="0"/>
              <w:bottom w:val="single" w:color="auto" w:sz="4" w:space="0"/>
              <w:right w:val="single" w:color="auto" w:sz="4" w:space="0"/>
            </w:tcBorders>
            <w:vAlign w:val="center"/>
          </w:tcPr>
          <w:p w14:paraId="188B0CBC">
            <w:pPr>
              <w:jc w:val="center"/>
              <w:rPr>
                <w:rFonts w:ascii="宋体" w:hAnsi="宋体" w:cs="宋体"/>
                <w:bCs/>
                <w:color w:val="auto"/>
                <w:szCs w:val="21"/>
                <w:highlight w:val="none"/>
              </w:rPr>
            </w:pPr>
            <w:r>
              <w:rPr>
                <w:rFonts w:hint="eastAsia" w:ascii="宋体" w:hAnsi="宋体" w:cs="宋体"/>
                <w:bCs/>
                <w:color w:val="auto"/>
                <w:szCs w:val="21"/>
                <w:highlight w:val="none"/>
                <w:lang w:bidi="ar"/>
              </w:rPr>
              <w:t>0-30</w:t>
            </w:r>
          </w:p>
        </w:tc>
        <w:tc>
          <w:tcPr>
            <w:tcW w:w="1470" w:type="dxa"/>
            <w:tcBorders>
              <w:top w:val="single" w:color="auto" w:sz="4" w:space="0"/>
              <w:left w:val="single" w:color="auto" w:sz="4" w:space="0"/>
              <w:bottom w:val="single" w:color="auto" w:sz="4" w:space="0"/>
              <w:right w:val="single" w:color="auto" w:sz="4" w:space="0"/>
            </w:tcBorders>
            <w:vAlign w:val="center"/>
          </w:tcPr>
          <w:p w14:paraId="6308623A">
            <w:pPr>
              <w:jc w:val="left"/>
              <w:rPr>
                <w:rFonts w:ascii="宋体" w:hAnsi="宋体" w:cs="宋体"/>
                <w:bCs/>
                <w:color w:val="auto"/>
                <w:szCs w:val="21"/>
                <w:highlight w:val="none"/>
              </w:rPr>
            </w:pPr>
          </w:p>
        </w:tc>
      </w:tr>
      <w:tr w14:paraId="3E4B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vAlign w:val="center"/>
          </w:tcPr>
          <w:p w14:paraId="5A736F25">
            <w:pPr>
              <w:jc w:val="center"/>
              <w:rPr>
                <w:rFonts w:ascii="宋体" w:hAnsi="宋体" w:cs="宋体"/>
                <w:b/>
                <w:color w:val="auto"/>
                <w:szCs w:val="21"/>
                <w:highlight w:val="none"/>
              </w:rPr>
            </w:pPr>
          </w:p>
        </w:tc>
        <w:tc>
          <w:tcPr>
            <w:tcW w:w="851" w:type="dxa"/>
            <w:vMerge w:val="continue"/>
            <w:vAlign w:val="center"/>
          </w:tcPr>
          <w:p w14:paraId="4B24F3A7">
            <w:pPr>
              <w:jc w:val="center"/>
              <w:rPr>
                <w:rFonts w:ascii="宋体" w:hAnsi="宋体" w:cs="宋体"/>
                <w:b/>
                <w:color w:val="auto"/>
                <w:szCs w:val="21"/>
                <w:highlight w:val="none"/>
              </w:rPr>
            </w:pPr>
          </w:p>
        </w:tc>
        <w:tc>
          <w:tcPr>
            <w:tcW w:w="5244" w:type="dxa"/>
            <w:vAlign w:val="center"/>
          </w:tcPr>
          <w:p w14:paraId="5F2C63D4">
            <w:pPr>
              <w:jc w:val="left"/>
              <w:rPr>
                <w:rFonts w:ascii="宋体" w:hAnsi="宋体" w:cs="宋体"/>
                <w:bCs/>
                <w:color w:val="auto"/>
                <w:szCs w:val="21"/>
                <w:highlight w:val="none"/>
              </w:rPr>
            </w:pPr>
            <w:r>
              <w:rPr>
                <w:rFonts w:hint="eastAsia" w:ascii="宋体" w:hAnsi="宋体" w:cs="宋体"/>
                <w:bCs/>
                <w:color w:val="auto"/>
                <w:szCs w:val="21"/>
                <w:highlight w:val="none"/>
                <w:lang w:val="en-US" w:eastAsia="zh-CN" w:bidi="ar"/>
              </w:rPr>
              <w:t>6</w:t>
            </w:r>
            <w:r>
              <w:rPr>
                <w:rFonts w:hint="eastAsia" w:ascii="宋体" w:hAnsi="宋体" w:cs="宋体"/>
                <w:bCs/>
                <w:color w:val="auto"/>
                <w:szCs w:val="21"/>
                <w:highlight w:val="none"/>
                <w:lang w:bidi="ar"/>
              </w:rPr>
              <w:t>、评审报告编制水平（主观分）</w:t>
            </w:r>
          </w:p>
          <w:p w14:paraId="6050048D">
            <w:pPr>
              <w:jc w:val="left"/>
              <w:rPr>
                <w:rFonts w:ascii="宋体" w:hAnsi="宋体" w:cs="宋体"/>
                <w:bCs/>
                <w:color w:val="auto"/>
                <w:szCs w:val="21"/>
                <w:highlight w:val="none"/>
              </w:rPr>
            </w:pPr>
            <w:r>
              <w:rPr>
                <w:rFonts w:hint="eastAsia" w:ascii="宋体" w:hAnsi="宋体" w:cs="宋体"/>
                <w:bCs/>
                <w:color w:val="auto"/>
                <w:szCs w:val="21"/>
                <w:highlight w:val="none"/>
                <w:lang w:bidi="ar"/>
              </w:rPr>
              <w:t>一档（0分）：未提供符合要求的评审报告。</w:t>
            </w:r>
          </w:p>
          <w:p w14:paraId="2731C5E8">
            <w:pPr>
              <w:jc w:val="left"/>
              <w:rPr>
                <w:rFonts w:ascii="宋体" w:hAnsi="宋体" w:cs="宋体"/>
                <w:bCs/>
                <w:color w:val="auto"/>
                <w:szCs w:val="21"/>
                <w:highlight w:val="none"/>
              </w:rPr>
            </w:pPr>
            <w:r>
              <w:rPr>
                <w:rFonts w:hint="eastAsia" w:ascii="宋体" w:hAnsi="宋体" w:cs="宋体"/>
                <w:bCs/>
                <w:color w:val="auto"/>
                <w:szCs w:val="21"/>
                <w:highlight w:val="none"/>
                <w:lang w:bidi="ar"/>
              </w:rPr>
              <w:t>二档（</w:t>
            </w:r>
            <w:r>
              <w:rPr>
                <w:rFonts w:hint="eastAsia" w:ascii="宋体" w:hAnsi="宋体" w:cs="宋体"/>
                <w:bCs/>
                <w:color w:val="auto"/>
                <w:szCs w:val="21"/>
                <w:highlight w:val="none"/>
                <w:lang w:val="en-US" w:eastAsia="zh-CN" w:bidi="ar"/>
              </w:rPr>
              <w:t>4</w:t>
            </w:r>
            <w:r>
              <w:rPr>
                <w:rFonts w:hint="eastAsia" w:ascii="宋体" w:hAnsi="宋体" w:cs="宋体"/>
                <w:bCs/>
                <w:color w:val="auto"/>
                <w:szCs w:val="21"/>
                <w:highlight w:val="none"/>
                <w:lang w:bidi="ar"/>
              </w:rPr>
              <w:t>分）评审报告内容基本完整、数据准确、依据基本充分。评审内容基本全面、完整，评审结论定性基本客观，定量基本准确。</w:t>
            </w:r>
          </w:p>
          <w:p w14:paraId="3D01F091">
            <w:pPr>
              <w:jc w:val="left"/>
              <w:rPr>
                <w:rFonts w:ascii="宋体" w:hAnsi="宋体" w:cs="宋体"/>
                <w:bCs/>
                <w:color w:val="auto"/>
                <w:szCs w:val="21"/>
                <w:highlight w:val="none"/>
              </w:rPr>
            </w:pPr>
            <w:r>
              <w:rPr>
                <w:rFonts w:hint="eastAsia" w:ascii="宋体" w:hAnsi="宋体" w:cs="宋体"/>
                <w:bCs/>
                <w:color w:val="auto"/>
                <w:szCs w:val="21"/>
                <w:highlight w:val="none"/>
                <w:lang w:bidi="ar"/>
              </w:rPr>
              <w:t>三档（</w:t>
            </w:r>
            <w:r>
              <w:rPr>
                <w:rFonts w:hint="eastAsia" w:ascii="宋体" w:hAnsi="宋体" w:cs="宋体"/>
                <w:bCs/>
                <w:color w:val="auto"/>
                <w:szCs w:val="21"/>
                <w:highlight w:val="none"/>
                <w:lang w:val="en-US" w:eastAsia="zh-CN" w:bidi="ar"/>
              </w:rPr>
              <w:t>8</w:t>
            </w:r>
            <w:r>
              <w:rPr>
                <w:rFonts w:hint="eastAsia" w:ascii="宋体" w:hAnsi="宋体" w:cs="宋体"/>
                <w:bCs/>
                <w:color w:val="auto"/>
                <w:szCs w:val="21"/>
                <w:highlight w:val="none"/>
                <w:lang w:bidi="ar"/>
              </w:rPr>
              <w:t>分）：评审报告内容完整、数据准确、依据充分，评审结论定性客观，定量准确，依据充分，表达清楚、完整。</w:t>
            </w:r>
          </w:p>
          <w:p w14:paraId="770BB43E">
            <w:pPr>
              <w:jc w:val="left"/>
              <w:rPr>
                <w:rFonts w:ascii="宋体" w:hAnsi="宋体" w:cs="宋体"/>
                <w:bCs/>
                <w:color w:val="auto"/>
                <w:szCs w:val="21"/>
                <w:highlight w:val="none"/>
              </w:rPr>
            </w:pPr>
            <w:r>
              <w:rPr>
                <w:rFonts w:hint="eastAsia" w:ascii="宋体" w:hAnsi="宋体" w:cs="宋体"/>
                <w:bCs/>
                <w:color w:val="auto"/>
                <w:szCs w:val="21"/>
                <w:highlight w:val="none"/>
                <w:lang w:bidi="ar"/>
              </w:rPr>
              <w:t>四档（1</w:t>
            </w:r>
            <w:r>
              <w:rPr>
                <w:rFonts w:hint="eastAsia" w:ascii="宋体" w:hAnsi="宋体" w:cs="宋体"/>
                <w:bCs/>
                <w:color w:val="auto"/>
                <w:szCs w:val="21"/>
                <w:highlight w:val="none"/>
                <w:lang w:val="en-US" w:eastAsia="zh-CN" w:bidi="ar"/>
              </w:rPr>
              <w:t>2</w:t>
            </w:r>
            <w:r>
              <w:rPr>
                <w:rFonts w:hint="eastAsia" w:ascii="宋体" w:hAnsi="宋体" w:cs="宋体"/>
                <w:bCs/>
                <w:color w:val="auto"/>
                <w:szCs w:val="21"/>
                <w:highlight w:val="none"/>
                <w:lang w:bidi="ar"/>
              </w:rPr>
              <w:t>分）：满足三档的基础上，核增核减原因定性准确、条理清晰，披露问题有理有据、分析透彻，提出评审建议措施具体、针对性强。</w:t>
            </w:r>
          </w:p>
        </w:tc>
        <w:tc>
          <w:tcPr>
            <w:tcW w:w="825" w:type="dxa"/>
            <w:vAlign w:val="center"/>
          </w:tcPr>
          <w:p w14:paraId="399C07C4">
            <w:pPr>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bidi="ar"/>
              </w:rPr>
              <w:t>0-1</w:t>
            </w:r>
            <w:r>
              <w:rPr>
                <w:rFonts w:hint="eastAsia" w:ascii="宋体" w:hAnsi="宋体" w:cs="宋体"/>
                <w:bCs/>
                <w:color w:val="auto"/>
                <w:szCs w:val="21"/>
                <w:highlight w:val="none"/>
                <w:lang w:val="en-US" w:eastAsia="zh-CN" w:bidi="ar"/>
              </w:rPr>
              <w:t>2</w:t>
            </w:r>
          </w:p>
        </w:tc>
        <w:tc>
          <w:tcPr>
            <w:tcW w:w="1470" w:type="dxa"/>
            <w:vAlign w:val="center"/>
          </w:tcPr>
          <w:p w14:paraId="0379FAA6">
            <w:pPr>
              <w:jc w:val="left"/>
              <w:rPr>
                <w:rFonts w:ascii="宋体" w:hAnsi="宋体" w:cs="宋体"/>
                <w:bCs/>
                <w:color w:val="auto"/>
                <w:szCs w:val="21"/>
                <w:highlight w:val="none"/>
              </w:rPr>
            </w:pPr>
            <w:r>
              <w:rPr>
                <w:rFonts w:hint="eastAsia" w:ascii="宋体" w:hAnsi="宋体" w:cs="宋体"/>
                <w:bCs/>
                <w:color w:val="auto"/>
                <w:szCs w:val="21"/>
                <w:highlight w:val="none"/>
              </w:rPr>
              <w:t>1.以“</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.业绩”中任一项目的评审报告（只提供正文部分，不需要提供附件）为评分依据。</w:t>
            </w:r>
          </w:p>
          <w:p w14:paraId="1F9E5794">
            <w:pPr>
              <w:jc w:val="left"/>
              <w:rPr>
                <w:rFonts w:ascii="宋体" w:hAnsi="宋体" w:cs="宋体"/>
                <w:b/>
                <w:color w:val="auto"/>
                <w:szCs w:val="21"/>
                <w:highlight w:val="none"/>
              </w:rPr>
            </w:pPr>
            <w:r>
              <w:rPr>
                <w:rFonts w:hint="eastAsia" w:ascii="宋体" w:hAnsi="宋体" w:cs="宋体"/>
                <w:bCs/>
                <w:color w:val="auto"/>
                <w:szCs w:val="21"/>
                <w:highlight w:val="none"/>
              </w:rPr>
              <w:t>2.如附多份评审报告，仅以第一份报告为评分依据。</w:t>
            </w:r>
          </w:p>
        </w:tc>
      </w:tr>
      <w:tr w14:paraId="55D6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Align w:val="center"/>
          </w:tcPr>
          <w:p w14:paraId="633EF0B5">
            <w:pPr>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851" w:type="dxa"/>
            <w:vAlign w:val="center"/>
          </w:tcPr>
          <w:p w14:paraId="45F5ECF9">
            <w:pPr>
              <w:jc w:val="center"/>
              <w:rPr>
                <w:rFonts w:ascii="宋体" w:hAnsi="宋体" w:cs="宋体"/>
                <w:b/>
                <w:color w:val="auto"/>
                <w:szCs w:val="21"/>
                <w:highlight w:val="none"/>
              </w:rPr>
            </w:pPr>
            <w:r>
              <w:rPr>
                <w:rFonts w:hint="eastAsia" w:ascii="宋体" w:hAnsi="宋体" w:cs="宋体"/>
                <w:bCs/>
                <w:color w:val="auto"/>
                <w:szCs w:val="21"/>
                <w:highlight w:val="none"/>
              </w:rPr>
              <w:t>商务资信分（1</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c>
          <w:tcPr>
            <w:tcW w:w="5244" w:type="dxa"/>
            <w:tcBorders>
              <w:top w:val="single" w:color="auto" w:sz="4" w:space="0"/>
              <w:left w:val="single" w:color="auto" w:sz="4" w:space="0"/>
              <w:bottom w:val="single" w:color="auto" w:sz="4" w:space="0"/>
              <w:right w:val="single" w:color="auto" w:sz="4" w:space="0"/>
            </w:tcBorders>
            <w:vAlign w:val="center"/>
          </w:tcPr>
          <w:p w14:paraId="3734EFB7">
            <w:pPr>
              <w:jc w:val="left"/>
              <w:rPr>
                <w:rFonts w:ascii="宋体" w:hAnsi="宋体" w:cs="宋体"/>
                <w:bCs/>
                <w:color w:val="auto"/>
                <w:szCs w:val="21"/>
                <w:highlight w:val="none"/>
              </w:rPr>
            </w:pP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、业绩（客观分）</w:t>
            </w:r>
          </w:p>
          <w:p w14:paraId="4D9FBC11">
            <w:pPr>
              <w:jc w:val="left"/>
              <w:rPr>
                <w:rFonts w:ascii="宋体" w:hAnsi="宋体" w:cs="宋体"/>
                <w:bCs/>
                <w:color w:val="auto"/>
                <w:szCs w:val="21"/>
                <w:highlight w:val="none"/>
              </w:rPr>
            </w:pPr>
            <w:r>
              <w:rPr>
                <w:rFonts w:hint="eastAsia" w:ascii="宋体" w:hAnsi="宋体" w:cs="宋体"/>
                <w:bCs/>
                <w:color w:val="auto"/>
                <w:szCs w:val="21"/>
                <w:highlight w:val="none"/>
              </w:rPr>
              <w:t>2022年至今，承接过财政、审计部门委托评审且有本次拟派评审人员参与过的结算编审服务每个项目业绩得1.5分。</w:t>
            </w:r>
          </w:p>
        </w:tc>
        <w:tc>
          <w:tcPr>
            <w:tcW w:w="825" w:type="dxa"/>
            <w:tcBorders>
              <w:top w:val="single" w:color="auto" w:sz="4" w:space="0"/>
              <w:left w:val="single" w:color="auto" w:sz="4" w:space="0"/>
              <w:bottom w:val="single" w:color="auto" w:sz="4" w:space="0"/>
              <w:right w:val="single" w:color="auto" w:sz="4" w:space="0"/>
            </w:tcBorders>
            <w:vAlign w:val="center"/>
          </w:tcPr>
          <w:p w14:paraId="0CEC1DC0">
            <w:pPr>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0-1</w:t>
            </w:r>
            <w:r>
              <w:rPr>
                <w:rFonts w:hint="eastAsia" w:ascii="宋体" w:hAnsi="宋体" w:cs="宋体"/>
                <w:bCs/>
                <w:color w:val="auto"/>
                <w:szCs w:val="21"/>
                <w:highlight w:val="none"/>
                <w:lang w:val="en-US" w:eastAsia="zh-CN"/>
              </w:rPr>
              <w:t>5</w:t>
            </w:r>
          </w:p>
        </w:tc>
        <w:tc>
          <w:tcPr>
            <w:tcW w:w="1470" w:type="dxa"/>
            <w:tcBorders>
              <w:top w:val="single" w:color="auto" w:sz="4" w:space="0"/>
              <w:left w:val="single" w:color="auto" w:sz="4" w:space="0"/>
              <w:bottom w:val="single" w:color="auto" w:sz="4" w:space="0"/>
              <w:right w:val="single" w:color="auto" w:sz="4" w:space="0"/>
            </w:tcBorders>
            <w:vAlign w:val="center"/>
          </w:tcPr>
          <w:p w14:paraId="572477E7">
            <w:pPr>
              <w:jc w:val="left"/>
              <w:rPr>
                <w:rFonts w:ascii="宋体" w:hAnsi="宋体" w:cs="宋体"/>
                <w:bCs/>
                <w:color w:val="auto"/>
                <w:szCs w:val="21"/>
                <w:highlight w:val="none"/>
              </w:rPr>
            </w:pPr>
            <w:r>
              <w:rPr>
                <w:rFonts w:hint="eastAsia" w:ascii="宋体" w:hAnsi="宋体" w:cs="宋体"/>
                <w:bCs/>
                <w:color w:val="auto"/>
                <w:szCs w:val="21"/>
                <w:highlight w:val="none"/>
              </w:rPr>
              <w:t>附单位委托文件或合同或项目审定表/单等证明材料，证明材料一定要有委托单位的公章。</w:t>
            </w:r>
          </w:p>
        </w:tc>
      </w:tr>
    </w:tbl>
    <w:p w14:paraId="45B2275B">
      <w:pPr>
        <w:ind w:firstLine="420" w:firstLineChars="200"/>
        <w:rPr>
          <w:color w:val="auto"/>
          <w:highlight w:val="none"/>
        </w:rPr>
      </w:pPr>
      <w:r>
        <w:rPr>
          <w:rFonts w:hint="eastAsia"/>
          <w:color w:val="auto"/>
          <w:highlight w:val="none"/>
        </w:rPr>
        <w:t>（2）政策性扣除计算方法</w:t>
      </w:r>
    </w:p>
    <w:p w14:paraId="5328C171">
      <w:pPr>
        <w:ind w:firstLine="420" w:firstLineChars="200"/>
        <w:rPr>
          <w:color w:val="auto"/>
          <w:highlight w:val="none"/>
        </w:rPr>
      </w:pPr>
      <w:r>
        <w:rPr>
          <w:rFonts w:hint="eastAsia"/>
          <w:color w:val="auto"/>
          <w:highlight w:val="none"/>
        </w:rPr>
        <w:t>本项目评审方法为质量优先法，不涉及价格评审，故不对小微企业报价给予价格扣除。</w:t>
      </w:r>
    </w:p>
    <w:p w14:paraId="23FD5784">
      <w:pPr>
        <w:spacing w:before="120" w:line="320" w:lineRule="atLeast"/>
        <w:ind w:firstLine="422" w:firstLineChars="200"/>
        <w:rPr>
          <w:b/>
          <w:bCs/>
          <w:color w:val="auto"/>
          <w:highlight w:val="none"/>
        </w:rPr>
      </w:pPr>
    </w:p>
    <w:p w14:paraId="570D2849">
      <w:pPr>
        <w:ind w:firstLine="420" w:firstLineChars="200"/>
        <w:jc w:val="center"/>
        <w:outlineLvl w:val="0"/>
        <w:rPr>
          <w:color w:val="auto"/>
          <w:sz w:val="32"/>
          <w:szCs w:val="32"/>
          <w:highlight w:val="none"/>
        </w:rPr>
      </w:pPr>
      <w:r>
        <w:rPr>
          <w:color w:val="auto"/>
          <w:highlight w:val="none"/>
        </w:rPr>
        <w:br w:type="page"/>
      </w:r>
      <w:bookmarkEnd w:id="24"/>
      <w:bookmarkEnd w:id="25"/>
      <w:bookmarkStart w:id="74" w:name="_Toc13721"/>
      <w:r>
        <w:rPr>
          <w:color w:val="auto"/>
          <w:sz w:val="32"/>
          <w:szCs w:val="32"/>
          <w:highlight w:val="none"/>
        </w:rPr>
        <w:t xml:space="preserve">第五章  </w:t>
      </w:r>
      <w:r>
        <w:rPr>
          <w:rFonts w:hint="eastAsia"/>
          <w:color w:val="auto"/>
          <w:sz w:val="32"/>
          <w:szCs w:val="32"/>
          <w:highlight w:val="none"/>
        </w:rPr>
        <w:t>框架协议</w:t>
      </w:r>
      <w:bookmarkEnd w:id="74"/>
    </w:p>
    <w:p w14:paraId="2506B3CE">
      <w:pPr>
        <w:pStyle w:val="26"/>
        <w:snapToGrid w:val="0"/>
        <w:spacing w:before="120" w:after="120" w:line="320" w:lineRule="exact"/>
        <w:jc w:val="center"/>
        <w:rPr>
          <w:rFonts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rPr>
        <w:t>标项一框架协议</w:t>
      </w:r>
    </w:p>
    <w:p w14:paraId="37903CFF">
      <w:pPr>
        <w:snapToGrid w:val="0"/>
        <w:spacing w:before="120" w:after="120" w:line="320" w:lineRule="exact"/>
        <w:rPr>
          <w:color w:val="auto"/>
          <w:szCs w:val="21"/>
          <w:highlight w:val="none"/>
        </w:rPr>
      </w:pPr>
      <w:bookmarkStart w:id="75" w:name="_Hlk98842414"/>
      <w:r>
        <w:rPr>
          <w:rFonts w:hint="eastAsia"/>
          <w:color w:val="auto"/>
          <w:szCs w:val="21"/>
          <w:highlight w:val="none"/>
        </w:rPr>
        <w:t>协议甲方（征集人）：</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5294C990">
      <w:pPr>
        <w:snapToGrid w:val="0"/>
        <w:spacing w:before="120" w:after="120" w:line="320" w:lineRule="exact"/>
        <w:rPr>
          <w:color w:val="auto"/>
          <w:szCs w:val="21"/>
          <w:highlight w:val="none"/>
        </w:rPr>
      </w:pPr>
      <w:r>
        <w:rPr>
          <w:rFonts w:hint="eastAsia"/>
          <w:color w:val="auto"/>
          <w:szCs w:val="21"/>
          <w:highlight w:val="none"/>
        </w:rPr>
        <w:t>协议乙方（入围供应商）：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353BA3A2">
      <w:pPr>
        <w:snapToGrid w:val="0"/>
        <w:spacing w:before="120" w:after="120" w:line="320" w:lineRule="exact"/>
        <w:rPr>
          <w:color w:val="auto"/>
          <w:szCs w:val="21"/>
          <w:highlight w:val="none"/>
        </w:rPr>
      </w:pPr>
    </w:p>
    <w:p w14:paraId="649BB6A3">
      <w:pPr>
        <w:snapToGrid w:val="0"/>
        <w:spacing w:before="120" w:after="120" w:line="320" w:lineRule="exact"/>
        <w:ind w:firstLine="420" w:firstLineChars="200"/>
        <w:rPr>
          <w:color w:val="auto"/>
          <w:szCs w:val="21"/>
          <w:highlight w:val="none"/>
        </w:rPr>
      </w:pPr>
      <w:r>
        <w:rPr>
          <w:rFonts w:hint="eastAsia"/>
          <w:color w:val="auto"/>
          <w:szCs w:val="21"/>
          <w:highlight w:val="none"/>
        </w:rPr>
        <w:t>根据《中华人民共和国政府采购法》、《政府采购框架协议采购方式管理暂行办法》等相关法律，按照征集文件约定的事项以及协议乙方的响应文件及其承诺，协议甲乙双方签订框架协议。</w:t>
      </w:r>
    </w:p>
    <w:p w14:paraId="096053EE">
      <w:pPr>
        <w:snapToGrid w:val="0"/>
        <w:spacing w:before="120" w:after="120" w:line="320" w:lineRule="exact"/>
        <w:rPr>
          <w:b/>
          <w:bCs/>
          <w:color w:val="auto"/>
          <w:szCs w:val="21"/>
          <w:highlight w:val="none"/>
        </w:rPr>
      </w:pPr>
      <w:r>
        <w:rPr>
          <w:rFonts w:hint="eastAsia"/>
          <w:b/>
          <w:bCs/>
          <w:color w:val="auto"/>
          <w:szCs w:val="21"/>
          <w:highlight w:val="none"/>
        </w:rPr>
        <w:t>第一条 项目基本信息</w:t>
      </w:r>
    </w:p>
    <w:p w14:paraId="003B38DC">
      <w:pPr>
        <w:snapToGrid w:val="0"/>
        <w:spacing w:before="120" w:after="120" w:line="320" w:lineRule="exact"/>
        <w:rPr>
          <w:rFonts w:hint="eastAsia" w:eastAsia="宋体"/>
          <w:color w:val="auto"/>
          <w:szCs w:val="21"/>
          <w:highlight w:val="none"/>
          <w:u w:val="single"/>
          <w:lang w:eastAsia="zh-CN"/>
        </w:rPr>
      </w:pPr>
      <w:r>
        <w:rPr>
          <w:rFonts w:hint="eastAsia"/>
          <w:color w:val="auto"/>
          <w:szCs w:val="21"/>
          <w:highlight w:val="none"/>
        </w:rPr>
        <w:t>1．项目名称：</w:t>
      </w:r>
      <w:r>
        <w:rPr>
          <w:rFonts w:hint="eastAsia"/>
          <w:color w:val="auto"/>
          <w:szCs w:val="21"/>
          <w:highlight w:val="none"/>
          <w:u w:val="single"/>
          <w:lang w:eastAsia="zh-CN"/>
        </w:rPr>
        <w:t>贺州市平桂区财政局2026～2027年度政府投资项目评审服务</w:t>
      </w:r>
    </w:p>
    <w:p w14:paraId="2BF50135">
      <w:pPr>
        <w:snapToGrid w:val="0"/>
        <w:spacing w:before="120" w:after="120" w:line="320" w:lineRule="exact"/>
        <w:rPr>
          <w:color w:val="auto"/>
          <w:szCs w:val="21"/>
          <w:highlight w:val="none"/>
          <w:u w:val="single"/>
        </w:rPr>
      </w:pPr>
      <w:r>
        <w:rPr>
          <w:rFonts w:hint="eastAsia"/>
          <w:color w:val="auto"/>
          <w:szCs w:val="21"/>
          <w:highlight w:val="none"/>
        </w:rPr>
        <w:t>2．项目编号：</w:t>
      </w:r>
      <w:r>
        <w:rPr>
          <w:rFonts w:hint="eastAsia"/>
          <w:color w:val="auto"/>
          <w:szCs w:val="21"/>
          <w:highlight w:val="none"/>
          <w:u w:val="single"/>
        </w:rPr>
        <w:t xml:space="preserve"> </w:t>
      </w:r>
      <w:r>
        <w:rPr>
          <w:color w:val="auto"/>
          <w:szCs w:val="21"/>
          <w:highlight w:val="none"/>
          <w:u w:val="single"/>
        </w:rPr>
        <w:t xml:space="preserve">                              </w:t>
      </w:r>
    </w:p>
    <w:p w14:paraId="0BAD1398">
      <w:pPr>
        <w:snapToGrid w:val="0"/>
        <w:spacing w:before="120" w:after="120" w:line="320" w:lineRule="exact"/>
        <w:rPr>
          <w:color w:val="auto"/>
          <w:szCs w:val="21"/>
          <w:highlight w:val="none"/>
          <w:u w:val="single"/>
        </w:rPr>
      </w:pPr>
      <w:r>
        <w:rPr>
          <w:rFonts w:hint="eastAsia"/>
          <w:color w:val="auto"/>
          <w:szCs w:val="21"/>
          <w:highlight w:val="none"/>
        </w:rPr>
        <w:t>3．标项：</w:t>
      </w:r>
      <w:r>
        <w:rPr>
          <w:rFonts w:hint="eastAsia"/>
          <w:color w:val="auto"/>
          <w:szCs w:val="21"/>
          <w:highlight w:val="none"/>
          <w:u w:val="single"/>
        </w:rPr>
        <w:t>标项一</w:t>
      </w:r>
    </w:p>
    <w:p w14:paraId="703012CE">
      <w:pPr>
        <w:snapToGrid w:val="0"/>
        <w:spacing w:before="120" w:after="120" w:line="320" w:lineRule="exact"/>
        <w:rPr>
          <w:color w:val="auto"/>
          <w:szCs w:val="21"/>
          <w:highlight w:val="none"/>
          <w:u w:val="single"/>
        </w:rPr>
      </w:pPr>
      <w:r>
        <w:rPr>
          <w:color w:val="auto"/>
          <w:szCs w:val="21"/>
          <w:highlight w:val="none"/>
        </w:rPr>
        <w:t>4</w:t>
      </w:r>
      <w:r>
        <w:rPr>
          <w:rFonts w:hint="eastAsia"/>
          <w:color w:val="auto"/>
          <w:szCs w:val="21"/>
          <w:highlight w:val="none"/>
        </w:rPr>
        <w:t>．采购需求：</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详见附件</w:t>
      </w:r>
      <w:r>
        <w:rPr>
          <w:color w:val="auto"/>
          <w:szCs w:val="21"/>
          <w:highlight w:val="none"/>
          <w:u w:val="single"/>
        </w:rPr>
        <w:t xml:space="preserve">    </w:t>
      </w:r>
    </w:p>
    <w:p w14:paraId="11E83DBC">
      <w:pPr>
        <w:snapToGrid w:val="0"/>
        <w:spacing w:before="120" w:after="120" w:line="320" w:lineRule="exact"/>
        <w:rPr>
          <w:color w:val="auto"/>
          <w:szCs w:val="21"/>
          <w:highlight w:val="none"/>
          <w:u w:val="single"/>
        </w:rPr>
      </w:pPr>
      <w:r>
        <w:rPr>
          <w:color w:val="auto"/>
          <w:szCs w:val="21"/>
          <w:highlight w:val="none"/>
        </w:rPr>
        <w:t>5</w:t>
      </w:r>
      <w:r>
        <w:rPr>
          <w:rFonts w:hint="eastAsia"/>
          <w:color w:val="auto"/>
          <w:szCs w:val="21"/>
          <w:highlight w:val="none"/>
        </w:rPr>
        <w:t>．框架协议期限：</w:t>
      </w:r>
      <w:r>
        <w:rPr>
          <w:rFonts w:hint="eastAsia"/>
          <w:color w:val="auto"/>
          <w:szCs w:val="21"/>
          <w:highlight w:val="none"/>
          <w:u w:val="single"/>
        </w:rPr>
        <w:t>2年</w:t>
      </w:r>
    </w:p>
    <w:p w14:paraId="1A66E677">
      <w:pPr>
        <w:snapToGrid w:val="0"/>
        <w:spacing w:before="120" w:after="120" w:line="320" w:lineRule="exact"/>
        <w:rPr>
          <w:color w:val="auto"/>
          <w:szCs w:val="21"/>
          <w:highlight w:val="none"/>
        </w:rPr>
      </w:pPr>
      <w:r>
        <w:rPr>
          <w:rFonts w:hint="eastAsia"/>
          <w:color w:val="auto"/>
          <w:szCs w:val="21"/>
          <w:highlight w:val="none"/>
        </w:rPr>
        <w:t>6．</w:t>
      </w:r>
      <w:r>
        <w:rPr>
          <w:color w:val="auto"/>
          <w:szCs w:val="21"/>
          <w:highlight w:val="none"/>
        </w:rPr>
        <w:t>最高限制单价：</w:t>
      </w:r>
    </w:p>
    <w:tbl>
      <w:tblPr>
        <w:tblStyle w:val="51"/>
        <w:tblW w:w="87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6"/>
        <w:gridCol w:w="7437"/>
      </w:tblGrid>
      <w:tr w14:paraId="30B3B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2717EE9E">
            <w:pPr>
              <w:jc w:val="center"/>
              <w:rPr>
                <w:rFonts w:ascii="宋体" w:hAnsi="宋体" w:cs="宋体"/>
                <w:b/>
                <w:color w:val="auto"/>
                <w:szCs w:val="21"/>
                <w:highlight w:val="none"/>
              </w:rPr>
            </w:pPr>
            <w:r>
              <w:rPr>
                <w:rFonts w:hint="eastAsia" w:ascii="宋体" w:hAnsi="宋体" w:cs="宋体"/>
                <w:b/>
                <w:color w:val="auto"/>
                <w:szCs w:val="21"/>
                <w:highlight w:val="none"/>
              </w:rPr>
              <w:t>标项</w:t>
            </w:r>
          </w:p>
        </w:tc>
        <w:tc>
          <w:tcPr>
            <w:tcW w:w="7437" w:type="dxa"/>
            <w:tcBorders>
              <w:top w:val="single" w:color="auto" w:sz="4" w:space="0"/>
              <w:left w:val="single" w:color="auto" w:sz="4" w:space="0"/>
              <w:bottom w:val="single" w:color="auto" w:sz="4" w:space="0"/>
              <w:right w:val="single" w:color="auto" w:sz="4" w:space="0"/>
            </w:tcBorders>
            <w:vAlign w:val="center"/>
          </w:tcPr>
          <w:p w14:paraId="1A351800">
            <w:pPr>
              <w:jc w:val="center"/>
              <w:rPr>
                <w:rFonts w:ascii="宋体" w:hAnsi="宋体" w:cs="宋体"/>
                <w:b/>
                <w:bCs/>
                <w:color w:val="auto"/>
                <w:szCs w:val="21"/>
                <w:highlight w:val="none"/>
              </w:rPr>
            </w:pPr>
            <w:r>
              <w:rPr>
                <w:rFonts w:hint="eastAsia" w:ascii="宋体" w:hAnsi="宋体" w:cs="宋体"/>
                <w:b/>
                <w:bCs/>
                <w:color w:val="auto"/>
                <w:szCs w:val="21"/>
                <w:highlight w:val="none"/>
              </w:rPr>
              <w:t>限价</w:t>
            </w:r>
          </w:p>
        </w:tc>
      </w:tr>
      <w:tr w14:paraId="72B61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vAlign w:val="center"/>
          </w:tcPr>
          <w:p w14:paraId="7897C8F5">
            <w:pPr>
              <w:jc w:val="center"/>
              <w:rPr>
                <w:rFonts w:ascii="宋体" w:hAnsi="宋体" w:cs="宋体"/>
                <w:color w:val="auto"/>
                <w:szCs w:val="21"/>
                <w:highlight w:val="none"/>
              </w:rPr>
            </w:pPr>
            <w:r>
              <w:rPr>
                <w:rFonts w:hint="eastAsia" w:ascii="宋体" w:hAnsi="宋体" w:cs="宋体"/>
                <w:color w:val="auto"/>
                <w:szCs w:val="21"/>
                <w:highlight w:val="none"/>
              </w:rPr>
              <w:t>一</w:t>
            </w:r>
          </w:p>
        </w:tc>
        <w:tc>
          <w:tcPr>
            <w:tcW w:w="7437" w:type="dxa"/>
            <w:tcBorders>
              <w:top w:val="single" w:color="auto" w:sz="4" w:space="0"/>
              <w:left w:val="single" w:color="auto" w:sz="4" w:space="0"/>
              <w:bottom w:val="single" w:color="auto" w:sz="4" w:space="0"/>
              <w:right w:val="single" w:color="auto" w:sz="4" w:space="0"/>
            </w:tcBorders>
            <w:vAlign w:val="center"/>
          </w:tcPr>
          <w:p w14:paraId="3D758A7A">
            <w:pP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将项目委托</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评审时，按以下费率计算服务费用：</w:t>
            </w:r>
          </w:p>
          <w:p w14:paraId="3CC19241">
            <w:pPr>
              <w:rPr>
                <w:rFonts w:hint="eastAsia" w:ascii="宋体" w:hAnsi="宋体" w:cs="宋体"/>
                <w:color w:val="auto"/>
                <w:szCs w:val="21"/>
                <w:highlight w:val="none"/>
              </w:rPr>
            </w:pPr>
            <w:r>
              <w:rPr>
                <w:rFonts w:hint="eastAsia" w:ascii="宋体" w:hAnsi="宋体" w:cs="宋体"/>
                <w:color w:val="auto"/>
                <w:szCs w:val="21"/>
                <w:highlight w:val="none"/>
              </w:rPr>
              <w:t>（1）审核工程概（预）算（含工程量清单、上限控制价），编审费按审查工程项目送审总造价1‰核定基本付费额。</w:t>
            </w:r>
          </w:p>
          <w:p w14:paraId="4D416B6B">
            <w:pPr>
              <w:rPr>
                <w:rFonts w:hint="eastAsia" w:ascii="宋体" w:hAnsi="宋体" w:cs="宋体"/>
                <w:color w:val="auto"/>
                <w:szCs w:val="21"/>
                <w:highlight w:val="none"/>
              </w:rPr>
            </w:pPr>
            <w:r>
              <w:rPr>
                <w:rFonts w:hint="eastAsia" w:ascii="宋体" w:hAnsi="宋体" w:cs="宋体"/>
                <w:color w:val="auto"/>
                <w:szCs w:val="21"/>
                <w:highlight w:val="none"/>
              </w:rPr>
              <w:t>（2）审核工程概（预）算（含工程量清单、上限控制价），审减（增）费按审查定案净减（增）值的3%核定基本付费额。</w:t>
            </w:r>
          </w:p>
          <w:p w14:paraId="36650862">
            <w:pPr>
              <w:rPr>
                <w:rFonts w:hint="eastAsia" w:ascii="宋体" w:hAnsi="宋体" w:cs="宋体"/>
                <w:color w:val="auto"/>
                <w:szCs w:val="21"/>
                <w:highlight w:val="none"/>
              </w:rPr>
            </w:pPr>
            <w:r>
              <w:rPr>
                <w:rFonts w:hint="eastAsia" w:ascii="宋体" w:hAnsi="宋体" w:cs="宋体"/>
                <w:color w:val="auto"/>
                <w:szCs w:val="21"/>
                <w:highlight w:val="none"/>
              </w:rPr>
              <w:t>单个工程项目按上述两种费率合计计算。单个工程项目评审服务费不足2000元的，按2000元付费。单个工程项目的评审服务费上限为</w:t>
            </w:r>
            <w:r>
              <w:rPr>
                <w:rFonts w:hint="eastAsia" w:ascii="宋体" w:hAnsi="宋体" w:cs="宋体"/>
                <w:color w:val="auto"/>
                <w:szCs w:val="21"/>
                <w:highlight w:val="none"/>
                <w:lang w:val="en-US" w:eastAsia="zh-CN"/>
              </w:rPr>
              <w:t>49</w:t>
            </w:r>
            <w:r>
              <w:rPr>
                <w:rFonts w:hint="eastAsia" w:ascii="宋体" w:hAnsi="宋体" w:cs="宋体"/>
                <w:color w:val="auto"/>
                <w:szCs w:val="21"/>
                <w:highlight w:val="none"/>
              </w:rPr>
              <w:t>万元且≤送审金额的3‰。</w:t>
            </w:r>
          </w:p>
          <w:p w14:paraId="4F4C7106">
            <w:pPr>
              <w:rPr>
                <w:rFonts w:hint="eastAsia" w:ascii="宋体" w:hAnsi="宋体" w:cs="宋体"/>
                <w:color w:val="auto"/>
                <w:szCs w:val="21"/>
                <w:highlight w:val="none"/>
              </w:rPr>
            </w:pPr>
            <w:r>
              <w:rPr>
                <w:rFonts w:hint="eastAsia" w:ascii="宋体" w:hAnsi="宋体" w:cs="宋体"/>
                <w:color w:val="auto"/>
                <w:szCs w:val="21"/>
                <w:highlight w:val="none"/>
              </w:rPr>
              <w:t>2.在计算和支付评审服务费时，</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根据实际情况增加或降低难度系数，具体分类如下：</w:t>
            </w:r>
          </w:p>
          <w:p w14:paraId="5059B5F4">
            <w:pPr>
              <w:rPr>
                <w:rFonts w:hint="eastAsia" w:ascii="宋体" w:hAnsi="宋体" w:cs="宋体"/>
                <w:color w:val="auto"/>
                <w:szCs w:val="21"/>
                <w:highlight w:val="none"/>
              </w:rPr>
            </w:pPr>
            <w:r>
              <w:rPr>
                <w:rFonts w:hint="eastAsia" w:ascii="宋体" w:hAnsi="宋体" w:cs="宋体"/>
                <w:color w:val="auto"/>
                <w:szCs w:val="21"/>
                <w:highlight w:val="none"/>
              </w:rPr>
              <w:t>（1）项目跨市，增加难度系数0.1。</w:t>
            </w:r>
          </w:p>
          <w:p w14:paraId="0BF2215D">
            <w:pPr>
              <w:rPr>
                <w:rFonts w:hint="eastAsia" w:ascii="宋体" w:hAnsi="宋体" w:cs="宋体"/>
                <w:color w:val="auto"/>
                <w:szCs w:val="21"/>
                <w:highlight w:val="none"/>
              </w:rPr>
            </w:pPr>
            <w:r>
              <w:rPr>
                <w:rFonts w:hint="eastAsia" w:ascii="宋体" w:hAnsi="宋体" w:cs="宋体"/>
                <w:color w:val="auto"/>
                <w:szCs w:val="21"/>
                <w:highlight w:val="none"/>
              </w:rPr>
              <w:t>（2）评审项目的时间要求超过规定标准的30%以上的，增加难度系数0.1。</w:t>
            </w:r>
          </w:p>
          <w:p w14:paraId="1009042A">
            <w:pPr>
              <w:rPr>
                <w:rFonts w:hint="eastAsia" w:ascii="宋体" w:hAnsi="宋体" w:cs="宋体"/>
                <w:color w:val="auto"/>
                <w:szCs w:val="21"/>
                <w:highlight w:val="none"/>
              </w:rPr>
            </w:pPr>
            <w:r>
              <w:rPr>
                <w:rFonts w:hint="eastAsia" w:ascii="宋体" w:hAnsi="宋体" w:cs="宋体"/>
                <w:color w:val="auto"/>
                <w:szCs w:val="21"/>
                <w:highlight w:val="none"/>
              </w:rPr>
              <w:t>（3）审核工程概算，降低难度系数0.3。</w:t>
            </w:r>
          </w:p>
          <w:p w14:paraId="7A13928A">
            <w:pPr>
              <w:rPr>
                <w:rFonts w:ascii="宋体" w:hAnsi="宋体" w:cs="宋体"/>
                <w:color w:val="auto"/>
                <w:szCs w:val="21"/>
                <w:highlight w:val="none"/>
              </w:rPr>
            </w:pPr>
            <w:r>
              <w:rPr>
                <w:rFonts w:hint="eastAsia" w:ascii="宋体" w:hAnsi="宋体" w:cs="宋体"/>
                <w:color w:val="auto"/>
                <w:szCs w:val="21"/>
                <w:highlight w:val="none"/>
              </w:rPr>
              <w:t>3.服务费的计算：评审服务费＝[编审费+审减（增）费]×（1±难度系数）</w:t>
            </w:r>
          </w:p>
        </w:tc>
      </w:tr>
    </w:tbl>
    <w:p w14:paraId="7B7B6682">
      <w:pPr>
        <w:snapToGrid w:val="0"/>
        <w:spacing w:before="120" w:after="120" w:line="320" w:lineRule="exact"/>
        <w:rPr>
          <w:b/>
          <w:bCs/>
          <w:color w:val="auto"/>
          <w:szCs w:val="21"/>
          <w:highlight w:val="none"/>
        </w:rPr>
      </w:pPr>
      <w:r>
        <w:rPr>
          <w:rFonts w:hint="eastAsia"/>
          <w:b/>
          <w:bCs/>
          <w:color w:val="auto"/>
          <w:szCs w:val="21"/>
          <w:highlight w:val="none"/>
        </w:rPr>
        <w:t>第二条 框架协议信息</w:t>
      </w:r>
    </w:p>
    <w:p w14:paraId="271D34EC">
      <w:pPr>
        <w:snapToGrid w:val="0"/>
        <w:spacing w:before="120" w:after="120" w:line="320" w:lineRule="exact"/>
        <w:rPr>
          <w:color w:val="auto"/>
          <w:szCs w:val="21"/>
          <w:highlight w:val="none"/>
        </w:rPr>
      </w:pPr>
      <w:r>
        <w:rPr>
          <w:rFonts w:hint="eastAsia"/>
          <w:color w:val="auto"/>
          <w:szCs w:val="21"/>
          <w:highlight w:val="none"/>
        </w:rPr>
        <w:t>1．服务内容、服务标准、协议价格</w:t>
      </w:r>
    </w:p>
    <w:p w14:paraId="5A7BCE46">
      <w:pPr>
        <w:snapToGrid w:val="0"/>
        <w:spacing w:before="120" w:after="120" w:line="320" w:lineRule="exact"/>
        <w:rPr>
          <w:color w:val="auto"/>
          <w:szCs w:val="21"/>
          <w:highlight w:val="none"/>
          <w:u w:val="single"/>
        </w:rPr>
      </w:pPr>
      <w:r>
        <w:rPr>
          <w:rFonts w:hint="eastAsia"/>
          <w:color w:val="auto"/>
          <w:szCs w:val="21"/>
          <w:highlight w:val="none"/>
        </w:rPr>
        <w:t>1</w:t>
      </w:r>
      <w:r>
        <w:rPr>
          <w:color w:val="auto"/>
          <w:szCs w:val="21"/>
          <w:highlight w:val="none"/>
        </w:rPr>
        <w:t xml:space="preserve">.1 </w:t>
      </w:r>
      <w:r>
        <w:rPr>
          <w:rFonts w:hint="eastAsia"/>
          <w:color w:val="auto"/>
          <w:szCs w:val="21"/>
          <w:highlight w:val="none"/>
        </w:rPr>
        <w:t>服务内容：</w:t>
      </w:r>
      <w:r>
        <w:rPr>
          <w:rFonts w:hint="eastAsia"/>
          <w:color w:val="auto"/>
          <w:szCs w:val="21"/>
          <w:highlight w:val="none"/>
          <w:u w:val="single"/>
        </w:rPr>
        <w:t>概（预）算、工程量清单和招标控制价评审服务</w:t>
      </w:r>
    </w:p>
    <w:p w14:paraId="679847BF">
      <w:pPr>
        <w:snapToGrid w:val="0"/>
        <w:spacing w:before="120" w:after="120" w:line="320" w:lineRule="exact"/>
        <w:rPr>
          <w:color w:val="auto"/>
          <w:szCs w:val="21"/>
          <w:highlight w:val="none"/>
        </w:rPr>
      </w:pPr>
      <w:r>
        <w:rPr>
          <w:rFonts w:hint="eastAsia"/>
          <w:color w:val="auto"/>
          <w:szCs w:val="21"/>
          <w:highlight w:val="none"/>
        </w:rPr>
        <w:t>1</w:t>
      </w:r>
      <w:r>
        <w:rPr>
          <w:color w:val="auto"/>
          <w:szCs w:val="21"/>
          <w:highlight w:val="none"/>
        </w:rPr>
        <w:t xml:space="preserve">.2 </w:t>
      </w:r>
      <w:r>
        <w:rPr>
          <w:rFonts w:hint="eastAsia"/>
          <w:color w:val="auto"/>
          <w:szCs w:val="21"/>
          <w:highlight w:val="none"/>
        </w:rPr>
        <w:t>服务标准：</w:t>
      </w:r>
    </w:p>
    <w:p w14:paraId="7CD36424">
      <w:pPr>
        <w:snapToGrid w:val="0"/>
        <w:spacing w:before="120" w:after="120" w:line="320" w:lineRule="exact"/>
        <w:ind w:firstLine="420" w:firstLineChars="200"/>
        <w:rPr>
          <w:color w:val="auto"/>
          <w:szCs w:val="21"/>
          <w:highlight w:val="none"/>
        </w:rPr>
      </w:pPr>
      <w:r>
        <w:rPr>
          <w:rFonts w:hint="eastAsia"/>
          <w:color w:val="auto"/>
          <w:szCs w:val="21"/>
          <w:highlight w:val="none"/>
        </w:rPr>
        <w:t>（1）严格遵守国家的法律、法规和有关规章制度，严格遵守行为准则和职业道德，按现行的财政投资项目评审操作规程及质量控制办法规定的执行。</w:t>
      </w:r>
    </w:p>
    <w:p w14:paraId="39791BDC">
      <w:pPr>
        <w:snapToGrid w:val="0"/>
        <w:spacing w:before="120" w:after="120" w:line="320" w:lineRule="exact"/>
        <w:ind w:firstLine="420" w:firstLineChars="200"/>
        <w:rPr>
          <w:color w:val="auto"/>
          <w:szCs w:val="21"/>
          <w:highlight w:val="none"/>
        </w:rPr>
      </w:pPr>
      <w:r>
        <w:rPr>
          <w:rFonts w:hint="eastAsia"/>
          <w:color w:val="auto"/>
          <w:szCs w:val="21"/>
          <w:highlight w:val="none"/>
        </w:rPr>
        <w:t>（2）严格按照现行的工程造价管理办法、工程结算编审规程等文件要求进行评审工作，依照相关依据发表专业意见出具成果文件，并对成果的真实性、完整性、准确性负责。</w:t>
      </w:r>
    </w:p>
    <w:p w14:paraId="1691449D">
      <w:pPr>
        <w:snapToGrid w:val="0"/>
        <w:spacing w:before="120" w:after="120" w:line="320" w:lineRule="exact"/>
        <w:ind w:firstLine="420" w:firstLineChars="200"/>
        <w:rPr>
          <w:color w:val="auto"/>
          <w:szCs w:val="21"/>
          <w:highlight w:val="none"/>
        </w:rPr>
      </w:pPr>
      <w:r>
        <w:rPr>
          <w:rFonts w:hint="eastAsia"/>
          <w:color w:val="auto"/>
          <w:szCs w:val="21"/>
          <w:highlight w:val="none"/>
        </w:rPr>
        <w:t>（3）评审人员在项目评审工程中，应该恪守客观公正、实事求是的原则，确保评审工作的真实完整和准确，保证评审质量。</w:t>
      </w:r>
    </w:p>
    <w:p w14:paraId="5D6CA4BF">
      <w:pPr>
        <w:snapToGrid w:val="0"/>
        <w:spacing w:before="120" w:after="120" w:line="320" w:lineRule="exact"/>
        <w:ind w:firstLine="420" w:firstLineChars="200"/>
        <w:rPr>
          <w:color w:val="auto"/>
          <w:szCs w:val="21"/>
          <w:highlight w:val="none"/>
        </w:rPr>
      </w:pPr>
      <w:r>
        <w:rPr>
          <w:rFonts w:hint="eastAsia"/>
          <w:color w:val="auto"/>
          <w:szCs w:val="21"/>
          <w:highlight w:val="none"/>
        </w:rPr>
        <w:t xml:space="preserve">（4）评审报告编制标准 </w:t>
      </w:r>
    </w:p>
    <w:p w14:paraId="21E54D38">
      <w:pPr>
        <w:snapToGrid w:val="0"/>
        <w:spacing w:before="120" w:after="120" w:line="320" w:lineRule="exact"/>
        <w:ind w:firstLine="420" w:firstLineChars="200"/>
        <w:rPr>
          <w:color w:val="auto"/>
          <w:szCs w:val="21"/>
          <w:highlight w:val="none"/>
        </w:rPr>
      </w:pPr>
      <w:r>
        <w:rPr>
          <w:rFonts w:hint="eastAsia"/>
          <w:color w:val="auto"/>
          <w:szCs w:val="21"/>
          <w:highlight w:val="none"/>
        </w:rPr>
        <w:t>评审内容完整、数据准确、依据充分，评审结论定性客观、定量准确、依据充分，核增核减原因定性准确、条理清晰，披露评审问题有理有据、分析透彻，提出评审建议措施具体、针对性强。</w:t>
      </w:r>
    </w:p>
    <w:p w14:paraId="724CB877">
      <w:pPr>
        <w:snapToGrid w:val="0"/>
        <w:spacing w:before="120" w:after="120" w:line="320" w:lineRule="exact"/>
        <w:ind w:firstLine="420" w:firstLineChars="200"/>
        <w:rPr>
          <w:color w:val="auto"/>
          <w:szCs w:val="21"/>
          <w:highlight w:val="none"/>
        </w:rPr>
      </w:pPr>
      <w:r>
        <w:rPr>
          <w:rFonts w:hint="eastAsia"/>
          <w:color w:val="auto"/>
          <w:szCs w:val="21"/>
          <w:highlight w:val="none"/>
        </w:rPr>
        <w:t>（5）采购人将对乙方提交的评审报告和评审结论进行复审，复审结果发现因乙方存在严重质量问题时，采购人不支付该项目的评审费用，并做出相应的处理，乙方必须承担由此造成的全部经济损失和法律责任。</w:t>
      </w:r>
    </w:p>
    <w:p w14:paraId="30B5CBFA">
      <w:pPr>
        <w:snapToGrid w:val="0"/>
        <w:spacing w:before="120" w:after="120" w:line="320" w:lineRule="exact"/>
        <w:ind w:firstLine="420" w:firstLineChars="200"/>
        <w:rPr>
          <w:color w:val="auto"/>
          <w:szCs w:val="21"/>
          <w:highlight w:val="none"/>
        </w:rPr>
      </w:pPr>
      <w:r>
        <w:rPr>
          <w:rFonts w:hint="eastAsia"/>
          <w:color w:val="auto"/>
          <w:szCs w:val="21"/>
          <w:highlight w:val="none"/>
        </w:rPr>
        <w:t>（6）乙方不得泄露采购人及所承接项目的任何商业机密，不得未经采购人同意擅自对外公开评审结论，一经发现，将由采购人作出相应处理。</w:t>
      </w:r>
    </w:p>
    <w:p w14:paraId="7C876C57">
      <w:pPr>
        <w:snapToGrid w:val="0"/>
        <w:spacing w:before="120" w:after="120" w:line="320" w:lineRule="exact"/>
        <w:ind w:firstLine="420" w:firstLineChars="200"/>
        <w:rPr>
          <w:color w:val="auto"/>
          <w:szCs w:val="21"/>
          <w:highlight w:val="none"/>
        </w:rPr>
      </w:pPr>
      <w:r>
        <w:rPr>
          <w:rFonts w:hint="eastAsia"/>
          <w:color w:val="auto"/>
          <w:szCs w:val="21"/>
          <w:highlight w:val="none"/>
        </w:rPr>
        <w:t>（7）评审人员应严格遵守廉洁自律的有关规定，坚决抵制各种可能影响客观公正评审的商业贿赂，坚决不搞人情评审，避免和杜绝吃拿卡要的不良行为。如因评审人员原因出现违规违纪行为，应及时处理并承担相应法律责任，采购人有权追究其相关责任并列入黑名单。</w:t>
      </w:r>
    </w:p>
    <w:p w14:paraId="54A48934">
      <w:pPr>
        <w:snapToGrid w:val="0"/>
        <w:spacing w:before="120" w:after="120" w:line="320" w:lineRule="exact"/>
        <w:ind w:firstLine="420" w:firstLineChars="200"/>
        <w:rPr>
          <w:color w:val="auto"/>
          <w:szCs w:val="21"/>
          <w:highlight w:val="none"/>
        </w:rPr>
      </w:pPr>
      <w:r>
        <w:rPr>
          <w:rFonts w:hint="eastAsia"/>
          <w:color w:val="auto"/>
          <w:szCs w:val="21"/>
          <w:highlight w:val="none"/>
        </w:rPr>
        <w:t>（8）乙方必须严格遵守《工程造价咨询企业管理办法》(建设部2006年第149号令)、《财政性投资评审质量控制办法》(财建【2006】1065号）、《贺州市财政局关于印发贺州市本级财政投资评审实施办法(2023年修订)的通知》(贺财办[2024]2号)等有关规定，按要求选择具备工程造价审核专业知识、熟悉财政投资审核业务、履行审核程序的人员开展财政投资审核业务，保证取证资料、工作底稿的正确完整和规范。出具的审核报告、结论或意见客观公正，符合审核规范和贺州市平桂区财政投资评审中心的要求，对出具的审核报告承担法律责任。</w:t>
      </w:r>
    </w:p>
    <w:p w14:paraId="36FDA11C">
      <w:pPr>
        <w:snapToGrid w:val="0"/>
        <w:spacing w:before="120" w:after="120" w:line="320" w:lineRule="exact"/>
        <w:ind w:firstLine="420" w:firstLineChars="200"/>
        <w:rPr>
          <w:color w:val="auto"/>
          <w:szCs w:val="21"/>
          <w:highlight w:val="none"/>
        </w:rPr>
      </w:pPr>
      <w:r>
        <w:rPr>
          <w:rFonts w:hint="eastAsia"/>
          <w:color w:val="auto"/>
          <w:szCs w:val="21"/>
          <w:highlight w:val="none"/>
        </w:rPr>
        <w:t>（9）乙方须在每季度第一个月10日前向贺州市平桂区财政投资评审中心报送上一季度贺州市平桂区财政投资评审服务项目有关统计报表。</w:t>
      </w:r>
    </w:p>
    <w:p w14:paraId="5E764676">
      <w:pPr>
        <w:snapToGrid w:val="0"/>
        <w:spacing w:before="120" w:after="120" w:line="320" w:lineRule="exact"/>
        <w:rPr>
          <w:color w:val="auto"/>
          <w:szCs w:val="21"/>
          <w:highlight w:val="none"/>
          <w:u w:val="single"/>
        </w:rPr>
      </w:pPr>
      <w:r>
        <w:rPr>
          <w:rFonts w:hint="eastAsia"/>
          <w:color w:val="auto"/>
          <w:szCs w:val="21"/>
          <w:highlight w:val="none"/>
        </w:rPr>
        <w:t>1</w:t>
      </w:r>
      <w:r>
        <w:rPr>
          <w:color w:val="auto"/>
          <w:szCs w:val="21"/>
          <w:highlight w:val="none"/>
        </w:rPr>
        <w:t xml:space="preserve">.3 </w:t>
      </w:r>
      <w:r>
        <w:rPr>
          <w:rFonts w:hint="eastAsia"/>
          <w:color w:val="auto"/>
          <w:szCs w:val="21"/>
          <w:highlight w:val="none"/>
        </w:rPr>
        <w:t>协议价格（响应报价）：</w:t>
      </w:r>
      <w:r>
        <w:rPr>
          <w:rFonts w:hint="eastAsia"/>
          <w:color w:val="auto"/>
          <w:szCs w:val="21"/>
          <w:highlight w:val="none"/>
          <w:u w:val="single"/>
        </w:rPr>
        <w:t>同“最高限制单价”。</w:t>
      </w:r>
    </w:p>
    <w:p w14:paraId="15A95512">
      <w:pPr>
        <w:pStyle w:val="26"/>
        <w:adjustRightInd w:val="0"/>
        <w:snapToGrid w:val="0"/>
        <w:spacing w:line="360" w:lineRule="auto"/>
        <w:rPr>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w:t>
      </w:r>
      <w:r>
        <w:rPr>
          <w:rFonts w:hint="eastAsia"/>
          <w:color w:val="auto"/>
          <w:highlight w:val="none"/>
        </w:rPr>
        <w:t>适用框架协议的采购人或服务对象范围</w:t>
      </w:r>
    </w:p>
    <w:p w14:paraId="6026FA94">
      <w:pPr>
        <w:pStyle w:val="26"/>
        <w:adjustRightInd w:val="0"/>
        <w:snapToGrid w:val="0"/>
        <w:spacing w:line="360" w:lineRule="auto"/>
        <w:rPr>
          <w:rFonts w:hint="eastAsia" w:ascii="Times New Roman" w:hAnsi="Times New Roman" w:eastAsia="宋体" w:cs="Times New Roman"/>
          <w:color w:val="auto"/>
          <w:highlight w:val="none"/>
          <w:lang w:eastAsia="zh-CN"/>
        </w:rPr>
      </w:pPr>
      <w:r>
        <w:rPr>
          <w:rFonts w:hint="eastAsia"/>
          <w:color w:val="auto"/>
          <w:highlight w:val="none"/>
          <w:u w:val="single"/>
          <w:lang w:eastAsia="zh-CN"/>
        </w:rPr>
        <w:t>贺州市平桂区财政局</w:t>
      </w:r>
    </w:p>
    <w:p w14:paraId="6E3B9222">
      <w:pPr>
        <w:snapToGrid w:val="0"/>
        <w:spacing w:before="120" w:after="120" w:line="320" w:lineRule="exact"/>
        <w:rPr>
          <w:color w:val="auto"/>
          <w:szCs w:val="21"/>
          <w:highlight w:val="none"/>
          <w:u w:val="single"/>
        </w:rPr>
      </w:pPr>
      <w:bookmarkStart w:id="76" w:name="_Hlk98860373"/>
      <w:r>
        <w:rPr>
          <w:color w:val="auto"/>
          <w:szCs w:val="21"/>
          <w:highlight w:val="none"/>
        </w:rPr>
        <w:t>3</w:t>
      </w:r>
      <w:r>
        <w:rPr>
          <w:rFonts w:hint="eastAsia"/>
          <w:color w:val="auto"/>
          <w:szCs w:val="21"/>
          <w:highlight w:val="none"/>
        </w:rPr>
        <w:t>．履行合同的地域范围：</w:t>
      </w:r>
      <w:r>
        <w:rPr>
          <w:rFonts w:hint="eastAsia"/>
          <w:color w:val="auto"/>
          <w:szCs w:val="21"/>
          <w:highlight w:val="none"/>
          <w:u w:val="single"/>
        </w:rPr>
        <w:t>采购人指定地点。</w:t>
      </w:r>
    </w:p>
    <w:bookmarkEnd w:id="76"/>
    <w:p w14:paraId="741E55E0">
      <w:pPr>
        <w:snapToGrid w:val="0"/>
        <w:spacing w:before="120" w:after="120" w:line="320" w:lineRule="exact"/>
        <w:rPr>
          <w:b/>
          <w:bCs/>
          <w:color w:val="auto"/>
          <w:szCs w:val="21"/>
          <w:highlight w:val="none"/>
        </w:rPr>
      </w:pPr>
      <w:r>
        <w:rPr>
          <w:rFonts w:hint="eastAsia"/>
          <w:b/>
          <w:bCs/>
          <w:color w:val="auto"/>
          <w:szCs w:val="21"/>
          <w:highlight w:val="none"/>
        </w:rPr>
        <w:t>第三条 确定第二阶段成交供应商的方式</w:t>
      </w:r>
    </w:p>
    <w:p w14:paraId="4194E6CF">
      <w:pPr>
        <w:snapToGrid w:val="0"/>
        <w:spacing w:before="120" w:after="120" w:line="320" w:lineRule="exact"/>
        <w:rPr>
          <w:color w:val="auto"/>
          <w:szCs w:val="21"/>
          <w:highlight w:val="none"/>
          <w:u w:val="single"/>
        </w:rPr>
      </w:pPr>
      <w:r>
        <w:rPr>
          <w:rFonts w:hint="eastAsia"/>
          <w:color w:val="auto"/>
          <w:szCs w:val="21"/>
          <w:highlight w:val="none"/>
        </w:rPr>
        <w:t>1．甲方在入围供应商中通过</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（1）</w:t>
      </w:r>
      <w:r>
        <w:rPr>
          <w:color w:val="auto"/>
          <w:szCs w:val="21"/>
          <w:highlight w:val="none"/>
          <w:u w:val="single"/>
        </w:rPr>
        <w:t xml:space="preserve"> </w:t>
      </w:r>
      <w:r>
        <w:rPr>
          <w:rFonts w:hint="eastAsia"/>
          <w:color w:val="auto"/>
          <w:szCs w:val="21"/>
          <w:highlight w:val="none"/>
          <w:u w:val="single"/>
        </w:rPr>
        <w:t>种</w:t>
      </w:r>
      <w:r>
        <w:rPr>
          <w:rFonts w:hint="eastAsia"/>
          <w:color w:val="auto"/>
          <w:szCs w:val="21"/>
          <w:highlight w:val="none"/>
        </w:rPr>
        <w:t>方式确定成交供应商并签订合同。</w:t>
      </w:r>
    </w:p>
    <w:p w14:paraId="69B4851A">
      <w:pPr>
        <w:snapToGrid w:val="0"/>
        <w:spacing w:before="120" w:after="120" w:line="320" w:lineRule="exact"/>
        <w:rPr>
          <w:color w:val="auto"/>
          <w:szCs w:val="21"/>
          <w:highlight w:val="none"/>
        </w:rPr>
      </w:pPr>
      <w:r>
        <w:rPr>
          <w:rFonts w:hint="eastAsia"/>
          <w:color w:val="auto"/>
          <w:szCs w:val="21"/>
          <w:highlight w:val="none"/>
        </w:rPr>
        <w:t>（1）直接选定</w:t>
      </w:r>
    </w:p>
    <w:p w14:paraId="30DF8188">
      <w:pPr>
        <w:snapToGrid w:val="0"/>
        <w:spacing w:before="120" w:after="120" w:line="320" w:lineRule="exact"/>
        <w:rPr>
          <w:color w:val="auto"/>
          <w:szCs w:val="21"/>
          <w:highlight w:val="none"/>
        </w:rPr>
      </w:pPr>
      <w:r>
        <w:rPr>
          <w:rFonts w:hint="eastAsia"/>
          <w:color w:val="auto"/>
          <w:szCs w:val="21"/>
          <w:highlight w:val="none"/>
        </w:rPr>
        <w:t>直接选定规则：依据入围产品价格、质量以及服务便利性、用户评价等因素，从入围供应商中直接选定成交供应商。</w:t>
      </w:r>
    </w:p>
    <w:p w14:paraId="2065313A">
      <w:pPr>
        <w:snapToGrid w:val="0"/>
        <w:spacing w:before="120" w:after="120" w:line="320" w:lineRule="exact"/>
        <w:rPr>
          <w:color w:val="auto"/>
          <w:szCs w:val="21"/>
          <w:highlight w:val="none"/>
        </w:rPr>
      </w:pPr>
      <w:r>
        <w:rPr>
          <w:rFonts w:hint="eastAsia"/>
          <w:color w:val="auto"/>
          <w:szCs w:val="21"/>
          <w:highlight w:val="none"/>
        </w:rPr>
        <w:t>（2）二次竞价</w:t>
      </w:r>
    </w:p>
    <w:p w14:paraId="0F46CFF9">
      <w:pPr>
        <w:snapToGrid w:val="0"/>
        <w:spacing w:before="120" w:after="120" w:line="320" w:lineRule="exact"/>
        <w:rPr>
          <w:color w:val="auto"/>
          <w:szCs w:val="21"/>
          <w:highlight w:val="none"/>
        </w:rPr>
      </w:pPr>
      <w:r>
        <w:rPr>
          <w:rFonts w:hint="eastAsia"/>
          <w:color w:val="auto"/>
          <w:szCs w:val="21"/>
          <w:highlight w:val="none"/>
        </w:rPr>
        <w:t>二次竞价规则：乙方以第一阶段的响应报价（协议价格）为最高限价，依照响应文件中承诺的入围产品（服务）、采购合同等事项，根据采购人明确的竞价需求，参与二次竞价，以报价最低的为成交供应商。</w:t>
      </w:r>
    </w:p>
    <w:p w14:paraId="663D5723">
      <w:pPr>
        <w:snapToGrid w:val="0"/>
        <w:spacing w:before="120" w:after="120" w:line="320" w:lineRule="exact"/>
        <w:rPr>
          <w:color w:val="auto"/>
          <w:szCs w:val="21"/>
          <w:highlight w:val="none"/>
          <w:u w:val="single"/>
        </w:rPr>
      </w:pPr>
      <w:r>
        <w:rPr>
          <w:rFonts w:hint="eastAsia"/>
          <w:color w:val="auto"/>
          <w:szCs w:val="21"/>
          <w:highlight w:val="none"/>
        </w:rPr>
        <w:t>二次竞价截止时间：</w:t>
      </w:r>
      <w:r>
        <w:rPr>
          <w:rFonts w:hint="eastAsia"/>
          <w:color w:val="auto"/>
          <w:szCs w:val="21"/>
          <w:highlight w:val="none"/>
          <w:u w:val="single"/>
        </w:rPr>
        <w:t xml:space="preserve"> </w:t>
      </w:r>
      <w:r>
        <w:rPr>
          <w:color w:val="auto"/>
          <w:szCs w:val="21"/>
          <w:highlight w:val="none"/>
          <w:u w:val="single"/>
        </w:rPr>
        <w:t xml:space="preserve">            </w:t>
      </w:r>
    </w:p>
    <w:p w14:paraId="5AD23776">
      <w:pPr>
        <w:snapToGrid w:val="0"/>
        <w:spacing w:before="120" w:after="120" w:line="320" w:lineRule="exact"/>
        <w:rPr>
          <w:color w:val="auto"/>
          <w:szCs w:val="21"/>
          <w:highlight w:val="none"/>
          <w:u w:val="single"/>
        </w:rPr>
      </w:pPr>
      <w:r>
        <w:rPr>
          <w:rFonts w:hint="eastAsia"/>
          <w:color w:val="auto"/>
          <w:szCs w:val="21"/>
          <w:highlight w:val="none"/>
        </w:rPr>
        <w:t>二次竞价需求：</w:t>
      </w:r>
      <w:r>
        <w:rPr>
          <w:rFonts w:hint="eastAsia"/>
          <w:color w:val="auto"/>
          <w:szCs w:val="21"/>
          <w:highlight w:val="none"/>
          <w:u w:val="single"/>
        </w:rPr>
        <w:t xml:space="preserve"> </w:t>
      </w:r>
      <w:r>
        <w:rPr>
          <w:color w:val="auto"/>
          <w:szCs w:val="21"/>
          <w:highlight w:val="none"/>
          <w:u w:val="single"/>
        </w:rPr>
        <w:t xml:space="preserve">                 </w:t>
      </w:r>
    </w:p>
    <w:p w14:paraId="45163D78">
      <w:pPr>
        <w:snapToGrid w:val="0"/>
        <w:spacing w:before="120" w:after="120" w:line="320" w:lineRule="exact"/>
        <w:rPr>
          <w:color w:val="auto"/>
          <w:szCs w:val="21"/>
          <w:highlight w:val="none"/>
        </w:rPr>
      </w:pPr>
      <w:r>
        <w:rPr>
          <w:rFonts w:hint="eastAsia"/>
          <w:color w:val="auto"/>
          <w:szCs w:val="21"/>
          <w:highlight w:val="none"/>
        </w:rPr>
        <w:t>（3）顺序轮候</w:t>
      </w:r>
    </w:p>
    <w:p w14:paraId="28D81323">
      <w:pPr>
        <w:snapToGrid w:val="0"/>
        <w:spacing w:before="120" w:after="120" w:line="320" w:lineRule="exact"/>
        <w:rPr>
          <w:color w:val="auto"/>
          <w:szCs w:val="21"/>
          <w:highlight w:val="none"/>
        </w:rPr>
      </w:pPr>
      <w:r>
        <w:rPr>
          <w:rFonts w:hint="eastAsia"/>
          <w:color w:val="auto"/>
          <w:szCs w:val="21"/>
          <w:highlight w:val="none"/>
        </w:rPr>
        <w:t>顺序轮候规则：以入围供应商从高到低排名依次进行合同授予，每个入围供应商在一个顺序轮候期内，仅能获得一次合同授予的机会。框架协议有效期截止后，轮候则终止，不保证所有供应商所承接的实际项目数量或金额均等。</w:t>
      </w:r>
    </w:p>
    <w:p w14:paraId="0C001EB5">
      <w:pPr>
        <w:snapToGrid w:val="0"/>
        <w:spacing w:before="120" w:after="120" w:line="320" w:lineRule="exact"/>
        <w:rPr>
          <w:color w:val="auto"/>
          <w:szCs w:val="21"/>
          <w:highlight w:val="none"/>
          <w:u w:val="single"/>
        </w:rPr>
      </w:pPr>
      <w:r>
        <w:rPr>
          <w:rFonts w:hint="eastAsia"/>
          <w:color w:val="auto"/>
          <w:szCs w:val="21"/>
          <w:highlight w:val="none"/>
        </w:rPr>
        <w:t>顺序轮候期：</w:t>
      </w:r>
      <w:r>
        <w:rPr>
          <w:rFonts w:hint="eastAsia"/>
          <w:color w:val="auto"/>
          <w:szCs w:val="21"/>
          <w:highlight w:val="none"/>
          <w:u w:val="single"/>
        </w:rPr>
        <w:t xml:space="preserve"> </w:t>
      </w:r>
      <w:r>
        <w:rPr>
          <w:color w:val="auto"/>
          <w:szCs w:val="21"/>
          <w:highlight w:val="none"/>
          <w:u w:val="single"/>
        </w:rPr>
        <w:t xml:space="preserve">            </w:t>
      </w:r>
    </w:p>
    <w:p w14:paraId="114B7098">
      <w:pPr>
        <w:snapToGrid w:val="0"/>
        <w:spacing w:before="120" w:after="120" w:line="320" w:lineRule="exact"/>
        <w:rPr>
          <w:b/>
          <w:bCs/>
          <w:color w:val="auto"/>
          <w:szCs w:val="21"/>
          <w:highlight w:val="none"/>
        </w:rPr>
      </w:pPr>
      <w:r>
        <w:rPr>
          <w:rFonts w:hint="eastAsia"/>
          <w:b/>
          <w:bCs/>
          <w:color w:val="auto"/>
          <w:szCs w:val="21"/>
          <w:highlight w:val="none"/>
        </w:rPr>
        <w:t>第四条 入围产品升级换代规则</w:t>
      </w:r>
    </w:p>
    <w:p w14:paraId="70C14EE0">
      <w:pPr>
        <w:snapToGrid w:val="0"/>
        <w:spacing w:before="120" w:after="120" w:line="320" w:lineRule="exact"/>
        <w:rPr>
          <w:color w:val="auto"/>
          <w:szCs w:val="21"/>
          <w:highlight w:val="none"/>
          <w:u w:val="single"/>
        </w:rPr>
      </w:pPr>
      <w:r>
        <w:rPr>
          <w:rFonts w:hint="eastAsia"/>
          <w:color w:val="auto"/>
          <w:szCs w:val="21"/>
          <w:highlight w:val="none"/>
          <w:u w:val="single"/>
        </w:rPr>
        <w:t>无</w:t>
      </w:r>
    </w:p>
    <w:p w14:paraId="7FD0DCFD">
      <w:pPr>
        <w:snapToGrid w:val="0"/>
        <w:spacing w:before="120" w:after="120" w:line="320" w:lineRule="exact"/>
        <w:rPr>
          <w:b/>
          <w:bCs/>
          <w:color w:val="auto"/>
          <w:szCs w:val="21"/>
          <w:highlight w:val="none"/>
        </w:rPr>
      </w:pPr>
      <w:r>
        <w:rPr>
          <w:rFonts w:hint="eastAsia"/>
          <w:b/>
          <w:bCs/>
          <w:color w:val="auto"/>
          <w:szCs w:val="21"/>
          <w:highlight w:val="none"/>
        </w:rPr>
        <w:t>第五条 资金支付方式、时间、条件</w:t>
      </w:r>
    </w:p>
    <w:p w14:paraId="77314430">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本项目无预付款。服务费按项目申请支付。成交供应商在完成评审工作后填写《项目委托评审费支付申请表》并加盖公章后送采购人审核签认，由征集人直接向成交供应商支付。双方账户信息如下：</w:t>
      </w:r>
    </w:p>
    <w:p w14:paraId="0BA4EED1">
      <w:pPr>
        <w:snapToGrid w:val="0"/>
        <w:spacing w:line="360" w:lineRule="exact"/>
        <w:ind w:firstLine="420" w:firstLineChars="200"/>
        <w:rPr>
          <w:bCs/>
          <w:color w:val="auto"/>
          <w:szCs w:val="21"/>
          <w:highlight w:val="none"/>
        </w:rPr>
      </w:pPr>
      <w:r>
        <w:rPr>
          <w:rFonts w:hint="eastAsia"/>
          <w:bCs/>
          <w:color w:val="auto"/>
          <w:szCs w:val="21"/>
          <w:highlight w:val="none"/>
        </w:rPr>
        <w:t>甲方名称：</w:t>
      </w:r>
      <w:r>
        <w:rPr>
          <w:rFonts w:hint="eastAsia"/>
          <w:color w:val="auto"/>
          <w:szCs w:val="21"/>
          <w:highlight w:val="none"/>
          <w:u w:val="single"/>
          <w:lang w:eastAsia="zh-CN"/>
        </w:rPr>
        <w:t>贺州市平桂区财政局</w:t>
      </w:r>
      <w:r>
        <w:rPr>
          <w:color w:val="auto"/>
          <w:szCs w:val="21"/>
          <w:highlight w:val="none"/>
        </w:rPr>
        <w:t xml:space="preserve"> </w:t>
      </w:r>
    </w:p>
    <w:p w14:paraId="2630D3B9">
      <w:pPr>
        <w:snapToGrid w:val="0"/>
        <w:spacing w:line="360" w:lineRule="exact"/>
        <w:ind w:firstLine="420" w:firstLineChars="200"/>
        <w:rPr>
          <w:bCs/>
          <w:color w:val="auto"/>
          <w:szCs w:val="21"/>
          <w:highlight w:val="none"/>
        </w:rPr>
      </w:pPr>
      <w:r>
        <w:rPr>
          <w:rFonts w:hint="eastAsia"/>
          <w:bCs/>
          <w:color w:val="auto"/>
          <w:szCs w:val="21"/>
          <w:highlight w:val="none"/>
        </w:rPr>
        <w:t>国税纳税人识别号：</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47913A91">
      <w:pPr>
        <w:snapToGrid w:val="0"/>
        <w:spacing w:line="360" w:lineRule="exact"/>
        <w:ind w:firstLine="420" w:firstLineChars="200"/>
        <w:rPr>
          <w:bCs/>
          <w:color w:val="auto"/>
          <w:szCs w:val="21"/>
          <w:highlight w:val="none"/>
        </w:rPr>
      </w:pPr>
      <w:r>
        <w:rPr>
          <w:rFonts w:hint="eastAsia"/>
          <w:bCs/>
          <w:color w:val="auto"/>
          <w:szCs w:val="21"/>
          <w:highlight w:val="none"/>
        </w:rPr>
        <w:t>户名：</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6F1C07FC">
      <w:pPr>
        <w:snapToGrid w:val="0"/>
        <w:spacing w:line="360" w:lineRule="exact"/>
        <w:ind w:firstLine="420" w:firstLineChars="200"/>
        <w:rPr>
          <w:bCs/>
          <w:color w:val="auto"/>
          <w:szCs w:val="21"/>
          <w:highlight w:val="none"/>
        </w:rPr>
      </w:pPr>
      <w:r>
        <w:rPr>
          <w:rFonts w:hint="eastAsia"/>
          <w:bCs/>
          <w:color w:val="auto"/>
          <w:szCs w:val="21"/>
          <w:highlight w:val="none"/>
        </w:rPr>
        <w:t>开户行：</w:t>
      </w:r>
      <w:r>
        <w:rPr>
          <w:color w:val="auto"/>
          <w:szCs w:val="21"/>
          <w:highlight w:val="none"/>
        </w:rPr>
        <w:t xml:space="preserve"> </w:t>
      </w:r>
      <w:r>
        <w:rPr>
          <w:color w:val="auto"/>
          <w:szCs w:val="21"/>
          <w:highlight w:val="none"/>
          <w:u w:val="single"/>
        </w:rPr>
        <w:t xml:space="preserve">                        </w:t>
      </w:r>
    </w:p>
    <w:p w14:paraId="5D0D0AA6">
      <w:pPr>
        <w:snapToGrid w:val="0"/>
        <w:spacing w:line="360" w:lineRule="exact"/>
        <w:ind w:firstLine="420" w:firstLineChars="200"/>
        <w:rPr>
          <w:bCs/>
          <w:color w:val="auto"/>
          <w:szCs w:val="21"/>
          <w:highlight w:val="none"/>
        </w:rPr>
      </w:pPr>
      <w:r>
        <w:rPr>
          <w:rFonts w:hint="eastAsia"/>
          <w:bCs/>
          <w:color w:val="auto"/>
          <w:szCs w:val="21"/>
          <w:highlight w:val="none"/>
        </w:rPr>
        <w:t>帐号：</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6635E22C">
      <w:pPr>
        <w:snapToGrid w:val="0"/>
        <w:spacing w:line="360" w:lineRule="exact"/>
        <w:ind w:firstLine="420" w:firstLineChars="200"/>
        <w:rPr>
          <w:bCs/>
          <w:color w:val="auto"/>
          <w:szCs w:val="21"/>
          <w:highlight w:val="none"/>
        </w:rPr>
      </w:pPr>
      <w:r>
        <w:rPr>
          <w:rFonts w:hint="eastAsia"/>
          <w:bCs/>
          <w:color w:val="auto"/>
          <w:szCs w:val="21"/>
          <w:highlight w:val="none"/>
        </w:rPr>
        <w:t>地址：</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0AA2CD04">
      <w:pPr>
        <w:snapToGrid w:val="0"/>
        <w:spacing w:line="360" w:lineRule="exact"/>
        <w:ind w:firstLine="420" w:firstLineChars="200"/>
        <w:rPr>
          <w:bCs/>
          <w:color w:val="auto"/>
          <w:szCs w:val="21"/>
          <w:highlight w:val="none"/>
        </w:rPr>
      </w:pPr>
      <w:r>
        <w:rPr>
          <w:rFonts w:hint="eastAsia"/>
          <w:bCs/>
          <w:color w:val="auto"/>
          <w:szCs w:val="21"/>
          <w:highlight w:val="none"/>
        </w:rPr>
        <w:t>联系电话：</w:t>
      </w:r>
      <w:r>
        <w:rPr>
          <w:color w:val="auto"/>
          <w:szCs w:val="21"/>
          <w:highlight w:val="none"/>
        </w:rPr>
        <w:t xml:space="preserve"> </w:t>
      </w:r>
      <w:r>
        <w:rPr>
          <w:color w:val="auto"/>
          <w:szCs w:val="21"/>
          <w:highlight w:val="none"/>
          <w:u w:val="single"/>
        </w:rPr>
        <w:t xml:space="preserve">                      </w:t>
      </w:r>
    </w:p>
    <w:p w14:paraId="5599F37B">
      <w:pPr>
        <w:snapToGrid w:val="0"/>
        <w:spacing w:line="360" w:lineRule="exact"/>
        <w:ind w:firstLine="420" w:firstLineChars="200"/>
        <w:rPr>
          <w:bCs/>
          <w:color w:val="auto"/>
          <w:szCs w:val="21"/>
          <w:highlight w:val="none"/>
        </w:rPr>
      </w:pPr>
    </w:p>
    <w:p w14:paraId="18B80DA9">
      <w:pPr>
        <w:snapToGrid w:val="0"/>
        <w:spacing w:line="360" w:lineRule="exact"/>
        <w:ind w:firstLine="420" w:firstLineChars="200"/>
        <w:rPr>
          <w:bCs/>
          <w:color w:val="auto"/>
          <w:szCs w:val="21"/>
          <w:highlight w:val="none"/>
        </w:rPr>
      </w:pPr>
      <w:r>
        <w:rPr>
          <w:rFonts w:hint="eastAsia"/>
          <w:bCs/>
          <w:color w:val="auto"/>
          <w:szCs w:val="21"/>
          <w:highlight w:val="none"/>
        </w:rPr>
        <w:t>乙方名称：</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2A025623">
      <w:pPr>
        <w:snapToGrid w:val="0"/>
        <w:spacing w:line="360" w:lineRule="exact"/>
        <w:ind w:firstLine="420" w:firstLineChars="200"/>
        <w:rPr>
          <w:bCs/>
          <w:color w:val="auto"/>
          <w:szCs w:val="21"/>
          <w:highlight w:val="none"/>
        </w:rPr>
      </w:pPr>
      <w:r>
        <w:rPr>
          <w:rFonts w:hint="eastAsia"/>
          <w:bCs/>
          <w:color w:val="auto"/>
          <w:szCs w:val="21"/>
          <w:highlight w:val="none"/>
        </w:rPr>
        <w:t>国税纳税人识别号：</w:t>
      </w:r>
      <w:r>
        <w:rPr>
          <w:color w:val="auto"/>
          <w:szCs w:val="21"/>
          <w:highlight w:val="none"/>
        </w:rPr>
        <w:t xml:space="preserve"> </w:t>
      </w:r>
      <w:r>
        <w:rPr>
          <w:color w:val="auto"/>
          <w:szCs w:val="21"/>
          <w:highlight w:val="none"/>
          <w:u w:val="single"/>
        </w:rPr>
        <w:t xml:space="preserve">                  </w:t>
      </w:r>
    </w:p>
    <w:p w14:paraId="164A22C0">
      <w:pPr>
        <w:snapToGrid w:val="0"/>
        <w:spacing w:line="360" w:lineRule="exact"/>
        <w:ind w:firstLine="420" w:firstLineChars="200"/>
        <w:rPr>
          <w:bCs/>
          <w:color w:val="auto"/>
          <w:szCs w:val="21"/>
          <w:highlight w:val="none"/>
        </w:rPr>
      </w:pPr>
      <w:r>
        <w:rPr>
          <w:rFonts w:hint="eastAsia"/>
          <w:bCs/>
          <w:color w:val="auto"/>
          <w:szCs w:val="21"/>
          <w:highlight w:val="none"/>
        </w:rPr>
        <w:t>户名：</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77C44A0D">
      <w:pPr>
        <w:snapToGrid w:val="0"/>
        <w:spacing w:line="360" w:lineRule="exact"/>
        <w:ind w:firstLine="420" w:firstLineChars="200"/>
        <w:rPr>
          <w:bCs/>
          <w:color w:val="auto"/>
          <w:szCs w:val="21"/>
          <w:highlight w:val="none"/>
        </w:rPr>
      </w:pPr>
      <w:r>
        <w:rPr>
          <w:rFonts w:hint="eastAsia"/>
          <w:bCs/>
          <w:color w:val="auto"/>
          <w:szCs w:val="21"/>
          <w:highlight w:val="none"/>
        </w:rPr>
        <w:t>开户行：</w:t>
      </w:r>
      <w:r>
        <w:rPr>
          <w:color w:val="auto"/>
          <w:szCs w:val="21"/>
          <w:highlight w:val="none"/>
        </w:rPr>
        <w:t xml:space="preserve"> </w:t>
      </w:r>
      <w:r>
        <w:rPr>
          <w:color w:val="auto"/>
          <w:szCs w:val="21"/>
          <w:highlight w:val="none"/>
          <w:u w:val="single"/>
        </w:rPr>
        <w:t xml:space="preserve">                        </w:t>
      </w:r>
    </w:p>
    <w:p w14:paraId="5DB782F8">
      <w:pPr>
        <w:snapToGrid w:val="0"/>
        <w:spacing w:line="360" w:lineRule="exact"/>
        <w:ind w:firstLine="420" w:firstLineChars="200"/>
        <w:rPr>
          <w:bCs/>
          <w:color w:val="auto"/>
          <w:szCs w:val="21"/>
          <w:highlight w:val="none"/>
        </w:rPr>
      </w:pPr>
      <w:r>
        <w:rPr>
          <w:rFonts w:hint="eastAsia"/>
          <w:bCs/>
          <w:color w:val="auto"/>
          <w:szCs w:val="21"/>
          <w:highlight w:val="none"/>
        </w:rPr>
        <w:t>帐号：</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784B9566">
      <w:pPr>
        <w:snapToGrid w:val="0"/>
        <w:spacing w:line="360" w:lineRule="exact"/>
        <w:ind w:firstLine="420" w:firstLineChars="200"/>
        <w:rPr>
          <w:bCs/>
          <w:color w:val="auto"/>
          <w:szCs w:val="21"/>
          <w:highlight w:val="none"/>
        </w:rPr>
      </w:pPr>
      <w:r>
        <w:rPr>
          <w:rFonts w:hint="eastAsia"/>
          <w:bCs/>
          <w:color w:val="auto"/>
          <w:szCs w:val="21"/>
          <w:highlight w:val="none"/>
        </w:rPr>
        <w:t>地址：</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5FA74CB0">
      <w:pPr>
        <w:snapToGrid w:val="0"/>
        <w:spacing w:line="360" w:lineRule="exact"/>
        <w:ind w:firstLine="420" w:firstLineChars="200"/>
        <w:rPr>
          <w:color w:val="auto"/>
          <w:szCs w:val="21"/>
          <w:highlight w:val="none"/>
          <w:u w:val="single"/>
        </w:rPr>
      </w:pPr>
      <w:r>
        <w:rPr>
          <w:rFonts w:hint="eastAsia"/>
          <w:bCs/>
          <w:color w:val="auto"/>
          <w:szCs w:val="21"/>
          <w:highlight w:val="none"/>
        </w:rPr>
        <w:t>联系电话：</w:t>
      </w:r>
      <w:r>
        <w:rPr>
          <w:color w:val="auto"/>
          <w:szCs w:val="21"/>
          <w:highlight w:val="none"/>
        </w:rPr>
        <w:t xml:space="preserve"> </w:t>
      </w:r>
      <w:r>
        <w:rPr>
          <w:color w:val="auto"/>
          <w:szCs w:val="21"/>
          <w:highlight w:val="none"/>
          <w:u w:val="single"/>
        </w:rPr>
        <w:t xml:space="preserve">                      </w:t>
      </w:r>
    </w:p>
    <w:p w14:paraId="6C61525D">
      <w:pPr>
        <w:snapToGrid w:val="0"/>
        <w:spacing w:line="360" w:lineRule="exact"/>
        <w:ind w:firstLine="420" w:firstLineChars="200"/>
        <w:rPr>
          <w:bCs/>
          <w:color w:val="auto"/>
          <w:szCs w:val="21"/>
          <w:highlight w:val="none"/>
        </w:rPr>
      </w:pPr>
    </w:p>
    <w:p w14:paraId="5C2EE990">
      <w:pPr>
        <w:snapToGrid w:val="0"/>
        <w:spacing w:before="120" w:after="120" w:line="320" w:lineRule="exact"/>
        <w:ind w:firstLine="420" w:firstLineChars="200"/>
        <w:rPr>
          <w:color w:val="auto"/>
          <w:szCs w:val="21"/>
          <w:highlight w:val="none"/>
        </w:rPr>
      </w:pPr>
      <w:r>
        <w:rPr>
          <w:rFonts w:hint="eastAsia"/>
          <w:color w:val="auto"/>
          <w:szCs w:val="21"/>
          <w:highlight w:val="none"/>
        </w:rPr>
        <w:t>乙方如需改变上述账户，应提前10日以书面通知甲方。如乙方未按本合同规定通知导致甲方逾期付款，甲方不承担任何违约责任，乙方应承担因此产生的一切费用。对于满足合同约定支付条件的，甲方原则上应当自收到发票后10个工作日内将资金支付到合同约定的乙方账户。</w:t>
      </w:r>
    </w:p>
    <w:p w14:paraId="738517BF">
      <w:pPr>
        <w:snapToGrid w:val="0"/>
        <w:spacing w:before="120" w:after="120" w:line="320" w:lineRule="exact"/>
        <w:ind w:firstLine="420" w:firstLineChars="200"/>
        <w:rPr>
          <w:color w:val="auto"/>
          <w:szCs w:val="21"/>
          <w:highlight w:val="none"/>
        </w:rPr>
      </w:pPr>
      <w:r>
        <w:rPr>
          <w:rFonts w:hint="eastAsia"/>
          <w:color w:val="auto"/>
          <w:szCs w:val="21"/>
          <w:highlight w:val="none"/>
        </w:rPr>
        <w:t>2. 付费额的计算公式</w:t>
      </w:r>
    </w:p>
    <w:p w14:paraId="681FDEFE">
      <w:pPr>
        <w:snapToGrid w:val="0"/>
        <w:spacing w:before="120" w:after="120" w:line="320" w:lineRule="exact"/>
        <w:ind w:firstLine="420" w:firstLineChars="200"/>
        <w:rPr>
          <w:color w:val="auto"/>
          <w:szCs w:val="21"/>
          <w:highlight w:val="none"/>
        </w:rPr>
      </w:pPr>
      <w:r>
        <w:rPr>
          <w:rFonts w:hint="eastAsia"/>
          <w:color w:val="auto"/>
          <w:szCs w:val="21"/>
          <w:highlight w:val="none"/>
        </w:rPr>
        <w:t>评审服务费＝[编审费+审减（增）费]×（1±难度系数）</w:t>
      </w:r>
    </w:p>
    <w:p w14:paraId="769D3AEC">
      <w:pPr>
        <w:snapToGrid w:val="0"/>
        <w:spacing w:before="120" w:after="120" w:line="320" w:lineRule="exact"/>
        <w:ind w:firstLine="420" w:firstLineChars="200"/>
        <w:rPr>
          <w:color w:val="auto"/>
          <w:szCs w:val="21"/>
          <w:highlight w:val="none"/>
        </w:rPr>
      </w:pPr>
      <w:r>
        <w:rPr>
          <w:rFonts w:hint="eastAsia"/>
          <w:color w:val="auto"/>
          <w:szCs w:val="21"/>
          <w:highlight w:val="none"/>
        </w:rPr>
        <w:t>3.费率其他约定</w:t>
      </w:r>
    </w:p>
    <w:p w14:paraId="09CF61A7">
      <w:pPr>
        <w:snapToGrid w:val="0"/>
        <w:spacing w:before="120" w:after="120" w:line="320" w:lineRule="exact"/>
        <w:ind w:firstLine="420" w:firstLineChars="200"/>
        <w:rPr>
          <w:color w:val="auto"/>
          <w:szCs w:val="21"/>
          <w:highlight w:val="none"/>
        </w:rPr>
      </w:pPr>
      <w:r>
        <w:rPr>
          <w:rFonts w:hint="eastAsia"/>
          <w:color w:val="auto"/>
          <w:szCs w:val="21"/>
          <w:highlight w:val="none"/>
        </w:rPr>
        <w:t>当成交供应商承接的项目评审存在特殊情况，采购人与成交供应商协商确定费率后，另行在采购合同中约定。</w:t>
      </w:r>
    </w:p>
    <w:p w14:paraId="71D21FBC">
      <w:pPr>
        <w:snapToGrid w:val="0"/>
        <w:spacing w:before="120" w:after="120" w:line="320" w:lineRule="exact"/>
        <w:ind w:firstLine="420" w:firstLineChars="200"/>
        <w:rPr>
          <w:color w:val="auto"/>
          <w:szCs w:val="21"/>
          <w:highlight w:val="none"/>
        </w:rPr>
      </w:pPr>
      <w:r>
        <w:rPr>
          <w:rFonts w:hint="eastAsia"/>
          <w:color w:val="auto"/>
          <w:szCs w:val="21"/>
          <w:highlight w:val="none"/>
        </w:rPr>
        <w:t>4.履约保证金</w:t>
      </w:r>
    </w:p>
    <w:p w14:paraId="3CD1AF7C">
      <w:pPr>
        <w:snapToGrid w:val="0"/>
        <w:spacing w:before="120" w:after="120" w:line="320" w:lineRule="exact"/>
        <w:ind w:firstLine="420" w:firstLineChars="200"/>
        <w:rPr>
          <w:color w:val="auto"/>
          <w:szCs w:val="21"/>
          <w:highlight w:val="none"/>
        </w:rPr>
      </w:pPr>
      <w:r>
        <w:rPr>
          <w:rFonts w:hint="eastAsia"/>
          <w:color w:val="auto"/>
          <w:szCs w:val="21"/>
          <w:highlight w:val="none"/>
        </w:rPr>
        <w:t>无。</w:t>
      </w:r>
    </w:p>
    <w:p w14:paraId="7CE4E2EF">
      <w:pPr>
        <w:snapToGrid w:val="0"/>
        <w:spacing w:before="120" w:after="120" w:line="320" w:lineRule="exact"/>
        <w:rPr>
          <w:b/>
          <w:bCs/>
          <w:color w:val="auto"/>
          <w:szCs w:val="21"/>
          <w:highlight w:val="none"/>
        </w:rPr>
      </w:pPr>
      <w:r>
        <w:rPr>
          <w:rFonts w:hint="eastAsia"/>
          <w:b/>
          <w:bCs/>
          <w:color w:val="auto"/>
          <w:szCs w:val="21"/>
          <w:highlight w:val="none"/>
        </w:rPr>
        <w:t>第六条 采购合同文本</w:t>
      </w:r>
    </w:p>
    <w:p w14:paraId="69BBA7CD">
      <w:pPr>
        <w:snapToGrid w:val="0"/>
        <w:spacing w:before="120" w:after="120" w:line="320" w:lineRule="exact"/>
        <w:rPr>
          <w:color w:val="auto"/>
          <w:szCs w:val="21"/>
          <w:highlight w:val="none"/>
          <w:u w:val="single"/>
        </w:rPr>
      </w:pPr>
      <w:r>
        <w:rPr>
          <w:rFonts w:hint="eastAsia"/>
          <w:color w:val="auto"/>
          <w:szCs w:val="21"/>
          <w:highlight w:val="none"/>
          <w:u w:val="single"/>
        </w:rPr>
        <w:t>详见第六章合同主要条款（格式）。</w:t>
      </w:r>
    </w:p>
    <w:p w14:paraId="0226B580">
      <w:pPr>
        <w:snapToGrid w:val="0"/>
        <w:spacing w:before="120" w:after="120" w:line="320" w:lineRule="exact"/>
        <w:rPr>
          <w:color w:val="auto"/>
          <w:szCs w:val="21"/>
          <w:highlight w:val="none"/>
        </w:rPr>
      </w:pPr>
      <w:r>
        <w:rPr>
          <w:rFonts w:hint="eastAsia"/>
          <w:b/>
          <w:bCs/>
          <w:color w:val="auto"/>
          <w:szCs w:val="21"/>
          <w:highlight w:val="none"/>
        </w:rPr>
        <w:t>第七条 入围供应商清退和补充规则</w:t>
      </w:r>
    </w:p>
    <w:p w14:paraId="5913A115">
      <w:pPr>
        <w:snapToGrid w:val="0"/>
        <w:spacing w:before="120" w:after="120" w:line="320" w:lineRule="exact"/>
        <w:rPr>
          <w:color w:val="auto"/>
          <w:szCs w:val="21"/>
          <w:highlight w:val="none"/>
        </w:rPr>
      </w:pPr>
      <w:r>
        <w:rPr>
          <w:color w:val="auto"/>
          <w:szCs w:val="21"/>
          <w:highlight w:val="none"/>
        </w:rPr>
        <w:t>1</w:t>
      </w:r>
      <w:r>
        <w:rPr>
          <w:rFonts w:hint="eastAsia"/>
          <w:color w:val="auto"/>
          <w:szCs w:val="21"/>
          <w:highlight w:val="none"/>
        </w:rPr>
        <w:t>．入围供应商的清退</w:t>
      </w:r>
    </w:p>
    <w:p w14:paraId="1E7043EF">
      <w:pPr>
        <w:snapToGrid w:val="0"/>
        <w:spacing w:before="120" w:after="120" w:line="320" w:lineRule="exact"/>
        <w:rPr>
          <w:color w:val="auto"/>
          <w:szCs w:val="21"/>
          <w:highlight w:val="none"/>
        </w:rPr>
      </w:pPr>
      <w:r>
        <w:rPr>
          <w:rFonts w:hint="eastAsia"/>
          <w:color w:val="auto"/>
          <w:szCs w:val="21"/>
          <w:highlight w:val="none"/>
        </w:rPr>
        <w:t>乙方在签订本框架协议前出现以下情形之一的，甲方将取消其入围资格；乙方在签订本框架协议后出现以下情形之一的，</w:t>
      </w:r>
      <w:bookmarkStart w:id="77" w:name="_Hlk98861500"/>
      <w:r>
        <w:rPr>
          <w:rFonts w:hint="eastAsia"/>
          <w:color w:val="auto"/>
          <w:szCs w:val="21"/>
          <w:highlight w:val="none"/>
        </w:rPr>
        <w:t>甲方将解除与其签订的框架协议</w:t>
      </w:r>
      <w:bookmarkEnd w:id="77"/>
      <w:r>
        <w:rPr>
          <w:rFonts w:hint="eastAsia"/>
          <w:color w:val="auto"/>
          <w:szCs w:val="21"/>
          <w:highlight w:val="none"/>
        </w:rPr>
        <w:t xml:space="preserve">： </w:t>
      </w:r>
    </w:p>
    <w:p w14:paraId="2AC4C332">
      <w:pPr>
        <w:snapToGrid w:val="0"/>
        <w:spacing w:before="120" w:after="120"/>
        <w:rPr>
          <w:color w:val="auto"/>
          <w:szCs w:val="21"/>
          <w:highlight w:val="none"/>
        </w:rPr>
      </w:pPr>
      <w:r>
        <w:rPr>
          <w:rFonts w:hint="eastAsia"/>
          <w:color w:val="auto"/>
          <w:szCs w:val="21"/>
          <w:highlight w:val="none"/>
        </w:rPr>
        <w:t xml:space="preserve">（1）恶意串通谋取入围或者合同成交的； </w:t>
      </w:r>
    </w:p>
    <w:p w14:paraId="398C7F0E">
      <w:pPr>
        <w:snapToGrid w:val="0"/>
        <w:spacing w:before="120" w:after="120"/>
        <w:rPr>
          <w:color w:val="auto"/>
          <w:szCs w:val="21"/>
          <w:highlight w:val="none"/>
        </w:rPr>
      </w:pPr>
      <w:r>
        <w:rPr>
          <w:rFonts w:hint="eastAsia"/>
          <w:color w:val="auto"/>
          <w:szCs w:val="21"/>
          <w:highlight w:val="none"/>
        </w:rPr>
        <w:t xml:space="preserve">（2）提供虚假材料谋取入围或者合同成交的； </w:t>
      </w:r>
    </w:p>
    <w:p w14:paraId="45367545">
      <w:pPr>
        <w:snapToGrid w:val="0"/>
        <w:spacing w:before="120" w:after="120"/>
        <w:rPr>
          <w:color w:val="auto"/>
          <w:szCs w:val="21"/>
          <w:highlight w:val="none"/>
        </w:rPr>
      </w:pPr>
      <w:r>
        <w:rPr>
          <w:rFonts w:hint="eastAsia"/>
          <w:color w:val="auto"/>
          <w:szCs w:val="21"/>
          <w:highlight w:val="none"/>
        </w:rPr>
        <w:t xml:space="preserve">（3）除不可抗力外拒不接受合同授予的。 </w:t>
      </w:r>
    </w:p>
    <w:p w14:paraId="7FE7951E">
      <w:pPr>
        <w:snapToGrid w:val="0"/>
        <w:spacing w:before="120" w:after="120"/>
        <w:rPr>
          <w:color w:val="auto"/>
          <w:szCs w:val="21"/>
          <w:highlight w:val="none"/>
        </w:rPr>
      </w:pPr>
      <w:r>
        <w:rPr>
          <w:rFonts w:hint="eastAsia"/>
          <w:color w:val="auto"/>
          <w:szCs w:val="21"/>
          <w:highlight w:val="none"/>
        </w:rPr>
        <w:t xml:space="preserve">（4）不履行合同义务或者履行合同义务不符合约定，经采购人请求履行后仍不履行或者仍未按约定履行的； </w:t>
      </w:r>
    </w:p>
    <w:p w14:paraId="0B863FF2">
      <w:pPr>
        <w:snapToGrid w:val="0"/>
        <w:spacing w:before="120" w:after="120"/>
        <w:rPr>
          <w:color w:val="auto"/>
          <w:szCs w:val="21"/>
          <w:highlight w:val="none"/>
        </w:rPr>
      </w:pPr>
      <w:r>
        <w:rPr>
          <w:rFonts w:hint="eastAsia"/>
          <w:color w:val="auto"/>
          <w:szCs w:val="21"/>
          <w:highlight w:val="none"/>
        </w:rPr>
        <w:t xml:space="preserve">（5）框架协议有效期内，因违法行为被禁止或限制参加政府采购活动的； </w:t>
      </w:r>
    </w:p>
    <w:p w14:paraId="5F9610CB">
      <w:pPr>
        <w:snapToGrid w:val="0"/>
        <w:spacing w:before="120" w:after="120" w:line="276" w:lineRule="auto"/>
        <w:rPr>
          <w:color w:val="auto"/>
          <w:szCs w:val="21"/>
          <w:highlight w:val="none"/>
        </w:rPr>
      </w:pPr>
      <w:r>
        <w:rPr>
          <w:rFonts w:hint="eastAsia"/>
          <w:color w:val="auto"/>
          <w:szCs w:val="21"/>
          <w:highlight w:val="none"/>
        </w:rPr>
        <w:t>（6）入围供应商的组织机构、经营、财务状况发生较大变化，可能造成不能履行框架协议或合同、无法按照征集文件要求提交履约保证金的，未主动告知，给采购人造成损失的；</w:t>
      </w:r>
    </w:p>
    <w:p w14:paraId="2C9778FD">
      <w:pPr>
        <w:snapToGrid w:val="0"/>
        <w:spacing w:before="120" w:after="120" w:line="320" w:lineRule="exact"/>
        <w:rPr>
          <w:color w:val="auto"/>
          <w:szCs w:val="21"/>
          <w:highlight w:val="none"/>
        </w:rPr>
      </w:pPr>
      <w:r>
        <w:rPr>
          <w:rFonts w:hint="eastAsia"/>
          <w:color w:val="auto"/>
          <w:szCs w:val="21"/>
          <w:highlight w:val="none"/>
        </w:rPr>
        <w:t>（7）未按照征集文件评审办法要求提供需要核查的原件或原件与响应文件中提供的不一致或提供虚假材料的。</w:t>
      </w:r>
    </w:p>
    <w:p w14:paraId="6C48AA29">
      <w:pPr>
        <w:snapToGrid w:val="0"/>
        <w:spacing w:before="120" w:after="120" w:line="320" w:lineRule="exact"/>
        <w:rPr>
          <w:color w:val="auto"/>
          <w:szCs w:val="21"/>
          <w:highlight w:val="none"/>
        </w:rPr>
      </w:pPr>
      <w:r>
        <w:rPr>
          <w:rFonts w:hint="eastAsia"/>
          <w:color w:val="auto"/>
          <w:szCs w:val="21"/>
          <w:highlight w:val="none"/>
        </w:rPr>
        <w:t>（8）乙方无故超出本框架协议规定的项目评审规定时间50%以上且累计出现三次以上（含三次）。</w:t>
      </w:r>
    </w:p>
    <w:p w14:paraId="15FD025E">
      <w:pPr>
        <w:snapToGrid w:val="0"/>
        <w:spacing w:before="120" w:after="120" w:line="320" w:lineRule="exact"/>
        <w:rPr>
          <w:color w:val="auto"/>
          <w:szCs w:val="21"/>
          <w:highlight w:val="none"/>
        </w:rPr>
      </w:pPr>
      <w:r>
        <w:rPr>
          <w:rFonts w:hint="eastAsia"/>
          <w:color w:val="auto"/>
          <w:szCs w:val="21"/>
          <w:highlight w:val="none"/>
        </w:rPr>
        <w:t>（9）在合同期内经甲方检查三次以上（含）常驻贺州人员不到位的。</w:t>
      </w:r>
    </w:p>
    <w:p w14:paraId="138477C5">
      <w:pPr>
        <w:snapToGrid w:val="0"/>
        <w:spacing w:before="120" w:after="120" w:line="320" w:lineRule="exact"/>
        <w:rPr>
          <w:color w:val="auto"/>
          <w:szCs w:val="21"/>
          <w:highlight w:val="none"/>
        </w:rPr>
      </w:pPr>
      <w:r>
        <w:rPr>
          <w:rFonts w:hint="eastAsia"/>
          <w:color w:val="auto"/>
          <w:szCs w:val="21"/>
          <w:highlight w:val="none"/>
        </w:rPr>
        <w:t>（10）年度考核被评为“不合格”的。</w:t>
      </w:r>
    </w:p>
    <w:p w14:paraId="54F2FB8E">
      <w:pPr>
        <w:snapToGrid w:val="0"/>
        <w:spacing w:before="120" w:after="120" w:line="320" w:lineRule="exact"/>
        <w:rPr>
          <w:color w:val="auto"/>
          <w:szCs w:val="21"/>
          <w:highlight w:val="none"/>
        </w:rPr>
      </w:pPr>
      <w:r>
        <w:rPr>
          <w:rFonts w:hint="eastAsia"/>
          <w:color w:val="auto"/>
          <w:szCs w:val="21"/>
          <w:highlight w:val="none"/>
        </w:rPr>
        <w:t>（11）乙方被广西区各级纪检监察或行政监督部门处罚或列入黑名单。</w:t>
      </w:r>
    </w:p>
    <w:p w14:paraId="6539BFF9">
      <w:pPr>
        <w:snapToGrid w:val="0"/>
        <w:spacing w:before="120" w:after="120" w:line="320" w:lineRule="exact"/>
        <w:rPr>
          <w:color w:val="auto"/>
          <w:szCs w:val="21"/>
          <w:highlight w:val="none"/>
        </w:rPr>
      </w:pPr>
      <w:r>
        <w:rPr>
          <w:rFonts w:hint="eastAsia"/>
          <w:color w:val="auto"/>
          <w:szCs w:val="21"/>
          <w:highlight w:val="none"/>
        </w:rPr>
        <w:t>（12）其他违反法律法规的情形。</w:t>
      </w:r>
    </w:p>
    <w:p w14:paraId="03210935">
      <w:pPr>
        <w:spacing w:before="120" w:line="276" w:lineRule="auto"/>
        <w:ind w:left="2" w:leftChars="1"/>
        <w:rPr>
          <w:color w:val="auto"/>
          <w:szCs w:val="21"/>
          <w:highlight w:val="none"/>
        </w:rPr>
      </w:pPr>
      <w:r>
        <w:rPr>
          <w:color w:val="auto"/>
          <w:szCs w:val="21"/>
          <w:highlight w:val="none"/>
        </w:rPr>
        <w:t>2</w:t>
      </w:r>
      <w:r>
        <w:rPr>
          <w:rFonts w:hint="eastAsia"/>
          <w:color w:val="auto"/>
          <w:szCs w:val="21"/>
          <w:highlight w:val="none"/>
        </w:rPr>
        <w:t>．用户反馈和评价机制</w:t>
      </w:r>
    </w:p>
    <w:p w14:paraId="5D483514">
      <w:pPr>
        <w:snapToGrid w:val="0"/>
        <w:spacing w:before="120" w:after="120" w:line="320" w:lineRule="exact"/>
        <w:rPr>
          <w:color w:val="auto"/>
          <w:szCs w:val="21"/>
          <w:highlight w:val="none"/>
        </w:rPr>
      </w:pPr>
      <w:r>
        <w:rPr>
          <w:rFonts w:hint="eastAsia"/>
          <w:color w:val="auto"/>
          <w:szCs w:val="21"/>
          <w:highlight w:val="none"/>
        </w:rPr>
        <w:t>供应商在提交服务成果后，由采购人或服务对象填写成果评价表，反馈至征集人处。因供应商原因导致评价结果1次不满意的，供应商应当书面陈述原因并提出改进措施。累计达到3次不满意的，取消本次入围资格。</w:t>
      </w:r>
    </w:p>
    <w:p w14:paraId="1866D147">
      <w:pPr>
        <w:spacing w:before="120" w:line="276" w:lineRule="auto"/>
        <w:ind w:left="2" w:leftChars="1"/>
        <w:rPr>
          <w:color w:val="auto"/>
          <w:szCs w:val="21"/>
          <w:highlight w:val="none"/>
        </w:rPr>
      </w:pPr>
      <w:r>
        <w:rPr>
          <w:color w:val="auto"/>
          <w:szCs w:val="21"/>
          <w:highlight w:val="none"/>
        </w:rPr>
        <w:t>3</w:t>
      </w:r>
      <w:r>
        <w:rPr>
          <w:rFonts w:hint="eastAsia"/>
          <w:color w:val="auto"/>
          <w:szCs w:val="21"/>
          <w:highlight w:val="none"/>
        </w:rPr>
        <w:t>．入围供应商的补充</w:t>
      </w:r>
    </w:p>
    <w:p w14:paraId="092208E8">
      <w:pPr>
        <w:spacing w:before="120" w:line="276" w:lineRule="auto"/>
        <w:rPr>
          <w:color w:val="auto"/>
          <w:szCs w:val="21"/>
          <w:highlight w:val="none"/>
        </w:rPr>
      </w:pPr>
      <w:r>
        <w:rPr>
          <w:rFonts w:hint="eastAsia"/>
          <w:color w:val="auto"/>
          <w:szCs w:val="21"/>
          <w:highlight w:val="none"/>
        </w:rPr>
        <w:t>甲方启动补充征集程序。</w:t>
      </w:r>
    </w:p>
    <w:p w14:paraId="0E2446AD">
      <w:pPr>
        <w:spacing w:before="120" w:line="276" w:lineRule="auto"/>
        <w:rPr>
          <w:color w:val="auto"/>
          <w:szCs w:val="21"/>
          <w:highlight w:val="none"/>
          <w:u w:val="single"/>
        </w:rPr>
      </w:pPr>
      <w:r>
        <w:rPr>
          <w:rFonts w:hint="eastAsia"/>
          <w:color w:val="auto"/>
          <w:szCs w:val="21"/>
          <w:highlight w:val="none"/>
        </w:rPr>
        <w:t>补充征集的条件：</w:t>
      </w:r>
      <w:r>
        <w:rPr>
          <w:rFonts w:hint="eastAsia"/>
          <w:color w:val="auto"/>
          <w:szCs w:val="21"/>
          <w:highlight w:val="none"/>
          <w:u w:val="single"/>
        </w:rPr>
        <w:t>当出现入围供应商被清退或剩余入围供应商不足入围供应商总数70%且影响框架协议执行的情形</w:t>
      </w:r>
    </w:p>
    <w:p w14:paraId="6153AF36">
      <w:pPr>
        <w:spacing w:before="120" w:line="276" w:lineRule="auto"/>
        <w:rPr>
          <w:color w:val="auto"/>
          <w:szCs w:val="21"/>
          <w:highlight w:val="none"/>
          <w:u w:val="single"/>
        </w:rPr>
      </w:pPr>
      <w:r>
        <w:rPr>
          <w:rFonts w:hint="eastAsia"/>
          <w:color w:val="auto"/>
          <w:szCs w:val="21"/>
          <w:highlight w:val="none"/>
        </w:rPr>
        <w:t>补充征集的程序：</w:t>
      </w:r>
      <w:r>
        <w:rPr>
          <w:rFonts w:hint="eastAsia"/>
          <w:color w:val="auto"/>
          <w:szCs w:val="21"/>
          <w:highlight w:val="none"/>
          <w:u w:val="single"/>
        </w:rPr>
        <w:t>同原征集文件</w:t>
      </w:r>
    </w:p>
    <w:p w14:paraId="5574385C">
      <w:pPr>
        <w:spacing w:before="120" w:line="276" w:lineRule="auto"/>
        <w:rPr>
          <w:color w:val="auto"/>
          <w:szCs w:val="21"/>
          <w:highlight w:val="none"/>
        </w:rPr>
      </w:pPr>
      <w:r>
        <w:rPr>
          <w:rFonts w:hint="eastAsia"/>
          <w:color w:val="auto"/>
          <w:szCs w:val="21"/>
          <w:highlight w:val="none"/>
        </w:rPr>
        <w:t>补充征集的评审方法：</w:t>
      </w:r>
      <w:r>
        <w:rPr>
          <w:rFonts w:hint="eastAsia"/>
          <w:color w:val="auto"/>
          <w:szCs w:val="21"/>
          <w:highlight w:val="none"/>
          <w:u w:val="single"/>
        </w:rPr>
        <w:t>同原征集文件</w:t>
      </w:r>
    </w:p>
    <w:p w14:paraId="503A2BDE">
      <w:pPr>
        <w:spacing w:before="120" w:line="276" w:lineRule="auto"/>
        <w:rPr>
          <w:color w:val="auto"/>
          <w:szCs w:val="21"/>
          <w:highlight w:val="none"/>
        </w:rPr>
      </w:pPr>
      <w:r>
        <w:rPr>
          <w:rFonts w:hint="eastAsia"/>
          <w:color w:val="auto"/>
          <w:szCs w:val="21"/>
          <w:highlight w:val="none"/>
        </w:rPr>
        <w:t>补充征集的淘汰比例：</w:t>
      </w:r>
      <w:r>
        <w:rPr>
          <w:rFonts w:hint="eastAsia"/>
          <w:color w:val="auto"/>
          <w:szCs w:val="21"/>
          <w:highlight w:val="none"/>
          <w:u w:val="single"/>
        </w:rPr>
        <w:t>同原征集文件</w:t>
      </w:r>
    </w:p>
    <w:p w14:paraId="46A1D999">
      <w:pPr>
        <w:spacing w:before="120" w:line="276" w:lineRule="auto"/>
        <w:rPr>
          <w:color w:val="auto"/>
          <w:szCs w:val="21"/>
          <w:highlight w:val="none"/>
        </w:rPr>
      </w:pPr>
      <w:r>
        <w:rPr>
          <w:rFonts w:hint="eastAsia"/>
          <w:color w:val="auto"/>
          <w:szCs w:val="21"/>
          <w:highlight w:val="none"/>
        </w:rPr>
        <w:t>补充征集的框架协议有效期：</w:t>
      </w:r>
      <w:r>
        <w:rPr>
          <w:rFonts w:hint="eastAsia"/>
          <w:color w:val="auto"/>
          <w:szCs w:val="21"/>
          <w:highlight w:val="none"/>
          <w:u w:val="single"/>
        </w:rPr>
        <w:t>同本协议有效期</w:t>
      </w:r>
    </w:p>
    <w:p w14:paraId="4E6FC79B">
      <w:pPr>
        <w:spacing w:before="120" w:line="276" w:lineRule="auto"/>
        <w:rPr>
          <w:color w:val="auto"/>
          <w:szCs w:val="21"/>
          <w:highlight w:val="none"/>
        </w:rPr>
      </w:pPr>
      <w:r>
        <w:rPr>
          <w:rFonts w:hint="eastAsia"/>
          <w:color w:val="auto"/>
          <w:szCs w:val="21"/>
          <w:highlight w:val="none"/>
        </w:rPr>
        <w:t>补充征集期间，本框架协议继续履行。被取消入围资格或者被解除框架协议的供应商不得参加同一封闭式框架协议补充征集。</w:t>
      </w:r>
    </w:p>
    <w:p w14:paraId="29B3A51B">
      <w:pPr>
        <w:snapToGrid w:val="0"/>
        <w:spacing w:before="120" w:after="120" w:line="320" w:lineRule="exact"/>
        <w:rPr>
          <w:b/>
          <w:bCs/>
          <w:color w:val="auto"/>
          <w:szCs w:val="21"/>
          <w:highlight w:val="none"/>
        </w:rPr>
      </w:pPr>
      <w:r>
        <w:rPr>
          <w:rFonts w:hint="eastAsia"/>
          <w:b/>
          <w:bCs/>
          <w:color w:val="auto"/>
          <w:szCs w:val="21"/>
          <w:highlight w:val="none"/>
        </w:rPr>
        <w:t>第八条 甲方权利和义务</w:t>
      </w:r>
    </w:p>
    <w:p w14:paraId="10635E34">
      <w:pPr>
        <w:snapToGrid w:val="0"/>
        <w:spacing w:before="120" w:after="120" w:line="320" w:lineRule="exact"/>
        <w:rPr>
          <w:color w:val="auto"/>
          <w:szCs w:val="21"/>
          <w:highlight w:val="none"/>
        </w:rPr>
      </w:pPr>
      <w:r>
        <w:rPr>
          <w:rFonts w:hint="eastAsia"/>
          <w:color w:val="auto"/>
          <w:szCs w:val="21"/>
          <w:highlight w:val="none"/>
        </w:rPr>
        <w:t>1．甲方将依照有关法规、规章的规定，要求采购人按照本项目征集文件采购需求及本框架协议约定的事项从入围供应商中选定成交供应商。</w:t>
      </w:r>
    </w:p>
    <w:p w14:paraId="05645A65">
      <w:pPr>
        <w:snapToGrid w:val="0"/>
        <w:spacing w:before="120" w:after="120" w:line="320" w:lineRule="exact"/>
        <w:rPr>
          <w:color w:val="auto"/>
          <w:szCs w:val="21"/>
          <w:highlight w:val="none"/>
        </w:rPr>
      </w:pPr>
      <w:r>
        <w:rPr>
          <w:rFonts w:hint="eastAsia"/>
          <w:color w:val="auto"/>
          <w:szCs w:val="21"/>
          <w:highlight w:val="none"/>
        </w:rPr>
        <w:t>2．甲方负责管理乙方的服务活动，使其符合采购价格不高于响应报价的价格，采购质量优良和服务良好的要求。</w:t>
      </w:r>
    </w:p>
    <w:p w14:paraId="7BE883DB">
      <w:pPr>
        <w:snapToGrid w:val="0"/>
        <w:spacing w:before="120" w:after="120" w:line="320" w:lineRule="exact"/>
        <w:rPr>
          <w:color w:val="auto"/>
          <w:szCs w:val="21"/>
          <w:highlight w:val="none"/>
        </w:rPr>
      </w:pPr>
      <w:r>
        <w:rPr>
          <w:rFonts w:hint="eastAsia"/>
          <w:color w:val="auto"/>
          <w:szCs w:val="21"/>
          <w:highlight w:val="none"/>
        </w:rPr>
        <w:t>3．甲方有权按照本项目征集文件以及本框架协议和采购合同等文件对乙方履约行为进行监督和检查，收集并公开采购人对入围供应商履行框架协议和采购合同情况的反馈与评价。</w:t>
      </w:r>
    </w:p>
    <w:p w14:paraId="0F9E616D">
      <w:pPr>
        <w:snapToGrid w:val="0"/>
        <w:spacing w:before="120" w:after="120" w:line="320" w:lineRule="exact"/>
        <w:rPr>
          <w:color w:val="auto"/>
          <w:szCs w:val="21"/>
          <w:highlight w:val="none"/>
        </w:rPr>
      </w:pPr>
      <w:r>
        <w:rPr>
          <w:rFonts w:hint="eastAsia"/>
          <w:color w:val="auto"/>
          <w:szCs w:val="21"/>
          <w:highlight w:val="none"/>
        </w:rPr>
        <w:t>4．甲方按规定公开框架协议有效期内入围供应商成交结果情况。</w:t>
      </w:r>
    </w:p>
    <w:p w14:paraId="771A90F7">
      <w:pPr>
        <w:snapToGrid w:val="0"/>
        <w:spacing w:before="120" w:after="120" w:line="320" w:lineRule="exact"/>
        <w:rPr>
          <w:color w:val="auto"/>
          <w:szCs w:val="21"/>
          <w:highlight w:val="none"/>
        </w:rPr>
      </w:pPr>
      <w:r>
        <w:rPr>
          <w:rFonts w:hint="eastAsia"/>
          <w:color w:val="auto"/>
          <w:szCs w:val="21"/>
          <w:highlight w:val="none"/>
        </w:rPr>
        <w:t>5．甲方有权对入围供应商进行清退或补充等相关事宜。</w:t>
      </w:r>
    </w:p>
    <w:p w14:paraId="227E2E67">
      <w:pPr>
        <w:snapToGrid w:val="0"/>
        <w:spacing w:before="120" w:after="120" w:line="320" w:lineRule="exact"/>
        <w:rPr>
          <w:color w:val="auto"/>
          <w:szCs w:val="21"/>
          <w:highlight w:val="none"/>
        </w:rPr>
      </w:pPr>
      <w:r>
        <w:rPr>
          <w:rFonts w:hint="eastAsia"/>
          <w:color w:val="auto"/>
          <w:szCs w:val="21"/>
          <w:highlight w:val="none"/>
        </w:rPr>
        <w:t>6．如征集文件有要求需要在框架协议中另行确定的事项，甲方有权按征集文件要求执行。</w:t>
      </w:r>
    </w:p>
    <w:p w14:paraId="7E023979">
      <w:pPr>
        <w:snapToGrid w:val="0"/>
        <w:spacing w:before="120" w:after="120" w:line="320" w:lineRule="exact"/>
        <w:rPr>
          <w:color w:val="auto"/>
          <w:szCs w:val="21"/>
          <w:highlight w:val="none"/>
        </w:rPr>
      </w:pPr>
      <w:r>
        <w:rPr>
          <w:rFonts w:hint="eastAsia"/>
          <w:color w:val="auto"/>
          <w:szCs w:val="21"/>
          <w:highlight w:val="none"/>
        </w:rPr>
        <w:t>7. 甲方有权要求乙方按时、按质、按量、按计划与合同协议约定完成本项目，并有权对乙方工作情况进行监督。如发现乙方与项目有关人员有意串通增大工程量或弄虚作假增加评审金额的，经查实按违约责任处理。</w:t>
      </w:r>
    </w:p>
    <w:p w14:paraId="5A1556A1">
      <w:pPr>
        <w:snapToGrid w:val="0"/>
        <w:spacing w:before="120" w:after="120" w:line="320" w:lineRule="exact"/>
        <w:rPr>
          <w:color w:val="auto"/>
          <w:szCs w:val="21"/>
          <w:highlight w:val="none"/>
        </w:rPr>
      </w:pPr>
      <w:r>
        <w:rPr>
          <w:rFonts w:hint="eastAsia"/>
          <w:color w:val="auto"/>
          <w:szCs w:val="21"/>
          <w:highlight w:val="none"/>
        </w:rPr>
        <w:t>8. 根据项目进度，甲方有权及时对乙方提交的方案提出修改意见，并要求乙方按修改意见完成服务工作。</w:t>
      </w:r>
    </w:p>
    <w:p w14:paraId="2C46E3B7">
      <w:pPr>
        <w:snapToGrid w:val="0"/>
        <w:spacing w:before="120" w:after="120" w:line="320" w:lineRule="exact"/>
        <w:rPr>
          <w:color w:val="auto"/>
          <w:szCs w:val="21"/>
          <w:highlight w:val="none"/>
        </w:rPr>
      </w:pPr>
      <w:r>
        <w:rPr>
          <w:rFonts w:hint="eastAsia"/>
          <w:color w:val="auto"/>
          <w:szCs w:val="21"/>
          <w:highlight w:val="none"/>
        </w:rPr>
        <w:t>9. 乙方配备的项目投入人员应得到甲方的认可。</w:t>
      </w:r>
    </w:p>
    <w:p w14:paraId="36F43495">
      <w:pPr>
        <w:snapToGrid w:val="0"/>
        <w:spacing w:before="120" w:after="120" w:line="320" w:lineRule="exact"/>
        <w:rPr>
          <w:color w:val="auto"/>
          <w:szCs w:val="21"/>
          <w:highlight w:val="none"/>
        </w:rPr>
      </w:pPr>
      <w:r>
        <w:rPr>
          <w:rFonts w:hint="eastAsia"/>
          <w:color w:val="auto"/>
          <w:szCs w:val="21"/>
          <w:highlight w:val="none"/>
        </w:rPr>
        <w:t>10. 甲方有权要求乙方更换不合格的工作人员。</w:t>
      </w:r>
    </w:p>
    <w:p w14:paraId="24503E94">
      <w:pPr>
        <w:snapToGrid w:val="0"/>
        <w:spacing w:before="120" w:after="120" w:line="320" w:lineRule="exact"/>
        <w:rPr>
          <w:color w:val="auto"/>
          <w:szCs w:val="21"/>
          <w:highlight w:val="none"/>
        </w:rPr>
      </w:pPr>
      <w:r>
        <w:rPr>
          <w:rFonts w:hint="eastAsia"/>
          <w:color w:val="auto"/>
          <w:szCs w:val="21"/>
          <w:highlight w:val="none"/>
        </w:rPr>
        <w:t>11. 按合同要求及时向乙方支付服务费用。</w:t>
      </w:r>
    </w:p>
    <w:p w14:paraId="69CEAAB5">
      <w:pPr>
        <w:snapToGrid w:val="0"/>
        <w:spacing w:before="120" w:after="120" w:line="320" w:lineRule="exact"/>
        <w:rPr>
          <w:color w:val="auto"/>
          <w:szCs w:val="21"/>
          <w:highlight w:val="none"/>
        </w:rPr>
      </w:pPr>
      <w:r>
        <w:rPr>
          <w:rFonts w:hint="eastAsia"/>
          <w:color w:val="auto"/>
          <w:szCs w:val="21"/>
          <w:highlight w:val="none"/>
        </w:rPr>
        <w:t xml:space="preserve">12. 如采购项目涉及采购标的的知识产权归属的，产权归属为甲方。   </w:t>
      </w:r>
    </w:p>
    <w:p w14:paraId="74F9D8E0">
      <w:pPr>
        <w:snapToGrid w:val="0"/>
        <w:spacing w:before="120" w:after="120" w:line="320" w:lineRule="exact"/>
        <w:rPr>
          <w:color w:val="auto"/>
          <w:szCs w:val="21"/>
          <w:highlight w:val="none"/>
        </w:rPr>
      </w:pPr>
      <w:r>
        <w:rPr>
          <w:rFonts w:hint="eastAsia"/>
          <w:color w:val="auto"/>
          <w:szCs w:val="21"/>
          <w:highlight w:val="none"/>
        </w:rPr>
        <w:t>13. 处理方式：采购人在中华人民共和国境内使用供应商提供的产品及服务时免受第三方提出的侵犯其专利权或其它知识产权的起诉。如果第三方提出侵权指控，乙方应承担由此而引起的一切法律责任和费用。</w:t>
      </w:r>
    </w:p>
    <w:p w14:paraId="2624207C">
      <w:pPr>
        <w:snapToGrid w:val="0"/>
        <w:spacing w:before="120" w:after="120" w:line="320" w:lineRule="exact"/>
        <w:rPr>
          <w:b/>
          <w:bCs/>
          <w:color w:val="auto"/>
          <w:szCs w:val="21"/>
          <w:highlight w:val="none"/>
        </w:rPr>
      </w:pPr>
      <w:r>
        <w:rPr>
          <w:rFonts w:hint="eastAsia"/>
          <w:b/>
          <w:bCs/>
          <w:color w:val="auto"/>
          <w:szCs w:val="21"/>
          <w:highlight w:val="none"/>
        </w:rPr>
        <w:t>第九条 乙方权利和义务</w:t>
      </w:r>
    </w:p>
    <w:p w14:paraId="04C6537F">
      <w:pPr>
        <w:snapToGrid w:val="0"/>
        <w:spacing w:before="120" w:after="120" w:line="320" w:lineRule="exact"/>
        <w:rPr>
          <w:color w:val="auto"/>
          <w:szCs w:val="21"/>
          <w:highlight w:val="none"/>
        </w:rPr>
      </w:pPr>
      <w:r>
        <w:rPr>
          <w:rFonts w:hint="eastAsia"/>
          <w:color w:val="auto"/>
          <w:szCs w:val="21"/>
          <w:highlight w:val="none"/>
        </w:rPr>
        <w:t>1．乙方应当遵守采购人按照本协议规定的选定成交供应商的方式获得成交供应商资格。</w:t>
      </w:r>
    </w:p>
    <w:p w14:paraId="2EF6291A">
      <w:pPr>
        <w:snapToGrid w:val="0"/>
        <w:spacing w:before="120" w:after="120" w:line="320" w:lineRule="exact"/>
        <w:rPr>
          <w:color w:val="auto"/>
          <w:szCs w:val="21"/>
          <w:highlight w:val="none"/>
        </w:rPr>
      </w:pPr>
      <w:r>
        <w:rPr>
          <w:rFonts w:hint="eastAsia"/>
          <w:color w:val="auto"/>
          <w:szCs w:val="21"/>
          <w:highlight w:val="none"/>
        </w:rPr>
        <w:t>2．乙方提供的产品或服务应符合国家标准和征集文件中要求的标准。</w:t>
      </w:r>
    </w:p>
    <w:p w14:paraId="77C84A26">
      <w:pPr>
        <w:snapToGrid w:val="0"/>
        <w:spacing w:before="120" w:after="120" w:line="320" w:lineRule="exact"/>
        <w:rPr>
          <w:color w:val="auto"/>
          <w:szCs w:val="21"/>
          <w:highlight w:val="none"/>
        </w:rPr>
      </w:pPr>
      <w:r>
        <w:rPr>
          <w:rFonts w:hint="eastAsia"/>
          <w:color w:val="auto"/>
          <w:szCs w:val="21"/>
          <w:highlight w:val="none"/>
        </w:rPr>
        <w:t>3．乙方应保证依据征集文件要求及响应承诺，向采购人提供质量不降低，价格不提高的产品、以及与之配套的耗材、配件。</w:t>
      </w:r>
    </w:p>
    <w:p w14:paraId="0A114B41">
      <w:pPr>
        <w:snapToGrid w:val="0"/>
        <w:spacing w:before="120" w:after="120" w:line="320" w:lineRule="exact"/>
        <w:rPr>
          <w:color w:val="auto"/>
          <w:szCs w:val="21"/>
          <w:highlight w:val="none"/>
        </w:rPr>
      </w:pPr>
      <w:r>
        <w:rPr>
          <w:rFonts w:hint="eastAsia"/>
          <w:color w:val="auto"/>
          <w:szCs w:val="21"/>
          <w:highlight w:val="none"/>
        </w:rPr>
        <w:t>4．乙方应接受并配合甲方的评价及反馈机制，严格履行服务承诺。</w:t>
      </w:r>
    </w:p>
    <w:p w14:paraId="52F914CA">
      <w:pPr>
        <w:snapToGrid w:val="0"/>
        <w:spacing w:before="120" w:after="120" w:line="320" w:lineRule="exact"/>
        <w:rPr>
          <w:color w:val="auto"/>
          <w:szCs w:val="21"/>
          <w:highlight w:val="none"/>
        </w:rPr>
      </w:pPr>
      <w:r>
        <w:rPr>
          <w:rFonts w:hint="eastAsia"/>
          <w:color w:val="auto"/>
          <w:szCs w:val="21"/>
          <w:highlight w:val="none"/>
        </w:rPr>
        <w:t>5．乙方无正当理由，不得主动放弃入围资格或者退出框架协议，否则，乙方不得参加同一封闭式框架协议补充征集，或者重新申请加入同一开放式框架协议。甲方保留对乙方追究责任的权利。</w:t>
      </w:r>
    </w:p>
    <w:p w14:paraId="0011B72B">
      <w:pPr>
        <w:snapToGrid w:val="0"/>
        <w:spacing w:before="120" w:after="120" w:line="320" w:lineRule="exact"/>
        <w:rPr>
          <w:color w:val="auto"/>
          <w:szCs w:val="21"/>
          <w:highlight w:val="none"/>
        </w:rPr>
      </w:pPr>
      <w:r>
        <w:rPr>
          <w:rFonts w:hint="eastAsia"/>
          <w:color w:val="auto"/>
          <w:szCs w:val="21"/>
          <w:highlight w:val="none"/>
        </w:rPr>
        <w:t>6．乙方应按照征集文件评审办法要求提供需要核查的原件，如原件与响应文件中提供的不一致或虚假的或未提供的，甲方有权取消乙方入围资格，另行确定入围供应商。</w:t>
      </w:r>
    </w:p>
    <w:p w14:paraId="7CA73D52">
      <w:pPr>
        <w:snapToGrid w:val="0"/>
        <w:spacing w:before="120" w:after="120" w:line="320" w:lineRule="exact"/>
        <w:rPr>
          <w:color w:val="auto"/>
          <w:szCs w:val="21"/>
          <w:highlight w:val="none"/>
        </w:rPr>
      </w:pPr>
      <w:r>
        <w:rPr>
          <w:rFonts w:hint="eastAsia"/>
          <w:color w:val="auto"/>
          <w:szCs w:val="21"/>
          <w:highlight w:val="none"/>
        </w:rPr>
        <w:t>7. 严格履行合同文件（含征集文件、响应文件等）约定和承诺的服务内容和质量标准，保证甲方项目的相关工作质量和进度。</w:t>
      </w:r>
    </w:p>
    <w:p w14:paraId="1D578FFE">
      <w:pPr>
        <w:snapToGrid w:val="0"/>
        <w:spacing w:before="120" w:after="120" w:line="320" w:lineRule="exact"/>
        <w:rPr>
          <w:color w:val="auto"/>
          <w:szCs w:val="21"/>
          <w:highlight w:val="none"/>
        </w:rPr>
      </w:pPr>
      <w:r>
        <w:rPr>
          <w:rFonts w:hint="eastAsia"/>
          <w:color w:val="auto"/>
          <w:szCs w:val="21"/>
          <w:highlight w:val="none"/>
        </w:rPr>
        <w:t>8. 必须严格实施乙方响应文件中承诺的人力资源配置。在必须补充或更换人员时，必须补充或更换优于或等同于响应文件所承诺资质的评审人员（包括主审、协审人员），并需取得甲方书面同意。</w:t>
      </w:r>
    </w:p>
    <w:p w14:paraId="7E3A11D7">
      <w:pPr>
        <w:snapToGrid w:val="0"/>
        <w:spacing w:before="120" w:after="120" w:line="320" w:lineRule="exact"/>
        <w:rPr>
          <w:color w:val="auto"/>
          <w:szCs w:val="21"/>
          <w:highlight w:val="none"/>
        </w:rPr>
      </w:pPr>
      <w:r>
        <w:rPr>
          <w:rFonts w:hint="eastAsia"/>
          <w:color w:val="auto"/>
          <w:szCs w:val="21"/>
          <w:highlight w:val="none"/>
        </w:rPr>
        <w:t>在框架协议有效期内，如乙方在第二阶段签订合同时需要调整人员，调整的人员应当是响应文件中承诺的拟投入人员，且签订合同前须提供人员名单送甲方审核。</w:t>
      </w:r>
    </w:p>
    <w:p w14:paraId="3D85A312">
      <w:pPr>
        <w:snapToGrid w:val="0"/>
        <w:spacing w:before="120" w:after="120" w:line="320" w:lineRule="exact"/>
        <w:rPr>
          <w:color w:val="auto"/>
          <w:szCs w:val="21"/>
          <w:highlight w:val="none"/>
        </w:rPr>
      </w:pPr>
      <w:r>
        <w:rPr>
          <w:rFonts w:hint="eastAsia"/>
          <w:color w:val="auto"/>
          <w:szCs w:val="21"/>
          <w:highlight w:val="none"/>
        </w:rPr>
        <w:t>9.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5EDF68FE">
      <w:pPr>
        <w:snapToGrid w:val="0"/>
        <w:spacing w:before="120" w:after="120" w:line="320" w:lineRule="exact"/>
        <w:rPr>
          <w:color w:val="auto"/>
          <w:szCs w:val="21"/>
          <w:highlight w:val="none"/>
        </w:rPr>
      </w:pPr>
      <w:r>
        <w:rPr>
          <w:rFonts w:hint="eastAsia"/>
          <w:color w:val="auto"/>
          <w:szCs w:val="21"/>
          <w:highlight w:val="none"/>
        </w:rPr>
        <w:t>10.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1B000AEC">
      <w:pPr>
        <w:snapToGrid w:val="0"/>
        <w:spacing w:before="120" w:after="120" w:line="320" w:lineRule="exact"/>
        <w:rPr>
          <w:color w:val="auto"/>
          <w:szCs w:val="21"/>
          <w:highlight w:val="none"/>
        </w:rPr>
      </w:pPr>
      <w:r>
        <w:rPr>
          <w:rFonts w:hint="eastAsia"/>
          <w:color w:val="auto"/>
          <w:szCs w:val="21"/>
          <w:highlight w:val="none"/>
        </w:rPr>
        <w:t>11. 乙方评审人员（包括主审、协审人员）应签订保密协议并履行保密义务。如乙方因违反本条约定给甲方造成损失的，乙方应当承担相应的法律责任，并赔偿由此给甲方造成的一切损失。</w:t>
      </w:r>
    </w:p>
    <w:p w14:paraId="253A28BF">
      <w:pPr>
        <w:snapToGrid w:val="0"/>
        <w:spacing w:before="120" w:after="120" w:line="320" w:lineRule="exact"/>
        <w:rPr>
          <w:color w:val="auto"/>
          <w:szCs w:val="21"/>
          <w:highlight w:val="none"/>
        </w:rPr>
      </w:pPr>
      <w:r>
        <w:rPr>
          <w:rFonts w:hint="eastAsia"/>
          <w:color w:val="auto"/>
          <w:szCs w:val="21"/>
          <w:highlight w:val="none"/>
        </w:rPr>
        <w:t xml:space="preserve">12. 乙方应履行回避义务。乙方以及乙方评审人员（包括主审、协审人员）如存在可能影响本合同所安排项目评审公正性的情形，应主动告知甲方，并终止本合同或更换存在利益关联的评审人员。如果乙方与所评审项目（或该项目的送审单位）存在利益关联，应主动告知甲方并终止本合同；如果所安排评审人员与所评审项目（或该项目的送审单位）存在利益关联，应主动告知甲方并更换评审人员。 </w:t>
      </w:r>
    </w:p>
    <w:p w14:paraId="57D8BD52">
      <w:pPr>
        <w:snapToGrid w:val="0"/>
        <w:spacing w:before="120" w:after="120" w:line="320" w:lineRule="exact"/>
        <w:rPr>
          <w:color w:val="auto"/>
          <w:szCs w:val="21"/>
          <w:highlight w:val="none"/>
        </w:rPr>
      </w:pPr>
      <w:r>
        <w:rPr>
          <w:rFonts w:hint="eastAsia"/>
          <w:color w:val="auto"/>
          <w:szCs w:val="21"/>
          <w:highlight w:val="none"/>
        </w:rPr>
        <w:t>13. 按照合同约定收取服务费，当甲方出现无故拖欠费用时，乙方有权采取适当方式进行催缴，若甲方仍未支付费用，乙方有权停止工作。</w:t>
      </w:r>
    </w:p>
    <w:p w14:paraId="2E728BB5">
      <w:pPr>
        <w:snapToGrid w:val="0"/>
        <w:spacing w:before="120" w:after="120" w:line="320" w:lineRule="exact"/>
        <w:rPr>
          <w:color w:val="auto"/>
          <w:szCs w:val="21"/>
          <w:highlight w:val="none"/>
        </w:rPr>
      </w:pPr>
      <w:r>
        <w:rPr>
          <w:rFonts w:hint="eastAsia"/>
          <w:color w:val="auto"/>
          <w:szCs w:val="21"/>
          <w:highlight w:val="none"/>
        </w:rPr>
        <w:t>14. 有义务妥善保管甲方提供的资料，并在审核工作完成后，完整交回甲方。</w:t>
      </w:r>
    </w:p>
    <w:p w14:paraId="06C9A324">
      <w:pPr>
        <w:snapToGrid w:val="0"/>
        <w:spacing w:before="120" w:after="120" w:line="320" w:lineRule="exact"/>
        <w:rPr>
          <w:color w:val="auto"/>
          <w:szCs w:val="21"/>
          <w:highlight w:val="none"/>
        </w:rPr>
      </w:pPr>
      <w:r>
        <w:rPr>
          <w:rFonts w:hint="eastAsia"/>
          <w:color w:val="auto"/>
          <w:szCs w:val="21"/>
          <w:highlight w:val="none"/>
        </w:rPr>
        <w:t>15. 乙方应服从甲方对可能委托项目的指派及分配，并了解本项目签订框架协议后仅代表取得入围本项目服务资格，不等同于可确保直接承接相应数量的项目评审工作并获得相应项目的服务费用。</w:t>
      </w:r>
    </w:p>
    <w:p w14:paraId="04A30FA2">
      <w:pPr>
        <w:snapToGrid w:val="0"/>
        <w:spacing w:before="120" w:after="120" w:line="320" w:lineRule="exact"/>
        <w:rPr>
          <w:color w:val="auto"/>
          <w:szCs w:val="21"/>
          <w:highlight w:val="none"/>
        </w:rPr>
      </w:pPr>
      <w:r>
        <w:rPr>
          <w:rFonts w:hint="eastAsia"/>
          <w:color w:val="auto"/>
          <w:szCs w:val="21"/>
          <w:highlight w:val="none"/>
        </w:rPr>
        <w:t>16.甲方不定期对乙方配备在贺州市的专业技术人员到位情况进行检查。如发现人员不到位的的情况，由乙方通知缺位人员在一天内到位并经甲方确认，否则中止其评审业务工作安排，经甲方检查配备在贺州市的专业技术人员全部到位后再恢复评审业务工作。（本条适用于乙方在响应文件中承诺有常驻贺州市的人员）</w:t>
      </w:r>
    </w:p>
    <w:p w14:paraId="53066D9B">
      <w:pPr>
        <w:snapToGrid w:val="0"/>
        <w:spacing w:before="120" w:after="120" w:line="320" w:lineRule="exact"/>
        <w:rPr>
          <w:color w:val="auto"/>
          <w:szCs w:val="21"/>
          <w:highlight w:val="none"/>
        </w:rPr>
      </w:pPr>
      <w:r>
        <w:rPr>
          <w:rFonts w:hint="eastAsia"/>
          <w:color w:val="auto"/>
          <w:szCs w:val="21"/>
          <w:highlight w:val="none"/>
        </w:rPr>
        <w:t>17.乙方应当签订保密协议（附后）及廉洁承诺书（附后）。</w:t>
      </w:r>
    </w:p>
    <w:p w14:paraId="607AE387">
      <w:pPr>
        <w:snapToGrid w:val="0"/>
        <w:spacing w:line="360" w:lineRule="exact"/>
        <w:rPr>
          <w:color w:val="auto"/>
          <w:szCs w:val="21"/>
          <w:highlight w:val="none"/>
        </w:rPr>
      </w:pPr>
      <w:r>
        <w:rPr>
          <w:b/>
          <w:color w:val="auto"/>
          <w:szCs w:val="21"/>
          <w:highlight w:val="none"/>
        </w:rPr>
        <w:t>第</w:t>
      </w:r>
      <w:r>
        <w:rPr>
          <w:rFonts w:hint="eastAsia"/>
          <w:b/>
          <w:color w:val="auto"/>
          <w:szCs w:val="21"/>
          <w:highlight w:val="none"/>
        </w:rPr>
        <w:t>十</w:t>
      </w:r>
      <w:r>
        <w:rPr>
          <w:b/>
          <w:color w:val="auto"/>
          <w:szCs w:val="21"/>
          <w:highlight w:val="none"/>
        </w:rPr>
        <w:t xml:space="preserve">条  </w:t>
      </w:r>
      <w:r>
        <w:rPr>
          <w:rFonts w:hint="eastAsia"/>
          <w:b/>
          <w:color w:val="auto"/>
          <w:szCs w:val="21"/>
          <w:highlight w:val="none"/>
        </w:rPr>
        <w:t>履约</w:t>
      </w:r>
      <w:r>
        <w:rPr>
          <w:b/>
          <w:color w:val="auto"/>
          <w:szCs w:val="21"/>
          <w:highlight w:val="none"/>
        </w:rPr>
        <w:t>验收</w:t>
      </w:r>
    </w:p>
    <w:p w14:paraId="1D0C0F2D">
      <w:pPr>
        <w:snapToGrid w:val="0"/>
        <w:spacing w:before="120" w:after="120" w:line="320" w:lineRule="exact"/>
        <w:rPr>
          <w:color w:val="auto"/>
          <w:szCs w:val="21"/>
          <w:highlight w:val="none"/>
        </w:rPr>
      </w:pPr>
      <w:r>
        <w:rPr>
          <w:color w:val="auto"/>
          <w:szCs w:val="21"/>
          <w:highlight w:val="none"/>
        </w:rPr>
        <w:t>1. 乙方提供不符合</w:t>
      </w:r>
      <w:r>
        <w:rPr>
          <w:rFonts w:hint="eastAsia"/>
          <w:color w:val="auto"/>
          <w:szCs w:val="21"/>
          <w:highlight w:val="none"/>
        </w:rPr>
        <w:t>征集文件、响应文件</w:t>
      </w:r>
      <w:r>
        <w:rPr>
          <w:color w:val="auto"/>
          <w:szCs w:val="21"/>
          <w:highlight w:val="none"/>
        </w:rPr>
        <w:t>和本合同规定的服务</w:t>
      </w:r>
      <w:r>
        <w:rPr>
          <w:rFonts w:hint="eastAsia"/>
          <w:color w:val="auto"/>
          <w:szCs w:val="21"/>
          <w:highlight w:val="none"/>
        </w:rPr>
        <w:t>的</w:t>
      </w:r>
      <w:r>
        <w:rPr>
          <w:color w:val="auto"/>
          <w:szCs w:val="21"/>
          <w:highlight w:val="none"/>
        </w:rPr>
        <w:t>，甲方有权拒绝接受</w:t>
      </w:r>
      <w:r>
        <w:rPr>
          <w:rFonts w:hint="eastAsia"/>
          <w:color w:val="auto"/>
          <w:szCs w:val="21"/>
          <w:highlight w:val="none"/>
        </w:rPr>
        <w:t xml:space="preserve">。 </w:t>
      </w:r>
    </w:p>
    <w:p w14:paraId="03148B85">
      <w:pPr>
        <w:snapToGrid w:val="0"/>
        <w:spacing w:before="120" w:after="120" w:line="320" w:lineRule="exact"/>
        <w:rPr>
          <w:color w:val="auto"/>
          <w:szCs w:val="21"/>
          <w:highlight w:val="none"/>
        </w:rPr>
      </w:pPr>
      <w:r>
        <w:rPr>
          <w:rFonts w:hint="eastAsia"/>
          <w:color w:val="auto"/>
          <w:szCs w:val="21"/>
          <w:highlight w:val="none"/>
        </w:rPr>
        <w:t>2</w:t>
      </w:r>
      <w:r>
        <w:rPr>
          <w:color w:val="auto"/>
          <w:szCs w:val="21"/>
          <w:highlight w:val="none"/>
        </w:rPr>
        <w:t>. 甲方委托第三方组织的验收项目，其验收时间以该项目验收方案确定的验收时间为准，验收结果以该项目验收报告结论为准。在验收过程中发现乙方有违约问题，可暂缓资金结算</w:t>
      </w:r>
      <w:r>
        <w:rPr>
          <w:rFonts w:hint="eastAsia"/>
          <w:color w:val="auto"/>
          <w:szCs w:val="21"/>
          <w:highlight w:val="none"/>
        </w:rPr>
        <w:t>并停止向乙方委派业务</w:t>
      </w:r>
      <w:r>
        <w:rPr>
          <w:color w:val="auto"/>
          <w:szCs w:val="21"/>
          <w:highlight w:val="none"/>
        </w:rPr>
        <w:t>，待违约问题解决后，方可办理资金结算事宜</w:t>
      </w:r>
      <w:r>
        <w:rPr>
          <w:rFonts w:hint="eastAsia"/>
          <w:color w:val="auto"/>
          <w:szCs w:val="21"/>
          <w:highlight w:val="none"/>
        </w:rPr>
        <w:t>并未委派业务</w:t>
      </w:r>
      <w:r>
        <w:rPr>
          <w:color w:val="auto"/>
          <w:szCs w:val="21"/>
          <w:highlight w:val="none"/>
        </w:rPr>
        <w:t>。</w:t>
      </w:r>
    </w:p>
    <w:p w14:paraId="498E7E14">
      <w:pPr>
        <w:snapToGrid w:val="0"/>
        <w:spacing w:before="120" w:after="120" w:line="320" w:lineRule="exact"/>
        <w:rPr>
          <w:color w:val="auto"/>
          <w:szCs w:val="21"/>
          <w:highlight w:val="none"/>
        </w:rPr>
      </w:pPr>
      <w:r>
        <w:rPr>
          <w:rFonts w:hint="eastAsia"/>
          <w:color w:val="auto"/>
          <w:szCs w:val="21"/>
          <w:highlight w:val="none"/>
        </w:rPr>
        <w:t>3</w:t>
      </w:r>
      <w:r>
        <w:rPr>
          <w:color w:val="auto"/>
          <w:szCs w:val="21"/>
          <w:highlight w:val="none"/>
        </w:rPr>
        <w:t>. 甲方对验收有异议的，在验收后五个工作日内以书面形式向乙方提出，乙方应自收到甲方书面异议后 7 日内及时予以解决。</w:t>
      </w:r>
    </w:p>
    <w:p w14:paraId="7686C40D">
      <w:pPr>
        <w:snapToGrid w:val="0"/>
        <w:spacing w:before="120" w:after="120" w:line="320" w:lineRule="exact"/>
        <w:rPr>
          <w:color w:val="auto"/>
          <w:szCs w:val="21"/>
          <w:highlight w:val="none"/>
        </w:rPr>
      </w:pPr>
      <w:r>
        <w:rPr>
          <w:rFonts w:hint="eastAsia"/>
          <w:color w:val="auto"/>
          <w:szCs w:val="21"/>
          <w:highlight w:val="none"/>
        </w:rPr>
        <w:t>4</w:t>
      </w:r>
      <w:r>
        <w:rPr>
          <w:color w:val="auto"/>
          <w:szCs w:val="21"/>
          <w:highlight w:val="none"/>
        </w:rPr>
        <w:t xml:space="preserve">. </w:t>
      </w:r>
      <w:r>
        <w:rPr>
          <w:rFonts w:hint="eastAsia"/>
          <w:color w:val="auto"/>
          <w:szCs w:val="21"/>
          <w:highlight w:val="none"/>
        </w:rPr>
        <w:t>在项目完成且收到乙方验收申请后5个工作日内组织开展履约验收。</w:t>
      </w:r>
    </w:p>
    <w:p w14:paraId="06212D17">
      <w:pPr>
        <w:snapToGrid w:val="0"/>
        <w:spacing w:before="120" w:after="120" w:line="320" w:lineRule="exact"/>
        <w:rPr>
          <w:color w:val="auto"/>
          <w:szCs w:val="21"/>
          <w:highlight w:val="none"/>
        </w:rPr>
      </w:pPr>
      <w:r>
        <w:rPr>
          <w:rFonts w:hint="eastAsia"/>
          <w:color w:val="auto"/>
          <w:szCs w:val="21"/>
          <w:highlight w:val="none"/>
        </w:rPr>
        <w:t>5</w:t>
      </w:r>
      <w:r>
        <w:rPr>
          <w:color w:val="auto"/>
          <w:szCs w:val="21"/>
          <w:highlight w:val="none"/>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173F994C">
      <w:pPr>
        <w:snapToGrid w:val="0"/>
        <w:spacing w:before="120" w:after="120" w:line="320" w:lineRule="exact"/>
        <w:rPr>
          <w:color w:val="auto"/>
          <w:szCs w:val="21"/>
          <w:highlight w:val="none"/>
        </w:rPr>
      </w:pPr>
      <w:r>
        <w:rPr>
          <w:rFonts w:hint="eastAsia"/>
          <w:color w:val="auto"/>
          <w:szCs w:val="21"/>
          <w:highlight w:val="none"/>
        </w:rPr>
        <w:t>6.履约验收方案详见附件。</w:t>
      </w:r>
    </w:p>
    <w:p w14:paraId="47F1A700">
      <w:pPr>
        <w:snapToGrid w:val="0"/>
        <w:spacing w:line="360" w:lineRule="exact"/>
        <w:rPr>
          <w:b/>
          <w:color w:val="auto"/>
          <w:szCs w:val="21"/>
          <w:highlight w:val="none"/>
        </w:rPr>
      </w:pPr>
      <w:r>
        <w:rPr>
          <w:rFonts w:hint="eastAsia"/>
          <w:b/>
          <w:color w:val="auto"/>
          <w:szCs w:val="21"/>
          <w:highlight w:val="none"/>
        </w:rPr>
        <w:t xml:space="preserve">第十一条 </w:t>
      </w:r>
      <w:r>
        <w:rPr>
          <w:b/>
          <w:color w:val="auto"/>
          <w:szCs w:val="21"/>
          <w:highlight w:val="none"/>
        </w:rPr>
        <w:t>违约责任</w:t>
      </w:r>
    </w:p>
    <w:p w14:paraId="09BC7824">
      <w:pPr>
        <w:snapToGrid w:val="0"/>
        <w:spacing w:line="360" w:lineRule="exact"/>
        <w:rPr>
          <w:color w:val="auto"/>
          <w:szCs w:val="21"/>
          <w:highlight w:val="none"/>
        </w:rPr>
      </w:pPr>
      <w:r>
        <w:rPr>
          <w:color w:val="auto"/>
          <w:szCs w:val="21"/>
          <w:highlight w:val="none"/>
        </w:rPr>
        <w:t>1.</w:t>
      </w:r>
      <w:r>
        <w:rPr>
          <w:rFonts w:eastAsia="微软雅黑"/>
          <w:color w:val="auto"/>
          <w:szCs w:val="21"/>
          <w:highlight w:val="none"/>
        </w:rPr>
        <w:t xml:space="preserve"> </w:t>
      </w:r>
      <w:r>
        <w:rPr>
          <w:color w:val="auto"/>
          <w:szCs w:val="21"/>
          <w:highlight w:val="none"/>
        </w:rPr>
        <w:t>若因乙方原因而未能履行合同或未达到合同约定的要求，甲方有权书面</w:t>
      </w:r>
      <w:r>
        <w:rPr>
          <w:rFonts w:hint="eastAsia"/>
          <w:color w:val="auto"/>
          <w:szCs w:val="21"/>
          <w:highlight w:val="none"/>
        </w:rPr>
        <w:t>督促</w:t>
      </w:r>
      <w:r>
        <w:rPr>
          <w:color w:val="auto"/>
          <w:szCs w:val="21"/>
          <w:highlight w:val="none"/>
        </w:rPr>
        <w:t>乙方履行合同，乙方应在收到甲方书面通知之日起七日内给予书面答复并进行整改；如乙方在上述时间未答复，或无故拖延履行合同，或经整改后仍未达到甲方要求，甲方有权书面通知乙方解除服务合同，且无需支付合同解除后的合同后续费用。同时，乙方必须退还甲方已付出的所有服务费用，并赔偿由此给甲方造成的全部损失。</w:t>
      </w:r>
    </w:p>
    <w:p w14:paraId="108A9A84">
      <w:pPr>
        <w:snapToGrid w:val="0"/>
        <w:spacing w:line="360" w:lineRule="exact"/>
        <w:rPr>
          <w:color w:val="auto"/>
          <w:szCs w:val="21"/>
          <w:highlight w:val="none"/>
        </w:rPr>
      </w:pPr>
      <w:r>
        <w:rPr>
          <w:color w:val="auto"/>
          <w:szCs w:val="21"/>
          <w:highlight w:val="none"/>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23B083C3">
      <w:pPr>
        <w:snapToGrid w:val="0"/>
        <w:spacing w:line="360" w:lineRule="exact"/>
        <w:rPr>
          <w:color w:val="auto"/>
          <w:szCs w:val="21"/>
          <w:highlight w:val="none"/>
        </w:rPr>
      </w:pPr>
      <w:r>
        <w:rPr>
          <w:color w:val="auto"/>
          <w:szCs w:val="21"/>
          <w:highlight w:val="none"/>
        </w:rPr>
        <w:t>3. 乙方或乙方人员违反保密义务时，甲方有权书面通知乙方解除合同，且无需支付合同解除后的合同后续费用。同时，</w:t>
      </w:r>
      <w:r>
        <w:rPr>
          <w:rFonts w:hint="eastAsia"/>
          <w:color w:val="auto"/>
          <w:szCs w:val="21"/>
          <w:highlight w:val="none"/>
        </w:rPr>
        <w:t>甲方停止委派业务给乙方，</w:t>
      </w:r>
      <w:r>
        <w:rPr>
          <w:color w:val="auto"/>
          <w:szCs w:val="21"/>
          <w:highlight w:val="none"/>
        </w:rPr>
        <w:t>乙方必须退还甲方已付出的所有咨询费用，并赔偿由此给甲方造成的全部损失。</w:t>
      </w:r>
    </w:p>
    <w:p w14:paraId="053ECE07">
      <w:pPr>
        <w:snapToGrid w:val="0"/>
        <w:spacing w:line="360" w:lineRule="exact"/>
        <w:jc w:val="left"/>
        <w:rPr>
          <w:color w:val="auto"/>
          <w:szCs w:val="21"/>
          <w:highlight w:val="none"/>
        </w:rPr>
      </w:pPr>
      <w:r>
        <w:rPr>
          <w:color w:val="auto"/>
          <w:szCs w:val="21"/>
          <w:highlight w:val="none"/>
        </w:rPr>
        <w:t>4. 乙方提供的服务如侵犯了第三方合法权益而引发的任何纠纷或诉讼，均由乙方负责交涉并承担全部责任。</w:t>
      </w:r>
    </w:p>
    <w:p w14:paraId="64BF0EF9">
      <w:pPr>
        <w:snapToGrid w:val="0"/>
        <w:spacing w:line="360" w:lineRule="exact"/>
        <w:jc w:val="left"/>
        <w:rPr>
          <w:color w:val="auto"/>
          <w:szCs w:val="21"/>
          <w:highlight w:val="none"/>
        </w:rPr>
      </w:pPr>
      <w:r>
        <w:rPr>
          <w:rFonts w:hint="eastAsia"/>
          <w:color w:val="auto"/>
          <w:szCs w:val="21"/>
          <w:highlight w:val="none"/>
        </w:rPr>
        <w:t>5</w:t>
      </w:r>
      <w:r>
        <w:rPr>
          <w:color w:val="auto"/>
          <w:szCs w:val="21"/>
          <w:highlight w:val="none"/>
        </w:rPr>
        <w:t xml:space="preserve">. </w:t>
      </w:r>
      <w:r>
        <w:rPr>
          <w:rFonts w:hint="eastAsia"/>
          <w:color w:val="auto"/>
          <w:szCs w:val="21"/>
          <w:highlight w:val="none"/>
        </w:rPr>
        <w:t>乙方出现</w:t>
      </w:r>
      <w:r>
        <w:rPr>
          <w:rFonts w:hint="eastAsia"/>
          <w:color w:val="auto"/>
          <w:szCs w:val="21"/>
          <w:highlight w:val="none"/>
          <w:u w:val="single"/>
        </w:rPr>
        <w:t>1</w:t>
      </w:r>
      <w:r>
        <w:rPr>
          <w:rFonts w:hint="eastAsia"/>
          <w:color w:val="auto"/>
          <w:szCs w:val="21"/>
          <w:highlight w:val="none"/>
        </w:rPr>
        <w:t>次损坏审核资料的，给予警告一次；出现</w:t>
      </w:r>
      <w:r>
        <w:rPr>
          <w:rFonts w:hint="eastAsia"/>
          <w:color w:val="auto"/>
          <w:szCs w:val="21"/>
          <w:highlight w:val="none"/>
          <w:u w:val="single"/>
        </w:rPr>
        <w:t>2</w:t>
      </w:r>
      <w:r>
        <w:rPr>
          <w:rFonts w:hint="eastAsia"/>
          <w:color w:val="auto"/>
          <w:szCs w:val="21"/>
          <w:highlight w:val="none"/>
        </w:rPr>
        <w:t>次损坏审核资料或</w:t>
      </w:r>
      <w:r>
        <w:rPr>
          <w:rFonts w:hint="eastAsia"/>
          <w:color w:val="auto"/>
          <w:szCs w:val="21"/>
          <w:highlight w:val="none"/>
          <w:u w:val="single"/>
        </w:rPr>
        <w:t>1</w:t>
      </w:r>
      <w:r>
        <w:rPr>
          <w:rFonts w:hint="eastAsia"/>
          <w:color w:val="auto"/>
          <w:szCs w:val="21"/>
          <w:highlight w:val="none"/>
        </w:rPr>
        <w:t>次丢失审核资料，终止合同，并按情节轻重究其责任。</w:t>
      </w:r>
    </w:p>
    <w:p w14:paraId="6E501143">
      <w:pPr>
        <w:snapToGrid w:val="0"/>
        <w:spacing w:line="360" w:lineRule="exact"/>
        <w:rPr>
          <w:color w:val="auto"/>
          <w:szCs w:val="21"/>
          <w:highlight w:val="none"/>
        </w:rPr>
      </w:pPr>
      <w:r>
        <w:rPr>
          <w:rFonts w:hint="eastAsia"/>
          <w:color w:val="auto"/>
          <w:szCs w:val="21"/>
          <w:highlight w:val="none"/>
        </w:rPr>
        <w:t>6</w:t>
      </w:r>
      <w:r>
        <w:rPr>
          <w:color w:val="auto"/>
          <w:szCs w:val="21"/>
          <w:highlight w:val="none"/>
        </w:rPr>
        <w:t>. 乙方未按本合同和响应文件中规定的服务承诺提供售后服务的，乙方应按本合同合计金额</w:t>
      </w:r>
      <w:r>
        <w:rPr>
          <w:color w:val="auto"/>
          <w:szCs w:val="21"/>
          <w:highlight w:val="none"/>
          <w:u w:val="single"/>
        </w:rPr>
        <w:t xml:space="preserve"> 5%</w:t>
      </w:r>
      <w:r>
        <w:rPr>
          <w:color w:val="auto"/>
          <w:szCs w:val="21"/>
          <w:highlight w:val="none"/>
        </w:rPr>
        <w:t>向甲方支付违约金。</w:t>
      </w:r>
    </w:p>
    <w:p w14:paraId="35F7BAC1">
      <w:pPr>
        <w:snapToGrid w:val="0"/>
        <w:spacing w:line="360" w:lineRule="exact"/>
        <w:rPr>
          <w:color w:val="auto"/>
          <w:highlight w:val="none"/>
        </w:rPr>
      </w:pPr>
      <w:r>
        <w:rPr>
          <w:rFonts w:hint="eastAsia"/>
          <w:color w:val="auto"/>
          <w:szCs w:val="21"/>
          <w:highlight w:val="none"/>
        </w:rPr>
        <w:t>7.乙方不得将委托的服务工作内容透露给除甲方或采购人以外的任何单位或个人。如发现并经查实的，甲方有权终止框架协议并追究违约责任。</w:t>
      </w:r>
    </w:p>
    <w:p w14:paraId="205C5B06">
      <w:pPr>
        <w:snapToGrid w:val="0"/>
        <w:spacing w:line="360" w:lineRule="exact"/>
        <w:rPr>
          <w:color w:val="auto"/>
          <w:highlight w:val="none"/>
        </w:rPr>
      </w:pPr>
      <w:r>
        <w:rPr>
          <w:rFonts w:hint="eastAsia"/>
          <w:color w:val="auto"/>
          <w:highlight w:val="none"/>
        </w:rPr>
        <w:t>8.乙方已接受委托审核某工程项目上限控制价的，不能代理该项目招标代理工作，不能与该工程项目有关的投标人提供与该工程项目投标有关的服务；如发现并经查实的，甲方有权终止框架协议并追究违约责任。</w:t>
      </w:r>
    </w:p>
    <w:p w14:paraId="4C0692F2">
      <w:pPr>
        <w:snapToGrid w:val="0"/>
        <w:spacing w:line="360" w:lineRule="exact"/>
        <w:rPr>
          <w:color w:val="auto"/>
          <w:highlight w:val="none"/>
        </w:rPr>
      </w:pPr>
      <w:r>
        <w:rPr>
          <w:rFonts w:hint="eastAsia"/>
          <w:color w:val="auto"/>
          <w:highlight w:val="none"/>
        </w:rPr>
        <w:t>9.乙方及其审核人员工作出现重大过失，故意提供不实或内容虚假的审核工作底稿，给审核工作造成损失或严重后果的，不得再参与财政投资审核业务。有触犯相关法律的，将承担相应的法律责任。</w:t>
      </w:r>
    </w:p>
    <w:p w14:paraId="4D14826E">
      <w:pPr>
        <w:snapToGrid w:val="0"/>
        <w:spacing w:line="360" w:lineRule="exact"/>
        <w:rPr>
          <w:color w:val="auto"/>
          <w:highlight w:val="none"/>
        </w:rPr>
      </w:pPr>
      <w:r>
        <w:rPr>
          <w:rFonts w:hint="eastAsia"/>
          <w:color w:val="auto"/>
          <w:highlight w:val="none"/>
        </w:rPr>
        <w:t>10.乙方审核人员在审核业务中因涉嫌玩忽职守、徇私舞弊或违反回避制度等行为，给审核工作造成损失或严重后果的，将按国家有关规定给予相应处罚。</w:t>
      </w:r>
    </w:p>
    <w:p w14:paraId="37899793">
      <w:pPr>
        <w:snapToGrid w:val="0"/>
        <w:spacing w:line="360" w:lineRule="exact"/>
        <w:rPr>
          <w:color w:val="auto"/>
          <w:highlight w:val="none"/>
        </w:rPr>
      </w:pPr>
      <w:r>
        <w:rPr>
          <w:rFonts w:hint="eastAsia"/>
          <w:color w:val="auto"/>
          <w:highlight w:val="none"/>
        </w:rPr>
        <w:t>11.实行廉政建设一票否决制。审核服务期内乙方审核人员发生违规违纪现象的，由甲方或采购人责令其限期整改，情节严重的将终止框架协议，并提请有关部门对相关人员和乙方依法处理。</w:t>
      </w:r>
    </w:p>
    <w:p w14:paraId="171BB980">
      <w:pPr>
        <w:snapToGrid w:val="0"/>
        <w:spacing w:line="360" w:lineRule="exact"/>
        <w:rPr>
          <w:color w:val="auto"/>
          <w:szCs w:val="21"/>
          <w:highlight w:val="none"/>
        </w:rPr>
      </w:pPr>
      <w:r>
        <w:rPr>
          <w:rFonts w:hint="eastAsia"/>
          <w:color w:val="auto"/>
          <w:szCs w:val="21"/>
          <w:highlight w:val="none"/>
        </w:rPr>
        <w:t>13</w:t>
      </w:r>
      <w:r>
        <w:rPr>
          <w:color w:val="auto"/>
          <w:szCs w:val="21"/>
          <w:highlight w:val="none"/>
        </w:rPr>
        <w:t>. 其它违约行为按违约服务成果费用金额5%收取违约金并赔偿经济损失。</w:t>
      </w:r>
    </w:p>
    <w:p w14:paraId="46860388">
      <w:pPr>
        <w:snapToGrid w:val="0"/>
        <w:spacing w:line="360" w:lineRule="exact"/>
        <w:rPr>
          <w:b/>
          <w:color w:val="auto"/>
          <w:szCs w:val="21"/>
          <w:highlight w:val="none"/>
        </w:rPr>
      </w:pPr>
      <w:r>
        <w:rPr>
          <w:b/>
          <w:color w:val="auto"/>
          <w:szCs w:val="21"/>
          <w:highlight w:val="none"/>
        </w:rPr>
        <w:t>第十</w:t>
      </w:r>
      <w:r>
        <w:rPr>
          <w:rFonts w:hint="eastAsia"/>
          <w:b/>
          <w:color w:val="auto"/>
          <w:szCs w:val="21"/>
          <w:highlight w:val="none"/>
        </w:rPr>
        <w:t>二</w:t>
      </w:r>
      <w:r>
        <w:rPr>
          <w:b/>
          <w:color w:val="auto"/>
          <w:szCs w:val="21"/>
          <w:highlight w:val="none"/>
        </w:rPr>
        <w:t>条 不可抗力事件处理</w:t>
      </w:r>
    </w:p>
    <w:p w14:paraId="2B3E70B7">
      <w:pPr>
        <w:snapToGrid w:val="0"/>
        <w:spacing w:line="360" w:lineRule="exact"/>
        <w:rPr>
          <w:color w:val="auto"/>
          <w:szCs w:val="21"/>
          <w:highlight w:val="none"/>
        </w:rPr>
      </w:pPr>
      <w:r>
        <w:rPr>
          <w:color w:val="auto"/>
          <w:szCs w:val="21"/>
          <w:highlight w:val="none"/>
        </w:rPr>
        <w:t>1. 在合同有效期内，任何一方因不可抗力事件导致不能履行合同，则合同履行期可延长，其延长期与不可抗力影响期相同。</w:t>
      </w:r>
    </w:p>
    <w:p w14:paraId="5D881667">
      <w:pPr>
        <w:snapToGrid w:val="0"/>
        <w:spacing w:line="360" w:lineRule="exact"/>
        <w:rPr>
          <w:color w:val="auto"/>
          <w:szCs w:val="21"/>
          <w:highlight w:val="none"/>
        </w:rPr>
      </w:pPr>
      <w:r>
        <w:rPr>
          <w:color w:val="auto"/>
          <w:szCs w:val="21"/>
          <w:highlight w:val="none"/>
        </w:rPr>
        <w:t>2. 不可抗力事件发生后，应立即通知对方，并寄送有关权威机构出具的证明。</w:t>
      </w:r>
    </w:p>
    <w:p w14:paraId="5A08543E">
      <w:pPr>
        <w:snapToGrid w:val="0"/>
        <w:spacing w:line="360" w:lineRule="exact"/>
        <w:rPr>
          <w:color w:val="auto"/>
          <w:szCs w:val="21"/>
          <w:highlight w:val="none"/>
        </w:rPr>
      </w:pPr>
      <w:r>
        <w:rPr>
          <w:color w:val="auto"/>
          <w:szCs w:val="21"/>
          <w:highlight w:val="none"/>
        </w:rPr>
        <w:t>3. 不可抗力事件延续</w:t>
      </w:r>
      <w:r>
        <w:rPr>
          <w:rFonts w:hint="eastAsia"/>
          <w:color w:val="auto"/>
          <w:szCs w:val="21"/>
          <w:highlight w:val="none"/>
        </w:rPr>
        <w:t>三十</w:t>
      </w:r>
      <w:r>
        <w:rPr>
          <w:color w:val="auto"/>
          <w:szCs w:val="21"/>
          <w:highlight w:val="none"/>
        </w:rPr>
        <w:t>天以上，双方应通过友好协商，确定是否继续履行合同。</w:t>
      </w:r>
    </w:p>
    <w:p w14:paraId="618E6C77">
      <w:pPr>
        <w:snapToGrid w:val="0"/>
        <w:spacing w:line="360" w:lineRule="exact"/>
        <w:rPr>
          <w:b/>
          <w:color w:val="auto"/>
          <w:szCs w:val="21"/>
          <w:highlight w:val="none"/>
        </w:rPr>
      </w:pPr>
      <w:r>
        <w:rPr>
          <w:b/>
          <w:color w:val="auto"/>
          <w:szCs w:val="21"/>
          <w:highlight w:val="none"/>
        </w:rPr>
        <w:t>第十</w:t>
      </w:r>
      <w:r>
        <w:rPr>
          <w:rFonts w:hint="eastAsia"/>
          <w:b/>
          <w:color w:val="auto"/>
          <w:szCs w:val="21"/>
          <w:highlight w:val="none"/>
        </w:rPr>
        <w:t>三</w:t>
      </w:r>
      <w:r>
        <w:rPr>
          <w:b/>
          <w:color w:val="auto"/>
          <w:szCs w:val="21"/>
          <w:highlight w:val="none"/>
        </w:rPr>
        <w:t>条</w:t>
      </w:r>
      <w:r>
        <w:rPr>
          <w:rFonts w:hint="eastAsia"/>
          <w:b/>
          <w:color w:val="auto"/>
          <w:szCs w:val="21"/>
          <w:highlight w:val="none"/>
        </w:rPr>
        <w:t xml:space="preserve"> </w:t>
      </w:r>
      <w:r>
        <w:rPr>
          <w:b/>
          <w:color w:val="auto"/>
          <w:szCs w:val="21"/>
          <w:highlight w:val="none"/>
        </w:rPr>
        <w:t>争议解决</w:t>
      </w:r>
    </w:p>
    <w:p w14:paraId="579554E8">
      <w:pPr>
        <w:snapToGrid w:val="0"/>
        <w:spacing w:line="360" w:lineRule="exact"/>
        <w:rPr>
          <w:color w:val="auto"/>
          <w:szCs w:val="21"/>
          <w:highlight w:val="none"/>
        </w:rPr>
      </w:pPr>
      <w:r>
        <w:rPr>
          <w:color w:val="auto"/>
          <w:szCs w:val="21"/>
          <w:highlight w:val="none"/>
        </w:rPr>
        <w:t>1. 因服务成果质量问题发生争议的，应邀请国家认</w:t>
      </w:r>
      <w:r>
        <w:rPr>
          <w:rFonts w:hint="eastAsia"/>
          <w:color w:val="auto"/>
          <w:szCs w:val="21"/>
          <w:highlight w:val="none"/>
        </w:rPr>
        <w:t>定</w:t>
      </w:r>
      <w:r>
        <w:rPr>
          <w:color w:val="auto"/>
          <w:szCs w:val="21"/>
          <w:highlight w:val="none"/>
        </w:rPr>
        <w:t>的评估机构按照标准对服务成果质量进行验收。服务成果符合标准的，鉴定费由甲方承担；服务成果不符合标准的，鉴定费由乙方承担。</w:t>
      </w:r>
    </w:p>
    <w:p w14:paraId="462581D9">
      <w:pPr>
        <w:snapToGrid w:val="0"/>
        <w:spacing w:line="360" w:lineRule="exact"/>
        <w:rPr>
          <w:color w:val="auto"/>
          <w:szCs w:val="21"/>
          <w:highlight w:val="none"/>
        </w:rPr>
      </w:pPr>
      <w:r>
        <w:rPr>
          <w:color w:val="auto"/>
          <w:szCs w:val="21"/>
          <w:highlight w:val="none"/>
        </w:rPr>
        <w:t>2. 因履行本合同引起的或与本合同有关的争议，甲乙双方应首先通过友好协商解决，如果协商不能解决，可向甲方所在地人民法院提起诉讼。</w:t>
      </w:r>
    </w:p>
    <w:p w14:paraId="18AC9443">
      <w:pPr>
        <w:snapToGrid w:val="0"/>
        <w:spacing w:before="120" w:after="120" w:line="320" w:lineRule="exact"/>
        <w:rPr>
          <w:b/>
          <w:bCs/>
          <w:color w:val="auto"/>
          <w:szCs w:val="21"/>
          <w:highlight w:val="none"/>
        </w:rPr>
      </w:pPr>
      <w:r>
        <w:rPr>
          <w:color w:val="auto"/>
          <w:szCs w:val="21"/>
          <w:highlight w:val="none"/>
        </w:rPr>
        <w:t>3. 诉讼期间，本合同继续履行。</w:t>
      </w:r>
    </w:p>
    <w:p w14:paraId="099ABFC8">
      <w:pPr>
        <w:snapToGrid w:val="0"/>
        <w:spacing w:before="120" w:after="120" w:line="320" w:lineRule="exact"/>
        <w:rPr>
          <w:b/>
          <w:bCs/>
          <w:color w:val="auto"/>
          <w:szCs w:val="21"/>
          <w:highlight w:val="none"/>
        </w:rPr>
      </w:pPr>
      <w:r>
        <w:rPr>
          <w:rFonts w:hint="eastAsia"/>
          <w:b/>
          <w:bCs/>
          <w:color w:val="auto"/>
          <w:szCs w:val="21"/>
          <w:highlight w:val="none"/>
        </w:rPr>
        <w:t>第十四条 其他</w:t>
      </w:r>
    </w:p>
    <w:p w14:paraId="23AC411C">
      <w:pPr>
        <w:snapToGrid w:val="0"/>
        <w:spacing w:before="120" w:after="120" w:line="320" w:lineRule="exact"/>
        <w:rPr>
          <w:b/>
          <w:bCs/>
          <w:color w:val="auto"/>
          <w:szCs w:val="21"/>
          <w:highlight w:val="none"/>
        </w:rPr>
      </w:pPr>
      <w:r>
        <w:rPr>
          <w:rFonts w:hint="eastAsia"/>
          <w:color w:val="auto"/>
          <w:szCs w:val="21"/>
          <w:highlight w:val="none"/>
        </w:rPr>
        <w:t>1．本协议原则上由双方代表人签订并加盖单位公章后生效。</w:t>
      </w:r>
      <w:r>
        <w:rPr>
          <w:rFonts w:hint="eastAsia"/>
          <w:b/>
          <w:bCs/>
          <w:color w:val="auto"/>
          <w:szCs w:val="21"/>
          <w:highlight w:val="none"/>
        </w:rPr>
        <w:t xml:space="preserve"> </w:t>
      </w:r>
    </w:p>
    <w:p w14:paraId="0289A920">
      <w:pPr>
        <w:snapToGrid w:val="0"/>
        <w:spacing w:before="120" w:after="120" w:line="320" w:lineRule="exact"/>
        <w:jc w:val="left"/>
        <w:rPr>
          <w:color w:val="auto"/>
          <w:szCs w:val="21"/>
          <w:highlight w:val="none"/>
        </w:rPr>
      </w:pPr>
      <w:r>
        <w:rPr>
          <w:rFonts w:hint="eastAsia"/>
          <w:color w:val="auto"/>
          <w:szCs w:val="21"/>
          <w:highlight w:val="none"/>
        </w:rPr>
        <w:t>2．本协议为框架协议，具体项目具体事宜需在采购合同中进一步予以明确。框架协议与采购合同构成不可分割的整体。</w:t>
      </w:r>
    </w:p>
    <w:p w14:paraId="49AE7B47">
      <w:pPr>
        <w:snapToGrid w:val="0"/>
        <w:spacing w:before="120" w:after="120" w:line="320" w:lineRule="exact"/>
        <w:jc w:val="left"/>
        <w:rPr>
          <w:color w:val="auto"/>
          <w:szCs w:val="21"/>
          <w:highlight w:val="none"/>
        </w:rPr>
      </w:pPr>
      <w:r>
        <w:rPr>
          <w:rFonts w:hint="eastAsia"/>
          <w:color w:val="auto"/>
          <w:szCs w:val="21"/>
          <w:highlight w:val="none"/>
        </w:rPr>
        <w:t>3．本协议一式五份，双方各执二份，采购代理机构一份，具有同等法律效力。</w:t>
      </w:r>
    </w:p>
    <w:p w14:paraId="600AC514">
      <w:pPr>
        <w:snapToGrid w:val="0"/>
        <w:spacing w:before="120" w:after="120" w:line="320" w:lineRule="exact"/>
        <w:jc w:val="left"/>
        <w:rPr>
          <w:color w:val="auto"/>
          <w:szCs w:val="21"/>
          <w:highlight w:val="none"/>
        </w:rPr>
      </w:pPr>
    </w:p>
    <w:p w14:paraId="59F57EF9">
      <w:pPr>
        <w:snapToGrid w:val="0"/>
        <w:spacing w:before="120" w:after="120" w:line="320" w:lineRule="exact"/>
        <w:jc w:val="left"/>
        <w:rPr>
          <w:color w:val="auto"/>
          <w:szCs w:val="21"/>
          <w:highlight w:val="none"/>
        </w:rPr>
      </w:pPr>
    </w:p>
    <w:p w14:paraId="5CFDE90F">
      <w:pPr>
        <w:snapToGrid w:val="0"/>
        <w:spacing w:before="120" w:after="120" w:line="320" w:lineRule="exact"/>
        <w:jc w:val="left"/>
        <w:rPr>
          <w:color w:val="auto"/>
          <w:szCs w:val="21"/>
          <w:highlight w:val="none"/>
        </w:rPr>
      </w:pPr>
    </w:p>
    <w:p w14:paraId="14640AC7">
      <w:pPr>
        <w:snapToGrid w:val="0"/>
        <w:spacing w:before="120" w:after="120" w:line="320" w:lineRule="exact"/>
        <w:jc w:val="left"/>
        <w:rPr>
          <w:color w:val="auto"/>
          <w:szCs w:val="21"/>
          <w:highlight w:val="none"/>
        </w:rPr>
      </w:pPr>
      <w:r>
        <w:rPr>
          <w:rFonts w:hint="eastAsia"/>
          <w:color w:val="auto"/>
          <w:szCs w:val="21"/>
          <w:highlight w:val="none"/>
        </w:rPr>
        <w:t xml:space="preserve">协议甲方名称（盖章）：_________ </w:t>
      </w:r>
      <w:r>
        <w:rPr>
          <w:color w:val="auto"/>
          <w:szCs w:val="21"/>
          <w:highlight w:val="none"/>
        </w:rPr>
        <w:t xml:space="preserve">            </w:t>
      </w:r>
      <w:r>
        <w:rPr>
          <w:rFonts w:hint="eastAsia"/>
          <w:color w:val="auto"/>
          <w:szCs w:val="21"/>
          <w:highlight w:val="none"/>
        </w:rPr>
        <w:t>协议乙方名称（盖章）：_____________</w:t>
      </w:r>
    </w:p>
    <w:p w14:paraId="7FEB7EFA">
      <w:pPr>
        <w:snapToGrid w:val="0"/>
        <w:spacing w:before="120" w:after="120" w:line="320" w:lineRule="exact"/>
        <w:jc w:val="left"/>
        <w:rPr>
          <w:color w:val="auto"/>
          <w:szCs w:val="21"/>
          <w:highlight w:val="none"/>
          <w:u w:val="single"/>
        </w:rPr>
      </w:pPr>
      <w:r>
        <w:rPr>
          <w:rFonts w:hint="eastAsia"/>
          <w:color w:val="auto"/>
          <w:szCs w:val="21"/>
          <w:highlight w:val="none"/>
        </w:rPr>
        <w:t xml:space="preserve">地址：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地址：</w:t>
      </w:r>
      <w:r>
        <w:rPr>
          <w:rFonts w:hint="eastAsia"/>
          <w:color w:val="auto"/>
          <w:szCs w:val="21"/>
          <w:highlight w:val="none"/>
          <w:u w:val="single"/>
        </w:rPr>
        <w:t xml:space="preserve"> </w:t>
      </w:r>
      <w:r>
        <w:rPr>
          <w:color w:val="auto"/>
          <w:szCs w:val="21"/>
          <w:highlight w:val="none"/>
          <w:u w:val="single"/>
        </w:rPr>
        <w:t xml:space="preserve">               </w:t>
      </w:r>
    </w:p>
    <w:p w14:paraId="7D48E4D3">
      <w:pPr>
        <w:snapToGrid w:val="0"/>
        <w:spacing w:before="120" w:after="120" w:line="320" w:lineRule="exact"/>
        <w:jc w:val="left"/>
        <w:rPr>
          <w:color w:val="auto"/>
          <w:szCs w:val="21"/>
          <w:highlight w:val="none"/>
        </w:rPr>
      </w:pPr>
      <w:r>
        <w:rPr>
          <w:rFonts w:hint="eastAsia"/>
          <w:color w:val="auto"/>
          <w:szCs w:val="21"/>
          <w:highlight w:val="none"/>
        </w:rPr>
        <w:t>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联系方式：</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4757A085">
      <w:pPr>
        <w:snapToGrid w:val="0"/>
        <w:spacing w:before="120" w:after="120" w:line="320" w:lineRule="exact"/>
        <w:jc w:val="left"/>
        <w:rPr>
          <w:color w:val="auto"/>
          <w:szCs w:val="21"/>
          <w:highlight w:val="none"/>
        </w:rPr>
      </w:pPr>
      <w:r>
        <w:rPr>
          <w:rFonts w:hint="eastAsia"/>
          <w:color w:val="auto"/>
          <w:szCs w:val="21"/>
          <w:highlight w:val="none"/>
        </w:rPr>
        <w:t xml:space="preserve">代表签字：_________      </w:t>
      </w:r>
      <w:r>
        <w:rPr>
          <w:color w:val="auto"/>
          <w:szCs w:val="21"/>
          <w:highlight w:val="none"/>
        </w:rPr>
        <w:t xml:space="preserve">                  </w:t>
      </w:r>
      <w:r>
        <w:rPr>
          <w:rFonts w:hint="eastAsia"/>
          <w:color w:val="auto"/>
          <w:szCs w:val="21"/>
          <w:highlight w:val="none"/>
        </w:rPr>
        <w:t>代表签字：_________</w:t>
      </w:r>
    </w:p>
    <w:p w14:paraId="3E63F7B0">
      <w:pPr>
        <w:snapToGrid w:val="0"/>
        <w:spacing w:before="120" w:after="120" w:line="320" w:lineRule="exact"/>
        <w:jc w:val="left"/>
        <w:rPr>
          <w:color w:val="auto"/>
          <w:szCs w:val="21"/>
          <w:highlight w:val="none"/>
        </w:rPr>
      </w:pPr>
      <w:r>
        <w:rPr>
          <w:rFonts w:hint="eastAsia"/>
          <w:color w:val="auto"/>
          <w:szCs w:val="21"/>
          <w:highlight w:val="none"/>
        </w:rPr>
        <w:t xml:space="preserve">日期：____年____月____日 </w:t>
      </w:r>
      <w:r>
        <w:rPr>
          <w:color w:val="auto"/>
          <w:szCs w:val="21"/>
          <w:highlight w:val="none"/>
        </w:rPr>
        <w:t xml:space="preserve">                  </w:t>
      </w:r>
      <w:r>
        <w:rPr>
          <w:rFonts w:hint="eastAsia"/>
          <w:color w:val="auto"/>
          <w:szCs w:val="21"/>
          <w:highlight w:val="none"/>
        </w:rPr>
        <w:t>日期：____年____月____日</w:t>
      </w:r>
    </w:p>
    <w:p w14:paraId="0AC483F5">
      <w:pPr>
        <w:pStyle w:val="26"/>
        <w:snapToGrid w:val="0"/>
        <w:spacing w:before="120" w:after="120" w:line="320" w:lineRule="exact"/>
        <w:jc w:val="center"/>
        <w:rPr>
          <w:rFonts w:ascii="Times New Roman" w:hAnsi="Times New Roman" w:cs="Times New Roman"/>
          <w:color w:val="auto"/>
          <w:sz w:val="32"/>
          <w:szCs w:val="32"/>
          <w:highlight w:val="none"/>
        </w:rPr>
      </w:pPr>
      <w:r>
        <w:rPr>
          <w:rFonts w:hint="eastAsia"/>
          <w:color w:val="auto"/>
          <w:highlight w:val="none"/>
        </w:rPr>
        <w:br w:type="page"/>
      </w:r>
      <w:r>
        <w:rPr>
          <w:rFonts w:hint="eastAsia" w:ascii="Times New Roman" w:hAnsi="Times New Roman" w:cs="Times New Roman"/>
          <w:color w:val="auto"/>
          <w:sz w:val="32"/>
          <w:szCs w:val="32"/>
          <w:highlight w:val="none"/>
        </w:rPr>
        <w:t>标项二框架协议</w:t>
      </w:r>
    </w:p>
    <w:p w14:paraId="11F5ADF1">
      <w:pPr>
        <w:snapToGrid w:val="0"/>
        <w:spacing w:before="120" w:after="120" w:line="320" w:lineRule="exact"/>
        <w:rPr>
          <w:color w:val="auto"/>
          <w:szCs w:val="21"/>
          <w:highlight w:val="none"/>
        </w:rPr>
      </w:pPr>
      <w:r>
        <w:rPr>
          <w:rFonts w:hint="eastAsia"/>
          <w:color w:val="auto"/>
          <w:szCs w:val="21"/>
          <w:highlight w:val="none"/>
        </w:rPr>
        <w:t>协议甲方（征集人）：</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377E14C5">
      <w:pPr>
        <w:snapToGrid w:val="0"/>
        <w:spacing w:before="120" w:after="120" w:line="320" w:lineRule="exact"/>
        <w:rPr>
          <w:color w:val="auto"/>
          <w:szCs w:val="21"/>
          <w:highlight w:val="none"/>
        </w:rPr>
      </w:pPr>
      <w:r>
        <w:rPr>
          <w:rFonts w:hint="eastAsia"/>
          <w:color w:val="auto"/>
          <w:szCs w:val="21"/>
          <w:highlight w:val="none"/>
        </w:rPr>
        <w:t>协议乙方（入围供应商）：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51423765">
      <w:pPr>
        <w:snapToGrid w:val="0"/>
        <w:spacing w:before="120" w:after="120" w:line="320" w:lineRule="exact"/>
        <w:rPr>
          <w:color w:val="auto"/>
          <w:szCs w:val="21"/>
          <w:highlight w:val="none"/>
        </w:rPr>
      </w:pPr>
    </w:p>
    <w:p w14:paraId="607D74F2">
      <w:pPr>
        <w:snapToGrid w:val="0"/>
        <w:spacing w:before="120" w:after="120" w:line="320" w:lineRule="exact"/>
        <w:ind w:firstLine="420" w:firstLineChars="200"/>
        <w:rPr>
          <w:color w:val="auto"/>
          <w:szCs w:val="21"/>
          <w:highlight w:val="none"/>
        </w:rPr>
      </w:pPr>
      <w:r>
        <w:rPr>
          <w:rFonts w:hint="eastAsia"/>
          <w:color w:val="auto"/>
          <w:szCs w:val="21"/>
          <w:highlight w:val="none"/>
        </w:rPr>
        <w:t>根据《中华人民共和国政府采购法》、《政府采购框架协议采购方式管理暂行办法》等相关法律，按照征集文件约定的事项以及协议乙方的响应文件及其承诺，协议甲乙双方签订框架协议。</w:t>
      </w:r>
    </w:p>
    <w:p w14:paraId="14AE6448">
      <w:pPr>
        <w:snapToGrid w:val="0"/>
        <w:spacing w:before="120" w:after="120" w:line="320" w:lineRule="exact"/>
        <w:rPr>
          <w:b/>
          <w:bCs/>
          <w:color w:val="auto"/>
          <w:szCs w:val="21"/>
          <w:highlight w:val="none"/>
        </w:rPr>
      </w:pPr>
      <w:r>
        <w:rPr>
          <w:rFonts w:hint="eastAsia"/>
          <w:b/>
          <w:bCs/>
          <w:color w:val="auto"/>
          <w:szCs w:val="21"/>
          <w:highlight w:val="none"/>
        </w:rPr>
        <w:t>第一条 项目基本信息</w:t>
      </w:r>
    </w:p>
    <w:p w14:paraId="6EA79362">
      <w:pPr>
        <w:snapToGrid w:val="0"/>
        <w:spacing w:before="120" w:after="120" w:line="320" w:lineRule="exact"/>
        <w:rPr>
          <w:rFonts w:hint="eastAsia" w:eastAsia="宋体"/>
          <w:color w:val="auto"/>
          <w:szCs w:val="21"/>
          <w:highlight w:val="none"/>
          <w:u w:val="single"/>
          <w:lang w:eastAsia="zh-CN"/>
        </w:rPr>
      </w:pPr>
      <w:r>
        <w:rPr>
          <w:rFonts w:hint="eastAsia"/>
          <w:color w:val="auto"/>
          <w:szCs w:val="21"/>
          <w:highlight w:val="none"/>
        </w:rPr>
        <w:t>1．项目名称：</w:t>
      </w:r>
      <w:r>
        <w:rPr>
          <w:rFonts w:hint="eastAsia"/>
          <w:color w:val="auto"/>
          <w:szCs w:val="21"/>
          <w:highlight w:val="none"/>
          <w:u w:val="single"/>
          <w:lang w:eastAsia="zh-CN"/>
        </w:rPr>
        <w:t>贺州市平桂区财政局2026～2027年度政府投资项目评审服务</w:t>
      </w:r>
    </w:p>
    <w:p w14:paraId="074DFFB6">
      <w:pPr>
        <w:snapToGrid w:val="0"/>
        <w:spacing w:before="120" w:after="120" w:line="320" w:lineRule="exact"/>
        <w:rPr>
          <w:color w:val="auto"/>
          <w:szCs w:val="21"/>
          <w:highlight w:val="none"/>
          <w:u w:val="single"/>
        </w:rPr>
      </w:pPr>
      <w:r>
        <w:rPr>
          <w:rFonts w:hint="eastAsia"/>
          <w:color w:val="auto"/>
          <w:szCs w:val="21"/>
          <w:highlight w:val="none"/>
        </w:rPr>
        <w:t>2．项目编号：</w:t>
      </w:r>
      <w:r>
        <w:rPr>
          <w:rFonts w:hint="eastAsia"/>
          <w:color w:val="auto"/>
          <w:szCs w:val="21"/>
          <w:highlight w:val="none"/>
          <w:u w:val="single"/>
        </w:rPr>
        <w:t xml:space="preserve"> </w:t>
      </w:r>
      <w:r>
        <w:rPr>
          <w:color w:val="auto"/>
          <w:szCs w:val="21"/>
          <w:highlight w:val="none"/>
          <w:u w:val="single"/>
        </w:rPr>
        <w:t xml:space="preserve">                              </w:t>
      </w:r>
    </w:p>
    <w:p w14:paraId="261F282B">
      <w:pPr>
        <w:snapToGrid w:val="0"/>
        <w:spacing w:before="120" w:after="120" w:line="320" w:lineRule="exact"/>
        <w:rPr>
          <w:color w:val="auto"/>
          <w:szCs w:val="21"/>
          <w:highlight w:val="none"/>
          <w:u w:val="single"/>
        </w:rPr>
      </w:pPr>
      <w:r>
        <w:rPr>
          <w:rFonts w:hint="eastAsia"/>
          <w:color w:val="auto"/>
          <w:szCs w:val="21"/>
          <w:highlight w:val="none"/>
        </w:rPr>
        <w:t>3．标项：</w:t>
      </w:r>
      <w:r>
        <w:rPr>
          <w:rFonts w:hint="eastAsia"/>
          <w:color w:val="auto"/>
          <w:szCs w:val="21"/>
          <w:highlight w:val="none"/>
          <w:u w:val="single"/>
        </w:rPr>
        <w:t>标项二</w:t>
      </w:r>
    </w:p>
    <w:p w14:paraId="18BF471E">
      <w:pPr>
        <w:snapToGrid w:val="0"/>
        <w:spacing w:before="120" w:after="120" w:line="320" w:lineRule="exact"/>
        <w:rPr>
          <w:color w:val="auto"/>
          <w:szCs w:val="21"/>
          <w:highlight w:val="none"/>
          <w:u w:val="single"/>
        </w:rPr>
      </w:pPr>
      <w:r>
        <w:rPr>
          <w:color w:val="auto"/>
          <w:szCs w:val="21"/>
          <w:highlight w:val="none"/>
        </w:rPr>
        <w:t>4</w:t>
      </w:r>
      <w:r>
        <w:rPr>
          <w:rFonts w:hint="eastAsia"/>
          <w:color w:val="auto"/>
          <w:szCs w:val="21"/>
          <w:highlight w:val="none"/>
        </w:rPr>
        <w:t>．采购需求：</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详见附件</w:t>
      </w:r>
      <w:r>
        <w:rPr>
          <w:color w:val="auto"/>
          <w:szCs w:val="21"/>
          <w:highlight w:val="none"/>
          <w:u w:val="single"/>
        </w:rPr>
        <w:t xml:space="preserve">    </w:t>
      </w:r>
    </w:p>
    <w:p w14:paraId="741BF141">
      <w:pPr>
        <w:snapToGrid w:val="0"/>
        <w:spacing w:before="120" w:after="120" w:line="320" w:lineRule="exact"/>
        <w:rPr>
          <w:color w:val="auto"/>
          <w:szCs w:val="21"/>
          <w:highlight w:val="none"/>
          <w:u w:val="single"/>
        </w:rPr>
      </w:pPr>
      <w:r>
        <w:rPr>
          <w:color w:val="auto"/>
          <w:szCs w:val="21"/>
          <w:highlight w:val="none"/>
        </w:rPr>
        <w:t>5</w:t>
      </w:r>
      <w:r>
        <w:rPr>
          <w:rFonts w:hint="eastAsia"/>
          <w:color w:val="auto"/>
          <w:szCs w:val="21"/>
          <w:highlight w:val="none"/>
        </w:rPr>
        <w:t>．框架协议期限：</w:t>
      </w:r>
      <w:r>
        <w:rPr>
          <w:rFonts w:hint="eastAsia"/>
          <w:color w:val="auto"/>
          <w:szCs w:val="21"/>
          <w:highlight w:val="none"/>
          <w:u w:val="single"/>
        </w:rPr>
        <w:t xml:space="preserve"> 2年</w:t>
      </w:r>
      <w:r>
        <w:rPr>
          <w:color w:val="auto"/>
          <w:szCs w:val="21"/>
          <w:highlight w:val="none"/>
          <w:u w:val="single"/>
        </w:rPr>
        <w:t xml:space="preserve"> </w:t>
      </w:r>
    </w:p>
    <w:p w14:paraId="697594B2">
      <w:pPr>
        <w:snapToGrid w:val="0"/>
        <w:spacing w:before="120" w:after="120" w:line="320" w:lineRule="exact"/>
        <w:rPr>
          <w:color w:val="auto"/>
          <w:szCs w:val="21"/>
          <w:highlight w:val="none"/>
        </w:rPr>
      </w:pPr>
      <w:r>
        <w:rPr>
          <w:rFonts w:hint="eastAsia"/>
          <w:color w:val="auto"/>
          <w:szCs w:val="21"/>
          <w:highlight w:val="none"/>
        </w:rPr>
        <w:t>6．</w:t>
      </w:r>
      <w:r>
        <w:rPr>
          <w:color w:val="auto"/>
          <w:szCs w:val="21"/>
          <w:highlight w:val="none"/>
        </w:rPr>
        <w:t>最高限制单价：</w:t>
      </w:r>
    </w:p>
    <w:tbl>
      <w:tblPr>
        <w:tblStyle w:val="51"/>
        <w:tblW w:w="87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6"/>
        <w:gridCol w:w="7437"/>
      </w:tblGrid>
      <w:tr w14:paraId="2FB14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14:paraId="0874622A">
            <w:pPr>
              <w:jc w:val="center"/>
              <w:rPr>
                <w:rFonts w:ascii="宋体" w:hAnsi="宋体" w:cs="宋体"/>
                <w:b/>
                <w:color w:val="auto"/>
                <w:szCs w:val="21"/>
                <w:highlight w:val="none"/>
              </w:rPr>
            </w:pPr>
            <w:r>
              <w:rPr>
                <w:rFonts w:hint="eastAsia" w:ascii="宋体" w:hAnsi="宋体" w:cs="宋体"/>
                <w:b/>
                <w:color w:val="auto"/>
                <w:szCs w:val="21"/>
                <w:highlight w:val="none"/>
              </w:rPr>
              <w:t>标项</w:t>
            </w:r>
          </w:p>
        </w:tc>
        <w:tc>
          <w:tcPr>
            <w:tcW w:w="7437" w:type="dxa"/>
            <w:tcBorders>
              <w:top w:val="single" w:color="auto" w:sz="4" w:space="0"/>
              <w:left w:val="single" w:color="auto" w:sz="4" w:space="0"/>
              <w:bottom w:val="single" w:color="auto" w:sz="4" w:space="0"/>
              <w:right w:val="single" w:color="auto" w:sz="4" w:space="0"/>
            </w:tcBorders>
            <w:vAlign w:val="center"/>
          </w:tcPr>
          <w:p w14:paraId="7E842796">
            <w:pPr>
              <w:jc w:val="center"/>
              <w:rPr>
                <w:rFonts w:ascii="宋体" w:hAnsi="宋体" w:cs="宋体"/>
                <w:b/>
                <w:bCs/>
                <w:color w:val="auto"/>
                <w:szCs w:val="21"/>
                <w:highlight w:val="none"/>
              </w:rPr>
            </w:pPr>
            <w:r>
              <w:rPr>
                <w:rFonts w:hint="eastAsia" w:ascii="宋体" w:hAnsi="宋体" w:cs="宋体"/>
                <w:b/>
                <w:bCs/>
                <w:color w:val="auto"/>
                <w:szCs w:val="21"/>
                <w:highlight w:val="none"/>
              </w:rPr>
              <w:t>限价</w:t>
            </w:r>
          </w:p>
        </w:tc>
      </w:tr>
      <w:tr w14:paraId="38706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vAlign w:val="center"/>
          </w:tcPr>
          <w:p w14:paraId="6AB3D2F0">
            <w:pPr>
              <w:jc w:val="center"/>
              <w:rPr>
                <w:rFonts w:ascii="宋体" w:hAnsi="宋体" w:cs="宋体"/>
                <w:color w:val="auto"/>
                <w:szCs w:val="21"/>
                <w:highlight w:val="none"/>
              </w:rPr>
            </w:pPr>
            <w:r>
              <w:rPr>
                <w:rFonts w:hint="eastAsia" w:ascii="宋体" w:hAnsi="宋体" w:cs="宋体"/>
                <w:color w:val="auto"/>
                <w:szCs w:val="21"/>
                <w:highlight w:val="none"/>
              </w:rPr>
              <w:t>一</w:t>
            </w:r>
          </w:p>
        </w:tc>
        <w:tc>
          <w:tcPr>
            <w:tcW w:w="7437" w:type="dxa"/>
            <w:tcBorders>
              <w:top w:val="single" w:color="auto" w:sz="4" w:space="0"/>
              <w:left w:val="single" w:color="auto" w:sz="4" w:space="0"/>
              <w:bottom w:val="single" w:color="auto" w:sz="4" w:space="0"/>
              <w:right w:val="single" w:color="auto" w:sz="4" w:space="0"/>
            </w:tcBorders>
            <w:vAlign w:val="center"/>
          </w:tcPr>
          <w:p w14:paraId="0AD10255">
            <w:pPr>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将项目委托</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进行结算评审服务时，按以下费率计算服务费用：</w:t>
            </w:r>
          </w:p>
          <w:p w14:paraId="580FE9B8">
            <w:pPr>
              <w:rPr>
                <w:rFonts w:hint="eastAsia" w:ascii="宋体" w:hAnsi="宋体" w:cs="宋体"/>
                <w:color w:val="auto"/>
                <w:szCs w:val="21"/>
                <w:highlight w:val="none"/>
              </w:rPr>
            </w:pPr>
            <w:r>
              <w:rPr>
                <w:rFonts w:hint="eastAsia" w:ascii="宋体" w:hAnsi="宋体" w:cs="宋体"/>
                <w:color w:val="auto"/>
                <w:szCs w:val="21"/>
                <w:highlight w:val="none"/>
              </w:rPr>
              <w:t>（1）编审费按审查工程项目送审总造价2‰核定基本付费额。</w:t>
            </w:r>
          </w:p>
          <w:p w14:paraId="6CF5A750">
            <w:pPr>
              <w:rPr>
                <w:rFonts w:hint="eastAsia" w:ascii="宋体" w:hAnsi="宋体" w:cs="宋体"/>
                <w:color w:val="auto"/>
                <w:szCs w:val="21"/>
                <w:highlight w:val="none"/>
              </w:rPr>
            </w:pPr>
            <w:r>
              <w:rPr>
                <w:rFonts w:hint="eastAsia" w:ascii="宋体" w:hAnsi="宋体" w:cs="宋体"/>
                <w:color w:val="auto"/>
                <w:szCs w:val="21"/>
                <w:highlight w:val="none"/>
              </w:rPr>
              <w:t>（2）审减（增）费按审查定案净减（增）值的4%核定基本付费额。</w:t>
            </w:r>
          </w:p>
          <w:p w14:paraId="052C964D">
            <w:pPr>
              <w:rPr>
                <w:rFonts w:hint="eastAsia" w:ascii="宋体" w:hAnsi="宋体" w:cs="宋体"/>
                <w:color w:val="auto"/>
                <w:szCs w:val="21"/>
                <w:highlight w:val="none"/>
              </w:rPr>
            </w:pPr>
            <w:r>
              <w:rPr>
                <w:rFonts w:hint="eastAsia" w:ascii="宋体" w:hAnsi="宋体" w:cs="宋体"/>
                <w:color w:val="auto"/>
                <w:szCs w:val="21"/>
                <w:highlight w:val="none"/>
              </w:rPr>
              <w:t>单个工程项目按上述两种费率合计计算。单个工程项目评审服务费不足2000元的，按2000元付费。</w:t>
            </w:r>
          </w:p>
          <w:p w14:paraId="136CD806">
            <w:pPr>
              <w:rPr>
                <w:rFonts w:hint="eastAsia" w:ascii="宋体" w:hAnsi="宋体" w:cs="宋体"/>
                <w:color w:val="auto"/>
                <w:szCs w:val="21"/>
                <w:highlight w:val="none"/>
              </w:rPr>
            </w:pPr>
            <w:r>
              <w:rPr>
                <w:rFonts w:hint="eastAsia" w:ascii="宋体" w:hAnsi="宋体" w:cs="宋体"/>
                <w:color w:val="auto"/>
                <w:szCs w:val="21"/>
                <w:highlight w:val="none"/>
              </w:rPr>
              <w:t>2.在计算和支付评审服务费时，</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根据实际情况维持不变或降低基准费率，具体分类如下：</w:t>
            </w:r>
          </w:p>
          <w:p w14:paraId="62771B1C">
            <w:pPr>
              <w:rPr>
                <w:rFonts w:hint="eastAsia" w:ascii="宋体" w:hAnsi="宋体" w:cs="宋体"/>
                <w:color w:val="auto"/>
                <w:szCs w:val="21"/>
                <w:highlight w:val="none"/>
              </w:rPr>
            </w:pPr>
            <w:r>
              <w:rPr>
                <w:rFonts w:hint="eastAsia" w:ascii="宋体" w:hAnsi="宋体" w:cs="宋体"/>
                <w:color w:val="auto"/>
                <w:szCs w:val="21"/>
                <w:highlight w:val="none"/>
              </w:rPr>
              <w:t>（1）上述的基准费率是以单项工程送审金额在1000万元以下（含1000万元）为标准的基准费率。</w:t>
            </w:r>
          </w:p>
          <w:p w14:paraId="1BCF99DF">
            <w:pPr>
              <w:rPr>
                <w:rFonts w:hint="eastAsia" w:ascii="宋体" w:hAnsi="宋体" w:cs="宋体"/>
                <w:color w:val="auto"/>
                <w:szCs w:val="21"/>
                <w:highlight w:val="none"/>
              </w:rPr>
            </w:pPr>
            <w:r>
              <w:rPr>
                <w:rFonts w:hint="eastAsia" w:ascii="宋体" w:hAnsi="宋体" w:cs="宋体"/>
                <w:color w:val="auto"/>
                <w:szCs w:val="21"/>
                <w:highlight w:val="none"/>
              </w:rPr>
              <w:t>（2）单项工程送审金额在1000万元以上3000万元以下（含3000万元）的费率按基准费率的95%计算支付。</w:t>
            </w:r>
          </w:p>
          <w:p w14:paraId="2D0677FC">
            <w:pPr>
              <w:rPr>
                <w:rFonts w:hint="eastAsia" w:ascii="宋体" w:hAnsi="宋体" w:cs="宋体"/>
                <w:color w:val="auto"/>
                <w:szCs w:val="21"/>
                <w:highlight w:val="none"/>
              </w:rPr>
            </w:pPr>
            <w:r>
              <w:rPr>
                <w:rFonts w:hint="eastAsia" w:ascii="宋体" w:hAnsi="宋体" w:cs="宋体"/>
                <w:color w:val="auto"/>
                <w:szCs w:val="21"/>
                <w:highlight w:val="none"/>
              </w:rPr>
              <w:t>（3）单项工程送审金额在3000万元以上5000万元以下（含5000万元）的费率按基准费率的90%计算支付。</w:t>
            </w:r>
          </w:p>
          <w:p w14:paraId="3F6E37BB">
            <w:pPr>
              <w:rPr>
                <w:rFonts w:hint="eastAsia" w:ascii="宋体" w:hAnsi="宋体" w:cs="宋体"/>
                <w:color w:val="auto"/>
                <w:szCs w:val="21"/>
                <w:highlight w:val="none"/>
              </w:rPr>
            </w:pPr>
            <w:r>
              <w:rPr>
                <w:rFonts w:hint="eastAsia" w:ascii="宋体" w:hAnsi="宋体" w:cs="宋体"/>
                <w:color w:val="auto"/>
                <w:szCs w:val="21"/>
                <w:highlight w:val="none"/>
              </w:rPr>
              <w:t>（4）单项工程送审金额在5000万元以上1亿元以下（含1亿元）的费率按本次基准费率的85%计算支付。</w:t>
            </w:r>
          </w:p>
          <w:p w14:paraId="2C27FA6F">
            <w:pPr>
              <w:rPr>
                <w:rFonts w:hint="eastAsia" w:ascii="宋体" w:hAnsi="宋体" w:cs="宋体"/>
                <w:color w:val="auto"/>
                <w:szCs w:val="21"/>
                <w:highlight w:val="none"/>
              </w:rPr>
            </w:pPr>
            <w:r>
              <w:rPr>
                <w:rFonts w:hint="eastAsia" w:ascii="宋体" w:hAnsi="宋体" w:cs="宋体"/>
                <w:color w:val="auto"/>
                <w:szCs w:val="21"/>
                <w:highlight w:val="none"/>
              </w:rPr>
              <w:t>（5）单项工程送审金额在1亿元以上2亿元以下（含2亿元）的费率按基准费率的80%计算支付。</w:t>
            </w:r>
          </w:p>
          <w:p w14:paraId="01260376">
            <w:pPr>
              <w:rPr>
                <w:rFonts w:hint="eastAsia" w:ascii="宋体" w:hAnsi="宋体" w:cs="宋体"/>
                <w:color w:val="auto"/>
                <w:szCs w:val="21"/>
                <w:highlight w:val="none"/>
              </w:rPr>
            </w:pPr>
            <w:r>
              <w:rPr>
                <w:rFonts w:hint="eastAsia" w:ascii="宋体" w:hAnsi="宋体" w:cs="宋体"/>
                <w:color w:val="auto"/>
                <w:szCs w:val="21"/>
                <w:highlight w:val="none"/>
              </w:rPr>
              <w:t>（6）单项工程送审金额在2亿元以上5亿元以下（含5亿元）的按基准费率75%计算支付。</w:t>
            </w:r>
          </w:p>
          <w:p w14:paraId="1901285A">
            <w:pPr>
              <w:rPr>
                <w:rFonts w:hint="eastAsia" w:ascii="宋体" w:hAnsi="宋体" w:cs="宋体"/>
                <w:color w:val="auto"/>
                <w:szCs w:val="21"/>
                <w:highlight w:val="none"/>
              </w:rPr>
            </w:pPr>
            <w:r>
              <w:rPr>
                <w:rFonts w:hint="eastAsia" w:ascii="宋体" w:hAnsi="宋体" w:cs="宋体"/>
                <w:color w:val="auto"/>
                <w:szCs w:val="21"/>
                <w:highlight w:val="none"/>
              </w:rPr>
              <w:t>（7）单项工程送审金额在5亿元以上的按基准费率的70%计算支付。</w:t>
            </w:r>
          </w:p>
          <w:p w14:paraId="287152F4">
            <w:pPr>
              <w:rPr>
                <w:rFonts w:ascii="宋体" w:hAnsi="宋体" w:cs="宋体"/>
                <w:color w:val="auto"/>
                <w:szCs w:val="21"/>
                <w:highlight w:val="none"/>
              </w:rPr>
            </w:pPr>
            <w:r>
              <w:rPr>
                <w:rFonts w:hint="eastAsia" w:ascii="宋体" w:hAnsi="宋体" w:cs="宋体"/>
                <w:color w:val="auto"/>
                <w:szCs w:val="21"/>
                <w:highlight w:val="none"/>
              </w:rPr>
              <w:t>3.服务费的计算：评审服务费=[(送审工程总造价×2‰+审定的工程造价净减(增)值×4%)]×费率</w:t>
            </w:r>
          </w:p>
        </w:tc>
      </w:tr>
    </w:tbl>
    <w:p w14:paraId="1033B34E">
      <w:pPr>
        <w:snapToGrid w:val="0"/>
        <w:spacing w:before="120" w:after="120" w:line="320" w:lineRule="exact"/>
        <w:rPr>
          <w:b/>
          <w:bCs/>
          <w:color w:val="auto"/>
          <w:szCs w:val="21"/>
          <w:highlight w:val="none"/>
        </w:rPr>
      </w:pPr>
      <w:r>
        <w:rPr>
          <w:rFonts w:hint="eastAsia"/>
          <w:b/>
          <w:bCs/>
          <w:color w:val="auto"/>
          <w:szCs w:val="21"/>
          <w:highlight w:val="none"/>
        </w:rPr>
        <w:t>第二条 框架协议信息</w:t>
      </w:r>
    </w:p>
    <w:p w14:paraId="68F347ED">
      <w:pPr>
        <w:snapToGrid w:val="0"/>
        <w:spacing w:before="120" w:after="120" w:line="320" w:lineRule="exact"/>
        <w:rPr>
          <w:color w:val="auto"/>
          <w:szCs w:val="21"/>
          <w:highlight w:val="none"/>
        </w:rPr>
      </w:pPr>
      <w:r>
        <w:rPr>
          <w:rFonts w:hint="eastAsia"/>
          <w:color w:val="auto"/>
          <w:szCs w:val="21"/>
          <w:highlight w:val="none"/>
        </w:rPr>
        <w:t>1．服务内容、服务标准、协议价格</w:t>
      </w:r>
    </w:p>
    <w:p w14:paraId="5C72AF2C">
      <w:pPr>
        <w:snapToGrid w:val="0"/>
        <w:spacing w:before="120" w:after="120" w:line="320" w:lineRule="exact"/>
        <w:rPr>
          <w:color w:val="auto"/>
          <w:szCs w:val="21"/>
          <w:highlight w:val="none"/>
          <w:u w:val="single"/>
        </w:rPr>
      </w:pPr>
      <w:r>
        <w:rPr>
          <w:rFonts w:hint="eastAsia"/>
          <w:color w:val="auto"/>
          <w:szCs w:val="21"/>
          <w:highlight w:val="none"/>
        </w:rPr>
        <w:t>1</w:t>
      </w:r>
      <w:r>
        <w:rPr>
          <w:color w:val="auto"/>
          <w:szCs w:val="21"/>
          <w:highlight w:val="none"/>
        </w:rPr>
        <w:t xml:space="preserve">.1 </w:t>
      </w:r>
      <w:r>
        <w:rPr>
          <w:rFonts w:hint="eastAsia"/>
          <w:color w:val="auto"/>
          <w:szCs w:val="21"/>
          <w:highlight w:val="none"/>
        </w:rPr>
        <w:t>服务内容：</w:t>
      </w:r>
      <w:r>
        <w:rPr>
          <w:rFonts w:hint="eastAsia"/>
          <w:color w:val="auto"/>
          <w:szCs w:val="21"/>
          <w:highlight w:val="none"/>
          <w:u w:val="single"/>
        </w:rPr>
        <w:t>工程竣工结算评审服务</w:t>
      </w:r>
    </w:p>
    <w:p w14:paraId="6C6DCCF1">
      <w:pPr>
        <w:snapToGrid w:val="0"/>
        <w:spacing w:before="120" w:after="120" w:line="320" w:lineRule="exact"/>
        <w:rPr>
          <w:color w:val="auto"/>
          <w:szCs w:val="21"/>
          <w:highlight w:val="none"/>
        </w:rPr>
      </w:pPr>
      <w:r>
        <w:rPr>
          <w:rFonts w:hint="eastAsia"/>
          <w:color w:val="auto"/>
          <w:szCs w:val="21"/>
          <w:highlight w:val="none"/>
        </w:rPr>
        <w:t>1</w:t>
      </w:r>
      <w:r>
        <w:rPr>
          <w:color w:val="auto"/>
          <w:szCs w:val="21"/>
          <w:highlight w:val="none"/>
        </w:rPr>
        <w:t xml:space="preserve">.2 </w:t>
      </w:r>
      <w:r>
        <w:rPr>
          <w:rFonts w:hint="eastAsia"/>
          <w:color w:val="auto"/>
          <w:szCs w:val="21"/>
          <w:highlight w:val="none"/>
        </w:rPr>
        <w:t>服务标准：</w:t>
      </w:r>
    </w:p>
    <w:p w14:paraId="56B2C6D9">
      <w:pPr>
        <w:snapToGrid w:val="0"/>
        <w:spacing w:before="120" w:after="120" w:line="320" w:lineRule="exact"/>
        <w:ind w:firstLine="420" w:firstLineChars="200"/>
        <w:rPr>
          <w:color w:val="auto"/>
          <w:szCs w:val="21"/>
          <w:highlight w:val="none"/>
        </w:rPr>
      </w:pPr>
      <w:r>
        <w:rPr>
          <w:rFonts w:hint="eastAsia"/>
          <w:color w:val="auto"/>
          <w:szCs w:val="21"/>
          <w:highlight w:val="none"/>
        </w:rPr>
        <w:t>（1）严格遵守国家的法律、法规和有关规章制度，严格遵守行为准则和职业道德，按现行的财政投资项目评审操作规程及质量控制办法规定的执行。</w:t>
      </w:r>
    </w:p>
    <w:p w14:paraId="3E0FCFB0">
      <w:pPr>
        <w:snapToGrid w:val="0"/>
        <w:spacing w:before="120" w:after="120" w:line="320" w:lineRule="exact"/>
        <w:ind w:firstLine="420" w:firstLineChars="200"/>
        <w:rPr>
          <w:color w:val="auto"/>
          <w:szCs w:val="21"/>
          <w:highlight w:val="none"/>
        </w:rPr>
      </w:pPr>
      <w:r>
        <w:rPr>
          <w:rFonts w:hint="eastAsia"/>
          <w:color w:val="auto"/>
          <w:szCs w:val="21"/>
          <w:highlight w:val="none"/>
        </w:rPr>
        <w:t>（2）严格按照现行的工程造价管理办法、工程结算编审规程等文件要求进行评审工作，依照相关依据发表专业意见出具成果文件，并对成果的真实性、完整性、准确性负责。</w:t>
      </w:r>
    </w:p>
    <w:p w14:paraId="40732074">
      <w:pPr>
        <w:snapToGrid w:val="0"/>
        <w:spacing w:before="120" w:after="120" w:line="320" w:lineRule="exact"/>
        <w:ind w:firstLine="420" w:firstLineChars="200"/>
        <w:rPr>
          <w:color w:val="auto"/>
          <w:szCs w:val="21"/>
          <w:highlight w:val="none"/>
        </w:rPr>
      </w:pPr>
      <w:r>
        <w:rPr>
          <w:rFonts w:hint="eastAsia"/>
          <w:color w:val="auto"/>
          <w:szCs w:val="21"/>
          <w:highlight w:val="none"/>
        </w:rPr>
        <w:t>（3）评审人员在项目评审工程中，应该恪守客观公正、实事求是的原则，确保评审工作的真实完整和准确，保证评审质量。</w:t>
      </w:r>
    </w:p>
    <w:p w14:paraId="665A1BFD">
      <w:pPr>
        <w:snapToGrid w:val="0"/>
        <w:spacing w:before="120" w:after="120" w:line="320" w:lineRule="exact"/>
        <w:ind w:firstLine="420" w:firstLineChars="200"/>
        <w:rPr>
          <w:color w:val="auto"/>
          <w:szCs w:val="21"/>
          <w:highlight w:val="none"/>
        </w:rPr>
      </w:pPr>
      <w:r>
        <w:rPr>
          <w:rFonts w:hint="eastAsia"/>
          <w:color w:val="auto"/>
          <w:szCs w:val="21"/>
          <w:highlight w:val="none"/>
        </w:rPr>
        <w:t xml:space="preserve">（4）评审报告编制标准 </w:t>
      </w:r>
    </w:p>
    <w:p w14:paraId="168C55EB">
      <w:pPr>
        <w:snapToGrid w:val="0"/>
        <w:spacing w:before="120" w:after="120" w:line="320" w:lineRule="exact"/>
        <w:ind w:firstLine="420" w:firstLineChars="200"/>
        <w:rPr>
          <w:color w:val="auto"/>
          <w:szCs w:val="21"/>
          <w:highlight w:val="none"/>
        </w:rPr>
      </w:pPr>
      <w:r>
        <w:rPr>
          <w:rFonts w:hint="eastAsia"/>
          <w:color w:val="auto"/>
          <w:szCs w:val="21"/>
          <w:highlight w:val="none"/>
        </w:rPr>
        <w:t>评审内容完整、数据准确、依据充分，评审结论定性客观、定量准确、依据充分，核增核减原因定性准确、条理清晰，披露评审问题有理有据、分析透彻，提出评审建议措施具体、针对性强。</w:t>
      </w:r>
    </w:p>
    <w:p w14:paraId="4B7CEEC6">
      <w:pPr>
        <w:snapToGrid w:val="0"/>
        <w:spacing w:before="120" w:after="120" w:line="320" w:lineRule="exact"/>
        <w:ind w:firstLine="420" w:firstLineChars="200"/>
        <w:rPr>
          <w:color w:val="auto"/>
          <w:szCs w:val="21"/>
          <w:highlight w:val="none"/>
        </w:rPr>
      </w:pPr>
      <w:r>
        <w:rPr>
          <w:rFonts w:hint="eastAsia"/>
          <w:color w:val="auto"/>
          <w:szCs w:val="21"/>
          <w:highlight w:val="none"/>
        </w:rPr>
        <w:t>（5）采购人将对乙方提交的评审报告和评审结论进行复审，复审结果发现因乙方存在严重质量问题时，采购人不支付该项目的评审费用，并做出相应的处理，乙方必须承担由此造成的全部经济损失和法律责任。</w:t>
      </w:r>
    </w:p>
    <w:p w14:paraId="604350C1">
      <w:pPr>
        <w:snapToGrid w:val="0"/>
        <w:spacing w:before="120" w:after="120" w:line="320" w:lineRule="exact"/>
        <w:ind w:firstLine="420" w:firstLineChars="200"/>
        <w:rPr>
          <w:color w:val="auto"/>
          <w:szCs w:val="21"/>
          <w:highlight w:val="none"/>
        </w:rPr>
      </w:pPr>
      <w:r>
        <w:rPr>
          <w:rFonts w:hint="eastAsia"/>
          <w:color w:val="auto"/>
          <w:szCs w:val="21"/>
          <w:highlight w:val="none"/>
        </w:rPr>
        <w:t>（6）乙方不得泄露采购人及所承接项目的任何商业机密，不得未经采购人同意擅自对外公开评审结论，一经发现，将由采购人作出相应处理。</w:t>
      </w:r>
    </w:p>
    <w:p w14:paraId="6CBB408D">
      <w:pPr>
        <w:snapToGrid w:val="0"/>
        <w:spacing w:before="120" w:after="120" w:line="320" w:lineRule="exact"/>
        <w:ind w:firstLine="420" w:firstLineChars="200"/>
        <w:rPr>
          <w:color w:val="auto"/>
          <w:szCs w:val="21"/>
          <w:highlight w:val="none"/>
        </w:rPr>
      </w:pPr>
      <w:r>
        <w:rPr>
          <w:rFonts w:hint="eastAsia"/>
          <w:color w:val="auto"/>
          <w:szCs w:val="21"/>
          <w:highlight w:val="none"/>
        </w:rPr>
        <w:t>（7）评审人员应严格遵守廉洁自律的有关规定，坚决抵制各种可能影响客观公正评审的商业贿赂，坚决不搞人情评审，避免和杜绝吃拿卡要的不良行为。如因评审人员原因出现违规违纪行为，应及时处理并承担相应法律责任，采购人有权追究其相关责任并列入黑名单。</w:t>
      </w:r>
    </w:p>
    <w:p w14:paraId="2F57B1D4">
      <w:pPr>
        <w:snapToGrid w:val="0"/>
        <w:spacing w:before="120" w:after="120" w:line="320" w:lineRule="exact"/>
        <w:ind w:firstLine="420" w:firstLineChars="200"/>
        <w:rPr>
          <w:color w:val="auto"/>
          <w:szCs w:val="21"/>
          <w:highlight w:val="none"/>
        </w:rPr>
      </w:pPr>
      <w:r>
        <w:rPr>
          <w:rFonts w:hint="eastAsia"/>
          <w:color w:val="auto"/>
          <w:szCs w:val="21"/>
          <w:highlight w:val="none"/>
        </w:rPr>
        <w:t>（8）乙方必须严格遵守《工程造价咨询企业管理办法》(建设部2006年第149号令)、《财政性投资评审质量控制办法》(财建【2006】1065号）、《贺州市财政局关于印发贺州市本级财政投资评审实施办法(2023年修订)的通知》(贺财办[2024]2号)等有关规定，按要求选择具备工程造价审核专业知识、熟悉财政投资审核业务、履行审核程序的人员开展财政投资审核业务，保证取证资料、工作底稿的正确完整和规范。出具的审核报告、结论或意见客观公正，符合审核规范和贺州市平桂区财政投资评审中心的要求，对出具的审核报告承担法律责任。</w:t>
      </w:r>
    </w:p>
    <w:p w14:paraId="57380364">
      <w:pPr>
        <w:snapToGrid w:val="0"/>
        <w:spacing w:before="120" w:after="120" w:line="320" w:lineRule="exact"/>
        <w:ind w:firstLine="420" w:firstLineChars="200"/>
        <w:rPr>
          <w:color w:val="auto"/>
          <w:szCs w:val="21"/>
          <w:highlight w:val="none"/>
        </w:rPr>
      </w:pPr>
      <w:r>
        <w:rPr>
          <w:rFonts w:hint="eastAsia"/>
          <w:color w:val="auto"/>
          <w:szCs w:val="21"/>
          <w:highlight w:val="none"/>
        </w:rPr>
        <w:t>（9）乙方须在每季度第一个月10日前向贺州市平桂区财政投资评审中心报送上一季度贺州市平桂区财政投资评审服务项目有关统计报表。</w:t>
      </w:r>
    </w:p>
    <w:p w14:paraId="6516C1CD">
      <w:pPr>
        <w:snapToGrid w:val="0"/>
        <w:spacing w:before="120" w:after="120" w:line="320" w:lineRule="exact"/>
        <w:rPr>
          <w:color w:val="auto"/>
          <w:szCs w:val="21"/>
          <w:highlight w:val="none"/>
          <w:u w:val="single"/>
        </w:rPr>
      </w:pPr>
      <w:r>
        <w:rPr>
          <w:rFonts w:hint="eastAsia"/>
          <w:color w:val="auto"/>
          <w:szCs w:val="21"/>
          <w:highlight w:val="none"/>
        </w:rPr>
        <w:t>1</w:t>
      </w:r>
      <w:r>
        <w:rPr>
          <w:color w:val="auto"/>
          <w:szCs w:val="21"/>
          <w:highlight w:val="none"/>
        </w:rPr>
        <w:t xml:space="preserve">.3 </w:t>
      </w:r>
      <w:r>
        <w:rPr>
          <w:rFonts w:hint="eastAsia"/>
          <w:color w:val="auto"/>
          <w:szCs w:val="21"/>
          <w:highlight w:val="none"/>
        </w:rPr>
        <w:t>协议价格（响应报价）：</w:t>
      </w:r>
      <w:r>
        <w:rPr>
          <w:rFonts w:hint="eastAsia"/>
          <w:color w:val="auto"/>
          <w:szCs w:val="21"/>
          <w:highlight w:val="none"/>
          <w:u w:val="single"/>
        </w:rPr>
        <w:t>同“最高限制单价”。</w:t>
      </w:r>
    </w:p>
    <w:p w14:paraId="41A5A213">
      <w:pPr>
        <w:adjustRightInd w:val="0"/>
        <w:snapToGrid w:val="0"/>
        <w:spacing w:line="360" w:lineRule="auto"/>
        <w:rPr>
          <w:rFonts w:ascii="宋体" w:hAnsi="Courier New" w:cs="Courier New"/>
          <w:color w:val="auto"/>
          <w:szCs w:val="21"/>
          <w:highlight w:val="none"/>
        </w:rPr>
      </w:pPr>
      <w:r>
        <w:rPr>
          <w:color w:val="auto"/>
          <w:szCs w:val="21"/>
          <w:highlight w:val="none"/>
        </w:rPr>
        <w:t>2</w:t>
      </w:r>
      <w:r>
        <w:rPr>
          <w:rFonts w:hint="eastAsia"/>
          <w:color w:val="auto"/>
          <w:szCs w:val="21"/>
          <w:highlight w:val="none"/>
        </w:rPr>
        <w:t>．</w:t>
      </w:r>
      <w:r>
        <w:rPr>
          <w:rFonts w:hint="eastAsia" w:ascii="宋体" w:hAnsi="Courier New" w:cs="Courier New"/>
          <w:color w:val="auto"/>
          <w:szCs w:val="21"/>
          <w:highlight w:val="none"/>
        </w:rPr>
        <w:t>适用框架协议的采购人或服务对象范围</w:t>
      </w:r>
    </w:p>
    <w:p w14:paraId="2511F8DD">
      <w:pPr>
        <w:adjustRightInd w:val="0"/>
        <w:snapToGrid w:val="0"/>
        <w:spacing w:line="360" w:lineRule="auto"/>
        <w:rPr>
          <w:rFonts w:hint="eastAsia" w:eastAsia="宋体"/>
          <w:color w:val="auto"/>
          <w:szCs w:val="21"/>
          <w:highlight w:val="none"/>
          <w:lang w:eastAsia="zh-CN"/>
        </w:rPr>
      </w:pPr>
      <w:r>
        <w:rPr>
          <w:rFonts w:hint="eastAsia" w:ascii="宋体" w:hAnsi="Courier New" w:cs="Courier New"/>
          <w:color w:val="auto"/>
          <w:szCs w:val="21"/>
          <w:highlight w:val="none"/>
          <w:u w:val="single"/>
          <w:lang w:eastAsia="zh-CN"/>
        </w:rPr>
        <w:t>贺州市平桂区财政局</w:t>
      </w:r>
    </w:p>
    <w:p w14:paraId="3D5CCB7D">
      <w:pPr>
        <w:snapToGrid w:val="0"/>
        <w:spacing w:before="120" w:after="120" w:line="320" w:lineRule="exact"/>
        <w:rPr>
          <w:color w:val="auto"/>
          <w:szCs w:val="21"/>
          <w:highlight w:val="none"/>
          <w:u w:val="single"/>
        </w:rPr>
      </w:pPr>
      <w:r>
        <w:rPr>
          <w:color w:val="auto"/>
          <w:szCs w:val="21"/>
          <w:highlight w:val="none"/>
        </w:rPr>
        <w:t>3</w:t>
      </w:r>
      <w:r>
        <w:rPr>
          <w:rFonts w:hint="eastAsia"/>
          <w:color w:val="auto"/>
          <w:szCs w:val="21"/>
          <w:highlight w:val="none"/>
        </w:rPr>
        <w:t>．履行合同的地域范围：</w:t>
      </w:r>
      <w:r>
        <w:rPr>
          <w:rFonts w:hint="eastAsia"/>
          <w:color w:val="auto"/>
          <w:szCs w:val="21"/>
          <w:highlight w:val="none"/>
          <w:u w:val="single"/>
        </w:rPr>
        <w:t>采购人指定地点。</w:t>
      </w:r>
    </w:p>
    <w:p w14:paraId="7310DAD8">
      <w:pPr>
        <w:snapToGrid w:val="0"/>
        <w:spacing w:before="120" w:after="120" w:line="320" w:lineRule="exact"/>
        <w:rPr>
          <w:b/>
          <w:bCs/>
          <w:color w:val="auto"/>
          <w:szCs w:val="21"/>
          <w:highlight w:val="none"/>
        </w:rPr>
      </w:pPr>
      <w:r>
        <w:rPr>
          <w:rFonts w:hint="eastAsia"/>
          <w:b/>
          <w:bCs/>
          <w:color w:val="auto"/>
          <w:szCs w:val="21"/>
          <w:highlight w:val="none"/>
        </w:rPr>
        <w:t>第三条 确定第二阶段成交供应商的方式</w:t>
      </w:r>
    </w:p>
    <w:p w14:paraId="394388A7">
      <w:pPr>
        <w:snapToGrid w:val="0"/>
        <w:spacing w:before="120" w:after="120" w:line="320" w:lineRule="exact"/>
        <w:rPr>
          <w:color w:val="auto"/>
          <w:szCs w:val="21"/>
          <w:highlight w:val="none"/>
          <w:u w:val="single"/>
        </w:rPr>
      </w:pPr>
      <w:r>
        <w:rPr>
          <w:rFonts w:hint="eastAsia"/>
          <w:color w:val="auto"/>
          <w:szCs w:val="21"/>
          <w:highlight w:val="none"/>
        </w:rPr>
        <w:t>1．甲方在入围供应商中通过</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（1）</w:t>
      </w:r>
      <w:r>
        <w:rPr>
          <w:color w:val="auto"/>
          <w:szCs w:val="21"/>
          <w:highlight w:val="none"/>
          <w:u w:val="single"/>
        </w:rPr>
        <w:t xml:space="preserve"> </w:t>
      </w:r>
      <w:r>
        <w:rPr>
          <w:rFonts w:hint="eastAsia"/>
          <w:color w:val="auto"/>
          <w:szCs w:val="21"/>
          <w:highlight w:val="none"/>
          <w:u w:val="single"/>
        </w:rPr>
        <w:t>种</w:t>
      </w:r>
      <w:r>
        <w:rPr>
          <w:rFonts w:hint="eastAsia"/>
          <w:color w:val="auto"/>
          <w:szCs w:val="21"/>
          <w:highlight w:val="none"/>
        </w:rPr>
        <w:t>方式确定成交供应商并签订合同。</w:t>
      </w:r>
    </w:p>
    <w:p w14:paraId="4804DA1A">
      <w:pPr>
        <w:snapToGrid w:val="0"/>
        <w:spacing w:before="120" w:after="120" w:line="320" w:lineRule="exact"/>
        <w:rPr>
          <w:color w:val="auto"/>
          <w:szCs w:val="21"/>
          <w:highlight w:val="none"/>
        </w:rPr>
      </w:pPr>
      <w:r>
        <w:rPr>
          <w:rFonts w:hint="eastAsia"/>
          <w:color w:val="auto"/>
          <w:szCs w:val="21"/>
          <w:highlight w:val="none"/>
        </w:rPr>
        <w:t>（1）直接选定</w:t>
      </w:r>
    </w:p>
    <w:p w14:paraId="4CE15014">
      <w:pPr>
        <w:snapToGrid w:val="0"/>
        <w:spacing w:before="120" w:after="120" w:line="320" w:lineRule="exact"/>
        <w:rPr>
          <w:color w:val="auto"/>
          <w:szCs w:val="21"/>
          <w:highlight w:val="none"/>
        </w:rPr>
      </w:pPr>
      <w:r>
        <w:rPr>
          <w:rFonts w:hint="eastAsia"/>
          <w:color w:val="auto"/>
          <w:szCs w:val="21"/>
          <w:highlight w:val="none"/>
        </w:rPr>
        <w:t>直接选定规则：依据入围产品价格、质量以及服务便利性、用户评价等因素，从入围供应商中直接选定成交供应商。</w:t>
      </w:r>
    </w:p>
    <w:p w14:paraId="300B69ED">
      <w:pPr>
        <w:snapToGrid w:val="0"/>
        <w:spacing w:before="120" w:after="120" w:line="320" w:lineRule="exact"/>
        <w:rPr>
          <w:color w:val="auto"/>
          <w:szCs w:val="21"/>
          <w:highlight w:val="none"/>
        </w:rPr>
      </w:pPr>
      <w:r>
        <w:rPr>
          <w:rFonts w:hint="eastAsia"/>
          <w:color w:val="auto"/>
          <w:szCs w:val="21"/>
          <w:highlight w:val="none"/>
        </w:rPr>
        <w:t>（2）二次竞价</w:t>
      </w:r>
    </w:p>
    <w:p w14:paraId="448D0182">
      <w:pPr>
        <w:snapToGrid w:val="0"/>
        <w:spacing w:before="120" w:after="120" w:line="320" w:lineRule="exact"/>
        <w:rPr>
          <w:color w:val="auto"/>
          <w:szCs w:val="21"/>
          <w:highlight w:val="none"/>
        </w:rPr>
      </w:pPr>
      <w:r>
        <w:rPr>
          <w:rFonts w:hint="eastAsia"/>
          <w:color w:val="auto"/>
          <w:szCs w:val="21"/>
          <w:highlight w:val="none"/>
        </w:rPr>
        <w:t>二次竞价规则：乙方以第一阶段的响应报价（协议价格）为最高限价，依照响应文件中承诺的入围产品（服务）、采购合同等事项，根据采购人明确的竞价需求，参与二次竞价，以报价最低的为成交供应商。</w:t>
      </w:r>
    </w:p>
    <w:p w14:paraId="06F726FB">
      <w:pPr>
        <w:snapToGrid w:val="0"/>
        <w:spacing w:before="120" w:after="120" w:line="320" w:lineRule="exact"/>
        <w:rPr>
          <w:color w:val="auto"/>
          <w:szCs w:val="21"/>
          <w:highlight w:val="none"/>
          <w:u w:val="single"/>
        </w:rPr>
      </w:pPr>
      <w:r>
        <w:rPr>
          <w:rFonts w:hint="eastAsia"/>
          <w:color w:val="auto"/>
          <w:szCs w:val="21"/>
          <w:highlight w:val="none"/>
        </w:rPr>
        <w:t>二次竞价截止时间：</w:t>
      </w:r>
      <w:r>
        <w:rPr>
          <w:rFonts w:hint="eastAsia"/>
          <w:color w:val="auto"/>
          <w:szCs w:val="21"/>
          <w:highlight w:val="none"/>
          <w:u w:val="single"/>
        </w:rPr>
        <w:t xml:space="preserve"> </w:t>
      </w:r>
      <w:r>
        <w:rPr>
          <w:color w:val="auto"/>
          <w:szCs w:val="21"/>
          <w:highlight w:val="none"/>
          <w:u w:val="single"/>
        </w:rPr>
        <w:t xml:space="preserve">            </w:t>
      </w:r>
    </w:p>
    <w:p w14:paraId="4BD580B5">
      <w:pPr>
        <w:snapToGrid w:val="0"/>
        <w:spacing w:before="120" w:after="120" w:line="320" w:lineRule="exact"/>
        <w:rPr>
          <w:color w:val="auto"/>
          <w:szCs w:val="21"/>
          <w:highlight w:val="none"/>
          <w:u w:val="single"/>
        </w:rPr>
      </w:pPr>
      <w:r>
        <w:rPr>
          <w:rFonts w:hint="eastAsia"/>
          <w:color w:val="auto"/>
          <w:szCs w:val="21"/>
          <w:highlight w:val="none"/>
        </w:rPr>
        <w:t>二次竞价需求：</w:t>
      </w:r>
      <w:r>
        <w:rPr>
          <w:rFonts w:hint="eastAsia"/>
          <w:color w:val="auto"/>
          <w:szCs w:val="21"/>
          <w:highlight w:val="none"/>
          <w:u w:val="single"/>
        </w:rPr>
        <w:t xml:space="preserve"> </w:t>
      </w:r>
      <w:r>
        <w:rPr>
          <w:color w:val="auto"/>
          <w:szCs w:val="21"/>
          <w:highlight w:val="none"/>
          <w:u w:val="single"/>
        </w:rPr>
        <w:t xml:space="preserve">                 </w:t>
      </w:r>
    </w:p>
    <w:p w14:paraId="1D0AEF10">
      <w:pPr>
        <w:snapToGrid w:val="0"/>
        <w:spacing w:before="120" w:after="120" w:line="320" w:lineRule="exact"/>
        <w:rPr>
          <w:color w:val="auto"/>
          <w:szCs w:val="21"/>
          <w:highlight w:val="none"/>
        </w:rPr>
      </w:pPr>
      <w:r>
        <w:rPr>
          <w:rFonts w:hint="eastAsia"/>
          <w:color w:val="auto"/>
          <w:szCs w:val="21"/>
          <w:highlight w:val="none"/>
        </w:rPr>
        <w:t>（3）顺序轮候</w:t>
      </w:r>
    </w:p>
    <w:p w14:paraId="3D85C5B4">
      <w:pPr>
        <w:snapToGrid w:val="0"/>
        <w:spacing w:before="120" w:after="120" w:line="320" w:lineRule="exact"/>
        <w:rPr>
          <w:color w:val="auto"/>
          <w:szCs w:val="21"/>
          <w:highlight w:val="none"/>
        </w:rPr>
      </w:pPr>
      <w:r>
        <w:rPr>
          <w:rFonts w:hint="eastAsia"/>
          <w:color w:val="auto"/>
          <w:szCs w:val="21"/>
          <w:highlight w:val="none"/>
        </w:rPr>
        <w:t>顺序轮候规则：以入围供应商从高到低排名依次进行合同授予，每个入围供应商在一个顺序轮候期内，仅能获得一次合同授予的机会。框架协议有效期截止后，轮候则终止，不保证所有供应商所承接的实际项目数量或金额均等。</w:t>
      </w:r>
    </w:p>
    <w:p w14:paraId="732F1674">
      <w:pPr>
        <w:snapToGrid w:val="0"/>
        <w:spacing w:before="120" w:after="120" w:line="320" w:lineRule="exact"/>
        <w:rPr>
          <w:color w:val="auto"/>
          <w:szCs w:val="21"/>
          <w:highlight w:val="none"/>
          <w:u w:val="single"/>
        </w:rPr>
      </w:pPr>
      <w:r>
        <w:rPr>
          <w:rFonts w:hint="eastAsia"/>
          <w:color w:val="auto"/>
          <w:szCs w:val="21"/>
          <w:highlight w:val="none"/>
        </w:rPr>
        <w:t>顺序轮候期：</w:t>
      </w:r>
      <w:r>
        <w:rPr>
          <w:rFonts w:hint="eastAsia"/>
          <w:color w:val="auto"/>
          <w:szCs w:val="21"/>
          <w:highlight w:val="none"/>
          <w:u w:val="single"/>
        </w:rPr>
        <w:t xml:space="preserve"> </w:t>
      </w:r>
      <w:r>
        <w:rPr>
          <w:color w:val="auto"/>
          <w:szCs w:val="21"/>
          <w:highlight w:val="none"/>
          <w:u w:val="single"/>
        </w:rPr>
        <w:t xml:space="preserve">            </w:t>
      </w:r>
    </w:p>
    <w:p w14:paraId="483B8700">
      <w:pPr>
        <w:snapToGrid w:val="0"/>
        <w:spacing w:before="120" w:after="120" w:line="320" w:lineRule="exact"/>
        <w:rPr>
          <w:b/>
          <w:bCs/>
          <w:color w:val="auto"/>
          <w:szCs w:val="21"/>
          <w:highlight w:val="none"/>
        </w:rPr>
      </w:pPr>
      <w:r>
        <w:rPr>
          <w:rFonts w:hint="eastAsia"/>
          <w:b/>
          <w:bCs/>
          <w:color w:val="auto"/>
          <w:szCs w:val="21"/>
          <w:highlight w:val="none"/>
        </w:rPr>
        <w:t>第四条 入围产品升级换代规则</w:t>
      </w:r>
    </w:p>
    <w:p w14:paraId="1296CEED">
      <w:pPr>
        <w:snapToGrid w:val="0"/>
        <w:spacing w:before="120" w:after="120" w:line="320" w:lineRule="exact"/>
        <w:rPr>
          <w:color w:val="auto"/>
          <w:szCs w:val="21"/>
          <w:highlight w:val="none"/>
          <w:u w:val="single"/>
        </w:rPr>
      </w:pPr>
      <w:r>
        <w:rPr>
          <w:rFonts w:hint="eastAsia"/>
          <w:color w:val="auto"/>
          <w:szCs w:val="21"/>
          <w:highlight w:val="none"/>
          <w:u w:val="single"/>
        </w:rPr>
        <w:t>无</w:t>
      </w:r>
    </w:p>
    <w:p w14:paraId="2787BCF8">
      <w:pPr>
        <w:snapToGrid w:val="0"/>
        <w:spacing w:before="120" w:after="120" w:line="320" w:lineRule="exact"/>
        <w:rPr>
          <w:b/>
          <w:bCs/>
          <w:color w:val="auto"/>
          <w:szCs w:val="21"/>
          <w:highlight w:val="none"/>
        </w:rPr>
      </w:pPr>
      <w:r>
        <w:rPr>
          <w:rFonts w:hint="eastAsia"/>
          <w:b/>
          <w:bCs/>
          <w:color w:val="auto"/>
          <w:szCs w:val="21"/>
          <w:highlight w:val="none"/>
        </w:rPr>
        <w:t>第五条 资金支付方式、时间、条件</w:t>
      </w:r>
    </w:p>
    <w:p w14:paraId="33A195C6">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本项目无预付款。服务费按项目申请支付。成交供应商在完成评审工作后填写《项目委托评审费支付申请表》并加盖公章后送采购人审核签认，由征集人直接向成交供应商支付。双方账户信息如下：</w:t>
      </w:r>
    </w:p>
    <w:p w14:paraId="3CFF363D">
      <w:pPr>
        <w:snapToGrid w:val="0"/>
        <w:spacing w:line="360" w:lineRule="exact"/>
        <w:ind w:firstLine="420" w:firstLineChars="200"/>
        <w:rPr>
          <w:bCs/>
          <w:color w:val="auto"/>
          <w:szCs w:val="21"/>
          <w:highlight w:val="none"/>
        </w:rPr>
      </w:pPr>
      <w:r>
        <w:rPr>
          <w:rFonts w:hint="eastAsia"/>
          <w:bCs/>
          <w:color w:val="auto"/>
          <w:szCs w:val="21"/>
          <w:highlight w:val="none"/>
        </w:rPr>
        <w:t>甲方名称：</w:t>
      </w:r>
      <w:r>
        <w:rPr>
          <w:rFonts w:hint="eastAsia"/>
          <w:color w:val="auto"/>
          <w:szCs w:val="21"/>
          <w:highlight w:val="none"/>
          <w:u w:val="single"/>
          <w:lang w:eastAsia="zh-CN"/>
        </w:rPr>
        <w:t>贺州市平桂区财政局</w:t>
      </w:r>
      <w:r>
        <w:rPr>
          <w:color w:val="auto"/>
          <w:szCs w:val="21"/>
          <w:highlight w:val="none"/>
        </w:rPr>
        <w:t xml:space="preserve"> </w:t>
      </w:r>
    </w:p>
    <w:p w14:paraId="367E0596">
      <w:pPr>
        <w:snapToGrid w:val="0"/>
        <w:spacing w:line="360" w:lineRule="exact"/>
        <w:ind w:firstLine="420" w:firstLineChars="200"/>
        <w:rPr>
          <w:bCs/>
          <w:color w:val="auto"/>
          <w:szCs w:val="21"/>
          <w:highlight w:val="none"/>
        </w:rPr>
      </w:pPr>
      <w:r>
        <w:rPr>
          <w:rFonts w:hint="eastAsia"/>
          <w:bCs/>
          <w:color w:val="auto"/>
          <w:szCs w:val="21"/>
          <w:highlight w:val="none"/>
        </w:rPr>
        <w:t>国税纳税人识别号：</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0419458C">
      <w:pPr>
        <w:snapToGrid w:val="0"/>
        <w:spacing w:line="360" w:lineRule="exact"/>
        <w:ind w:firstLine="420" w:firstLineChars="200"/>
        <w:rPr>
          <w:bCs/>
          <w:color w:val="auto"/>
          <w:szCs w:val="21"/>
          <w:highlight w:val="none"/>
        </w:rPr>
      </w:pPr>
      <w:r>
        <w:rPr>
          <w:rFonts w:hint="eastAsia"/>
          <w:bCs/>
          <w:color w:val="auto"/>
          <w:szCs w:val="21"/>
          <w:highlight w:val="none"/>
        </w:rPr>
        <w:t>户名：</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46B05877">
      <w:pPr>
        <w:snapToGrid w:val="0"/>
        <w:spacing w:line="360" w:lineRule="exact"/>
        <w:ind w:firstLine="420" w:firstLineChars="200"/>
        <w:rPr>
          <w:bCs/>
          <w:color w:val="auto"/>
          <w:szCs w:val="21"/>
          <w:highlight w:val="none"/>
        </w:rPr>
      </w:pPr>
      <w:r>
        <w:rPr>
          <w:rFonts w:hint="eastAsia"/>
          <w:bCs/>
          <w:color w:val="auto"/>
          <w:szCs w:val="21"/>
          <w:highlight w:val="none"/>
        </w:rPr>
        <w:t>开户行：</w:t>
      </w:r>
      <w:r>
        <w:rPr>
          <w:color w:val="auto"/>
          <w:szCs w:val="21"/>
          <w:highlight w:val="none"/>
        </w:rPr>
        <w:t xml:space="preserve"> </w:t>
      </w:r>
      <w:r>
        <w:rPr>
          <w:color w:val="auto"/>
          <w:szCs w:val="21"/>
          <w:highlight w:val="none"/>
          <w:u w:val="single"/>
        </w:rPr>
        <w:t xml:space="preserve">                        </w:t>
      </w:r>
    </w:p>
    <w:p w14:paraId="135F8A61">
      <w:pPr>
        <w:snapToGrid w:val="0"/>
        <w:spacing w:line="360" w:lineRule="exact"/>
        <w:ind w:firstLine="420" w:firstLineChars="200"/>
        <w:rPr>
          <w:bCs/>
          <w:color w:val="auto"/>
          <w:szCs w:val="21"/>
          <w:highlight w:val="none"/>
        </w:rPr>
      </w:pPr>
      <w:r>
        <w:rPr>
          <w:rFonts w:hint="eastAsia"/>
          <w:bCs/>
          <w:color w:val="auto"/>
          <w:szCs w:val="21"/>
          <w:highlight w:val="none"/>
        </w:rPr>
        <w:t>帐号：</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67F53E8C">
      <w:pPr>
        <w:snapToGrid w:val="0"/>
        <w:spacing w:line="360" w:lineRule="exact"/>
        <w:ind w:firstLine="420" w:firstLineChars="200"/>
        <w:rPr>
          <w:bCs/>
          <w:color w:val="auto"/>
          <w:szCs w:val="21"/>
          <w:highlight w:val="none"/>
        </w:rPr>
      </w:pPr>
      <w:r>
        <w:rPr>
          <w:rFonts w:hint="eastAsia"/>
          <w:bCs/>
          <w:color w:val="auto"/>
          <w:szCs w:val="21"/>
          <w:highlight w:val="none"/>
        </w:rPr>
        <w:t>地址：</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189951E3">
      <w:pPr>
        <w:snapToGrid w:val="0"/>
        <w:spacing w:line="360" w:lineRule="exact"/>
        <w:ind w:firstLine="420" w:firstLineChars="200"/>
        <w:rPr>
          <w:bCs/>
          <w:color w:val="auto"/>
          <w:szCs w:val="21"/>
          <w:highlight w:val="none"/>
        </w:rPr>
      </w:pPr>
      <w:r>
        <w:rPr>
          <w:rFonts w:hint="eastAsia"/>
          <w:bCs/>
          <w:color w:val="auto"/>
          <w:szCs w:val="21"/>
          <w:highlight w:val="none"/>
        </w:rPr>
        <w:t>联系电话：</w:t>
      </w:r>
      <w:r>
        <w:rPr>
          <w:color w:val="auto"/>
          <w:szCs w:val="21"/>
          <w:highlight w:val="none"/>
        </w:rPr>
        <w:t xml:space="preserve"> </w:t>
      </w:r>
      <w:r>
        <w:rPr>
          <w:color w:val="auto"/>
          <w:szCs w:val="21"/>
          <w:highlight w:val="none"/>
          <w:u w:val="single"/>
        </w:rPr>
        <w:t xml:space="preserve">                      </w:t>
      </w:r>
    </w:p>
    <w:p w14:paraId="0D83CB61">
      <w:pPr>
        <w:snapToGrid w:val="0"/>
        <w:spacing w:line="360" w:lineRule="exact"/>
        <w:ind w:firstLine="420" w:firstLineChars="200"/>
        <w:rPr>
          <w:bCs/>
          <w:color w:val="auto"/>
          <w:szCs w:val="21"/>
          <w:highlight w:val="none"/>
        </w:rPr>
      </w:pPr>
    </w:p>
    <w:p w14:paraId="000C62E2">
      <w:pPr>
        <w:snapToGrid w:val="0"/>
        <w:spacing w:line="360" w:lineRule="exact"/>
        <w:ind w:firstLine="420" w:firstLineChars="200"/>
        <w:rPr>
          <w:bCs/>
          <w:color w:val="auto"/>
          <w:szCs w:val="21"/>
          <w:highlight w:val="none"/>
        </w:rPr>
      </w:pPr>
      <w:r>
        <w:rPr>
          <w:rFonts w:hint="eastAsia"/>
          <w:bCs/>
          <w:color w:val="auto"/>
          <w:szCs w:val="21"/>
          <w:highlight w:val="none"/>
        </w:rPr>
        <w:t>乙方名称：</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68D73E42">
      <w:pPr>
        <w:snapToGrid w:val="0"/>
        <w:spacing w:line="360" w:lineRule="exact"/>
        <w:ind w:firstLine="420" w:firstLineChars="200"/>
        <w:rPr>
          <w:bCs/>
          <w:color w:val="auto"/>
          <w:szCs w:val="21"/>
          <w:highlight w:val="none"/>
        </w:rPr>
      </w:pPr>
      <w:r>
        <w:rPr>
          <w:rFonts w:hint="eastAsia"/>
          <w:bCs/>
          <w:color w:val="auto"/>
          <w:szCs w:val="21"/>
          <w:highlight w:val="none"/>
        </w:rPr>
        <w:t>国税纳税人识别号：</w:t>
      </w:r>
      <w:r>
        <w:rPr>
          <w:color w:val="auto"/>
          <w:szCs w:val="21"/>
          <w:highlight w:val="none"/>
        </w:rPr>
        <w:t xml:space="preserve"> </w:t>
      </w:r>
      <w:r>
        <w:rPr>
          <w:color w:val="auto"/>
          <w:szCs w:val="21"/>
          <w:highlight w:val="none"/>
          <w:u w:val="single"/>
        </w:rPr>
        <w:t xml:space="preserve">                  </w:t>
      </w:r>
    </w:p>
    <w:p w14:paraId="17E8FBBD">
      <w:pPr>
        <w:snapToGrid w:val="0"/>
        <w:spacing w:line="360" w:lineRule="exact"/>
        <w:ind w:firstLine="420" w:firstLineChars="200"/>
        <w:rPr>
          <w:bCs/>
          <w:color w:val="auto"/>
          <w:szCs w:val="21"/>
          <w:highlight w:val="none"/>
        </w:rPr>
      </w:pPr>
      <w:r>
        <w:rPr>
          <w:rFonts w:hint="eastAsia"/>
          <w:bCs/>
          <w:color w:val="auto"/>
          <w:szCs w:val="21"/>
          <w:highlight w:val="none"/>
        </w:rPr>
        <w:t>户名：</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07734B9C">
      <w:pPr>
        <w:snapToGrid w:val="0"/>
        <w:spacing w:line="360" w:lineRule="exact"/>
        <w:ind w:firstLine="420" w:firstLineChars="200"/>
        <w:rPr>
          <w:bCs/>
          <w:color w:val="auto"/>
          <w:szCs w:val="21"/>
          <w:highlight w:val="none"/>
        </w:rPr>
      </w:pPr>
      <w:r>
        <w:rPr>
          <w:rFonts w:hint="eastAsia"/>
          <w:bCs/>
          <w:color w:val="auto"/>
          <w:szCs w:val="21"/>
          <w:highlight w:val="none"/>
        </w:rPr>
        <w:t>开户行：</w:t>
      </w:r>
      <w:r>
        <w:rPr>
          <w:color w:val="auto"/>
          <w:szCs w:val="21"/>
          <w:highlight w:val="none"/>
        </w:rPr>
        <w:t xml:space="preserve"> </w:t>
      </w:r>
      <w:r>
        <w:rPr>
          <w:color w:val="auto"/>
          <w:szCs w:val="21"/>
          <w:highlight w:val="none"/>
          <w:u w:val="single"/>
        </w:rPr>
        <w:t xml:space="preserve">                        </w:t>
      </w:r>
    </w:p>
    <w:p w14:paraId="0C3F3371">
      <w:pPr>
        <w:snapToGrid w:val="0"/>
        <w:spacing w:line="360" w:lineRule="exact"/>
        <w:ind w:firstLine="420" w:firstLineChars="200"/>
        <w:rPr>
          <w:bCs/>
          <w:color w:val="auto"/>
          <w:szCs w:val="21"/>
          <w:highlight w:val="none"/>
        </w:rPr>
      </w:pPr>
      <w:r>
        <w:rPr>
          <w:rFonts w:hint="eastAsia"/>
          <w:bCs/>
          <w:color w:val="auto"/>
          <w:szCs w:val="21"/>
          <w:highlight w:val="none"/>
        </w:rPr>
        <w:t>帐号：</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75D57860">
      <w:pPr>
        <w:snapToGrid w:val="0"/>
        <w:spacing w:line="360" w:lineRule="exact"/>
        <w:ind w:firstLine="420" w:firstLineChars="200"/>
        <w:rPr>
          <w:bCs/>
          <w:color w:val="auto"/>
          <w:szCs w:val="21"/>
          <w:highlight w:val="none"/>
        </w:rPr>
      </w:pPr>
      <w:r>
        <w:rPr>
          <w:rFonts w:hint="eastAsia"/>
          <w:bCs/>
          <w:color w:val="auto"/>
          <w:szCs w:val="21"/>
          <w:highlight w:val="none"/>
        </w:rPr>
        <w:t>地址：</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p>
    <w:p w14:paraId="18E52978">
      <w:pPr>
        <w:snapToGrid w:val="0"/>
        <w:spacing w:line="360" w:lineRule="exact"/>
        <w:ind w:firstLine="420" w:firstLineChars="200"/>
        <w:rPr>
          <w:color w:val="auto"/>
          <w:szCs w:val="21"/>
          <w:highlight w:val="none"/>
          <w:u w:val="single"/>
        </w:rPr>
      </w:pPr>
      <w:r>
        <w:rPr>
          <w:rFonts w:hint="eastAsia"/>
          <w:bCs/>
          <w:color w:val="auto"/>
          <w:szCs w:val="21"/>
          <w:highlight w:val="none"/>
        </w:rPr>
        <w:t>联系电话：</w:t>
      </w:r>
      <w:r>
        <w:rPr>
          <w:color w:val="auto"/>
          <w:szCs w:val="21"/>
          <w:highlight w:val="none"/>
        </w:rPr>
        <w:t xml:space="preserve"> </w:t>
      </w:r>
      <w:r>
        <w:rPr>
          <w:color w:val="auto"/>
          <w:szCs w:val="21"/>
          <w:highlight w:val="none"/>
          <w:u w:val="single"/>
        </w:rPr>
        <w:t xml:space="preserve">                      </w:t>
      </w:r>
    </w:p>
    <w:p w14:paraId="026C7D23">
      <w:pPr>
        <w:snapToGrid w:val="0"/>
        <w:spacing w:line="360" w:lineRule="exact"/>
        <w:ind w:firstLine="420" w:firstLineChars="200"/>
        <w:rPr>
          <w:bCs/>
          <w:color w:val="auto"/>
          <w:szCs w:val="21"/>
          <w:highlight w:val="none"/>
        </w:rPr>
      </w:pPr>
    </w:p>
    <w:p w14:paraId="040F70F3">
      <w:pPr>
        <w:snapToGrid w:val="0"/>
        <w:spacing w:before="120" w:after="120" w:line="320" w:lineRule="exact"/>
        <w:ind w:firstLine="420" w:firstLineChars="200"/>
        <w:rPr>
          <w:color w:val="auto"/>
          <w:szCs w:val="21"/>
          <w:highlight w:val="none"/>
        </w:rPr>
      </w:pPr>
      <w:r>
        <w:rPr>
          <w:rFonts w:hint="eastAsia"/>
          <w:color w:val="auto"/>
          <w:szCs w:val="21"/>
          <w:highlight w:val="none"/>
        </w:rPr>
        <w:t>乙方如需改变上述账户，应提前10日以书面通知甲方。如乙方未按本合同规定通知导致甲方逾期付款，甲方不承担任何违约责任，乙方应承担因此产生的一切费用。对于满足合同约定支付条件的，甲方原则上应当自收到发票后10个工作日内将资金支付到合同约定的乙方账户。</w:t>
      </w:r>
    </w:p>
    <w:p w14:paraId="76260EF5">
      <w:pPr>
        <w:snapToGrid w:val="0"/>
        <w:spacing w:before="120" w:after="120" w:line="320" w:lineRule="exact"/>
        <w:ind w:firstLine="420" w:firstLineChars="200"/>
        <w:rPr>
          <w:color w:val="auto"/>
          <w:szCs w:val="21"/>
          <w:highlight w:val="none"/>
        </w:rPr>
      </w:pPr>
      <w:r>
        <w:rPr>
          <w:rFonts w:hint="eastAsia"/>
          <w:color w:val="auto"/>
          <w:szCs w:val="21"/>
          <w:highlight w:val="none"/>
        </w:rPr>
        <w:t>2.付费额的计算公式</w:t>
      </w:r>
    </w:p>
    <w:p w14:paraId="68FE4F79">
      <w:pPr>
        <w:snapToGrid w:val="0"/>
        <w:spacing w:before="120" w:after="120" w:line="320" w:lineRule="exact"/>
        <w:ind w:firstLine="420" w:firstLineChars="200"/>
        <w:rPr>
          <w:color w:val="auto"/>
          <w:szCs w:val="21"/>
          <w:highlight w:val="none"/>
        </w:rPr>
      </w:pPr>
      <w:r>
        <w:rPr>
          <w:rFonts w:hint="eastAsia"/>
          <w:color w:val="auto"/>
          <w:szCs w:val="21"/>
          <w:highlight w:val="none"/>
        </w:rPr>
        <w:t>评审服务费=[(送审工程总造价×2‰+审定的工程造价净减(增)值×4%)]×费率</w:t>
      </w:r>
    </w:p>
    <w:p w14:paraId="70EB603A">
      <w:pPr>
        <w:snapToGrid w:val="0"/>
        <w:spacing w:before="120" w:after="120" w:line="320" w:lineRule="exact"/>
        <w:ind w:firstLine="420" w:firstLineChars="200"/>
        <w:rPr>
          <w:color w:val="auto"/>
          <w:szCs w:val="21"/>
          <w:highlight w:val="none"/>
        </w:rPr>
      </w:pPr>
      <w:r>
        <w:rPr>
          <w:rFonts w:hint="eastAsia"/>
          <w:color w:val="auto"/>
          <w:szCs w:val="21"/>
          <w:highlight w:val="none"/>
        </w:rPr>
        <w:t>3.费率其他约定</w:t>
      </w:r>
    </w:p>
    <w:p w14:paraId="74CFAF35">
      <w:pPr>
        <w:snapToGrid w:val="0"/>
        <w:spacing w:before="120" w:after="120" w:line="320" w:lineRule="exact"/>
        <w:ind w:firstLine="420" w:firstLineChars="200"/>
        <w:rPr>
          <w:color w:val="auto"/>
          <w:szCs w:val="21"/>
          <w:highlight w:val="none"/>
        </w:rPr>
      </w:pPr>
      <w:r>
        <w:rPr>
          <w:rFonts w:hint="eastAsia"/>
          <w:color w:val="auto"/>
          <w:szCs w:val="21"/>
          <w:highlight w:val="none"/>
        </w:rPr>
        <w:t>当成交供应商承接的项目评审存在特殊情况，采购人与成交供应商协商确定费率后，另行在采购合同中约定。</w:t>
      </w:r>
    </w:p>
    <w:p w14:paraId="6E099A7E">
      <w:pPr>
        <w:snapToGrid w:val="0"/>
        <w:spacing w:before="120" w:after="120" w:line="320" w:lineRule="exact"/>
        <w:ind w:firstLine="420" w:firstLineChars="200"/>
        <w:rPr>
          <w:color w:val="auto"/>
          <w:szCs w:val="21"/>
          <w:highlight w:val="none"/>
        </w:rPr>
      </w:pPr>
      <w:r>
        <w:rPr>
          <w:rFonts w:hint="eastAsia"/>
          <w:color w:val="auto"/>
          <w:szCs w:val="21"/>
          <w:highlight w:val="none"/>
        </w:rPr>
        <w:t>4.履约保证金</w:t>
      </w:r>
    </w:p>
    <w:p w14:paraId="4DFA71CC">
      <w:pPr>
        <w:snapToGrid w:val="0"/>
        <w:spacing w:before="120" w:after="120" w:line="320" w:lineRule="exact"/>
        <w:ind w:firstLine="420" w:firstLineChars="200"/>
        <w:rPr>
          <w:color w:val="auto"/>
          <w:szCs w:val="21"/>
          <w:highlight w:val="none"/>
        </w:rPr>
      </w:pPr>
      <w:r>
        <w:rPr>
          <w:rFonts w:hint="eastAsia"/>
          <w:color w:val="auto"/>
          <w:szCs w:val="21"/>
          <w:highlight w:val="none"/>
        </w:rPr>
        <w:t>无。</w:t>
      </w:r>
    </w:p>
    <w:p w14:paraId="68208EB3">
      <w:pPr>
        <w:snapToGrid w:val="0"/>
        <w:spacing w:before="120" w:after="120" w:line="320" w:lineRule="exact"/>
        <w:rPr>
          <w:b/>
          <w:bCs/>
          <w:color w:val="auto"/>
          <w:szCs w:val="21"/>
          <w:highlight w:val="none"/>
        </w:rPr>
      </w:pPr>
      <w:r>
        <w:rPr>
          <w:rFonts w:hint="eastAsia"/>
          <w:b/>
          <w:bCs/>
          <w:color w:val="auto"/>
          <w:szCs w:val="21"/>
          <w:highlight w:val="none"/>
        </w:rPr>
        <w:t>第六条 采购合同文本</w:t>
      </w:r>
    </w:p>
    <w:p w14:paraId="69BBA3DF">
      <w:pPr>
        <w:snapToGrid w:val="0"/>
        <w:spacing w:before="120" w:after="120" w:line="320" w:lineRule="exact"/>
        <w:rPr>
          <w:color w:val="auto"/>
          <w:szCs w:val="21"/>
          <w:highlight w:val="none"/>
          <w:u w:val="single"/>
        </w:rPr>
      </w:pPr>
      <w:r>
        <w:rPr>
          <w:rFonts w:hint="eastAsia"/>
          <w:color w:val="auto"/>
          <w:szCs w:val="21"/>
          <w:highlight w:val="none"/>
          <w:u w:val="single"/>
        </w:rPr>
        <w:t>详见第六章合同主要条款（格式）。</w:t>
      </w:r>
    </w:p>
    <w:p w14:paraId="5C7645D8">
      <w:pPr>
        <w:snapToGrid w:val="0"/>
        <w:spacing w:before="120" w:after="120" w:line="320" w:lineRule="exact"/>
        <w:rPr>
          <w:color w:val="auto"/>
          <w:szCs w:val="21"/>
          <w:highlight w:val="none"/>
        </w:rPr>
      </w:pPr>
      <w:r>
        <w:rPr>
          <w:rFonts w:hint="eastAsia"/>
          <w:b/>
          <w:bCs/>
          <w:color w:val="auto"/>
          <w:szCs w:val="21"/>
          <w:highlight w:val="none"/>
        </w:rPr>
        <w:t>第七条 入围供应商清退和补充规则</w:t>
      </w:r>
    </w:p>
    <w:p w14:paraId="2E434A75">
      <w:pPr>
        <w:snapToGrid w:val="0"/>
        <w:spacing w:before="120" w:after="120" w:line="320" w:lineRule="exact"/>
        <w:rPr>
          <w:color w:val="auto"/>
          <w:szCs w:val="21"/>
          <w:highlight w:val="none"/>
        </w:rPr>
      </w:pPr>
      <w:r>
        <w:rPr>
          <w:color w:val="auto"/>
          <w:szCs w:val="21"/>
          <w:highlight w:val="none"/>
        </w:rPr>
        <w:t>1</w:t>
      </w:r>
      <w:r>
        <w:rPr>
          <w:rFonts w:hint="eastAsia"/>
          <w:color w:val="auto"/>
          <w:szCs w:val="21"/>
          <w:highlight w:val="none"/>
        </w:rPr>
        <w:t>．入围供应商的清退</w:t>
      </w:r>
    </w:p>
    <w:p w14:paraId="758EF016">
      <w:pPr>
        <w:snapToGrid w:val="0"/>
        <w:spacing w:before="120" w:after="120" w:line="320" w:lineRule="exact"/>
        <w:rPr>
          <w:color w:val="auto"/>
          <w:szCs w:val="21"/>
          <w:highlight w:val="none"/>
        </w:rPr>
      </w:pPr>
      <w:r>
        <w:rPr>
          <w:rFonts w:hint="eastAsia"/>
          <w:color w:val="auto"/>
          <w:szCs w:val="21"/>
          <w:highlight w:val="none"/>
        </w:rPr>
        <w:t xml:space="preserve">乙方在签订本框架协议前出现以下情形之一的，甲方将取消其入围资格；乙方在签订本框架协议后出现以下情形之一的，甲方将解除与其签订的框架协议： </w:t>
      </w:r>
    </w:p>
    <w:p w14:paraId="685C643D">
      <w:pPr>
        <w:snapToGrid w:val="0"/>
        <w:spacing w:before="120" w:after="120"/>
        <w:rPr>
          <w:color w:val="auto"/>
          <w:szCs w:val="21"/>
          <w:highlight w:val="none"/>
        </w:rPr>
      </w:pPr>
      <w:r>
        <w:rPr>
          <w:rFonts w:hint="eastAsia"/>
          <w:color w:val="auto"/>
          <w:szCs w:val="21"/>
          <w:highlight w:val="none"/>
        </w:rPr>
        <w:t xml:space="preserve">（1）恶意串通谋取入围或者合同成交的； </w:t>
      </w:r>
    </w:p>
    <w:p w14:paraId="3EBB2CC2">
      <w:pPr>
        <w:snapToGrid w:val="0"/>
        <w:spacing w:before="120" w:after="120"/>
        <w:rPr>
          <w:color w:val="auto"/>
          <w:szCs w:val="21"/>
          <w:highlight w:val="none"/>
        </w:rPr>
      </w:pPr>
      <w:r>
        <w:rPr>
          <w:rFonts w:hint="eastAsia"/>
          <w:color w:val="auto"/>
          <w:szCs w:val="21"/>
          <w:highlight w:val="none"/>
        </w:rPr>
        <w:t xml:space="preserve">（2）提供虚假材料谋取入围或者合同成交的； </w:t>
      </w:r>
    </w:p>
    <w:p w14:paraId="6360339A">
      <w:pPr>
        <w:snapToGrid w:val="0"/>
        <w:spacing w:before="120" w:after="120"/>
        <w:rPr>
          <w:color w:val="auto"/>
          <w:szCs w:val="21"/>
          <w:highlight w:val="none"/>
        </w:rPr>
      </w:pPr>
      <w:r>
        <w:rPr>
          <w:rFonts w:hint="eastAsia"/>
          <w:color w:val="auto"/>
          <w:szCs w:val="21"/>
          <w:highlight w:val="none"/>
        </w:rPr>
        <w:t xml:space="preserve">（3）除不可抗力外拒不接受合同授予的。 </w:t>
      </w:r>
    </w:p>
    <w:p w14:paraId="6FD3567F">
      <w:pPr>
        <w:snapToGrid w:val="0"/>
        <w:spacing w:before="120" w:after="120"/>
        <w:rPr>
          <w:color w:val="auto"/>
          <w:szCs w:val="21"/>
          <w:highlight w:val="none"/>
        </w:rPr>
      </w:pPr>
      <w:r>
        <w:rPr>
          <w:rFonts w:hint="eastAsia"/>
          <w:color w:val="auto"/>
          <w:szCs w:val="21"/>
          <w:highlight w:val="none"/>
        </w:rPr>
        <w:t xml:space="preserve">（4）不履行合同义务或者履行合同义务不符合约定，经采购人请求履行后仍不履行或者仍未按约定履行的； </w:t>
      </w:r>
    </w:p>
    <w:p w14:paraId="2A9E2CF9">
      <w:pPr>
        <w:snapToGrid w:val="0"/>
        <w:spacing w:before="120" w:after="120"/>
        <w:rPr>
          <w:color w:val="auto"/>
          <w:szCs w:val="21"/>
          <w:highlight w:val="none"/>
        </w:rPr>
      </w:pPr>
      <w:r>
        <w:rPr>
          <w:rFonts w:hint="eastAsia"/>
          <w:color w:val="auto"/>
          <w:szCs w:val="21"/>
          <w:highlight w:val="none"/>
        </w:rPr>
        <w:t xml:space="preserve">（5）框架协议有效期内，因违法行为被禁止或限制参加政府采购活动的； </w:t>
      </w:r>
    </w:p>
    <w:p w14:paraId="152BAFD5">
      <w:pPr>
        <w:snapToGrid w:val="0"/>
        <w:spacing w:before="120" w:after="120" w:line="276" w:lineRule="auto"/>
        <w:rPr>
          <w:color w:val="auto"/>
          <w:szCs w:val="21"/>
          <w:highlight w:val="none"/>
        </w:rPr>
      </w:pPr>
      <w:r>
        <w:rPr>
          <w:rFonts w:hint="eastAsia"/>
          <w:color w:val="auto"/>
          <w:szCs w:val="21"/>
          <w:highlight w:val="none"/>
        </w:rPr>
        <w:t>（6）入围供应商的组织机构、经营、财务状况发生较大变化，可能造成不能履行框架协议或合同、无法按照征集文件要求提交履约保证金的，未主动告知，给采购人造成损失的；</w:t>
      </w:r>
    </w:p>
    <w:p w14:paraId="0741AC0D">
      <w:pPr>
        <w:snapToGrid w:val="0"/>
        <w:spacing w:before="120" w:after="120" w:line="320" w:lineRule="exact"/>
        <w:rPr>
          <w:color w:val="auto"/>
          <w:szCs w:val="21"/>
          <w:highlight w:val="none"/>
        </w:rPr>
      </w:pPr>
      <w:r>
        <w:rPr>
          <w:rFonts w:hint="eastAsia"/>
          <w:color w:val="auto"/>
          <w:szCs w:val="21"/>
          <w:highlight w:val="none"/>
        </w:rPr>
        <w:t>（7）未按照征集文件评审办法要求提供需要核查的原件或原件与响应文件中提供的不一致或提供虚假材料的。</w:t>
      </w:r>
    </w:p>
    <w:p w14:paraId="68A151DC">
      <w:pPr>
        <w:snapToGrid w:val="0"/>
        <w:spacing w:before="120" w:after="120" w:line="320" w:lineRule="exact"/>
        <w:rPr>
          <w:color w:val="auto"/>
          <w:szCs w:val="21"/>
          <w:highlight w:val="none"/>
        </w:rPr>
      </w:pPr>
      <w:r>
        <w:rPr>
          <w:rFonts w:hint="eastAsia"/>
          <w:color w:val="auto"/>
          <w:szCs w:val="21"/>
          <w:highlight w:val="none"/>
        </w:rPr>
        <w:t>（8）乙方无故超出本框架协议规定的项目评审规定时间50%以上且累计出现三次以上（含三次）。</w:t>
      </w:r>
    </w:p>
    <w:p w14:paraId="39658386">
      <w:pPr>
        <w:snapToGrid w:val="0"/>
        <w:spacing w:before="120" w:after="120" w:line="320" w:lineRule="exact"/>
        <w:rPr>
          <w:color w:val="auto"/>
          <w:szCs w:val="21"/>
          <w:highlight w:val="none"/>
        </w:rPr>
      </w:pPr>
      <w:r>
        <w:rPr>
          <w:rFonts w:hint="eastAsia"/>
          <w:color w:val="auto"/>
          <w:szCs w:val="21"/>
          <w:highlight w:val="none"/>
        </w:rPr>
        <w:t>（9）在合同期内经甲方检查三次以上（含）常驻贺州人员不到位的。</w:t>
      </w:r>
    </w:p>
    <w:p w14:paraId="33967DDF">
      <w:pPr>
        <w:snapToGrid w:val="0"/>
        <w:spacing w:before="120" w:after="120" w:line="320" w:lineRule="exact"/>
        <w:rPr>
          <w:color w:val="auto"/>
          <w:szCs w:val="21"/>
          <w:highlight w:val="none"/>
        </w:rPr>
      </w:pPr>
      <w:r>
        <w:rPr>
          <w:rFonts w:hint="eastAsia"/>
          <w:color w:val="auto"/>
          <w:szCs w:val="21"/>
          <w:highlight w:val="none"/>
        </w:rPr>
        <w:t>（10）年度考核被评为“不合格”的。</w:t>
      </w:r>
    </w:p>
    <w:p w14:paraId="3E224633">
      <w:pPr>
        <w:snapToGrid w:val="0"/>
        <w:spacing w:before="120" w:after="120" w:line="320" w:lineRule="exact"/>
        <w:rPr>
          <w:color w:val="auto"/>
          <w:szCs w:val="21"/>
          <w:highlight w:val="none"/>
        </w:rPr>
      </w:pPr>
      <w:r>
        <w:rPr>
          <w:rFonts w:hint="eastAsia"/>
          <w:color w:val="auto"/>
          <w:szCs w:val="21"/>
          <w:highlight w:val="none"/>
        </w:rPr>
        <w:t>（11）乙方被广西区各级纪检监察或行政监督部门处罚或列入黑名单。</w:t>
      </w:r>
    </w:p>
    <w:p w14:paraId="2D861C01">
      <w:pPr>
        <w:snapToGrid w:val="0"/>
        <w:spacing w:before="120" w:after="120" w:line="320" w:lineRule="exact"/>
        <w:rPr>
          <w:color w:val="auto"/>
          <w:szCs w:val="21"/>
          <w:highlight w:val="none"/>
        </w:rPr>
      </w:pPr>
      <w:r>
        <w:rPr>
          <w:rFonts w:hint="eastAsia"/>
          <w:color w:val="auto"/>
          <w:szCs w:val="21"/>
          <w:highlight w:val="none"/>
        </w:rPr>
        <w:t>（12）其他违反法律法规的情形。</w:t>
      </w:r>
    </w:p>
    <w:p w14:paraId="0C262CB0">
      <w:pPr>
        <w:spacing w:before="120" w:line="276" w:lineRule="auto"/>
        <w:ind w:left="2" w:leftChars="1"/>
        <w:rPr>
          <w:color w:val="auto"/>
          <w:szCs w:val="21"/>
          <w:highlight w:val="none"/>
        </w:rPr>
      </w:pPr>
      <w:r>
        <w:rPr>
          <w:color w:val="auto"/>
          <w:szCs w:val="21"/>
          <w:highlight w:val="none"/>
        </w:rPr>
        <w:t>2</w:t>
      </w:r>
      <w:r>
        <w:rPr>
          <w:rFonts w:hint="eastAsia"/>
          <w:color w:val="auto"/>
          <w:szCs w:val="21"/>
          <w:highlight w:val="none"/>
        </w:rPr>
        <w:t>．用户反馈和评价机制</w:t>
      </w:r>
    </w:p>
    <w:p w14:paraId="406D148F">
      <w:pPr>
        <w:snapToGrid w:val="0"/>
        <w:spacing w:before="120" w:after="120" w:line="320" w:lineRule="exact"/>
        <w:rPr>
          <w:color w:val="auto"/>
          <w:szCs w:val="21"/>
          <w:highlight w:val="none"/>
        </w:rPr>
      </w:pPr>
      <w:r>
        <w:rPr>
          <w:rFonts w:hint="eastAsia"/>
          <w:color w:val="auto"/>
          <w:szCs w:val="21"/>
          <w:highlight w:val="none"/>
        </w:rPr>
        <w:t>供应商在提交服务成果后，由采购人或服务对象填写成果评价表，反馈至征集人处。因供应商原因导致评价结果1次不满意的，供应商应当书面陈述原因并提出改进措施。累计达到3次不满意的，取消本次入围资格。</w:t>
      </w:r>
    </w:p>
    <w:p w14:paraId="3B76D966">
      <w:pPr>
        <w:spacing w:before="120" w:line="276" w:lineRule="auto"/>
        <w:ind w:left="2" w:leftChars="1"/>
        <w:rPr>
          <w:color w:val="auto"/>
          <w:szCs w:val="21"/>
          <w:highlight w:val="none"/>
        </w:rPr>
      </w:pPr>
      <w:r>
        <w:rPr>
          <w:color w:val="auto"/>
          <w:szCs w:val="21"/>
          <w:highlight w:val="none"/>
        </w:rPr>
        <w:t>3</w:t>
      </w:r>
      <w:r>
        <w:rPr>
          <w:rFonts w:hint="eastAsia"/>
          <w:color w:val="auto"/>
          <w:szCs w:val="21"/>
          <w:highlight w:val="none"/>
        </w:rPr>
        <w:t>．入围供应商的补充</w:t>
      </w:r>
    </w:p>
    <w:p w14:paraId="4F196903">
      <w:pPr>
        <w:spacing w:before="120" w:line="276" w:lineRule="auto"/>
        <w:rPr>
          <w:color w:val="auto"/>
          <w:szCs w:val="21"/>
          <w:highlight w:val="none"/>
        </w:rPr>
      </w:pPr>
      <w:r>
        <w:rPr>
          <w:rFonts w:hint="eastAsia"/>
          <w:color w:val="auto"/>
          <w:szCs w:val="21"/>
          <w:highlight w:val="none"/>
        </w:rPr>
        <w:t>甲方启动补充征集程序。</w:t>
      </w:r>
    </w:p>
    <w:p w14:paraId="0A1DC942">
      <w:pPr>
        <w:spacing w:before="120" w:line="276" w:lineRule="auto"/>
        <w:rPr>
          <w:color w:val="auto"/>
          <w:szCs w:val="21"/>
          <w:highlight w:val="none"/>
          <w:u w:val="single"/>
        </w:rPr>
      </w:pPr>
      <w:r>
        <w:rPr>
          <w:rFonts w:hint="eastAsia"/>
          <w:color w:val="auto"/>
          <w:szCs w:val="21"/>
          <w:highlight w:val="none"/>
        </w:rPr>
        <w:t>补充征集的条件：</w:t>
      </w:r>
      <w:r>
        <w:rPr>
          <w:rFonts w:hint="eastAsia"/>
          <w:color w:val="auto"/>
          <w:szCs w:val="21"/>
          <w:highlight w:val="none"/>
          <w:u w:val="single"/>
        </w:rPr>
        <w:t>当出现入围供应商被清退或剩余入围供应商不足入围供应商总数70%且影响框架协议执行的情形</w:t>
      </w:r>
    </w:p>
    <w:p w14:paraId="55304F43">
      <w:pPr>
        <w:spacing w:before="120" w:line="276" w:lineRule="auto"/>
        <w:rPr>
          <w:color w:val="auto"/>
          <w:szCs w:val="21"/>
          <w:highlight w:val="none"/>
          <w:u w:val="single"/>
        </w:rPr>
      </w:pPr>
      <w:r>
        <w:rPr>
          <w:rFonts w:hint="eastAsia"/>
          <w:color w:val="auto"/>
          <w:szCs w:val="21"/>
          <w:highlight w:val="none"/>
        </w:rPr>
        <w:t>补充征集的程序：</w:t>
      </w:r>
      <w:r>
        <w:rPr>
          <w:rFonts w:hint="eastAsia"/>
          <w:color w:val="auto"/>
          <w:szCs w:val="21"/>
          <w:highlight w:val="none"/>
          <w:u w:val="single"/>
        </w:rPr>
        <w:t>同原征集文件</w:t>
      </w:r>
    </w:p>
    <w:p w14:paraId="7B4E698A">
      <w:pPr>
        <w:spacing w:before="120" w:line="276" w:lineRule="auto"/>
        <w:rPr>
          <w:color w:val="auto"/>
          <w:szCs w:val="21"/>
          <w:highlight w:val="none"/>
        </w:rPr>
      </w:pPr>
      <w:r>
        <w:rPr>
          <w:rFonts w:hint="eastAsia"/>
          <w:color w:val="auto"/>
          <w:szCs w:val="21"/>
          <w:highlight w:val="none"/>
        </w:rPr>
        <w:t>补充征集的评审方法：</w:t>
      </w:r>
      <w:r>
        <w:rPr>
          <w:rFonts w:hint="eastAsia"/>
          <w:color w:val="auto"/>
          <w:szCs w:val="21"/>
          <w:highlight w:val="none"/>
          <w:u w:val="single"/>
        </w:rPr>
        <w:t>同原征集文件</w:t>
      </w:r>
    </w:p>
    <w:p w14:paraId="3AE8F1F5">
      <w:pPr>
        <w:spacing w:before="120" w:line="276" w:lineRule="auto"/>
        <w:rPr>
          <w:color w:val="auto"/>
          <w:szCs w:val="21"/>
          <w:highlight w:val="none"/>
        </w:rPr>
      </w:pPr>
      <w:r>
        <w:rPr>
          <w:rFonts w:hint="eastAsia"/>
          <w:color w:val="auto"/>
          <w:szCs w:val="21"/>
          <w:highlight w:val="none"/>
        </w:rPr>
        <w:t>补充征集的淘汰比例：</w:t>
      </w:r>
      <w:r>
        <w:rPr>
          <w:rFonts w:hint="eastAsia"/>
          <w:color w:val="auto"/>
          <w:szCs w:val="21"/>
          <w:highlight w:val="none"/>
          <w:u w:val="single"/>
        </w:rPr>
        <w:t>同原征集文件</w:t>
      </w:r>
    </w:p>
    <w:p w14:paraId="4411353A">
      <w:pPr>
        <w:spacing w:before="120" w:line="276" w:lineRule="auto"/>
        <w:rPr>
          <w:color w:val="auto"/>
          <w:szCs w:val="21"/>
          <w:highlight w:val="none"/>
        </w:rPr>
      </w:pPr>
      <w:r>
        <w:rPr>
          <w:rFonts w:hint="eastAsia"/>
          <w:color w:val="auto"/>
          <w:szCs w:val="21"/>
          <w:highlight w:val="none"/>
        </w:rPr>
        <w:t>补充征集的框架协议有效期：</w:t>
      </w:r>
      <w:r>
        <w:rPr>
          <w:rFonts w:hint="eastAsia"/>
          <w:color w:val="auto"/>
          <w:szCs w:val="21"/>
          <w:highlight w:val="none"/>
          <w:u w:val="single"/>
        </w:rPr>
        <w:t>同本协议有效期</w:t>
      </w:r>
    </w:p>
    <w:p w14:paraId="2D3A2DC3">
      <w:pPr>
        <w:spacing w:before="120" w:line="276" w:lineRule="auto"/>
        <w:rPr>
          <w:color w:val="auto"/>
          <w:szCs w:val="21"/>
          <w:highlight w:val="none"/>
        </w:rPr>
      </w:pPr>
      <w:r>
        <w:rPr>
          <w:rFonts w:hint="eastAsia"/>
          <w:color w:val="auto"/>
          <w:szCs w:val="21"/>
          <w:highlight w:val="none"/>
        </w:rPr>
        <w:t>补充征集期间，本框架协议继续履行。被取消入围资格或者被解除框架协议的供应商不得参加同一封闭式框架协议补充征集。</w:t>
      </w:r>
    </w:p>
    <w:p w14:paraId="47AB1894">
      <w:pPr>
        <w:snapToGrid w:val="0"/>
        <w:spacing w:before="120" w:after="120" w:line="320" w:lineRule="exact"/>
        <w:rPr>
          <w:b/>
          <w:bCs/>
          <w:color w:val="auto"/>
          <w:szCs w:val="21"/>
          <w:highlight w:val="none"/>
        </w:rPr>
      </w:pPr>
      <w:r>
        <w:rPr>
          <w:rFonts w:hint="eastAsia"/>
          <w:b/>
          <w:bCs/>
          <w:color w:val="auto"/>
          <w:szCs w:val="21"/>
          <w:highlight w:val="none"/>
        </w:rPr>
        <w:t>第八条 甲方权利和义务</w:t>
      </w:r>
    </w:p>
    <w:p w14:paraId="683A5D90">
      <w:pPr>
        <w:snapToGrid w:val="0"/>
        <w:spacing w:before="120" w:after="120" w:line="320" w:lineRule="exact"/>
        <w:rPr>
          <w:color w:val="auto"/>
          <w:szCs w:val="21"/>
          <w:highlight w:val="none"/>
        </w:rPr>
      </w:pPr>
      <w:r>
        <w:rPr>
          <w:rFonts w:hint="eastAsia"/>
          <w:color w:val="auto"/>
          <w:szCs w:val="21"/>
          <w:highlight w:val="none"/>
        </w:rPr>
        <w:t>1．甲方将依照有关法规、规章的规定，要求采购人按照本项目征集文件采购需求及本框架协议约定的事项从入围供应商中选定成交供应商。</w:t>
      </w:r>
    </w:p>
    <w:p w14:paraId="4ADEE903">
      <w:pPr>
        <w:snapToGrid w:val="0"/>
        <w:spacing w:before="120" w:after="120" w:line="320" w:lineRule="exact"/>
        <w:rPr>
          <w:color w:val="auto"/>
          <w:szCs w:val="21"/>
          <w:highlight w:val="none"/>
        </w:rPr>
      </w:pPr>
      <w:r>
        <w:rPr>
          <w:rFonts w:hint="eastAsia"/>
          <w:color w:val="auto"/>
          <w:szCs w:val="21"/>
          <w:highlight w:val="none"/>
        </w:rPr>
        <w:t>2．甲方负责管理乙方的服务活动，使其符合采购价格不高于响应报价的价格，采购质量优良和服务良好的要求。</w:t>
      </w:r>
    </w:p>
    <w:p w14:paraId="2B2B099B">
      <w:pPr>
        <w:snapToGrid w:val="0"/>
        <w:spacing w:before="120" w:after="120" w:line="320" w:lineRule="exact"/>
        <w:rPr>
          <w:color w:val="auto"/>
          <w:szCs w:val="21"/>
          <w:highlight w:val="none"/>
        </w:rPr>
      </w:pPr>
      <w:r>
        <w:rPr>
          <w:rFonts w:hint="eastAsia"/>
          <w:color w:val="auto"/>
          <w:szCs w:val="21"/>
          <w:highlight w:val="none"/>
        </w:rPr>
        <w:t>3．甲方有权按照本项目征集文件以及本框架协议和采购合同等文件对乙方履约行为进行监督和检查，收集并公开采购人对入围供应商履行框架协议和采购合同情况的反馈与评价。</w:t>
      </w:r>
    </w:p>
    <w:p w14:paraId="534D7000">
      <w:pPr>
        <w:snapToGrid w:val="0"/>
        <w:spacing w:before="120" w:after="120" w:line="320" w:lineRule="exact"/>
        <w:rPr>
          <w:color w:val="auto"/>
          <w:szCs w:val="21"/>
          <w:highlight w:val="none"/>
        </w:rPr>
      </w:pPr>
      <w:r>
        <w:rPr>
          <w:rFonts w:hint="eastAsia"/>
          <w:color w:val="auto"/>
          <w:szCs w:val="21"/>
          <w:highlight w:val="none"/>
        </w:rPr>
        <w:t>4．甲方按规定公开框架协议有效期内入围供应商成交结果情况。</w:t>
      </w:r>
    </w:p>
    <w:p w14:paraId="18AFA715">
      <w:pPr>
        <w:snapToGrid w:val="0"/>
        <w:spacing w:before="120" w:after="120" w:line="320" w:lineRule="exact"/>
        <w:rPr>
          <w:color w:val="auto"/>
          <w:szCs w:val="21"/>
          <w:highlight w:val="none"/>
        </w:rPr>
      </w:pPr>
      <w:r>
        <w:rPr>
          <w:rFonts w:hint="eastAsia"/>
          <w:color w:val="auto"/>
          <w:szCs w:val="21"/>
          <w:highlight w:val="none"/>
        </w:rPr>
        <w:t>5．甲方有权对入围供应商进行清退或补充等相关事宜。</w:t>
      </w:r>
    </w:p>
    <w:p w14:paraId="0834B1BE">
      <w:pPr>
        <w:snapToGrid w:val="0"/>
        <w:spacing w:before="120" w:after="120" w:line="320" w:lineRule="exact"/>
        <w:rPr>
          <w:color w:val="auto"/>
          <w:szCs w:val="21"/>
          <w:highlight w:val="none"/>
        </w:rPr>
      </w:pPr>
      <w:r>
        <w:rPr>
          <w:rFonts w:hint="eastAsia"/>
          <w:color w:val="auto"/>
          <w:szCs w:val="21"/>
          <w:highlight w:val="none"/>
        </w:rPr>
        <w:t>6．如征集文件有要求需要在框架协议中另行确定的事项，甲方有权按征集文件要求执行。</w:t>
      </w:r>
    </w:p>
    <w:p w14:paraId="3416031C">
      <w:pPr>
        <w:snapToGrid w:val="0"/>
        <w:spacing w:before="120" w:after="120" w:line="320" w:lineRule="exact"/>
        <w:rPr>
          <w:color w:val="auto"/>
          <w:szCs w:val="21"/>
          <w:highlight w:val="none"/>
        </w:rPr>
      </w:pPr>
      <w:r>
        <w:rPr>
          <w:rFonts w:hint="eastAsia"/>
          <w:color w:val="auto"/>
          <w:szCs w:val="21"/>
          <w:highlight w:val="none"/>
        </w:rPr>
        <w:t>7. 甲方有权要求乙方按时、按质、按量、按计划与合同协议约定完成本项目，并有权对乙方工作情况进行监督。如发现乙方与项目有关人员有意串通增大工程量或弄虚作假增加评审金额的，经查实按违约责任处理。</w:t>
      </w:r>
    </w:p>
    <w:p w14:paraId="2BC86DA1">
      <w:pPr>
        <w:snapToGrid w:val="0"/>
        <w:spacing w:before="120" w:after="120" w:line="320" w:lineRule="exact"/>
        <w:rPr>
          <w:color w:val="auto"/>
          <w:szCs w:val="21"/>
          <w:highlight w:val="none"/>
        </w:rPr>
      </w:pPr>
      <w:r>
        <w:rPr>
          <w:rFonts w:hint="eastAsia"/>
          <w:color w:val="auto"/>
          <w:szCs w:val="21"/>
          <w:highlight w:val="none"/>
        </w:rPr>
        <w:t>8. 根据项目进度，甲方有权及时对乙方提交的方案提出修改意见，并要求乙方按修改意见完成服务工作。</w:t>
      </w:r>
    </w:p>
    <w:p w14:paraId="7C821A97">
      <w:pPr>
        <w:snapToGrid w:val="0"/>
        <w:spacing w:before="120" w:after="120" w:line="320" w:lineRule="exact"/>
        <w:rPr>
          <w:color w:val="auto"/>
          <w:szCs w:val="21"/>
          <w:highlight w:val="none"/>
        </w:rPr>
      </w:pPr>
      <w:r>
        <w:rPr>
          <w:rFonts w:hint="eastAsia"/>
          <w:color w:val="auto"/>
          <w:szCs w:val="21"/>
          <w:highlight w:val="none"/>
        </w:rPr>
        <w:t>9. 乙方配备的项目投入人员应得到甲方的认可。</w:t>
      </w:r>
    </w:p>
    <w:p w14:paraId="625EA1DF">
      <w:pPr>
        <w:snapToGrid w:val="0"/>
        <w:spacing w:before="120" w:after="120" w:line="320" w:lineRule="exact"/>
        <w:rPr>
          <w:color w:val="auto"/>
          <w:szCs w:val="21"/>
          <w:highlight w:val="none"/>
        </w:rPr>
      </w:pPr>
      <w:r>
        <w:rPr>
          <w:rFonts w:hint="eastAsia"/>
          <w:color w:val="auto"/>
          <w:szCs w:val="21"/>
          <w:highlight w:val="none"/>
        </w:rPr>
        <w:t>10. 甲方有权要求乙方更换不合格的工作人员。</w:t>
      </w:r>
    </w:p>
    <w:p w14:paraId="1AA61AA2">
      <w:pPr>
        <w:snapToGrid w:val="0"/>
        <w:spacing w:before="120" w:after="120" w:line="320" w:lineRule="exact"/>
        <w:rPr>
          <w:color w:val="auto"/>
          <w:szCs w:val="21"/>
          <w:highlight w:val="none"/>
        </w:rPr>
      </w:pPr>
      <w:r>
        <w:rPr>
          <w:rFonts w:hint="eastAsia"/>
          <w:color w:val="auto"/>
          <w:szCs w:val="21"/>
          <w:highlight w:val="none"/>
        </w:rPr>
        <w:t>11. 按合同要求及时向乙方支付服务费用。</w:t>
      </w:r>
    </w:p>
    <w:p w14:paraId="75B650A3">
      <w:pPr>
        <w:snapToGrid w:val="0"/>
        <w:spacing w:before="120" w:after="120" w:line="320" w:lineRule="exact"/>
        <w:rPr>
          <w:color w:val="auto"/>
          <w:szCs w:val="21"/>
          <w:highlight w:val="none"/>
        </w:rPr>
      </w:pPr>
      <w:r>
        <w:rPr>
          <w:rFonts w:hint="eastAsia"/>
          <w:color w:val="auto"/>
          <w:szCs w:val="21"/>
          <w:highlight w:val="none"/>
        </w:rPr>
        <w:t xml:space="preserve">12. 如采购项目涉及采购标的的知识产权归属的，产权归属为甲方。   </w:t>
      </w:r>
    </w:p>
    <w:p w14:paraId="624A3BF8">
      <w:pPr>
        <w:snapToGrid w:val="0"/>
        <w:spacing w:before="120" w:after="120" w:line="320" w:lineRule="exact"/>
        <w:rPr>
          <w:color w:val="auto"/>
          <w:szCs w:val="21"/>
          <w:highlight w:val="none"/>
        </w:rPr>
      </w:pPr>
      <w:r>
        <w:rPr>
          <w:rFonts w:hint="eastAsia"/>
          <w:color w:val="auto"/>
          <w:szCs w:val="21"/>
          <w:highlight w:val="none"/>
        </w:rPr>
        <w:t>13. 处理方式：采购人在中华人民共和国境内使用供应商提供的产品及服务时免受第三方提出的侵犯其专利权或其它知识产权的起诉。如果第三方提出侵权指控，乙方应承担由此而引起的一切法律责任和费用。</w:t>
      </w:r>
    </w:p>
    <w:p w14:paraId="641DACA6">
      <w:pPr>
        <w:snapToGrid w:val="0"/>
        <w:spacing w:before="120" w:after="120" w:line="320" w:lineRule="exact"/>
        <w:rPr>
          <w:b/>
          <w:bCs/>
          <w:color w:val="auto"/>
          <w:szCs w:val="21"/>
          <w:highlight w:val="none"/>
        </w:rPr>
      </w:pPr>
      <w:r>
        <w:rPr>
          <w:rFonts w:hint="eastAsia"/>
          <w:b/>
          <w:bCs/>
          <w:color w:val="auto"/>
          <w:szCs w:val="21"/>
          <w:highlight w:val="none"/>
        </w:rPr>
        <w:t>第九条 乙方权利和义务</w:t>
      </w:r>
    </w:p>
    <w:p w14:paraId="56BC76A8">
      <w:pPr>
        <w:snapToGrid w:val="0"/>
        <w:spacing w:before="120" w:after="120" w:line="320" w:lineRule="exact"/>
        <w:rPr>
          <w:color w:val="auto"/>
          <w:szCs w:val="21"/>
          <w:highlight w:val="none"/>
        </w:rPr>
      </w:pPr>
      <w:r>
        <w:rPr>
          <w:rFonts w:hint="eastAsia"/>
          <w:color w:val="auto"/>
          <w:szCs w:val="21"/>
          <w:highlight w:val="none"/>
        </w:rPr>
        <w:t>1．乙方应当遵守采购人按照本协议规定的选定成交供应商的方式获得成交供应商资格。</w:t>
      </w:r>
    </w:p>
    <w:p w14:paraId="073246BA">
      <w:pPr>
        <w:snapToGrid w:val="0"/>
        <w:spacing w:before="120" w:after="120" w:line="320" w:lineRule="exact"/>
        <w:rPr>
          <w:color w:val="auto"/>
          <w:szCs w:val="21"/>
          <w:highlight w:val="none"/>
        </w:rPr>
      </w:pPr>
      <w:r>
        <w:rPr>
          <w:rFonts w:hint="eastAsia"/>
          <w:color w:val="auto"/>
          <w:szCs w:val="21"/>
          <w:highlight w:val="none"/>
        </w:rPr>
        <w:t>2．乙方提供的产品或服务应符合国家标准和征集文件中要求的标准。</w:t>
      </w:r>
    </w:p>
    <w:p w14:paraId="6810490F">
      <w:pPr>
        <w:snapToGrid w:val="0"/>
        <w:spacing w:before="120" w:after="120" w:line="320" w:lineRule="exact"/>
        <w:rPr>
          <w:color w:val="auto"/>
          <w:szCs w:val="21"/>
          <w:highlight w:val="none"/>
        </w:rPr>
      </w:pPr>
      <w:r>
        <w:rPr>
          <w:rFonts w:hint="eastAsia"/>
          <w:color w:val="auto"/>
          <w:szCs w:val="21"/>
          <w:highlight w:val="none"/>
        </w:rPr>
        <w:t>3．乙方应保证依据征集文件要求及响应承诺，向采购人提供质量不降低，价格不提高的产品、以及与之配套的耗材、配件。</w:t>
      </w:r>
    </w:p>
    <w:p w14:paraId="3377B6F9">
      <w:pPr>
        <w:snapToGrid w:val="0"/>
        <w:spacing w:before="120" w:after="120" w:line="320" w:lineRule="exact"/>
        <w:rPr>
          <w:color w:val="auto"/>
          <w:szCs w:val="21"/>
          <w:highlight w:val="none"/>
        </w:rPr>
      </w:pPr>
      <w:r>
        <w:rPr>
          <w:rFonts w:hint="eastAsia"/>
          <w:color w:val="auto"/>
          <w:szCs w:val="21"/>
          <w:highlight w:val="none"/>
        </w:rPr>
        <w:t>4．乙方应接受并配合甲方的评价及反馈机制，严格履行服务承诺。</w:t>
      </w:r>
    </w:p>
    <w:p w14:paraId="4E527702">
      <w:pPr>
        <w:snapToGrid w:val="0"/>
        <w:spacing w:before="120" w:after="120" w:line="320" w:lineRule="exact"/>
        <w:rPr>
          <w:color w:val="auto"/>
          <w:szCs w:val="21"/>
          <w:highlight w:val="none"/>
        </w:rPr>
      </w:pPr>
      <w:r>
        <w:rPr>
          <w:rFonts w:hint="eastAsia"/>
          <w:color w:val="auto"/>
          <w:szCs w:val="21"/>
          <w:highlight w:val="none"/>
        </w:rPr>
        <w:t>5．乙方无正当理由，不得主动放弃入围资格或者退出框架协议，否则，乙方不得参加同一封闭式框架协议补充征集，或者重新申请加入同一开放式框架协议。甲方保留对乙方追究责任的权利。</w:t>
      </w:r>
    </w:p>
    <w:p w14:paraId="462BEDF0">
      <w:pPr>
        <w:snapToGrid w:val="0"/>
        <w:spacing w:before="120" w:after="120" w:line="320" w:lineRule="exact"/>
        <w:rPr>
          <w:color w:val="auto"/>
          <w:szCs w:val="21"/>
          <w:highlight w:val="none"/>
        </w:rPr>
      </w:pPr>
      <w:r>
        <w:rPr>
          <w:rFonts w:hint="eastAsia"/>
          <w:color w:val="auto"/>
          <w:szCs w:val="21"/>
          <w:highlight w:val="none"/>
        </w:rPr>
        <w:t>6．乙方应按照征集文件评审办法要求提供需要核查的原件，如原件与响应文件中提供的不一致或虚假的或未提供的，甲方有权取消乙方入围资格，另行确定入围供应商。</w:t>
      </w:r>
    </w:p>
    <w:p w14:paraId="0B84CC2E">
      <w:pPr>
        <w:snapToGrid w:val="0"/>
        <w:spacing w:before="120" w:after="120" w:line="320" w:lineRule="exact"/>
        <w:rPr>
          <w:color w:val="auto"/>
          <w:szCs w:val="21"/>
          <w:highlight w:val="none"/>
        </w:rPr>
      </w:pPr>
      <w:r>
        <w:rPr>
          <w:rFonts w:hint="eastAsia"/>
          <w:color w:val="auto"/>
          <w:szCs w:val="21"/>
          <w:highlight w:val="none"/>
        </w:rPr>
        <w:t>7. 严格履行合同文件（含征集文件、响应文件等）约定和承诺的服务内容和质量标准，保证甲方项目的相关工作质量和进度。</w:t>
      </w:r>
    </w:p>
    <w:p w14:paraId="756DDB75">
      <w:pPr>
        <w:snapToGrid w:val="0"/>
        <w:spacing w:before="120" w:after="120" w:line="320" w:lineRule="exact"/>
        <w:rPr>
          <w:color w:val="auto"/>
          <w:szCs w:val="21"/>
          <w:highlight w:val="none"/>
        </w:rPr>
      </w:pPr>
      <w:r>
        <w:rPr>
          <w:rFonts w:hint="eastAsia"/>
          <w:color w:val="auto"/>
          <w:szCs w:val="21"/>
          <w:highlight w:val="none"/>
        </w:rPr>
        <w:t>8. 必须严格实施乙方响应文件中承诺的人力资源配置。在必须补充或更换人员时，必须补充或更换优于或等同于响应文件所承诺资质的评审人员（包括主审、协审人员</w:t>
      </w:r>
      <w:r>
        <w:rPr>
          <w:rFonts w:hint="eastAsia"/>
          <w:color w:val="auto"/>
          <w:szCs w:val="21"/>
          <w:highlight w:val="none"/>
          <w:lang w:eastAsia="zh-CN"/>
        </w:rPr>
        <w:t>、</w:t>
      </w:r>
      <w:r>
        <w:rPr>
          <w:rFonts w:hint="eastAsia"/>
          <w:color w:val="auto"/>
          <w:szCs w:val="21"/>
          <w:highlight w:val="none"/>
          <w:lang w:val="en-US" w:eastAsia="zh-CN"/>
        </w:rPr>
        <w:t>驻场人员</w:t>
      </w:r>
      <w:r>
        <w:rPr>
          <w:rFonts w:hint="eastAsia"/>
          <w:color w:val="auto"/>
          <w:szCs w:val="21"/>
          <w:highlight w:val="none"/>
        </w:rPr>
        <w:t>），并需取得甲方书面同意。</w:t>
      </w:r>
    </w:p>
    <w:p w14:paraId="400DC2B4">
      <w:pPr>
        <w:snapToGrid w:val="0"/>
        <w:spacing w:before="120" w:after="120" w:line="320" w:lineRule="exact"/>
        <w:rPr>
          <w:color w:val="auto"/>
          <w:szCs w:val="21"/>
          <w:highlight w:val="none"/>
        </w:rPr>
      </w:pPr>
      <w:r>
        <w:rPr>
          <w:rFonts w:hint="eastAsia"/>
          <w:color w:val="auto"/>
          <w:szCs w:val="21"/>
          <w:highlight w:val="none"/>
        </w:rPr>
        <w:t>在框架协议有效期内，如乙方在第二阶段签订合同时需要调整人员，调整的人员应当是响应文件中承诺的拟投入人员，且签订合同前须提供人员名单送甲方审核。</w:t>
      </w:r>
    </w:p>
    <w:p w14:paraId="4CBE0455">
      <w:pPr>
        <w:snapToGrid w:val="0"/>
        <w:spacing w:before="120" w:after="120" w:line="320" w:lineRule="exact"/>
        <w:rPr>
          <w:color w:val="auto"/>
          <w:szCs w:val="21"/>
          <w:highlight w:val="none"/>
        </w:rPr>
      </w:pPr>
      <w:r>
        <w:rPr>
          <w:rFonts w:hint="eastAsia"/>
          <w:color w:val="auto"/>
          <w:szCs w:val="21"/>
          <w:highlight w:val="none"/>
        </w:rPr>
        <w:t>9.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52449097">
      <w:pPr>
        <w:snapToGrid w:val="0"/>
        <w:spacing w:before="120" w:after="120" w:line="320" w:lineRule="exact"/>
        <w:rPr>
          <w:color w:val="auto"/>
          <w:szCs w:val="21"/>
          <w:highlight w:val="none"/>
        </w:rPr>
      </w:pPr>
      <w:r>
        <w:rPr>
          <w:rFonts w:hint="eastAsia"/>
          <w:color w:val="auto"/>
          <w:szCs w:val="21"/>
          <w:highlight w:val="none"/>
        </w:rPr>
        <w:t>10.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187A2258">
      <w:pPr>
        <w:snapToGrid w:val="0"/>
        <w:spacing w:before="120" w:after="120" w:line="320" w:lineRule="exact"/>
        <w:rPr>
          <w:color w:val="auto"/>
          <w:szCs w:val="21"/>
          <w:highlight w:val="none"/>
        </w:rPr>
      </w:pPr>
      <w:r>
        <w:rPr>
          <w:rFonts w:hint="eastAsia"/>
          <w:color w:val="auto"/>
          <w:szCs w:val="21"/>
          <w:highlight w:val="none"/>
        </w:rPr>
        <w:t>11. 乙方评审人员（包括主审、协审人员、</w:t>
      </w:r>
      <w:r>
        <w:rPr>
          <w:rFonts w:hint="eastAsia"/>
          <w:color w:val="auto"/>
          <w:szCs w:val="21"/>
          <w:highlight w:val="none"/>
          <w:lang w:eastAsia="zh-CN"/>
        </w:rPr>
        <w:t>驻场</w:t>
      </w:r>
      <w:r>
        <w:rPr>
          <w:rFonts w:hint="eastAsia"/>
          <w:color w:val="auto"/>
          <w:szCs w:val="21"/>
          <w:highlight w:val="none"/>
        </w:rPr>
        <w:t>人员）应签订保密协议并履行保密义务。如乙方因违反本条约定给甲方造成损失的，乙方应当承担相应的法律责任，并赔偿由此给甲方造成的一切损失。</w:t>
      </w:r>
    </w:p>
    <w:p w14:paraId="513E69ED">
      <w:pPr>
        <w:snapToGrid w:val="0"/>
        <w:spacing w:before="120" w:after="120" w:line="320" w:lineRule="exact"/>
        <w:rPr>
          <w:color w:val="auto"/>
          <w:szCs w:val="21"/>
          <w:highlight w:val="none"/>
        </w:rPr>
      </w:pPr>
      <w:r>
        <w:rPr>
          <w:rFonts w:hint="eastAsia"/>
          <w:color w:val="auto"/>
          <w:szCs w:val="21"/>
          <w:highlight w:val="none"/>
        </w:rPr>
        <w:t>12. 乙方应履行回避义务。乙方以及乙方评审人员（包括主审、协审人员、</w:t>
      </w:r>
      <w:r>
        <w:rPr>
          <w:rFonts w:hint="eastAsia"/>
          <w:color w:val="auto"/>
          <w:szCs w:val="21"/>
          <w:highlight w:val="none"/>
          <w:lang w:eastAsia="zh-CN"/>
        </w:rPr>
        <w:t>驻场</w:t>
      </w:r>
      <w:r>
        <w:rPr>
          <w:rFonts w:hint="eastAsia"/>
          <w:color w:val="auto"/>
          <w:szCs w:val="21"/>
          <w:highlight w:val="none"/>
        </w:rPr>
        <w:t xml:space="preserve">人员）如存在可能影响本合同所安排项目评审公正性的情形，应主动告知甲方，并终止本合同或更换存在利益关联的评审人员。如果乙方与所评审项目（或该项目的送审单位）存在利益关联，应主动告知甲方并终止本合同；如果所安排评审人员与所评审项目（或该项目的送审单位）存在利益关联，应主动告知甲方并更换评审人员。 </w:t>
      </w:r>
    </w:p>
    <w:p w14:paraId="056486E7">
      <w:pPr>
        <w:snapToGrid w:val="0"/>
        <w:spacing w:before="120" w:after="120" w:line="320" w:lineRule="exact"/>
        <w:rPr>
          <w:color w:val="auto"/>
          <w:szCs w:val="21"/>
          <w:highlight w:val="none"/>
        </w:rPr>
      </w:pPr>
      <w:r>
        <w:rPr>
          <w:rFonts w:hint="eastAsia"/>
          <w:color w:val="auto"/>
          <w:szCs w:val="21"/>
          <w:highlight w:val="none"/>
        </w:rPr>
        <w:t>13. 按照合同约定收取服务费，当甲方出现无故拖欠费用时，乙方有权采取适当方式进行催缴，若甲方仍未支付费用，乙方有权停止工作。</w:t>
      </w:r>
    </w:p>
    <w:p w14:paraId="198977C7">
      <w:pPr>
        <w:snapToGrid w:val="0"/>
        <w:spacing w:before="120" w:after="120" w:line="320" w:lineRule="exact"/>
        <w:rPr>
          <w:color w:val="auto"/>
          <w:szCs w:val="21"/>
          <w:highlight w:val="none"/>
        </w:rPr>
      </w:pPr>
      <w:r>
        <w:rPr>
          <w:rFonts w:hint="eastAsia"/>
          <w:color w:val="auto"/>
          <w:szCs w:val="21"/>
          <w:highlight w:val="none"/>
        </w:rPr>
        <w:t>14. 有义务妥善保管甲方提供的资料，并在审核工作完成后，完整交回甲方。</w:t>
      </w:r>
    </w:p>
    <w:p w14:paraId="55478C19">
      <w:pPr>
        <w:snapToGrid w:val="0"/>
        <w:spacing w:before="120" w:after="120" w:line="320" w:lineRule="exact"/>
        <w:rPr>
          <w:color w:val="auto"/>
          <w:szCs w:val="21"/>
          <w:highlight w:val="none"/>
        </w:rPr>
      </w:pPr>
      <w:r>
        <w:rPr>
          <w:rFonts w:hint="eastAsia"/>
          <w:color w:val="auto"/>
          <w:szCs w:val="21"/>
          <w:highlight w:val="none"/>
        </w:rPr>
        <w:t>15. 乙方应服从甲方对可能委托项目的指派及分配，并了解本项目签订框架协议后仅代表取得入围本项目服务资格，不等同于可确保直接承接相应数量的项目评审工作并获得相应项目的服务费用。</w:t>
      </w:r>
    </w:p>
    <w:p w14:paraId="2A3CD8D4">
      <w:pPr>
        <w:snapToGrid w:val="0"/>
        <w:spacing w:before="120" w:after="120" w:line="320" w:lineRule="exact"/>
        <w:rPr>
          <w:color w:val="auto"/>
          <w:szCs w:val="21"/>
          <w:highlight w:val="none"/>
        </w:rPr>
      </w:pPr>
      <w:r>
        <w:rPr>
          <w:rFonts w:hint="eastAsia"/>
          <w:color w:val="auto"/>
          <w:szCs w:val="21"/>
          <w:highlight w:val="none"/>
        </w:rPr>
        <w:t>16.甲方不定期对乙方配备在贺州市的专业技术人员到位情况进行检查。如发现人员不到位的的情况，由乙方通知缺位人员在一天内到位并经甲方确认，否则中止其评审业务工作安排，经甲方检查配备在贺州市的专业技术人员全部到位后再恢复评审业务工作。（本条适用于乙方在响应文件中承诺有常驻贺州市的人员）</w:t>
      </w:r>
    </w:p>
    <w:p w14:paraId="33F5E1FF">
      <w:pPr>
        <w:snapToGrid w:val="0"/>
        <w:spacing w:before="120" w:after="120" w:line="320" w:lineRule="exact"/>
        <w:rPr>
          <w:color w:val="auto"/>
          <w:szCs w:val="21"/>
          <w:highlight w:val="none"/>
        </w:rPr>
      </w:pPr>
      <w:r>
        <w:rPr>
          <w:rFonts w:hint="eastAsia"/>
          <w:color w:val="auto"/>
          <w:szCs w:val="21"/>
          <w:highlight w:val="none"/>
        </w:rPr>
        <w:t>17.乙方应当签订保密协议（附后）及廉洁承诺书（附后）。</w:t>
      </w:r>
    </w:p>
    <w:p w14:paraId="19936008">
      <w:pPr>
        <w:snapToGrid w:val="0"/>
        <w:spacing w:line="360" w:lineRule="exact"/>
        <w:rPr>
          <w:color w:val="auto"/>
          <w:szCs w:val="21"/>
          <w:highlight w:val="none"/>
        </w:rPr>
      </w:pPr>
      <w:r>
        <w:rPr>
          <w:b/>
          <w:color w:val="auto"/>
          <w:szCs w:val="21"/>
          <w:highlight w:val="none"/>
        </w:rPr>
        <w:t>第</w:t>
      </w:r>
      <w:r>
        <w:rPr>
          <w:rFonts w:hint="eastAsia"/>
          <w:b/>
          <w:color w:val="auto"/>
          <w:szCs w:val="21"/>
          <w:highlight w:val="none"/>
        </w:rPr>
        <w:t>十</w:t>
      </w:r>
      <w:r>
        <w:rPr>
          <w:b/>
          <w:color w:val="auto"/>
          <w:szCs w:val="21"/>
          <w:highlight w:val="none"/>
        </w:rPr>
        <w:t xml:space="preserve">条  </w:t>
      </w:r>
      <w:r>
        <w:rPr>
          <w:rFonts w:hint="eastAsia"/>
          <w:b/>
          <w:color w:val="auto"/>
          <w:szCs w:val="21"/>
          <w:highlight w:val="none"/>
        </w:rPr>
        <w:t>履约</w:t>
      </w:r>
      <w:r>
        <w:rPr>
          <w:b/>
          <w:color w:val="auto"/>
          <w:szCs w:val="21"/>
          <w:highlight w:val="none"/>
        </w:rPr>
        <w:t>验收</w:t>
      </w:r>
    </w:p>
    <w:p w14:paraId="3C8BD5B9">
      <w:pPr>
        <w:snapToGrid w:val="0"/>
        <w:spacing w:before="120" w:after="120" w:line="320" w:lineRule="exact"/>
        <w:rPr>
          <w:color w:val="auto"/>
          <w:szCs w:val="21"/>
          <w:highlight w:val="none"/>
        </w:rPr>
      </w:pPr>
      <w:r>
        <w:rPr>
          <w:color w:val="auto"/>
          <w:szCs w:val="21"/>
          <w:highlight w:val="none"/>
        </w:rPr>
        <w:t>1. 乙方提供不符合</w:t>
      </w:r>
      <w:r>
        <w:rPr>
          <w:rFonts w:hint="eastAsia"/>
          <w:color w:val="auto"/>
          <w:szCs w:val="21"/>
          <w:highlight w:val="none"/>
        </w:rPr>
        <w:t>征集文件、响应文件</w:t>
      </w:r>
      <w:r>
        <w:rPr>
          <w:color w:val="auto"/>
          <w:szCs w:val="21"/>
          <w:highlight w:val="none"/>
        </w:rPr>
        <w:t>和本合同规定的服务</w:t>
      </w:r>
      <w:r>
        <w:rPr>
          <w:rFonts w:hint="eastAsia"/>
          <w:color w:val="auto"/>
          <w:szCs w:val="21"/>
          <w:highlight w:val="none"/>
        </w:rPr>
        <w:t>的</w:t>
      </w:r>
      <w:r>
        <w:rPr>
          <w:color w:val="auto"/>
          <w:szCs w:val="21"/>
          <w:highlight w:val="none"/>
        </w:rPr>
        <w:t>，甲方有权拒绝接受</w:t>
      </w:r>
      <w:r>
        <w:rPr>
          <w:rFonts w:hint="eastAsia"/>
          <w:color w:val="auto"/>
          <w:szCs w:val="21"/>
          <w:highlight w:val="none"/>
        </w:rPr>
        <w:t xml:space="preserve">。 </w:t>
      </w:r>
    </w:p>
    <w:p w14:paraId="123CCDC6">
      <w:pPr>
        <w:snapToGrid w:val="0"/>
        <w:spacing w:before="120" w:after="120" w:line="320" w:lineRule="exact"/>
        <w:rPr>
          <w:color w:val="auto"/>
          <w:szCs w:val="21"/>
          <w:highlight w:val="none"/>
        </w:rPr>
      </w:pPr>
      <w:r>
        <w:rPr>
          <w:rFonts w:hint="eastAsia"/>
          <w:color w:val="auto"/>
          <w:szCs w:val="21"/>
          <w:highlight w:val="none"/>
        </w:rPr>
        <w:t>2</w:t>
      </w:r>
      <w:r>
        <w:rPr>
          <w:color w:val="auto"/>
          <w:szCs w:val="21"/>
          <w:highlight w:val="none"/>
        </w:rPr>
        <w:t>. 甲方委托第三方组织的验收项目，其验收时间以该项目验收方案确定的验收时间为准，验收结果以该项目验收报告结论为准。在验收过程中发现乙方有违约问题，可暂缓资金结算</w:t>
      </w:r>
      <w:r>
        <w:rPr>
          <w:rFonts w:hint="eastAsia"/>
          <w:color w:val="auto"/>
          <w:szCs w:val="21"/>
          <w:highlight w:val="none"/>
        </w:rPr>
        <w:t>并停止向乙方委派业务</w:t>
      </w:r>
      <w:r>
        <w:rPr>
          <w:color w:val="auto"/>
          <w:szCs w:val="21"/>
          <w:highlight w:val="none"/>
        </w:rPr>
        <w:t>，待违约问题解决后，方可办理资金结算事宜</w:t>
      </w:r>
      <w:r>
        <w:rPr>
          <w:rFonts w:hint="eastAsia"/>
          <w:color w:val="auto"/>
          <w:szCs w:val="21"/>
          <w:highlight w:val="none"/>
        </w:rPr>
        <w:t>并未委派业务</w:t>
      </w:r>
      <w:r>
        <w:rPr>
          <w:color w:val="auto"/>
          <w:szCs w:val="21"/>
          <w:highlight w:val="none"/>
        </w:rPr>
        <w:t>。</w:t>
      </w:r>
    </w:p>
    <w:p w14:paraId="51C2C436">
      <w:pPr>
        <w:snapToGrid w:val="0"/>
        <w:spacing w:before="120" w:after="120" w:line="320" w:lineRule="exact"/>
        <w:rPr>
          <w:color w:val="auto"/>
          <w:szCs w:val="21"/>
          <w:highlight w:val="none"/>
        </w:rPr>
      </w:pPr>
      <w:r>
        <w:rPr>
          <w:rFonts w:hint="eastAsia"/>
          <w:color w:val="auto"/>
          <w:szCs w:val="21"/>
          <w:highlight w:val="none"/>
        </w:rPr>
        <w:t>3</w:t>
      </w:r>
      <w:r>
        <w:rPr>
          <w:color w:val="auto"/>
          <w:szCs w:val="21"/>
          <w:highlight w:val="none"/>
        </w:rPr>
        <w:t>. 甲方对验收有异议的，在验收后五个工作日内以书面形式向乙方提出，乙方应自收到甲方书面异议后 7 日内及时予以解决。</w:t>
      </w:r>
    </w:p>
    <w:p w14:paraId="5D34DBD7">
      <w:pPr>
        <w:snapToGrid w:val="0"/>
        <w:spacing w:before="120" w:after="120" w:line="320" w:lineRule="exact"/>
        <w:rPr>
          <w:color w:val="auto"/>
          <w:szCs w:val="21"/>
          <w:highlight w:val="none"/>
        </w:rPr>
      </w:pPr>
      <w:r>
        <w:rPr>
          <w:rFonts w:hint="eastAsia"/>
          <w:color w:val="auto"/>
          <w:szCs w:val="21"/>
          <w:highlight w:val="none"/>
        </w:rPr>
        <w:t>4</w:t>
      </w:r>
      <w:r>
        <w:rPr>
          <w:color w:val="auto"/>
          <w:szCs w:val="21"/>
          <w:highlight w:val="none"/>
        </w:rPr>
        <w:t xml:space="preserve">. </w:t>
      </w:r>
      <w:r>
        <w:rPr>
          <w:rFonts w:hint="eastAsia"/>
          <w:color w:val="auto"/>
          <w:szCs w:val="21"/>
          <w:highlight w:val="none"/>
        </w:rPr>
        <w:t>在项目完成且收到乙方验收申请后5个工作日内组织开展履约验收。</w:t>
      </w:r>
    </w:p>
    <w:p w14:paraId="7E042BD0">
      <w:pPr>
        <w:snapToGrid w:val="0"/>
        <w:spacing w:before="120" w:after="120" w:line="320" w:lineRule="exact"/>
        <w:rPr>
          <w:color w:val="auto"/>
          <w:szCs w:val="21"/>
          <w:highlight w:val="none"/>
        </w:rPr>
      </w:pPr>
      <w:r>
        <w:rPr>
          <w:rFonts w:hint="eastAsia"/>
          <w:color w:val="auto"/>
          <w:szCs w:val="21"/>
          <w:highlight w:val="none"/>
        </w:rPr>
        <w:t>5</w:t>
      </w:r>
      <w:r>
        <w:rPr>
          <w:color w:val="auto"/>
          <w:szCs w:val="21"/>
          <w:highlight w:val="none"/>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3D132462">
      <w:pPr>
        <w:snapToGrid w:val="0"/>
        <w:spacing w:before="120" w:after="120" w:line="320" w:lineRule="exact"/>
        <w:rPr>
          <w:color w:val="auto"/>
          <w:szCs w:val="21"/>
          <w:highlight w:val="none"/>
        </w:rPr>
      </w:pPr>
      <w:r>
        <w:rPr>
          <w:rFonts w:hint="eastAsia"/>
          <w:color w:val="auto"/>
          <w:szCs w:val="21"/>
          <w:highlight w:val="none"/>
        </w:rPr>
        <w:t>6.履约验收方案详见附件。</w:t>
      </w:r>
    </w:p>
    <w:p w14:paraId="06813128">
      <w:pPr>
        <w:snapToGrid w:val="0"/>
        <w:spacing w:line="360" w:lineRule="exact"/>
        <w:rPr>
          <w:b/>
          <w:color w:val="auto"/>
          <w:szCs w:val="21"/>
          <w:highlight w:val="none"/>
        </w:rPr>
      </w:pPr>
      <w:r>
        <w:rPr>
          <w:rFonts w:hint="eastAsia"/>
          <w:b/>
          <w:color w:val="auto"/>
          <w:szCs w:val="21"/>
          <w:highlight w:val="none"/>
        </w:rPr>
        <w:t xml:space="preserve">第十一条 </w:t>
      </w:r>
      <w:r>
        <w:rPr>
          <w:b/>
          <w:color w:val="auto"/>
          <w:szCs w:val="21"/>
          <w:highlight w:val="none"/>
        </w:rPr>
        <w:t>违约责任</w:t>
      </w:r>
    </w:p>
    <w:p w14:paraId="426BE2BB">
      <w:pPr>
        <w:snapToGrid w:val="0"/>
        <w:spacing w:line="360" w:lineRule="exact"/>
        <w:rPr>
          <w:color w:val="auto"/>
          <w:szCs w:val="21"/>
          <w:highlight w:val="none"/>
        </w:rPr>
      </w:pPr>
      <w:r>
        <w:rPr>
          <w:color w:val="auto"/>
          <w:szCs w:val="21"/>
          <w:highlight w:val="none"/>
        </w:rPr>
        <w:t>1.</w:t>
      </w:r>
      <w:r>
        <w:rPr>
          <w:rFonts w:eastAsia="微软雅黑"/>
          <w:color w:val="auto"/>
          <w:szCs w:val="21"/>
          <w:highlight w:val="none"/>
        </w:rPr>
        <w:t xml:space="preserve"> </w:t>
      </w:r>
      <w:r>
        <w:rPr>
          <w:color w:val="auto"/>
          <w:szCs w:val="21"/>
          <w:highlight w:val="none"/>
        </w:rPr>
        <w:t>若因乙方原因而未能履行合同或未达到合同约定的要求，甲方有权书面</w:t>
      </w:r>
      <w:r>
        <w:rPr>
          <w:rFonts w:hint="eastAsia"/>
          <w:color w:val="auto"/>
          <w:szCs w:val="21"/>
          <w:highlight w:val="none"/>
        </w:rPr>
        <w:t>督促</w:t>
      </w:r>
      <w:r>
        <w:rPr>
          <w:color w:val="auto"/>
          <w:szCs w:val="21"/>
          <w:highlight w:val="none"/>
        </w:rPr>
        <w:t>乙方履行合同，乙方应在收到甲方书面通知之日起七日内给予书面答复并进行整改；如乙方在上述时间未答复，或无故拖延履行合同，或经整改后仍未达到甲方要求，甲方有权书面通知乙方解除服务合同，且无需支付合同解除后的合同后续费用。同时，乙方必须退还甲方已付出的所有服务费用，并赔偿由此给甲方造成的全部损失。</w:t>
      </w:r>
    </w:p>
    <w:p w14:paraId="5DD463F8">
      <w:pPr>
        <w:snapToGrid w:val="0"/>
        <w:spacing w:line="360" w:lineRule="exact"/>
        <w:rPr>
          <w:color w:val="auto"/>
          <w:szCs w:val="21"/>
          <w:highlight w:val="none"/>
        </w:rPr>
      </w:pPr>
      <w:r>
        <w:rPr>
          <w:color w:val="auto"/>
          <w:szCs w:val="21"/>
          <w:highlight w:val="none"/>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68E25FEF">
      <w:pPr>
        <w:snapToGrid w:val="0"/>
        <w:spacing w:line="360" w:lineRule="exact"/>
        <w:rPr>
          <w:color w:val="auto"/>
          <w:szCs w:val="21"/>
          <w:highlight w:val="none"/>
        </w:rPr>
      </w:pPr>
      <w:r>
        <w:rPr>
          <w:color w:val="auto"/>
          <w:szCs w:val="21"/>
          <w:highlight w:val="none"/>
        </w:rPr>
        <w:t>3. 乙方或乙方人员违反保密义务时，甲方有权书面通知乙方解除合同，且无需支付合同解除后的合同后续费用。同时，</w:t>
      </w:r>
      <w:r>
        <w:rPr>
          <w:rFonts w:hint="eastAsia"/>
          <w:color w:val="auto"/>
          <w:szCs w:val="21"/>
          <w:highlight w:val="none"/>
        </w:rPr>
        <w:t>甲方停止委派业务给乙方，</w:t>
      </w:r>
      <w:r>
        <w:rPr>
          <w:color w:val="auto"/>
          <w:szCs w:val="21"/>
          <w:highlight w:val="none"/>
        </w:rPr>
        <w:t>乙方必须退还甲方已付出的所有咨询费用，并赔偿由此给甲方造成的全部损失。</w:t>
      </w:r>
    </w:p>
    <w:p w14:paraId="35171545">
      <w:pPr>
        <w:snapToGrid w:val="0"/>
        <w:spacing w:line="360" w:lineRule="exact"/>
        <w:jc w:val="left"/>
        <w:rPr>
          <w:color w:val="auto"/>
          <w:szCs w:val="21"/>
          <w:highlight w:val="none"/>
        </w:rPr>
      </w:pPr>
      <w:r>
        <w:rPr>
          <w:color w:val="auto"/>
          <w:szCs w:val="21"/>
          <w:highlight w:val="none"/>
        </w:rPr>
        <w:t>4. 乙方提供的服务如侵犯了第三方合法权益而引发的任何纠纷或诉讼，均由乙方负责交涉并承担全部责任。</w:t>
      </w:r>
    </w:p>
    <w:p w14:paraId="38726EF3">
      <w:pPr>
        <w:snapToGrid w:val="0"/>
        <w:spacing w:line="360" w:lineRule="exact"/>
        <w:jc w:val="left"/>
        <w:rPr>
          <w:color w:val="auto"/>
          <w:szCs w:val="21"/>
          <w:highlight w:val="none"/>
        </w:rPr>
      </w:pPr>
      <w:r>
        <w:rPr>
          <w:rFonts w:hint="eastAsia"/>
          <w:color w:val="auto"/>
          <w:szCs w:val="21"/>
          <w:highlight w:val="none"/>
        </w:rPr>
        <w:t>5</w:t>
      </w:r>
      <w:r>
        <w:rPr>
          <w:color w:val="auto"/>
          <w:szCs w:val="21"/>
          <w:highlight w:val="none"/>
        </w:rPr>
        <w:t xml:space="preserve">. </w:t>
      </w:r>
      <w:r>
        <w:rPr>
          <w:rFonts w:hint="eastAsia"/>
          <w:color w:val="auto"/>
          <w:szCs w:val="21"/>
          <w:highlight w:val="none"/>
        </w:rPr>
        <w:t>乙方出现</w:t>
      </w:r>
      <w:r>
        <w:rPr>
          <w:rFonts w:hint="eastAsia"/>
          <w:color w:val="auto"/>
          <w:szCs w:val="21"/>
          <w:highlight w:val="none"/>
          <w:u w:val="single"/>
        </w:rPr>
        <w:t>1</w:t>
      </w:r>
      <w:r>
        <w:rPr>
          <w:rFonts w:hint="eastAsia"/>
          <w:color w:val="auto"/>
          <w:szCs w:val="21"/>
          <w:highlight w:val="none"/>
        </w:rPr>
        <w:t>次损坏审核资料的，给予警告一次；出现</w:t>
      </w:r>
      <w:r>
        <w:rPr>
          <w:rFonts w:hint="eastAsia"/>
          <w:color w:val="auto"/>
          <w:szCs w:val="21"/>
          <w:highlight w:val="none"/>
          <w:u w:val="single"/>
        </w:rPr>
        <w:t>2</w:t>
      </w:r>
      <w:r>
        <w:rPr>
          <w:rFonts w:hint="eastAsia"/>
          <w:color w:val="auto"/>
          <w:szCs w:val="21"/>
          <w:highlight w:val="none"/>
        </w:rPr>
        <w:t>次损坏审核资料或</w:t>
      </w:r>
      <w:r>
        <w:rPr>
          <w:rFonts w:hint="eastAsia"/>
          <w:color w:val="auto"/>
          <w:szCs w:val="21"/>
          <w:highlight w:val="none"/>
          <w:u w:val="single"/>
        </w:rPr>
        <w:t>1</w:t>
      </w:r>
      <w:r>
        <w:rPr>
          <w:rFonts w:hint="eastAsia"/>
          <w:color w:val="auto"/>
          <w:szCs w:val="21"/>
          <w:highlight w:val="none"/>
        </w:rPr>
        <w:t>次丢失审核资料，终止合同，并按情节轻重究其责任。</w:t>
      </w:r>
    </w:p>
    <w:p w14:paraId="598EE985">
      <w:pPr>
        <w:snapToGrid w:val="0"/>
        <w:spacing w:line="360" w:lineRule="exact"/>
        <w:rPr>
          <w:color w:val="auto"/>
          <w:szCs w:val="21"/>
          <w:highlight w:val="none"/>
        </w:rPr>
      </w:pPr>
      <w:r>
        <w:rPr>
          <w:rFonts w:hint="eastAsia"/>
          <w:color w:val="auto"/>
          <w:szCs w:val="21"/>
          <w:highlight w:val="none"/>
        </w:rPr>
        <w:t>6</w:t>
      </w:r>
      <w:r>
        <w:rPr>
          <w:color w:val="auto"/>
          <w:szCs w:val="21"/>
          <w:highlight w:val="none"/>
        </w:rPr>
        <w:t>. 乙方未按本合同和响应文件中规定的服务承诺提供售后服务的，乙方应按本合同合计金额</w:t>
      </w:r>
      <w:r>
        <w:rPr>
          <w:color w:val="auto"/>
          <w:szCs w:val="21"/>
          <w:highlight w:val="none"/>
          <w:u w:val="single"/>
        </w:rPr>
        <w:t xml:space="preserve"> 5%</w:t>
      </w:r>
      <w:r>
        <w:rPr>
          <w:color w:val="auto"/>
          <w:szCs w:val="21"/>
          <w:highlight w:val="none"/>
        </w:rPr>
        <w:t>向甲方支付违约金。</w:t>
      </w:r>
    </w:p>
    <w:p w14:paraId="37FD0186">
      <w:pPr>
        <w:snapToGrid w:val="0"/>
        <w:spacing w:line="360" w:lineRule="exact"/>
        <w:rPr>
          <w:color w:val="auto"/>
          <w:highlight w:val="none"/>
        </w:rPr>
      </w:pPr>
      <w:r>
        <w:rPr>
          <w:rFonts w:hint="eastAsia"/>
          <w:color w:val="auto"/>
          <w:szCs w:val="21"/>
          <w:highlight w:val="none"/>
        </w:rPr>
        <w:t>7.乙方不得将委托的服务工作内容透露给除甲方或采购人以外的任何单位或个人。如发现并经查实的，甲方有权终止框架协议并追究违约责任。</w:t>
      </w:r>
    </w:p>
    <w:p w14:paraId="6E48022F">
      <w:pPr>
        <w:snapToGrid w:val="0"/>
        <w:spacing w:line="360" w:lineRule="exact"/>
        <w:rPr>
          <w:color w:val="auto"/>
          <w:highlight w:val="none"/>
        </w:rPr>
      </w:pPr>
      <w:r>
        <w:rPr>
          <w:rFonts w:hint="eastAsia"/>
          <w:color w:val="auto"/>
          <w:highlight w:val="none"/>
        </w:rPr>
        <w:t>8.乙方已接受委托审核某工程项目上限控制价的，不能代理该项目招标代理工作，不能与该工程项目有关的投标人提供与该工程项目投标有关的服务；如发现并经查实的，甲方有权终止框架协议并追究违约责任。</w:t>
      </w:r>
    </w:p>
    <w:p w14:paraId="3EFDC15C">
      <w:pPr>
        <w:snapToGrid w:val="0"/>
        <w:spacing w:line="360" w:lineRule="exact"/>
        <w:rPr>
          <w:color w:val="auto"/>
          <w:highlight w:val="none"/>
        </w:rPr>
      </w:pPr>
      <w:r>
        <w:rPr>
          <w:rFonts w:hint="eastAsia"/>
          <w:color w:val="auto"/>
          <w:highlight w:val="none"/>
        </w:rPr>
        <w:t>9.乙方及其审核人员工作出现重大过失，故意提供不实或内容虚假的审核工作底稿，给审核工作造成损失或严重后果的，不得再参与财政投资审核业务。有触犯相关法律的，将承担相应的法律责任。</w:t>
      </w:r>
    </w:p>
    <w:p w14:paraId="37EEAFA2">
      <w:pPr>
        <w:snapToGrid w:val="0"/>
        <w:spacing w:line="360" w:lineRule="exact"/>
        <w:rPr>
          <w:color w:val="auto"/>
          <w:highlight w:val="none"/>
        </w:rPr>
      </w:pPr>
      <w:r>
        <w:rPr>
          <w:rFonts w:hint="eastAsia"/>
          <w:color w:val="auto"/>
          <w:highlight w:val="none"/>
        </w:rPr>
        <w:t>10.乙方审核人员在审核业务中因涉嫌玩忽职守、徇私舞弊或违反回避制度等行为，给审核工作造成损失或严重后果的，将按国家有关规定给予相应处罚。</w:t>
      </w:r>
    </w:p>
    <w:p w14:paraId="489540DF">
      <w:pPr>
        <w:snapToGrid w:val="0"/>
        <w:spacing w:line="360" w:lineRule="exact"/>
        <w:rPr>
          <w:color w:val="auto"/>
          <w:highlight w:val="none"/>
        </w:rPr>
      </w:pPr>
      <w:r>
        <w:rPr>
          <w:rFonts w:hint="eastAsia"/>
          <w:color w:val="auto"/>
          <w:highlight w:val="none"/>
        </w:rPr>
        <w:t>11.实行廉政建设一票否决制。审核服务期内乙方审核人员发生违规违纪现象的，由甲方或采购人责令其限期整改，情节严重的将终止框架协议，并提请有关部门对相关人员和乙方依法处理。</w:t>
      </w:r>
    </w:p>
    <w:p w14:paraId="0C0E2400">
      <w:pPr>
        <w:snapToGrid w:val="0"/>
        <w:spacing w:line="360" w:lineRule="exact"/>
        <w:rPr>
          <w:color w:val="auto"/>
          <w:szCs w:val="21"/>
          <w:highlight w:val="none"/>
        </w:rPr>
      </w:pPr>
      <w:r>
        <w:rPr>
          <w:rFonts w:hint="eastAsia"/>
          <w:color w:val="auto"/>
          <w:szCs w:val="21"/>
          <w:highlight w:val="none"/>
        </w:rPr>
        <w:t>13</w:t>
      </w:r>
      <w:r>
        <w:rPr>
          <w:color w:val="auto"/>
          <w:szCs w:val="21"/>
          <w:highlight w:val="none"/>
        </w:rPr>
        <w:t>. 其它违约行为按违约服务成果费用金额5%收取违约金并赔偿经济损失。</w:t>
      </w:r>
    </w:p>
    <w:p w14:paraId="44D6ADAF">
      <w:pPr>
        <w:snapToGrid w:val="0"/>
        <w:spacing w:line="360" w:lineRule="exact"/>
        <w:rPr>
          <w:b/>
          <w:color w:val="auto"/>
          <w:szCs w:val="21"/>
          <w:highlight w:val="none"/>
        </w:rPr>
      </w:pPr>
      <w:r>
        <w:rPr>
          <w:b/>
          <w:color w:val="auto"/>
          <w:szCs w:val="21"/>
          <w:highlight w:val="none"/>
        </w:rPr>
        <w:t>第十</w:t>
      </w:r>
      <w:r>
        <w:rPr>
          <w:rFonts w:hint="eastAsia"/>
          <w:b/>
          <w:color w:val="auto"/>
          <w:szCs w:val="21"/>
          <w:highlight w:val="none"/>
        </w:rPr>
        <w:t>二</w:t>
      </w:r>
      <w:r>
        <w:rPr>
          <w:b/>
          <w:color w:val="auto"/>
          <w:szCs w:val="21"/>
          <w:highlight w:val="none"/>
        </w:rPr>
        <w:t>条 不可抗力事件处理</w:t>
      </w:r>
    </w:p>
    <w:p w14:paraId="4834F649">
      <w:pPr>
        <w:snapToGrid w:val="0"/>
        <w:spacing w:line="360" w:lineRule="exact"/>
        <w:rPr>
          <w:color w:val="auto"/>
          <w:szCs w:val="21"/>
          <w:highlight w:val="none"/>
        </w:rPr>
      </w:pPr>
      <w:r>
        <w:rPr>
          <w:color w:val="auto"/>
          <w:szCs w:val="21"/>
          <w:highlight w:val="none"/>
        </w:rPr>
        <w:t>1. 在合同有效期内，任何一方因不可抗力事件导致不能履行合同，则合同履行期可延长，其延长期与不可抗力影响期相同。</w:t>
      </w:r>
    </w:p>
    <w:p w14:paraId="7C6133F3">
      <w:pPr>
        <w:snapToGrid w:val="0"/>
        <w:spacing w:line="360" w:lineRule="exact"/>
        <w:rPr>
          <w:color w:val="auto"/>
          <w:szCs w:val="21"/>
          <w:highlight w:val="none"/>
        </w:rPr>
      </w:pPr>
      <w:r>
        <w:rPr>
          <w:color w:val="auto"/>
          <w:szCs w:val="21"/>
          <w:highlight w:val="none"/>
        </w:rPr>
        <w:t>2. 不可抗力事件发生后，应立即通知对方，并寄送有关权威机构出具的证明。</w:t>
      </w:r>
    </w:p>
    <w:p w14:paraId="2D059EDA">
      <w:pPr>
        <w:snapToGrid w:val="0"/>
        <w:spacing w:line="360" w:lineRule="exact"/>
        <w:rPr>
          <w:color w:val="auto"/>
          <w:szCs w:val="21"/>
          <w:highlight w:val="none"/>
        </w:rPr>
      </w:pPr>
      <w:r>
        <w:rPr>
          <w:color w:val="auto"/>
          <w:szCs w:val="21"/>
          <w:highlight w:val="none"/>
        </w:rPr>
        <w:t>3. 不可抗力事件延续</w:t>
      </w:r>
      <w:r>
        <w:rPr>
          <w:rFonts w:hint="eastAsia"/>
          <w:color w:val="auto"/>
          <w:szCs w:val="21"/>
          <w:highlight w:val="none"/>
        </w:rPr>
        <w:t>三十</w:t>
      </w:r>
      <w:r>
        <w:rPr>
          <w:color w:val="auto"/>
          <w:szCs w:val="21"/>
          <w:highlight w:val="none"/>
        </w:rPr>
        <w:t>天以上，双方应通过友好协商，确定是否继续履行合同。</w:t>
      </w:r>
    </w:p>
    <w:p w14:paraId="06385A8D">
      <w:pPr>
        <w:snapToGrid w:val="0"/>
        <w:spacing w:line="360" w:lineRule="exact"/>
        <w:rPr>
          <w:b/>
          <w:color w:val="auto"/>
          <w:szCs w:val="21"/>
          <w:highlight w:val="none"/>
        </w:rPr>
      </w:pPr>
      <w:r>
        <w:rPr>
          <w:b/>
          <w:color w:val="auto"/>
          <w:szCs w:val="21"/>
          <w:highlight w:val="none"/>
        </w:rPr>
        <w:t>第十</w:t>
      </w:r>
      <w:r>
        <w:rPr>
          <w:rFonts w:hint="eastAsia"/>
          <w:b/>
          <w:color w:val="auto"/>
          <w:szCs w:val="21"/>
          <w:highlight w:val="none"/>
        </w:rPr>
        <w:t>三</w:t>
      </w:r>
      <w:r>
        <w:rPr>
          <w:b/>
          <w:color w:val="auto"/>
          <w:szCs w:val="21"/>
          <w:highlight w:val="none"/>
        </w:rPr>
        <w:t>条</w:t>
      </w:r>
      <w:r>
        <w:rPr>
          <w:rFonts w:hint="eastAsia"/>
          <w:b/>
          <w:color w:val="auto"/>
          <w:szCs w:val="21"/>
          <w:highlight w:val="none"/>
        </w:rPr>
        <w:t xml:space="preserve"> </w:t>
      </w:r>
      <w:r>
        <w:rPr>
          <w:b/>
          <w:color w:val="auto"/>
          <w:szCs w:val="21"/>
          <w:highlight w:val="none"/>
        </w:rPr>
        <w:t>争议解决</w:t>
      </w:r>
    </w:p>
    <w:p w14:paraId="750D6524">
      <w:pPr>
        <w:snapToGrid w:val="0"/>
        <w:spacing w:line="360" w:lineRule="exact"/>
        <w:rPr>
          <w:color w:val="auto"/>
          <w:szCs w:val="21"/>
          <w:highlight w:val="none"/>
        </w:rPr>
      </w:pPr>
      <w:r>
        <w:rPr>
          <w:color w:val="auto"/>
          <w:szCs w:val="21"/>
          <w:highlight w:val="none"/>
        </w:rPr>
        <w:t>1. 因服务成果质量问题发生争议的，应邀请国家认</w:t>
      </w:r>
      <w:r>
        <w:rPr>
          <w:rFonts w:hint="eastAsia"/>
          <w:color w:val="auto"/>
          <w:szCs w:val="21"/>
          <w:highlight w:val="none"/>
        </w:rPr>
        <w:t>定</w:t>
      </w:r>
      <w:r>
        <w:rPr>
          <w:color w:val="auto"/>
          <w:szCs w:val="21"/>
          <w:highlight w:val="none"/>
        </w:rPr>
        <w:t>的评估机构按照标准对服务成果质量进行验收。服务成果符合标准的，鉴定费由甲方承担；服务成果不符合标准的，鉴定费由乙方承担。</w:t>
      </w:r>
    </w:p>
    <w:p w14:paraId="4C378720">
      <w:pPr>
        <w:snapToGrid w:val="0"/>
        <w:spacing w:line="360" w:lineRule="exact"/>
        <w:rPr>
          <w:color w:val="auto"/>
          <w:szCs w:val="21"/>
          <w:highlight w:val="none"/>
        </w:rPr>
      </w:pPr>
      <w:r>
        <w:rPr>
          <w:color w:val="auto"/>
          <w:szCs w:val="21"/>
          <w:highlight w:val="none"/>
        </w:rPr>
        <w:t>2. 因履行本合同引起的或与本合同有关的争议，甲乙双方应首先通过友好协商解决，如果协商不能解决，可向甲方所在地人民法院提起诉讼。</w:t>
      </w:r>
    </w:p>
    <w:p w14:paraId="77C2A4A2">
      <w:pPr>
        <w:snapToGrid w:val="0"/>
        <w:spacing w:before="120" w:after="120" w:line="320" w:lineRule="exact"/>
        <w:rPr>
          <w:b/>
          <w:bCs/>
          <w:color w:val="auto"/>
          <w:szCs w:val="21"/>
          <w:highlight w:val="none"/>
        </w:rPr>
      </w:pPr>
      <w:r>
        <w:rPr>
          <w:color w:val="auto"/>
          <w:szCs w:val="21"/>
          <w:highlight w:val="none"/>
        </w:rPr>
        <w:t>3. 诉讼期间，本合同继续履行。</w:t>
      </w:r>
    </w:p>
    <w:p w14:paraId="0914298B">
      <w:pPr>
        <w:snapToGrid w:val="0"/>
        <w:spacing w:before="120" w:after="120" w:line="320" w:lineRule="exact"/>
        <w:rPr>
          <w:b/>
          <w:bCs/>
          <w:color w:val="auto"/>
          <w:szCs w:val="21"/>
          <w:highlight w:val="none"/>
        </w:rPr>
      </w:pPr>
      <w:r>
        <w:rPr>
          <w:rFonts w:hint="eastAsia"/>
          <w:b/>
          <w:bCs/>
          <w:color w:val="auto"/>
          <w:szCs w:val="21"/>
          <w:highlight w:val="none"/>
        </w:rPr>
        <w:t>第十四条 其他</w:t>
      </w:r>
    </w:p>
    <w:p w14:paraId="5121CA9E">
      <w:pPr>
        <w:snapToGrid w:val="0"/>
        <w:spacing w:before="120" w:after="120" w:line="320" w:lineRule="exact"/>
        <w:rPr>
          <w:b/>
          <w:bCs/>
          <w:color w:val="auto"/>
          <w:szCs w:val="21"/>
          <w:highlight w:val="none"/>
        </w:rPr>
      </w:pPr>
      <w:r>
        <w:rPr>
          <w:rFonts w:hint="eastAsia"/>
          <w:color w:val="auto"/>
          <w:szCs w:val="21"/>
          <w:highlight w:val="none"/>
        </w:rPr>
        <w:t>1．本协议原则上由双方代表人签订并加盖单位公章后生效。</w:t>
      </w:r>
      <w:r>
        <w:rPr>
          <w:rFonts w:hint="eastAsia"/>
          <w:b/>
          <w:bCs/>
          <w:color w:val="auto"/>
          <w:szCs w:val="21"/>
          <w:highlight w:val="none"/>
        </w:rPr>
        <w:t xml:space="preserve"> </w:t>
      </w:r>
    </w:p>
    <w:p w14:paraId="71ECF67D">
      <w:pPr>
        <w:snapToGrid w:val="0"/>
        <w:spacing w:before="120" w:after="120" w:line="320" w:lineRule="exact"/>
        <w:jc w:val="left"/>
        <w:rPr>
          <w:color w:val="auto"/>
          <w:szCs w:val="21"/>
          <w:highlight w:val="none"/>
        </w:rPr>
      </w:pPr>
      <w:r>
        <w:rPr>
          <w:rFonts w:hint="eastAsia"/>
          <w:color w:val="auto"/>
          <w:szCs w:val="21"/>
          <w:highlight w:val="none"/>
        </w:rPr>
        <w:t>2．本协议为框架协议，具体项目具体事宜需在采购合同中进一步予以明确。框架协议与采购合同构成不可分割的整体。</w:t>
      </w:r>
    </w:p>
    <w:p w14:paraId="5C08B298">
      <w:pPr>
        <w:snapToGrid w:val="0"/>
        <w:spacing w:before="120" w:after="120" w:line="320" w:lineRule="exact"/>
        <w:jc w:val="left"/>
        <w:rPr>
          <w:color w:val="auto"/>
          <w:szCs w:val="21"/>
          <w:highlight w:val="none"/>
        </w:rPr>
      </w:pPr>
      <w:r>
        <w:rPr>
          <w:rFonts w:hint="eastAsia"/>
          <w:color w:val="auto"/>
          <w:szCs w:val="21"/>
          <w:highlight w:val="none"/>
        </w:rPr>
        <w:t>3．本协议一式五份，双方各执二份，采购代理机构一份，具有同等法律效力。</w:t>
      </w:r>
    </w:p>
    <w:p w14:paraId="19069A41">
      <w:pPr>
        <w:snapToGrid w:val="0"/>
        <w:spacing w:before="120" w:after="120" w:line="320" w:lineRule="exact"/>
        <w:jc w:val="left"/>
        <w:rPr>
          <w:color w:val="auto"/>
          <w:szCs w:val="21"/>
          <w:highlight w:val="none"/>
        </w:rPr>
      </w:pPr>
    </w:p>
    <w:p w14:paraId="6812AF3F">
      <w:pPr>
        <w:snapToGrid w:val="0"/>
        <w:spacing w:before="120" w:after="120" w:line="320" w:lineRule="exact"/>
        <w:jc w:val="left"/>
        <w:rPr>
          <w:color w:val="auto"/>
          <w:szCs w:val="21"/>
          <w:highlight w:val="none"/>
        </w:rPr>
      </w:pPr>
    </w:p>
    <w:p w14:paraId="469AFD22">
      <w:pPr>
        <w:snapToGrid w:val="0"/>
        <w:spacing w:before="120" w:after="120" w:line="320" w:lineRule="exact"/>
        <w:jc w:val="left"/>
        <w:rPr>
          <w:color w:val="auto"/>
          <w:szCs w:val="21"/>
          <w:highlight w:val="none"/>
        </w:rPr>
      </w:pPr>
    </w:p>
    <w:p w14:paraId="6D0A1170">
      <w:pPr>
        <w:snapToGrid w:val="0"/>
        <w:spacing w:before="120" w:after="120" w:line="320" w:lineRule="exact"/>
        <w:jc w:val="left"/>
        <w:rPr>
          <w:color w:val="auto"/>
          <w:szCs w:val="21"/>
          <w:highlight w:val="none"/>
        </w:rPr>
      </w:pPr>
      <w:r>
        <w:rPr>
          <w:rFonts w:hint="eastAsia"/>
          <w:color w:val="auto"/>
          <w:szCs w:val="21"/>
          <w:highlight w:val="none"/>
        </w:rPr>
        <w:t xml:space="preserve">协议甲方名称（盖章）：_________ </w:t>
      </w:r>
      <w:r>
        <w:rPr>
          <w:color w:val="auto"/>
          <w:szCs w:val="21"/>
          <w:highlight w:val="none"/>
        </w:rPr>
        <w:t xml:space="preserve">            </w:t>
      </w:r>
      <w:r>
        <w:rPr>
          <w:rFonts w:hint="eastAsia"/>
          <w:color w:val="auto"/>
          <w:szCs w:val="21"/>
          <w:highlight w:val="none"/>
        </w:rPr>
        <w:t>协议乙方名称（盖章）：_____________</w:t>
      </w:r>
    </w:p>
    <w:p w14:paraId="486C9943">
      <w:pPr>
        <w:snapToGrid w:val="0"/>
        <w:spacing w:before="120" w:after="120" w:line="320" w:lineRule="exact"/>
        <w:jc w:val="left"/>
        <w:rPr>
          <w:color w:val="auto"/>
          <w:szCs w:val="21"/>
          <w:highlight w:val="none"/>
          <w:u w:val="single"/>
        </w:rPr>
      </w:pPr>
      <w:r>
        <w:rPr>
          <w:rFonts w:hint="eastAsia"/>
          <w:color w:val="auto"/>
          <w:szCs w:val="21"/>
          <w:highlight w:val="none"/>
        </w:rPr>
        <w:t xml:space="preserve">地址：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地址：</w:t>
      </w:r>
      <w:r>
        <w:rPr>
          <w:rFonts w:hint="eastAsia"/>
          <w:color w:val="auto"/>
          <w:szCs w:val="21"/>
          <w:highlight w:val="none"/>
          <w:u w:val="single"/>
        </w:rPr>
        <w:t xml:space="preserve"> </w:t>
      </w:r>
      <w:r>
        <w:rPr>
          <w:color w:val="auto"/>
          <w:szCs w:val="21"/>
          <w:highlight w:val="none"/>
          <w:u w:val="single"/>
        </w:rPr>
        <w:t xml:space="preserve">               </w:t>
      </w:r>
    </w:p>
    <w:p w14:paraId="794ACBB6">
      <w:pPr>
        <w:snapToGrid w:val="0"/>
        <w:spacing w:before="120" w:after="120" w:line="320" w:lineRule="exact"/>
        <w:jc w:val="left"/>
        <w:rPr>
          <w:color w:val="auto"/>
          <w:szCs w:val="21"/>
          <w:highlight w:val="none"/>
        </w:rPr>
      </w:pPr>
      <w:r>
        <w:rPr>
          <w:rFonts w:hint="eastAsia"/>
          <w:color w:val="auto"/>
          <w:szCs w:val="21"/>
          <w:highlight w:val="none"/>
        </w:rPr>
        <w:t>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联系方式：</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460EABBC">
      <w:pPr>
        <w:snapToGrid w:val="0"/>
        <w:spacing w:before="120" w:after="120" w:line="320" w:lineRule="exact"/>
        <w:jc w:val="left"/>
        <w:rPr>
          <w:color w:val="auto"/>
          <w:szCs w:val="21"/>
          <w:highlight w:val="none"/>
        </w:rPr>
      </w:pPr>
      <w:r>
        <w:rPr>
          <w:rFonts w:hint="eastAsia"/>
          <w:color w:val="auto"/>
          <w:szCs w:val="21"/>
          <w:highlight w:val="none"/>
        </w:rPr>
        <w:t xml:space="preserve">代表签字：_________      </w:t>
      </w:r>
      <w:r>
        <w:rPr>
          <w:color w:val="auto"/>
          <w:szCs w:val="21"/>
          <w:highlight w:val="none"/>
        </w:rPr>
        <w:t xml:space="preserve">                  </w:t>
      </w:r>
      <w:r>
        <w:rPr>
          <w:rFonts w:hint="eastAsia"/>
          <w:color w:val="auto"/>
          <w:szCs w:val="21"/>
          <w:highlight w:val="none"/>
        </w:rPr>
        <w:t>代表签字：_________</w:t>
      </w:r>
    </w:p>
    <w:p w14:paraId="0A76C304">
      <w:pPr>
        <w:snapToGrid w:val="0"/>
        <w:spacing w:before="120" w:after="120" w:line="320" w:lineRule="exact"/>
        <w:jc w:val="left"/>
        <w:rPr>
          <w:color w:val="auto"/>
          <w:szCs w:val="21"/>
          <w:highlight w:val="none"/>
        </w:rPr>
      </w:pPr>
      <w:r>
        <w:rPr>
          <w:rFonts w:hint="eastAsia"/>
          <w:color w:val="auto"/>
          <w:szCs w:val="21"/>
          <w:highlight w:val="none"/>
        </w:rPr>
        <w:t xml:space="preserve">日期：____年____月____日 </w:t>
      </w:r>
      <w:r>
        <w:rPr>
          <w:color w:val="auto"/>
          <w:szCs w:val="21"/>
          <w:highlight w:val="none"/>
        </w:rPr>
        <w:t xml:space="preserve">                  </w:t>
      </w:r>
      <w:r>
        <w:rPr>
          <w:rFonts w:hint="eastAsia"/>
          <w:color w:val="auto"/>
          <w:szCs w:val="21"/>
          <w:highlight w:val="none"/>
        </w:rPr>
        <w:t>日期：____年____月____日</w:t>
      </w:r>
    </w:p>
    <w:p w14:paraId="2C3670F5">
      <w:pPr>
        <w:snapToGrid w:val="0"/>
        <w:spacing w:before="120" w:after="120" w:line="320" w:lineRule="exact"/>
        <w:jc w:val="left"/>
        <w:rPr>
          <w:b/>
          <w:bCs/>
          <w:color w:val="auto"/>
          <w:kern w:val="0"/>
          <w:szCs w:val="21"/>
          <w:highlight w:val="none"/>
        </w:rPr>
      </w:pPr>
      <w:r>
        <w:rPr>
          <w:rFonts w:hint="eastAsia"/>
          <w:color w:val="auto"/>
          <w:szCs w:val="21"/>
          <w:highlight w:val="none"/>
        </w:rPr>
        <w:br w:type="page"/>
      </w:r>
      <w:r>
        <w:rPr>
          <w:rFonts w:hint="eastAsia"/>
          <w:b/>
          <w:bCs/>
          <w:color w:val="auto"/>
          <w:kern w:val="0"/>
          <w:szCs w:val="21"/>
          <w:highlight w:val="none"/>
        </w:rPr>
        <w:t>附件1保密协议</w:t>
      </w:r>
    </w:p>
    <w:p w14:paraId="2B10CAD3">
      <w:pPr>
        <w:widowControl/>
        <w:spacing w:line="470" w:lineRule="exact"/>
        <w:jc w:val="center"/>
        <w:rPr>
          <w:rFonts w:ascii="宋体" w:hAnsi="宋体" w:cs="宋体"/>
          <w:bCs/>
          <w:color w:val="auto"/>
          <w:kern w:val="0"/>
          <w:szCs w:val="21"/>
          <w:highlight w:val="none"/>
          <w:shd w:val="clear" w:color="auto" w:fill="FFFFFF"/>
          <w:lang w:bidi="ar"/>
        </w:rPr>
      </w:pPr>
      <w:bookmarkStart w:id="78" w:name="_Toc14863"/>
      <w:bookmarkStart w:id="79" w:name="_Toc3393"/>
      <w:bookmarkStart w:id="80" w:name="_Toc29004"/>
      <w:bookmarkStart w:id="81" w:name="_Toc8557"/>
      <w:r>
        <w:rPr>
          <w:rFonts w:hint="eastAsia" w:ascii="宋体" w:hAnsi="宋体" w:cs="宋体"/>
          <w:bCs/>
          <w:color w:val="auto"/>
          <w:kern w:val="0"/>
          <w:szCs w:val="21"/>
          <w:highlight w:val="none"/>
          <w:shd w:val="clear" w:color="auto" w:fill="FFFFFF"/>
          <w:lang w:bidi="ar"/>
        </w:rPr>
        <w:t>保密协议</w:t>
      </w:r>
    </w:p>
    <w:p w14:paraId="3BD158B8">
      <w:pPr>
        <w:widowControl/>
        <w:spacing w:after="120" w:line="470" w:lineRule="exact"/>
        <w:ind w:left="210" w:leftChars="100"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为确保</w:t>
      </w:r>
      <w:r>
        <w:rPr>
          <w:rFonts w:hint="eastAsia" w:ascii="宋体" w:hAnsi="宋体" w:cs="宋体"/>
          <w:color w:val="auto"/>
          <w:szCs w:val="21"/>
          <w:highlight w:val="none"/>
        </w:rPr>
        <w:t>协审项目</w:t>
      </w:r>
      <w:r>
        <w:rPr>
          <w:rFonts w:hint="eastAsia" w:ascii="宋体" w:hAnsi="宋体" w:cs="宋体"/>
          <w:color w:val="auto"/>
          <w:szCs w:val="21"/>
          <w:highlight w:val="none"/>
          <w:lang w:val="zh-CN"/>
        </w:rPr>
        <w:t>的安全性、保密性，规范项目行为，根据国家保密以及有关规定，就参与本项目的保密承诺如下：</w:t>
      </w:r>
    </w:p>
    <w:p w14:paraId="74C608BC">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承诺保守本项目涉及的保密信息，包括项目相关资料、项目现状、建设内容、等。</w:t>
      </w:r>
    </w:p>
    <w:p w14:paraId="10AD0E30">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承诺按国家相关保密法律法规规定进行项目管理，未经</w:t>
      </w:r>
      <w:r>
        <w:rPr>
          <w:rFonts w:hint="eastAsia" w:ascii="宋体" w:hAnsi="宋体" w:cs="宋体"/>
          <w:color w:val="auto"/>
          <w:szCs w:val="21"/>
          <w:highlight w:val="none"/>
        </w:rPr>
        <w:t>甲方</w:t>
      </w:r>
      <w:r>
        <w:rPr>
          <w:rFonts w:hint="eastAsia" w:ascii="宋体" w:hAnsi="宋体" w:cs="宋体"/>
          <w:color w:val="auto"/>
          <w:szCs w:val="21"/>
          <w:highlight w:val="none"/>
          <w:lang w:val="zh-CN"/>
        </w:rPr>
        <w:t>批准，不将该项目保密信息以任何形式泄露给任何个人、单位、</w:t>
      </w:r>
      <w:r>
        <w:rPr>
          <w:rFonts w:hint="eastAsia" w:ascii="宋体" w:hAnsi="宋体" w:cs="宋体"/>
          <w:color w:val="auto"/>
          <w:szCs w:val="21"/>
          <w:highlight w:val="none"/>
        </w:rPr>
        <w:t>团</w:t>
      </w:r>
      <w:r>
        <w:rPr>
          <w:rFonts w:hint="eastAsia" w:ascii="宋体" w:hAnsi="宋体" w:cs="宋体"/>
          <w:color w:val="auto"/>
          <w:szCs w:val="21"/>
          <w:highlight w:val="none"/>
          <w:lang w:val="zh-CN"/>
        </w:rPr>
        <w:t>体、机关、公司、实体及其他组织，不擅自扩大知悉范围。</w:t>
      </w:r>
    </w:p>
    <w:p w14:paraId="18581D06">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承诺本项目相关信息仅在参与该项目的负责人和项目相关干系人范围内知悉。</w:t>
      </w:r>
    </w:p>
    <w:p w14:paraId="03B60198">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承诺于项目结束后及时清退项目相关资料和密件，不采取抄写、复印、拷贝等任何方式私自留存或转移。</w:t>
      </w:r>
    </w:p>
    <w:p w14:paraId="44C201F1">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承担保密义务的期限为无限期保密，直至</w:t>
      </w:r>
      <w:r>
        <w:rPr>
          <w:rFonts w:hint="eastAsia" w:ascii="宋体" w:hAnsi="宋体" w:cs="宋体"/>
          <w:color w:val="auto"/>
          <w:szCs w:val="21"/>
          <w:highlight w:val="none"/>
        </w:rPr>
        <w:t>甲方</w:t>
      </w:r>
      <w:r>
        <w:rPr>
          <w:rFonts w:hint="eastAsia" w:ascii="宋体" w:hAnsi="宋体" w:cs="宋体"/>
          <w:color w:val="auto"/>
          <w:szCs w:val="21"/>
          <w:highlight w:val="none"/>
          <w:lang w:val="zh-CN"/>
        </w:rPr>
        <w:t>宣布解密或者秘密信息实际己公开。</w:t>
      </w:r>
    </w:p>
    <w:p w14:paraId="2198756C">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本协议未尽内容，将严格按照国家保密有关法律法规执行。</w:t>
      </w:r>
    </w:p>
    <w:p w14:paraId="276A23E8">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如违反本协议的规定，</w:t>
      </w:r>
      <w:r>
        <w:rPr>
          <w:rFonts w:hint="eastAsia" w:ascii="宋体" w:hAnsi="宋体" w:cs="宋体"/>
          <w:color w:val="auto"/>
          <w:szCs w:val="21"/>
          <w:highlight w:val="none"/>
        </w:rPr>
        <w:t>甲方</w:t>
      </w:r>
      <w:r>
        <w:rPr>
          <w:rFonts w:hint="eastAsia" w:ascii="宋体" w:hAnsi="宋体" w:cs="宋体"/>
          <w:color w:val="auto"/>
          <w:szCs w:val="21"/>
          <w:highlight w:val="none"/>
          <w:lang w:val="zh-CN"/>
        </w:rPr>
        <w:t>有权限根据国家有关法律法规，追究责任；构成犯罪的，提交国家司法部门依法追究刑事责任。</w:t>
      </w:r>
    </w:p>
    <w:p w14:paraId="0D1F0EAA">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本</w:t>
      </w:r>
      <w:r>
        <w:rPr>
          <w:rFonts w:hint="eastAsia" w:ascii="宋体" w:hAnsi="宋体" w:cs="宋体"/>
          <w:color w:val="auto"/>
          <w:szCs w:val="21"/>
          <w:highlight w:val="none"/>
        </w:rPr>
        <w:t>公司</w:t>
      </w:r>
      <w:r>
        <w:rPr>
          <w:rFonts w:hint="eastAsia" w:ascii="宋体" w:hAnsi="宋体" w:cs="宋体"/>
          <w:color w:val="auto"/>
          <w:szCs w:val="21"/>
          <w:highlight w:val="none"/>
          <w:lang w:val="zh-CN"/>
        </w:rPr>
        <w:t>承诺愿意接受本保密承诺书的法律约束。</w:t>
      </w:r>
    </w:p>
    <w:p w14:paraId="0DB642CB">
      <w:pPr>
        <w:widowControl/>
        <w:numPr>
          <w:ilvl w:val="0"/>
          <w:numId w:val="2"/>
        </w:numPr>
        <w:spacing w:after="120" w:line="470" w:lineRule="exact"/>
        <w:ind w:left="986"/>
        <w:jc w:val="left"/>
        <w:rPr>
          <w:rFonts w:ascii="宋体" w:hAnsi="宋体" w:cs="宋体"/>
          <w:color w:val="auto"/>
          <w:szCs w:val="21"/>
          <w:highlight w:val="none"/>
          <w:lang w:val="zh-CN"/>
        </w:rPr>
      </w:pPr>
      <w:r>
        <w:rPr>
          <w:rFonts w:hint="eastAsia" w:ascii="宋体" w:hAnsi="宋体" w:cs="宋体"/>
          <w:color w:val="auto"/>
          <w:szCs w:val="21"/>
          <w:highlight w:val="none"/>
          <w:lang w:val="zh-CN"/>
        </w:rPr>
        <w:t>本保密</w:t>
      </w:r>
      <w:r>
        <w:rPr>
          <w:rFonts w:hint="eastAsia" w:ascii="宋体" w:hAnsi="宋体" w:cs="宋体"/>
          <w:color w:val="auto"/>
          <w:szCs w:val="21"/>
          <w:highlight w:val="none"/>
        </w:rPr>
        <w:t>协议</w:t>
      </w:r>
      <w:r>
        <w:rPr>
          <w:rFonts w:hint="eastAsia" w:ascii="宋体" w:hAnsi="宋体" w:cs="宋体"/>
          <w:color w:val="auto"/>
          <w:szCs w:val="21"/>
          <w:highlight w:val="none"/>
          <w:lang w:val="zh-CN"/>
        </w:rPr>
        <w:t>自签</w:t>
      </w:r>
      <w:r>
        <w:rPr>
          <w:rFonts w:hint="eastAsia" w:ascii="宋体" w:hAnsi="宋体" w:cs="宋体"/>
          <w:color w:val="auto"/>
          <w:szCs w:val="21"/>
          <w:highlight w:val="none"/>
        </w:rPr>
        <w:t>字</w:t>
      </w:r>
      <w:r>
        <w:rPr>
          <w:rFonts w:hint="eastAsia" w:ascii="宋体" w:hAnsi="宋体" w:cs="宋体"/>
          <w:color w:val="auto"/>
          <w:szCs w:val="21"/>
          <w:highlight w:val="none"/>
          <w:lang w:val="zh-CN"/>
        </w:rPr>
        <w:t>之日起生效。</w:t>
      </w:r>
    </w:p>
    <w:p w14:paraId="2F8BA594">
      <w:pPr>
        <w:widowControl/>
        <w:wordWrap w:val="0"/>
        <w:spacing w:after="120" w:line="470" w:lineRule="exact"/>
        <w:ind w:firstLine="420" w:firstLineChars="200"/>
        <w:jc w:val="right"/>
        <w:rPr>
          <w:rFonts w:ascii="宋体" w:hAnsi="宋体" w:cs="宋体"/>
          <w:color w:val="auto"/>
          <w:szCs w:val="21"/>
          <w:highlight w:val="none"/>
          <w:u w:val="single"/>
        </w:rPr>
      </w:pPr>
      <w:r>
        <w:rPr>
          <w:rFonts w:hint="eastAsia" w:ascii="宋体" w:hAnsi="宋体" w:cs="宋体"/>
          <w:color w:val="auto"/>
          <w:szCs w:val="21"/>
          <w:highlight w:val="none"/>
        </w:rPr>
        <w:t>承诺人</w:t>
      </w:r>
      <w:r>
        <w:rPr>
          <w:rFonts w:hint="eastAsia" w:ascii="宋体" w:hAnsi="宋体" w:cs="宋体"/>
          <w:color w:val="auto"/>
          <w:szCs w:val="21"/>
          <w:highlight w:val="none"/>
          <w:lang w:val="zh-CN"/>
        </w:rPr>
        <w:t>（</w:t>
      </w:r>
      <w:r>
        <w:rPr>
          <w:rFonts w:hint="eastAsia" w:ascii="宋体" w:hAnsi="宋体" w:cs="宋体"/>
          <w:color w:val="auto"/>
          <w:szCs w:val="21"/>
          <w:highlight w:val="none"/>
        </w:rPr>
        <w:t>盖章</w:t>
      </w:r>
      <w:r>
        <w:rPr>
          <w:rFonts w:hint="eastAsia" w:ascii="宋体" w:hAnsi="宋体" w:cs="宋体"/>
          <w:color w:val="auto"/>
          <w:szCs w:val="21"/>
          <w:highlight w:val="none"/>
          <w:lang w:val="zh-CN"/>
        </w:rPr>
        <w:t>)：</w:t>
      </w:r>
      <w:r>
        <w:rPr>
          <w:rFonts w:hint="eastAsia" w:ascii="宋体" w:hAnsi="宋体" w:cs="宋体"/>
          <w:color w:val="auto"/>
          <w:szCs w:val="21"/>
          <w:highlight w:val="none"/>
          <w:u w:val="single"/>
        </w:rPr>
        <w:t xml:space="preserve">            </w:t>
      </w:r>
    </w:p>
    <w:p w14:paraId="44B54C59">
      <w:pPr>
        <w:spacing w:before="120" w:line="320" w:lineRule="exact"/>
        <w:jc w:val="right"/>
        <w:rPr>
          <w:rFonts w:ascii="宋体" w:hAnsi="宋体" w:cs="宋体"/>
          <w:color w:val="auto"/>
          <w:szCs w:val="21"/>
          <w:highlight w:val="none"/>
          <w:lang w:val="zh-CN"/>
        </w:rPr>
      </w:pPr>
      <w:r>
        <w:rPr>
          <w:rFonts w:hint="eastAsia" w:ascii="宋体" w:hAnsi="宋体" w:cs="宋体"/>
          <w:color w:val="auto"/>
          <w:szCs w:val="21"/>
          <w:highlight w:val="none"/>
          <w:lang w:val="zh-CN"/>
        </w:rPr>
        <w:t>年</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月</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日</w:t>
      </w:r>
      <w:bookmarkEnd w:id="78"/>
      <w:bookmarkEnd w:id="79"/>
      <w:bookmarkEnd w:id="80"/>
      <w:bookmarkEnd w:id="81"/>
    </w:p>
    <w:p w14:paraId="2B51C29C">
      <w:pPr>
        <w:spacing w:before="120" w:line="320" w:lineRule="exact"/>
        <w:jc w:val="left"/>
        <w:rPr>
          <w:rFonts w:ascii="仿宋" w:hAnsi="仿宋" w:eastAsia="仿宋"/>
          <w:color w:val="auto"/>
          <w:szCs w:val="21"/>
          <w:highlight w:val="none"/>
          <w:u w:val="single"/>
        </w:rPr>
      </w:pPr>
      <w:r>
        <w:rPr>
          <w:rFonts w:hint="eastAsia"/>
          <w:b/>
          <w:bCs/>
          <w:color w:val="auto"/>
          <w:kern w:val="0"/>
          <w:szCs w:val="21"/>
          <w:highlight w:val="none"/>
        </w:rPr>
        <w:br w:type="page"/>
      </w:r>
      <w:r>
        <w:rPr>
          <w:rFonts w:hint="eastAsia"/>
          <w:b/>
          <w:bCs/>
          <w:color w:val="auto"/>
          <w:kern w:val="0"/>
          <w:szCs w:val="21"/>
          <w:highlight w:val="none"/>
        </w:rPr>
        <w:t>附件2廉洁承诺书</w:t>
      </w:r>
    </w:p>
    <w:p w14:paraId="7413C172">
      <w:pPr>
        <w:spacing w:line="620" w:lineRule="exact"/>
        <w:ind w:firstLine="422" w:firstLineChars="200"/>
        <w:jc w:val="center"/>
        <w:rPr>
          <w:rFonts w:ascii="宋体" w:hAnsi="宋体"/>
          <w:b/>
          <w:color w:val="auto"/>
          <w:szCs w:val="21"/>
          <w:highlight w:val="none"/>
        </w:rPr>
      </w:pPr>
      <w:r>
        <w:rPr>
          <w:rFonts w:hint="eastAsia" w:ascii="宋体" w:hAnsi="宋体"/>
          <w:b/>
          <w:color w:val="auto"/>
          <w:szCs w:val="21"/>
          <w:highlight w:val="none"/>
        </w:rPr>
        <w:t>廉洁承诺书</w:t>
      </w:r>
    </w:p>
    <w:p w14:paraId="1545472E">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为加强政府投资项目评审服务工作的廉洁建设，根据国家、自治区有关法律法规，我单位作如下承诺：</w:t>
      </w:r>
    </w:p>
    <w:p w14:paraId="49FD2E17">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第一条  自觉遵守国家、广西壮族自治区的政策法规和富川瑶族自治县财政局的各项管理制度；严格按照财政投资项目评审操作规程和财政投资评审质量控制办法实施评审工作，坚持原则，秉公办事，维护国家、社会公众利益；严格执行国家及行业有关法规规章，履行岗位职责，忠于职守，严格把关。</w:t>
      </w:r>
    </w:p>
    <w:p w14:paraId="2FA2B64C">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第二条  不向甲方工作人员请客、送礼及组织其它有可能影响客观公正评审的活动。</w:t>
      </w:r>
    </w:p>
    <w:p w14:paraId="0F04271A">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第三条  不向项目业主或施工单位等相关单位、人员接受或索要回扣、礼金、有价证券、贵重物品等。</w:t>
      </w:r>
    </w:p>
    <w:p w14:paraId="73AEFEBE">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第四条  不向评审对象报销应由个人支付的费用。</w:t>
      </w:r>
    </w:p>
    <w:p w14:paraId="3A14A724">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第五条  不与项目业主或施工单位串通，有意增大或减少工程量、弄虚作假增加评审额、有意使工程量清单漏项，影响项目评审的客观、公正性。</w:t>
      </w:r>
    </w:p>
    <w:p w14:paraId="05E1B4C0">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第六条  不向外界泄露评审工作机密。</w:t>
      </w:r>
    </w:p>
    <w:p w14:paraId="406FAE1E">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第七条  不私下接触评审对象及相关人员。</w:t>
      </w:r>
    </w:p>
    <w:p w14:paraId="607A1B89">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第八条  不为经济违法单位和个人出谋划策，通风报信，开脱责任，隐瞒实情，出具伪证。</w:t>
      </w:r>
    </w:p>
    <w:p w14:paraId="0397D0D5">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第九条  评审工作不推诿、不拖拉、不扯皮、不敷衍塞责，不刁难、不报复评审对象。</w:t>
      </w:r>
    </w:p>
    <w:p w14:paraId="1111FC30">
      <w:pPr>
        <w:spacing w:line="620" w:lineRule="exact"/>
        <w:ind w:firstLine="420" w:firstLineChars="200"/>
        <w:rPr>
          <w:rFonts w:ascii="宋体" w:hAnsi="宋体"/>
          <w:color w:val="auto"/>
          <w:szCs w:val="21"/>
          <w:highlight w:val="none"/>
        </w:rPr>
      </w:pPr>
      <w:r>
        <w:rPr>
          <w:rFonts w:hint="eastAsia" w:ascii="宋体" w:hAnsi="宋体"/>
          <w:color w:val="auto"/>
          <w:szCs w:val="21"/>
          <w:highlight w:val="none"/>
        </w:rPr>
        <w:t>第十条  如有违反上述规定，按相关规定接受处罚；给相关单位造成经济损失的，予以赔偿。</w:t>
      </w:r>
    </w:p>
    <w:p w14:paraId="74961AFA">
      <w:pPr>
        <w:widowControl/>
        <w:wordWrap w:val="0"/>
        <w:spacing w:after="120" w:line="470" w:lineRule="exact"/>
        <w:ind w:firstLine="420" w:firstLineChars="200"/>
        <w:jc w:val="right"/>
        <w:rPr>
          <w:rFonts w:ascii="宋体" w:hAnsi="宋体" w:cs="宋体"/>
          <w:color w:val="auto"/>
          <w:szCs w:val="21"/>
          <w:highlight w:val="none"/>
          <w:u w:val="single"/>
        </w:rPr>
      </w:pPr>
      <w:r>
        <w:rPr>
          <w:rFonts w:hint="eastAsia" w:ascii="宋体" w:hAnsi="宋体"/>
          <w:color w:val="auto"/>
          <w:szCs w:val="21"/>
          <w:highlight w:val="none"/>
        </w:rPr>
        <w:t xml:space="preserve">                                                    </w:t>
      </w:r>
      <w:r>
        <w:rPr>
          <w:rFonts w:hint="eastAsia" w:ascii="宋体" w:hAnsi="宋体" w:cs="宋体"/>
          <w:color w:val="auto"/>
          <w:szCs w:val="21"/>
          <w:highlight w:val="none"/>
        </w:rPr>
        <w:t>承诺人</w:t>
      </w:r>
      <w:r>
        <w:rPr>
          <w:rFonts w:hint="eastAsia" w:ascii="宋体" w:hAnsi="宋体" w:cs="宋体"/>
          <w:color w:val="auto"/>
          <w:szCs w:val="21"/>
          <w:highlight w:val="none"/>
          <w:lang w:val="zh-CN"/>
        </w:rPr>
        <w:t>（</w:t>
      </w:r>
      <w:r>
        <w:rPr>
          <w:rFonts w:hint="eastAsia" w:ascii="宋体" w:hAnsi="宋体" w:cs="宋体"/>
          <w:color w:val="auto"/>
          <w:szCs w:val="21"/>
          <w:highlight w:val="none"/>
        </w:rPr>
        <w:t>盖章</w:t>
      </w:r>
      <w:r>
        <w:rPr>
          <w:rFonts w:hint="eastAsia" w:ascii="宋体" w:hAnsi="宋体" w:cs="宋体"/>
          <w:color w:val="auto"/>
          <w:szCs w:val="21"/>
          <w:highlight w:val="none"/>
          <w:lang w:val="zh-CN"/>
        </w:rPr>
        <w:t>)：</w:t>
      </w:r>
      <w:r>
        <w:rPr>
          <w:rFonts w:hint="eastAsia" w:ascii="宋体" w:hAnsi="宋体" w:cs="宋体"/>
          <w:color w:val="auto"/>
          <w:szCs w:val="21"/>
          <w:highlight w:val="none"/>
          <w:u w:val="single"/>
        </w:rPr>
        <w:t xml:space="preserve">            </w:t>
      </w:r>
    </w:p>
    <w:p w14:paraId="4DF73D1A">
      <w:pPr>
        <w:pStyle w:val="208"/>
        <w:ind w:firstLine="4370" w:firstLineChars="1900"/>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法定代表人（签字或盖章）</w:t>
      </w:r>
      <w:r>
        <w:rPr>
          <w:rFonts w:hint="eastAsia" w:ascii="宋体" w:hAnsi="宋体" w:cs="宋体"/>
          <w:color w:val="auto"/>
          <w:sz w:val="21"/>
          <w:szCs w:val="21"/>
          <w:highlight w:val="none"/>
          <w:u w:val="single"/>
        </w:rPr>
        <w:t xml:space="preserve">                </w:t>
      </w:r>
    </w:p>
    <w:p w14:paraId="0F6A5426">
      <w:pPr>
        <w:snapToGrid w:val="0"/>
        <w:spacing w:before="120" w:after="120" w:line="320" w:lineRule="exact"/>
        <w:jc w:val="right"/>
        <w:rPr>
          <w:color w:val="auto"/>
          <w:szCs w:val="21"/>
          <w:highlight w:val="none"/>
        </w:rPr>
      </w:pPr>
      <w:r>
        <w:rPr>
          <w:rFonts w:hint="eastAsia" w:ascii="宋体" w:hAnsi="宋体" w:cs="宋体"/>
          <w:color w:val="auto"/>
          <w:szCs w:val="21"/>
          <w:highlight w:val="none"/>
          <w:lang w:val="zh-CN"/>
        </w:rPr>
        <w:t>年</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月</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日</w:t>
      </w:r>
    </w:p>
    <w:p w14:paraId="5628FA13">
      <w:pPr>
        <w:spacing w:before="120" w:line="320" w:lineRule="exact"/>
        <w:rPr>
          <w:rFonts w:ascii="仿宋" w:hAnsi="仿宋" w:eastAsia="仿宋"/>
          <w:color w:val="auto"/>
          <w:szCs w:val="21"/>
          <w:highlight w:val="none"/>
          <w:u w:val="single"/>
        </w:rPr>
      </w:pPr>
    </w:p>
    <w:p w14:paraId="3C70602C">
      <w:pPr>
        <w:pStyle w:val="26"/>
        <w:tabs>
          <w:tab w:val="left" w:pos="630"/>
          <w:tab w:val="center" w:pos="4535"/>
        </w:tabs>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highlight w:val="none"/>
        </w:rPr>
        <w:br w:type="page"/>
      </w:r>
      <w:bookmarkEnd w:id="75"/>
      <w:bookmarkStart w:id="82" w:name="_Toc16303"/>
      <w:bookmarkStart w:id="83" w:name="_Toc2614"/>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六</w:t>
      </w:r>
      <w:r>
        <w:rPr>
          <w:rFonts w:ascii="Times New Roman" w:hAnsi="Times New Roman" w:cs="Times New Roman"/>
          <w:color w:val="auto"/>
          <w:sz w:val="32"/>
          <w:szCs w:val="32"/>
          <w:highlight w:val="none"/>
        </w:rPr>
        <w:t>章  合同主要条款格式</w:t>
      </w:r>
      <w:bookmarkEnd w:id="82"/>
      <w:bookmarkEnd w:id="83"/>
    </w:p>
    <w:p w14:paraId="7B418471">
      <w:pPr>
        <w:pStyle w:val="26"/>
        <w:snapToGrid w:val="0"/>
        <w:ind w:firstLine="240"/>
        <w:jc w:val="center"/>
        <w:rPr>
          <w:rFonts w:ascii="Times New Roman" w:hAnsi="Times New Roman" w:cs="Times New Roman"/>
          <w:b/>
          <w:color w:val="auto"/>
          <w:sz w:val="24"/>
          <w:szCs w:val="24"/>
          <w:highlight w:val="none"/>
        </w:rPr>
      </w:pPr>
      <w:bookmarkStart w:id="84" w:name="_Hlk77611300"/>
      <w:r>
        <w:rPr>
          <w:rFonts w:hint="eastAsia" w:ascii="Times New Roman" w:hAnsi="Times New Roman" w:cs="Times New Roman"/>
          <w:b/>
          <w:color w:val="auto"/>
          <w:sz w:val="24"/>
          <w:szCs w:val="24"/>
          <w:highlight w:val="none"/>
        </w:rPr>
        <w:t>标项一</w:t>
      </w:r>
    </w:p>
    <w:bookmarkEnd w:id="84"/>
    <w:p w14:paraId="2FB930CE">
      <w:pPr>
        <w:jc w:val="center"/>
        <w:rPr>
          <w:bCs/>
          <w:color w:val="auto"/>
          <w:sz w:val="22"/>
          <w:szCs w:val="22"/>
          <w:highlight w:val="none"/>
          <w:u w:val="single"/>
        </w:rPr>
      </w:pPr>
      <w:r>
        <w:rPr>
          <w:rFonts w:hint="eastAsia"/>
          <w:color w:val="auto"/>
          <w:szCs w:val="21"/>
          <w:highlight w:val="none"/>
        </w:rPr>
        <w:t xml:space="preserve"> </w:t>
      </w:r>
      <w:r>
        <w:rPr>
          <w:rFonts w:hint="eastAsia"/>
          <w:b/>
          <w:bCs/>
          <w:color w:val="auto"/>
          <w:sz w:val="24"/>
          <w:highlight w:val="none"/>
          <w:u w:val="single"/>
        </w:rPr>
        <w:t>（项目名称及编号）</w:t>
      </w:r>
      <w:r>
        <w:rPr>
          <w:rFonts w:hint="eastAsia"/>
          <w:b/>
          <w:bCs/>
          <w:color w:val="auto"/>
          <w:sz w:val="24"/>
          <w:highlight w:val="none"/>
        </w:rPr>
        <w:t>项目评审服务合同</w:t>
      </w:r>
      <w:r>
        <w:rPr>
          <w:b/>
          <w:bCs/>
          <w:color w:val="auto"/>
          <w:sz w:val="24"/>
          <w:highlight w:val="none"/>
        </w:rPr>
        <w:t xml:space="preserve"> </w:t>
      </w:r>
    </w:p>
    <w:p w14:paraId="4BC35AB5">
      <w:pPr>
        <w:snapToGrid w:val="0"/>
        <w:spacing w:line="360" w:lineRule="exact"/>
        <w:ind w:right="480" w:firstLine="5985" w:firstLineChars="2850"/>
        <w:rPr>
          <w:bCs/>
          <w:color w:val="auto"/>
          <w:szCs w:val="21"/>
          <w:highlight w:val="none"/>
          <w:u w:val="single"/>
        </w:rPr>
      </w:pPr>
      <w:r>
        <w:rPr>
          <w:bCs/>
          <w:color w:val="auto"/>
          <w:szCs w:val="21"/>
          <w:highlight w:val="none"/>
        </w:rPr>
        <w:t>合同编号：</w:t>
      </w:r>
    </w:p>
    <w:p w14:paraId="47D0EB3D">
      <w:pPr>
        <w:snapToGrid w:val="0"/>
        <w:spacing w:line="360" w:lineRule="exact"/>
        <w:rPr>
          <w:color w:val="auto"/>
          <w:szCs w:val="21"/>
          <w:highlight w:val="none"/>
        </w:rPr>
      </w:pPr>
    </w:p>
    <w:p w14:paraId="48E272C0">
      <w:pPr>
        <w:snapToGrid w:val="0"/>
        <w:spacing w:line="360" w:lineRule="exact"/>
        <w:rPr>
          <w:color w:val="auto"/>
          <w:szCs w:val="21"/>
          <w:highlight w:val="none"/>
          <w:u w:val="single"/>
        </w:rPr>
      </w:pPr>
      <w:r>
        <w:rPr>
          <w:color w:val="auto"/>
          <w:szCs w:val="21"/>
          <w:highlight w:val="none"/>
        </w:rPr>
        <w:t>采购</w:t>
      </w:r>
      <w:r>
        <w:rPr>
          <w:rFonts w:hint="eastAsia"/>
          <w:color w:val="auto"/>
          <w:szCs w:val="21"/>
          <w:highlight w:val="none"/>
        </w:rPr>
        <w:t>人</w:t>
      </w:r>
      <w:r>
        <w:rPr>
          <w:color w:val="auto"/>
          <w:szCs w:val="21"/>
          <w:highlight w:val="none"/>
        </w:rPr>
        <w:t>（甲方）</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2C201FA5">
      <w:pPr>
        <w:snapToGrid w:val="0"/>
        <w:spacing w:line="360" w:lineRule="exact"/>
        <w:rPr>
          <w:color w:val="auto"/>
          <w:szCs w:val="21"/>
          <w:highlight w:val="none"/>
          <w:u w:val="single"/>
        </w:rPr>
      </w:pPr>
      <w:r>
        <w:rPr>
          <w:rFonts w:hint="eastAsia"/>
          <w:color w:val="auto"/>
          <w:szCs w:val="21"/>
          <w:highlight w:val="none"/>
        </w:rPr>
        <w:t>成交</w:t>
      </w:r>
      <w:r>
        <w:rPr>
          <w:color w:val="auto"/>
          <w:szCs w:val="21"/>
          <w:highlight w:val="none"/>
        </w:rPr>
        <w:t>供应商（乙方）</w:t>
      </w:r>
      <w:r>
        <w:rPr>
          <w:color w:val="auto"/>
          <w:szCs w:val="21"/>
          <w:highlight w:val="none"/>
          <w:u w:val="single"/>
        </w:rPr>
        <w:t xml:space="preserve">                          </w:t>
      </w:r>
      <w:r>
        <w:rPr>
          <w:color w:val="auto"/>
          <w:szCs w:val="21"/>
          <w:highlight w:val="none"/>
        </w:rPr>
        <w:t xml:space="preserve">  </w:t>
      </w:r>
    </w:p>
    <w:p w14:paraId="2EE13FFD">
      <w:pPr>
        <w:snapToGrid w:val="0"/>
        <w:spacing w:line="360" w:lineRule="exact"/>
        <w:rPr>
          <w:color w:val="auto"/>
          <w:szCs w:val="21"/>
          <w:highlight w:val="none"/>
          <w:u w:val="single"/>
        </w:rPr>
      </w:pPr>
      <w:r>
        <w:rPr>
          <w:color w:val="auto"/>
          <w:szCs w:val="21"/>
          <w:highlight w:val="none"/>
        </w:rPr>
        <w:t xml:space="preserve">签  订  地  点  </w:t>
      </w:r>
      <w:r>
        <w:rPr>
          <w:color w:val="auto"/>
          <w:szCs w:val="21"/>
          <w:highlight w:val="none"/>
          <w:u w:val="single"/>
        </w:rPr>
        <w:t xml:space="preserve">                          </w:t>
      </w:r>
      <w:r>
        <w:rPr>
          <w:color w:val="auto"/>
          <w:szCs w:val="21"/>
          <w:highlight w:val="none"/>
        </w:rPr>
        <w:t xml:space="preserve">  签 订 时 间</w:t>
      </w:r>
      <w:r>
        <w:rPr>
          <w:color w:val="auto"/>
          <w:szCs w:val="21"/>
          <w:highlight w:val="none"/>
          <w:u w:val="single"/>
        </w:rPr>
        <w:t xml:space="preserve">                       </w:t>
      </w:r>
    </w:p>
    <w:p w14:paraId="0E3EB140">
      <w:pPr>
        <w:adjustRightInd w:val="0"/>
        <w:snapToGrid w:val="0"/>
        <w:spacing w:line="360" w:lineRule="auto"/>
        <w:ind w:firstLine="420" w:firstLineChars="200"/>
        <w:rPr>
          <w:color w:val="auto"/>
          <w:szCs w:val="21"/>
          <w:highlight w:val="none"/>
        </w:rPr>
      </w:pPr>
    </w:p>
    <w:p w14:paraId="2C4B9C2D">
      <w:pPr>
        <w:adjustRightInd w:val="0"/>
        <w:snapToGrid w:val="0"/>
        <w:spacing w:line="360" w:lineRule="auto"/>
        <w:ind w:firstLine="420" w:firstLineChars="200"/>
        <w:rPr>
          <w:color w:val="auto"/>
          <w:szCs w:val="21"/>
          <w:highlight w:val="none"/>
        </w:rPr>
      </w:pPr>
      <w:r>
        <w:rPr>
          <w:color w:val="auto"/>
          <w:szCs w:val="21"/>
          <w:highlight w:val="none"/>
        </w:rPr>
        <w:t>根据《中华人民共和国政府采购法》等法律、法规规定，按照征集文件</w:t>
      </w:r>
      <w:r>
        <w:rPr>
          <w:rFonts w:hint="eastAsia"/>
          <w:color w:val="auto"/>
          <w:szCs w:val="21"/>
          <w:highlight w:val="none"/>
        </w:rPr>
        <w:t>及框架协议</w:t>
      </w:r>
      <w:r>
        <w:rPr>
          <w:color w:val="auto"/>
          <w:szCs w:val="21"/>
          <w:highlight w:val="none"/>
        </w:rPr>
        <w:t>规定条款和乙方响应文件及其承诺，甲乙双方签订本合同。</w:t>
      </w:r>
    </w:p>
    <w:p w14:paraId="282CF583">
      <w:pPr>
        <w:adjustRightInd w:val="0"/>
        <w:snapToGrid w:val="0"/>
        <w:spacing w:line="360" w:lineRule="auto"/>
        <w:ind w:firstLine="422" w:firstLineChars="200"/>
        <w:rPr>
          <w:b/>
          <w:color w:val="auto"/>
          <w:szCs w:val="21"/>
          <w:highlight w:val="none"/>
        </w:rPr>
      </w:pPr>
      <w:r>
        <w:rPr>
          <w:b/>
          <w:color w:val="auto"/>
          <w:szCs w:val="21"/>
          <w:highlight w:val="none"/>
        </w:rPr>
        <w:t>第一条　项目概况及服务范围</w:t>
      </w:r>
    </w:p>
    <w:p w14:paraId="163C6AD1">
      <w:pPr>
        <w:adjustRightInd w:val="0"/>
        <w:snapToGrid w:val="0"/>
        <w:spacing w:line="360" w:lineRule="auto"/>
        <w:ind w:firstLine="420" w:firstLineChars="200"/>
        <w:rPr>
          <w:color w:val="auto"/>
          <w:szCs w:val="21"/>
          <w:highlight w:val="none"/>
        </w:rPr>
      </w:pPr>
      <w:r>
        <w:rPr>
          <w:color w:val="auto"/>
          <w:szCs w:val="21"/>
          <w:highlight w:val="none"/>
        </w:rPr>
        <w:t>1.项目名称</w:t>
      </w:r>
      <w:r>
        <w:rPr>
          <w:rFonts w:hint="eastAsia"/>
          <w:color w:val="auto"/>
          <w:szCs w:val="21"/>
          <w:highlight w:val="none"/>
        </w:rPr>
        <w:t>及编号</w:t>
      </w:r>
      <w:r>
        <w:rPr>
          <w:color w:val="auto"/>
          <w:szCs w:val="21"/>
          <w:highlight w:val="none"/>
        </w:rPr>
        <w:t>：</w:t>
      </w:r>
      <w:r>
        <w:rPr>
          <w:color w:val="auto"/>
          <w:szCs w:val="21"/>
          <w:highlight w:val="none"/>
          <w:u w:val="single"/>
        </w:rPr>
        <w:t xml:space="preserve">                                              </w:t>
      </w:r>
      <w:r>
        <w:rPr>
          <w:rFonts w:hint="eastAsia"/>
          <w:color w:val="auto"/>
          <w:szCs w:val="21"/>
          <w:highlight w:val="none"/>
        </w:rPr>
        <w:t xml:space="preserve">； </w:t>
      </w:r>
    </w:p>
    <w:p w14:paraId="5CD6E9C3">
      <w:pPr>
        <w:adjustRightInd w:val="0"/>
        <w:snapToGrid w:val="0"/>
        <w:spacing w:line="360" w:lineRule="auto"/>
        <w:ind w:firstLine="420" w:firstLineChars="200"/>
        <w:rPr>
          <w:color w:val="auto"/>
          <w:szCs w:val="21"/>
          <w:highlight w:val="none"/>
        </w:rPr>
      </w:pPr>
      <w:r>
        <w:rPr>
          <w:color w:val="auto"/>
          <w:szCs w:val="21"/>
          <w:highlight w:val="none"/>
        </w:rPr>
        <w:t>2.服务内容：</w:t>
      </w:r>
      <w:r>
        <w:rPr>
          <w:color w:val="auto"/>
          <w:szCs w:val="21"/>
          <w:highlight w:val="none"/>
          <w:u w:val="single"/>
        </w:rPr>
        <w:t xml:space="preserve">                                                    </w:t>
      </w:r>
      <w:r>
        <w:rPr>
          <w:color w:val="auto"/>
          <w:szCs w:val="21"/>
          <w:highlight w:val="none"/>
        </w:rPr>
        <w:t>；</w:t>
      </w:r>
    </w:p>
    <w:p w14:paraId="2DB26F1D">
      <w:pPr>
        <w:adjustRightInd w:val="0"/>
        <w:snapToGrid w:val="0"/>
        <w:spacing w:line="360" w:lineRule="auto"/>
        <w:ind w:firstLine="420" w:firstLineChars="200"/>
        <w:rPr>
          <w:color w:val="auto"/>
          <w:szCs w:val="21"/>
          <w:highlight w:val="none"/>
        </w:rPr>
      </w:pPr>
      <w:r>
        <w:rPr>
          <w:color w:val="auto"/>
          <w:szCs w:val="21"/>
          <w:highlight w:val="none"/>
        </w:rPr>
        <w:t>3.</w:t>
      </w:r>
      <w:r>
        <w:rPr>
          <w:rFonts w:hint="eastAsia"/>
          <w:color w:val="auto"/>
          <w:szCs w:val="21"/>
          <w:highlight w:val="none"/>
        </w:rPr>
        <w:t>标项</w:t>
      </w:r>
      <w:r>
        <w:rPr>
          <w:color w:val="auto"/>
          <w:szCs w:val="21"/>
          <w:highlight w:val="none"/>
        </w:rPr>
        <w:t>：</w:t>
      </w:r>
      <w:r>
        <w:rPr>
          <w:rFonts w:hint="eastAsia"/>
          <w:color w:val="auto"/>
          <w:szCs w:val="21"/>
          <w:highlight w:val="none"/>
          <w:u w:val="single"/>
        </w:rPr>
        <w:t>标项一</w:t>
      </w:r>
      <w:r>
        <w:rPr>
          <w:color w:val="auto"/>
          <w:szCs w:val="21"/>
          <w:highlight w:val="none"/>
        </w:rPr>
        <w:t>；</w:t>
      </w:r>
    </w:p>
    <w:p w14:paraId="5F3AA351">
      <w:pPr>
        <w:adjustRightInd w:val="0"/>
        <w:snapToGrid w:val="0"/>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.服务期：</w:t>
      </w:r>
      <w:r>
        <w:rPr>
          <w:rFonts w:hint="eastAsia"/>
          <w:color w:val="auto"/>
          <w:szCs w:val="21"/>
          <w:highlight w:val="none"/>
          <w:u w:val="single"/>
        </w:rPr>
        <w:t>按框架协议规定执行</w:t>
      </w:r>
      <w:r>
        <w:rPr>
          <w:color w:val="auto"/>
          <w:szCs w:val="21"/>
          <w:highlight w:val="none"/>
        </w:rPr>
        <w:t>；</w:t>
      </w:r>
    </w:p>
    <w:p w14:paraId="66684E4E">
      <w:pPr>
        <w:adjustRightInd w:val="0"/>
        <w:snapToGrid w:val="0"/>
        <w:spacing w:line="360" w:lineRule="auto"/>
        <w:ind w:firstLine="420" w:firstLineChars="200"/>
        <w:rPr>
          <w:rFonts w:ascii="宋体" w:hAnsi="Courier New" w:cs="Courier New"/>
          <w:color w:val="auto"/>
          <w:szCs w:val="21"/>
          <w:highlight w:val="none"/>
        </w:rPr>
      </w:pPr>
      <w:r>
        <w:rPr>
          <w:rFonts w:hint="eastAsia"/>
          <w:color w:val="auto"/>
          <w:szCs w:val="21"/>
          <w:highlight w:val="none"/>
        </w:rPr>
        <w:t>5</w:t>
      </w:r>
      <w:r>
        <w:rPr>
          <w:color w:val="auto"/>
          <w:szCs w:val="21"/>
          <w:highlight w:val="none"/>
        </w:rPr>
        <w:t>.</w:t>
      </w:r>
      <w:bookmarkStart w:id="85" w:name="_Hlk77611311"/>
      <w:r>
        <w:rPr>
          <w:rFonts w:hint="eastAsia"/>
          <w:color w:val="auto"/>
          <w:szCs w:val="21"/>
          <w:highlight w:val="none"/>
        </w:rPr>
        <w:t>协议价格：</w:t>
      </w:r>
      <w:r>
        <w:rPr>
          <w:rFonts w:hint="eastAsia"/>
          <w:color w:val="auto"/>
          <w:szCs w:val="21"/>
          <w:highlight w:val="none"/>
          <w:u w:val="single"/>
        </w:rPr>
        <w:t>按框架协议规定执行</w:t>
      </w:r>
      <w:r>
        <w:rPr>
          <w:rFonts w:hint="eastAsia"/>
          <w:color w:val="auto"/>
          <w:szCs w:val="21"/>
          <w:highlight w:val="none"/>
        </w:rPr>
        <w:t>。</w:t>
      </w:r>
    </w:p>
    <w:bookmarkEnd w:id="85"/>
    <w:p w14:paraId="057065F5">
      <w:pPr>
        <w:adjustRightInd w:val="0"/>
        <w:snapToGrid w:val="0"/>
        <w:ind w:firstLine="422" w:firstLineChars="200"/>
        <w:rPr>
          <w:b/>
          <w:color w:val="auto"/>
          <w:szCs w:val="21"/>
          <w:highlight w:val="none"/>
        </w:rPr>
      </w:pPr>
      <w:r>
        <w:rPr>
          <w:b/>
          <w:color w:val="auto"/>
          <w:szCs w:val="21"/>
          <w:highlight w:val="none"/>
        </w:rPr>
        <w:t>第</w:t>
      </w:r>
      <w:r>
        <w:rPr>
          <w:rFonts w:hint="eastAsia"/>
          <w:b/>
          <w:color w:val="auto"/>
          <w:szCs w:val="21"/>
          <w:highlight w:val="none"/>
        </w:rPr>
        <w:t>二</w:t>
      </w:r>
      <w:r>
        <w:rPr>
          <w:b/>
          <w:color w:val="auto"/>
          <w:szCs w:val="21"/>
          <w:highlight w:val="none"/>
        </w:rPr>
        <w:t>条　签订本合同依据</w:t>
      </w:r>
    </w:p>
    <w:p w14:paraId="237D7682">
      <w:pPr>
        <w:adjustRightInd w:val="0"/>
        <w:snapToGrid w:val="0"/>
        <w:ind w:firstLine="420" w:firstLineChars="200"/>
        <w:rPr>
          <w:color w:val="auto"/>
          <w:szCs w:val="21"/>
          <w:highlight w:val="none"/>
        </w:rPr>
      </w:pPr>
      <w:r>
        <w:rPr>
          <w:color w:val="auto"/>
          <w:szCs w:val="21"/>
          <w:highlight w:val="none"/>
        </w:rPr>
        <w:t>1.</w:t>
      </w:r>
      <w:r>
        <w:rPr>
          <w:rFonts w:hint="eastAsia"/>
          <w:color w:val="auto"/>
          <w:szCs w:val="21"/>
          <w:highlight w:val="none"/>
        </w:rPr>
        <w:t>框架协议</w:t>
      </w:r>
      <w:r>
        <w:rPr>
          <w:color w:val="auto"/>
          <w:szCs w:val="21"/>
          <w:highlight w:val="none"/>
        </w:rPr>
        <w:t>；2.</w:t>
      </w:r>
      <w:r>
        <w:rPr>
          <w:rFonts w:hint="eastAsia"/>
          <w:color w:val="auto"/>
          <w:szCs w:val="21"/>
          <w:highlight w:val="none"/>
        </w:rPr>
        <w:t>征集文件</w:t>
      </w:r>
      <w:r>
        <w:rPr>
          <w:color w:val="auto"/>
          <w:szCs w:val="21"/>
          <w:highlight w:val="none"/>
        </w:rPr>
        <w:t>；3.</w:t>
      </w:r>
      <w:r>
        <w:rPr>
          <w:rFonts w:hint="eastAsia"/>
          <w:color w:val="auto"/>
          <w:szCs w:val="21"/>
          <w:highlight w:val="none"/>
        </w:rPr>
        <w:t>乙方提供的响应文件；</w:t>
      </w:r>
      <w:r>
        <w:rPr>
          <w:color w:val="auto"/>
          <w:szCs w:val="21"/>
          <w:highlight w:val="none"/>
        </w:rPr>
        <w:t>4.入围通知书。</w:t>
      </w:r>
    </w:p>
    <w:p w14:paraId="07FD0404">
      <w:pPr>
        <w:adjustRightInd w:val="0"/>
        <w:snapToGrid w:val="0"/>
        <w:ind w:firstLine="422" w:firstLineChars="200"/>
        <w:rPr>
          <w:b/>
          <w:color w:val="auto"/>
          <w:szCs w:val="21"/>
          <w:highlight w:val="none"/>
        </w:rPr>
      </w:pPr>
      <w:r>
        <w:rPr>
          <w:b/>
          <w:color w:val="auto"/>
          <w:szCs w:val="21"/>
          <w:highlight w:val="none"/>
        </w:rPr>
        <w:t>第</w:t>
      </w:r>
      <w:r>
        <w:rPr>
          <w:rFonts w:hint="eastAsia"/>
          <w:b/>
          <w:color w:val="auto"/>
          <w:szCs w:val="21"/>
          <w:highlight w:val="none"/>
        </w:rPr>
        <w:t>三</w:t>
      </w:r>
      <w:r>
        <w:rPr>
          <w:b/>
          <w:color w:val="auto"/>
          <w:szCs w:val="21"/>
          <w:highlight w:val="none"/>
        </w:rPr>
        <w:t xml:space="preserve">条 </w:t>
      </w:r>
      <w:r>
        <w:rPr>
          <w:rFonts w:hint="eastAsia"/>
          <w:b/>
          <w:color w:val="auto"/>
          <w:szCs w:val="21"/>
          <w:highlight w:val="none"/>
        </w:rPr>
        <w:t>其他约定</w:t>
      </w:r>
    </w:p>
    <w:p w14:paraId="4DAC1457">
      <w:pPr>
        <w:adjustRightInd w:val="0"/>
        <w:snapToGrid w:val="0"/>
        <w:ind w:firstLine="420" w:firstLineChars="200"/>
        <w:rPr>
          <w:color w:val="auto"/>
          <w:szCs w:val="21"/>
          <w:highlight w:val="none"/>
        </w:rPr>
      </w:pPr>
      <w:r>
        <w:rPr>
          <w:rFonts w:hint="eastAsia"/>
          <w:color w:val="auto"/>
          <w:szCs w:val="21"/>
          <w:highlight w:val="none"/>
        </w:rPr>
        <w:t>1.本合同基于甲乙双方签订的</w:t>
      </w:r>
      <w:r>
        <w:rPr>
          <w:rFonts w:hint="eastAsia"/>
          <w:color w:val="auto"/>
          <w:szCs w:val="21"/>
          <w:highlight w:val="none"/>
          <w:lang w:eastAsia="zh-CN"/>
        </w:rPr>
        <w:t>贺州市平桂区财政局2026～2027年度政府投资项目评审服务</w:t>
      </w:r>
      <w:r>
        <w:rPr>
          <w:rFonts w:hint="eastAsia"/>
          <w:color w:val="auto"/>
          <w:szCs w:val="21"/>
          <w:highlight w:val="none"/>
        </w:rPr>
        <w:t>框架协议授予。</w:t>
      </w:r>
    </w:p>
    <w:p w14:paraId="33CE29A8">
      <w:pPr>
        <w:adjustRightInd w:val="0"/>
        <w:snapToGrid w:val="0"/>
        <w:ind w:firstLine="420" w:firstLineChars="200"/>
        <w:rPr>
          <w:rFonts w:hint="eastAsia"/>
          <w:color w:val="auto"/>
          <w:szCs w:val="21"/>
          <w:highlight w:val="none"/>
        </w:rPr>
      </w:pPr>
      <w:r>
        <w:rPr>
          <w:rFonts w:hint="eastAsia"/>
          <w:color w:val="auto"/>
          <w:szCs w:val="21"/>
          <w:highlight w:val="none"/>
        </w:rPr>
        <w:t>2.履约验收时间：</w:t>
      </w:r>
      <w:r>
        <w:rPr>
          <w:rFonts w:hint="eastAsia"/>
          <w:color w:val="auto"/>
          <w:szCs w:val="21"/>
          <w:highlight w:val="none"/>
          <w:lang w:eastAsia="zh-CN"/>
        </w:rPr>
        <w:t>乙方</w:t>
      </w:r>
      <w:r>
        <w:rPr>
          <w:rFonts w:hint="eastAsia"/>
          <w:color w:val="auto"/>
          <w:szCs w:val="21"/>
          <w:highlight w:val="none"/>
        </w:rPr>
        <w:t>自接到</w:t>
      </w:r>
      <w:r>
        <w:rPr>
          <w:rFonts w:hint="eastAsia"/>
          <w:color w:val="auto"/>
          <w:szCs w:val="21"/>
          <w:highlight w:val="none"/>
          <w:lang w:eastAsia="zh-CN"/>
        </w:rPr>
        <w:t>甲方</w:t>
      </w:r>
      <w:r>
        <w:rPr>
          <w:rFonts w:hint="eastAsia"/>
          <w:color w:val="auto"/>
          <w:szCs w:val="21"/>
          <w:highlight w:val="none"/>
        </w:rPr>
        <w:t>提交完整评审项目资料当日起应按以下要求提交评审初步结论：评审项目金额1000万元（含）以下6天内完成；评审项目金额1000万以上至3000万元（含）以下7天内完成；评审项目金额3000万以上至5000万元（含）以下8天内完成；评审项目金额5000万以上至8000万元（含）以下9天内完成；评审项目金额8000万以上10天内完成。</w:t>
      </w:r>
    </w:p>
    <w:p w14:paraId="02708223">
      <w:pPr>
        <w:adjustRightInd w:val="0"/>
        <w:snapToGrid w:val="0"/>
        <w:ind w:firstLine="420" w:firstLineChars="200"/>
        <w:rPr>
          <w:color w:val="auto"/>
          <w:szCs w:val="21"/>
          <w:highlight w:val="none"/>
        </w:rPr>
      </w:pPr>
      <w:r>
        <w:rPr>
          <w:rFonts w:hint="eastAsia"/>
          <w:color w:val="auto"/>
          <w:szCs w:val="21"/>
          <w:highlight w:val="none"/>
          <w:lang w:eastAsia="zh-CN"/>
        </w:rPr>
        <w:t>乙方</w:t>
      </w:r>
      <w:r>
        <w:rPr>
          <w:rFonts w:hint="eastAsia"/>
          <w:color w:val="auto"/>
          <w:szCs w:val="21"/>
          <w:highlight w:val="none"/>
        </w:rPr>
        <w:t>无故超出上述评审规定时间50%以上、累计出现三次以上（含三次），甲方将</w:t>
      </w:r>
      <w:r>
        <w:rPr>
          <w:rFonts w:hint="eastAsia"/>
          <w:color w:val="auto"/>
          <w:szCs w:val="21"/>
          <w:highlight w:val="none"/>
          <w:lang w:eastAsia="zh-CN"/>
        </w:rPr>
        <w:t>乙方</w:t>
      </w:r>
      <w:r>
        <w:rPr>
          <w:rFonts w:hint="eastAsia"/>
          <w:color w:val="auto"/>
          <w:szCs w:val="21"/>
          <w:highlight w:val="none"/>
        </w:rPr>
        <w:t>列入财政评审项目评审黑名单，取消其为期2年的评审资格。如遇政府对项目评审时间的特殊要求，</w:t>
      </w:r>
      <w:r>
        <w:rPr>
          <w:rFonts w:hint="eastAsia"/>
          <w:color w:val="auto"/>
          <w:szCs w:val="21"/>
          <w:highlight w:val="none"/>
          <w:lang w:eastAsia="zh-CN"/>
        </w:rPr>
        <w:t>乙方</w:t>
      </w:r>
      <w:r>
        <w:rPr>
          <w:rFonts w:hint="eastAsia"/>
          <w:color w:val="auto"/>
          <w:szCs w:val="21"/>
          <w:highlight w:val="none"/>
        </w:rPr>
        <w:t>则应无条件服从征集人的时间安排。</w:t>
      </w:r>
    </w:p>
    <w:p w14:paraId="25DE6C6D">
      <w:pPr>
        <w:adjustRightInd w:val="0"/>
        <w:snapToGrid w:val="0"/>
        <w:ind w:firstLine="420" w:firstLineChars="200"/>
        <w:rPr>
          <w:color w:val="auto"/>
          <w:szCs w:val="21"/>
          <w:highlight w:val="none"/>
        </w:rPr>
      </w:pPr>
      <w:r>
        <w:rPr>
          <w:rFonts w:hint="eastAsia"/>
          <w:color w:val="auto"/>
          <w:szCs w:val="21"/>
          <w:highlight w:val="none"/>
        </w:rPr>
        <w:t>3.本合同未尽事宜，遵照《民法典》有关条文执行。</w:t>
      </w:r>
    </w:p>
    <w:p w14:paraId="20967062">
      <w:pPr>
        <w:adjustRightInd w:val="0"/>
        <w:snapToGrid w:val="0"/>
        <w:ind w:firstLine="420" w:firstLineChars="200"/>
        <w:rPr>
          <w:color w:val="auto"/>
          <w:szCs w:val="21"/>
          <w:highlight w:val="none"/>
        </w:rPr>
      </w:pPr>
      <w:r>
        <w:rPr>
          <w:rFonts w:hint="eastAsia"/>
          <w:color w:val="auto"/>
          <w:szCs w:val="21"/>
          <w:highlight w:val="none"/>
        </w:rPr>
        <w:t>4.合同执行中，如需修改或补充合同内容，由双方协商另签署书面修改或补充合同。但补充内容不得改变框架协议约定的合同实质性条款。</w:t>
      </w:r>
    </w:p>
    <w:p w14:paraId="728DB1FB">
      <w:pPr>
        <w:adjustRightInd w:val="0"/>
        <w:snapToGrid w:val="0"/>
        <w:ind w:firstLine="420" w:firstLineChars="200"/>
        <w:rPr>
          <w:color w:val="auto"/>
          <w:szCs w:val="21"/>
          <w:highlight w:val="none"/>
        </w:rPr>
      </w:pPr>
      <w:r>
        <w:rPr>
          <w:rFonts w:hint="eastAsia"/>
          <w:color w:val="auto"/>
          <w:szCs w:val="21"/>
          <w:highlight w:val="none"/>
        </w:rPr>
        <w:t>5.除《中华人民共和国政府采购法》第五十条规定的情形外，本合同一经签订，甲乙双方不得擅自变更、中止或终止。</w:t>
      </w:r>
    </w:p>
    <w:p w14:paraId="6AC17890">
      <w:pPr>
        <w:adjustRightInd w:val="0"/>
        <w:snapToGrid w:val="0"/>
        <w:ind w:firstLine="420" w:firstLineChars="200"/>
        <w:rPr>
          <w:color w:val="auto"/>
          <w:szCs w:val="21"/>
          <w:highlight w:val="none"/>
        </w:rPr>
      </w:pPr>
      <w:r>
        <w:rPr>
          <w:rFonts w:hint="eastAsia"/>
          <w:color w:val="auto"/>
          <w:szCs w:val="21"/>
          <w:highlight w:val="none"/>
        </w:rPr>
        <w:t>6.未经甲方书面同意，乙方不得擅自转让其应履行的合同义务。</w:t>
      </w:r>
    </w:p>
    <w:p w14:paraId="2F3EF76E">
      <w:pPr>
        <w:adjustRightInd w:val="0"/>
        <w:snapToGrid w:val="0"/>
        <w:ind w:firstLine="422" w:firstLineChars="200"/>
        <w:rPr>
          <w:color w:val="auto"/>
          <w:szCs w:val="21"/>
          <w:highlight w:val="none"/>
        </w:rPr>
      </w:pPr>
      <w:r>
        <w:rPr>
          <w:b/>
          <w:color w:val="auto"/>
          <w:szCs w:val="21"/>
          <w:highlight w:val="none"/>
        </w:rPr>
        <w:t>第</w:t>
      </w:r>
      <w:r>
        <w:rPr>
          <w:rFonts w:hint="eastAsia"/>
          <w:b/>
          <w:color w:val="auto"/>
          <w:szCs w:val="21"/>
          <w:highlight w:val="none"/>
        </w:rPr>
        <w:t>四</w:t>
      </w:r>
      <w:r>
        <w:rPr>
          <w:b/>
          <w:color w:val="auto"/>
          <w:szCs w:val="21"/>
          <w:highlight w:val="none"/>
        </w:rPr>
        <w:t>条　</w:t>
      </w:r>
      <w:r>
        <w:rPr>
          <w:color w:val="auto"/>
          <w:szCs w:val="21"/>
          <w:highlight w:val="none"/>
        </w:rPr>
        <w:t>本合同一式</w:t>
      </w:r>
      <w:r>
        <w:rPr>
          <w:rFonts w:hint="eastAsia"/>
          <w:color w:val="auto"/>
          <w:szCs w:val="21"/>
          <w:highlight w:val="none"/>
        </w:rPr>
        <w:t>二</w:t>
      </w:r>
      <w:r>
        <w:rPr>
          <w:color w:val="auto"/>
          <w:szCs w:val="21"/>
          <w:highlight w:val="none"/>
        </w:rPr>
        <w:t>份，</w:t>
      </w:r>
      <w:r>
        <w:rPr>
          <w:rFonts w:hint="eastAsia"/>
          <w:color w:val="auto"/>
          <w:szCs w:val="21"/>
          <w:highlight w:val="none"/>
        </w:rPr>
        <w:t>双方各一份，</w:t>
      </w:r>
      <w:r>
        <w:rPr>
          <w:color w:val="auto"/>
          <w:szCs w:val="21"/>
          <w:highlight w:val="none"/>
        </w:rPr>
        <w:t>具有同等法律效力。</w:t>
      </w:r>
    </w:p>
    <w:p w14:paraId="61A81905">
      <w:pPr>
        <w:adjustRightInd w:val="0"/>
        <w:snapToGrid w:val="0"/>
        <w:ind w:firstLine="420" w:firstLineChars="200"/>
        <w:rPr>
          <w:color w:val="auto"/>
          <w:szCs w:val="21"/>
          <w:highlight w:val="none"/>
        </w:rPr>
      </w:pPr>
      <w:r>
        <w:rPr>
          <w:color w:val="auto"/>
          <w:szCs w:val="21"/>
          <w:highlight w:val="none"/>
        </w:rPr>
        <w:t>本合同经甲乙双方法定代表人或被授权代表签字并加盖单位公章后生效。</w:t>
      </w:r>
    </w:p>
    <w:tbl>
      <w:tblPr>
        <w:tblStyle w:val="51"/>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gridCol w:w="4777"/>
      </w:tblGrid>
      <w:tr w14:paraId="15C0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4522" w:type="dxa"/>
            <w:vAlign w:val="center"/>
          </w:tcPr>
          <w:p w14:paraId="6580B0B0">
            <w:pPr>
              <w:snapToGrid w:val="0"/>
              <w:spacing w:line="360" w:lineRule="exact"/>
              <w:rPr>
                <w:color w:val="auto"/>
                <w:szCs w:val="21"/>
                <w:highlight w:val="none"/>
              </w:rPr>
            </w:pPr>
            <w:r>
              <w:rPr>
                <w:color w:val="auto"/>
                <w:szCs w:val="21"/>
                <w:highlight w:val="none"/>
              </w:rPr>
              <w:t xml:space="preserve">甲方（章）      </w:t>
            </w:r>
          </w:p>
          <w:p w14:paraId="3F27E7B4">
            <w:pPr>
              <w:snapToGrid w:val="0"/>
              <w:spacing w:line="360" w:lineRule="exact"/>
              <w:rPr>
                <w:color w:val="auto"/>
                <w:szCs w:val="21"/>
                <w:highlight w:val="none"/>
              </w:rPr>
            </w:pPr>
            <w:r>
              <w:rPr>
                <w:color w:val="auto"/>
                <w:szCs w:val="21"/>
                <w:highlight w:val="none"/>
              </w:rPr>
              <w:t xml:space="preserve">     </w:t>
            </w:r>
          </w:p>
          <w:p w14:paraId="670C59AE">
            <w:pPr>
              <w:snapToGrid w:val="0"/>
              <w:spacing w:line="360" w:lineRule="exact"/>
              <w:ind w:firstLine="945" w:firstLineChars="450"/>
              <w:jc w:val="right"/>
              <w:rPr>
                <w:color w:val="auto"/>
                <w:szCs w:val="21"/>
                <w:highlight w:val="none"/>
              </w:rPr>
            </w:pPr>
            <w:r>
              <w:rPr>
                <w:rFonts w:hint="eastAsia"/>
                <w:color w:val="auto"/>
                <w:szCs w:val="21"/>
                <w:highlight w:val="none"/>
              </w:rPr>
              <w:t>年    月    日</w:t>
            </w:r>
          </w:p>
        </w:tc>
        <w:tc>
          <w:tcPr>
            <w:tcW w:w="4777" w:type="dxa"/>
            <w:vAlign w:val="center"/>
          </w:tcPr>
          <w:p w14:paraId="0F38AD03">
            <w:pPr>
              <w:snapToGrid w:val="0"/>
              <w:spacing w:line="360" w:lineRule="exact"/>
              <w:rPr>
                <w:color w:val="auto"/>
                <w:szCs w:val="21"/>
                <w:highlight w:val="none"/>
              </w:rPr>
            </w:pPr>
            <w:r>
              <w:rPr>
                <w:color w:val="auto"/>
                <w:szCs w:val="21"/>
                <w:highlight w:val="none"/>
              </w:rPr>
              <w:t xml:space="preserve">乙方（章）       </w:t>
            </w:r>
          </w:p>
          <w:p w14:paraId="55E71342">
            <w:pPr>
              <w:snapToGrid w:val="0"/>
              <w:spacing w:line="360" w:lineRule="exact"/>
              <w:rPr>
                <w:color w:val="auto"/>
                <w:szCs w:val="21"/>
                <w:highlight w:val="none"/>
              </w:rPr>
            </w:pPr>
            <w:r>
              <w:rPr>
                <w:color w:val="auto"/>
                <w:szCs w:val="21"/>
                <w:highlight w:val="none"/>
              </w:rPr>
              <w:t xml:space="preserve">     </w:t>
            </w:r>
          </w:p>
          <w:p w14:paraId="274A3DB9">
            <w:pPr>
              <w:snapToGrid w:val="0"/>
              <w:spacing w:line="360" w:lineRule="exact"/>
              <w:jc w:val="right"/>
              <w:rPr>
                <w:color w:val="auto"/>
                <w:szCs w:val="21"/>
                <w:highlight w:val="none"/>
              </w:rPr>
            </w:pPr>
            <w:r>
              <w:rPr>
                <w:rFonts w:hint="eastAsia"/>
                <w:color w:val="auto"/>
                <w:szCs w:val="21"/>
                <w:highlight w:val="none"/>
              </w:rPr>
              <w:t>年    月    日</w:t>
            </w:r>
          </w:p>
        </w:tc>
      </w:tr>
      <w:tr w14:paraId="6947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4522" w:type="dxa"/>
            <w:vAlign w:val="center"/>
          </w:tcPr>
          <w:p w14:paraId="1BA8F7E8">
            <w:pPr>
              <w:snapToGrid w:val="0"/>
              <w:spacing w:line="360" w:lineRule="exact"/>
              <w:rPr>
                <w:color w:val="auto"/>
                <w:szCs w:val="21"/>
                <w:highlight w:val="none"/>
              </w:rPr>
            </w:pPr>
            <w:r>
              <w:rPr>
                <w:color w:val="auto"/>
                <w:szCs w:val="21"/>
                <w:highlight w:val="none"/>
              </w:rPr>
              <w:t>法定代表人</w:t>
            </w:r>
            <w:r>
              <w:rPr>
                <w:rFonts w:hint="eastAsia"/>
                <w:color w:val="auto"/>
                <w:szCs w:val="21"/>
                <w:highlight w:val="none"/>
              </w:rPr>
              <w:t>或</w:t>
            </w:r>
            <w:r>
              <w:rPr>
                <w:color w:val="auto"/>
                <w:szCs w:val="21"/>
                <w:highlight w:val="none"/>
              </w:rPr>
              <w:t>委托代理人：</w:t>
            </w:r>
          </w:p>
        </w:tc>
        <w:tc>
          <w:tcPr>
            <w:tcW w:w="4777" w:type="dxa"/>
            <w:vAlign w:val="center"/>
          </w:tcPr>
          <w:p w14:paraId="594F3B86">
            <w:pPr>
              <w:snapToGrid w:val="0"/>
              <w:spacing w:line="360" w:lineRule="exact"/>
              <w:rPr>
                <w:color w:val="auto"/>
                <w:szCs w:val="21"/>
                <w:highlight w:val="none"/>
              </w:rPr>
            </w:pPr>
            <w:r>
              <w:rPr>
                <w:color w:val="auto"/>
                <w:szCs w:val="21"/>
                <w:highlight w:val="none"/>
              </w:rPr>
              <w:t>法定代表人</w:t>
            </w:r>
            <w:r>
              <w:rPr>
                <w:rFonts w:hint="eastAsia"/>
                <w:color w:val="auto"/>
                <w:szCs w:val="21"/>
                <w:highlight w:val="none"/>
              </w:rPr>
              <w:t>或委托代理人</w:t>
            </w:r>
            <w:r>
              <w:rPr>
                <w:color w:val="auto"/>
                <w:szCs w:val="21"/>
                <w:highlight w:val="none"/>
              </w:rPr>
              <w:t>：</w:t>
            </w:r>
          </w:p>
        </w:tc>
      </w:tr>
    </w:tbl>
    <w:p w14:paraId="49339685">
      <w:pPr>
        <w:rPr>
          <w:rFonts w:ascii="仿宋" w:hAnsi="仿宋" w:eastAsia="仿宋"/>
          <w:color w:val="auto"/>
          <w:szCs w:val="21"/>
          <w:highlight w:val="none"/>
          <w:u w:val="single"/>
        </w:rPr>
      </w:pPr>
      <w:r>
        <w:rPr>
          <w:rFonts w:ascii="仿宋" w:hAnsi="仿宋" w:eastAsia="仿宋"/>
          <w:color w:val="auto"/>
          <w:szCs w:val="21"/>
          <w:highlight w:val="none"/>
          <w:u w:val="single"/>
        </w:rPr>
        <w:br w:type="page"/>
      </w:r>
    </w:p>
    <w:p w14:paraId="45C5EA9F">
      <w:pPr>
        <w:pStyle w:val="26"/>
        <w:snapToGrid w:val="0"/>
        <w:ind w:firstLine="240"/>
        <w:jc w:val="center"/>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标项二</w:t>
      </w:r>
    </w:p>
    <w:p w14:paraId="7E55144E">
      <w:pPr>
        <w:jc w:val="center"/>
        <w:rPr>
          <w:bCs/>
          <w:color w:val="auto"/>
          <w:sz w:val="22"/>
          <w:szCs w:val="22"/>
          <w:highlight w:val="none"/>
          <w:u w:val="single"/>
        </w:rPr>
      </w:pPr>
      <w:r>
        <w:rPr>
          <w:rFonts w:hint="eastAsia"/>
          <w:color w:val="auto"/>
          <w:szCs w:val="21"/>
          <w:highlight w:val="none"/>
        </w:rPr>
        <w:t xml:space="preserve"> </w:t>
      </w:r>
      <w:r>
        <w:rPr>
          <w:rFonts w:hint="eastAsia"/>
          <w:b/>
          <w:bCs/>
          <w:color w:val="auto"/>
          <w:sz w:val="24"/>
          <w:highlight w:val="none"/>
          <w:u w:val="single"/>
        </w:rPr>
        <w:t>（项目名称及编号）</w:t>
      </w:r>
      <w:r>
        <w:rPr>
          <w:rFonts w:hint="eastAsia"/>
          <w:b/>
          <w:bCs/>
          <w:color w:val="auto"/>
          <w:sz w:val="24"/>
          <w:highlight w:val="none"/>
        </w:rPr>
        <w:t>项目评审服务合同</w:t>
      </w:r>
      <w:r>
        <w:rPr>
          <w:b/>
          <w:bCs/>
          <w:color w:val="auto"/>
          <w:sz w:val="24"/>
          <w:highlight w:val="none"/>
        </w:rPr>
        <w:t xml:space="preserve"> </w:t>
      </w:r>
    </w:p>
    <w:p w14:paraId="7C857592">
      <w:pPr>
        <w:snapToGrid w:val="0"/>
        <w:spacing w:line="360" w:lineRule="exact"/>
        <w:ind w:right="480" w:firstLine="5985" w:firstLineChars="2850"/>
        <w:rPr>
          <w:bCs/>
          <w:color w:val="auto"/>
          <w:szCs w:val="21"/>
          <w:highlight w:val="none"/>
          <w:u w:val="single"/>
        </w:rPr>
      </w:pPr>
      <w:r>
        <w:rPr>
          <w:bCs/>
          <w:color w:val="auto"/>
          <w:szCs w:val="21"/>
          <w:highlight w:val="none"/>
        </w:rPr>
        <w:t>合同编号：</w:t>
      </w:r>
    </w:p>
    <w:p w14:paraId="6ACA31A8">
      <w:pPr>
        <w:snapToGrid w:val="0"/>
        <w:spacing w:line="360" w:lineRule="exact"/>
        <w:rPr>
          <w:color w:val="auto"/>
          <w:szCs w:val="21"/>
          <w:highlight w:val="none"/>
        </w:rPr>
      </w:pPr>
    </w:p>
    <w:p w14:paraId="7B33FFCE">
      <w:pPr>
        <w:snapToGrid w:val="0"/>
        <w:spacing w:line="360" w:lineRule="exact"/>
        <w:rPr>
          <w:color w:val="auto"/>
          <w:szCs w:val="21"/>
          <w:highlight w:val="none"/>
          <w:u w:val="single"/>
        </w:rPr>
      </w:pPr>
      <w:r>
        <w:rPr>
          <w:color w:val="auto"/>
          <w:szCs w:val="21"/>
          <w:highlight w:val="none"/>
        </w:rPr>
        <w:t>采购</w:t>
      </w:r>
      <w:r>
        <w:rPr>
          <w:rFonts w:hint="eastAsia"/>
          <w:color w:val="auto"/>
          <w:szCs w:val="21"/>
          <w:highlight w:val="none"/>
        </w:rPr>
        <w:t>人</w:t>
      </w:r>
      <w:r>
        <w:rPr>
          <w:color w:val="auto"/>
          <w:szCs w:val="21"/>
          <w:highlight w:val="none"/>
        </w:rPr>
        <w:t>（甲方）</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53EC3C33">
      <w:pPr>
        <w:snapToGrid w:val="0"/>
        <w:spacing w:line="360" w:lineRule="exact"/>
        <w:rPr>
          <w:color w:val="auto"/>
          <w:szCs w:val="21"/>
          <w:highlight w:val="none"/>
          <w:u w:val="single"/>
        </w:rPr>
      </w:pPr>
      <w:r>
        <w:rPr>
          <w:rFonts w:hint="eastAsia"/>
          <w:color w:val="auto"/>
          <w:szCs w:val="21"/>
          <w:highlight w:val="none"/>
        </w:rPr>
        <w:t>成交</w:t>
      </w:r>
      <w:r>
        <w:rPr>
          <w:color w:val="auto"/>
          <w:szCs w:val="21"/>
          <w:highlight w:val="none"/>
        </w:rPr>
        <w:t>供应商（乙方）</w:t>
      </w:r>
      <w:r>
        <w:rPr>
          <w:color w:val="auto"/>
          <w:szCs w:val="21"/>
          <w:highlight w:val="none"/>
          <w:u w:val="single"/>
        </w:rPr>
        <w:t xml:space="preserve">                          </w:t>
      </w:r>
      <w:r>
        <w:rPr>
          <w:color w:val="auto"/>
          <w:szCs w:val="21"/>
          <w:highlight w:val="none"/>
        </w:rPr>
        <w:t xml:space="preserve">  </w:t>
      </w:r>
    </w:p>
    <w:p w14:paraId="7371DF42">
      <w:pPr>
        <w:snapToGrid w:val="0"/>
        <w:spacing w:line="360" w:lineRule="exact"/>
        <w:rPr>
          <w:color w:val="auto"/>
          <w:szCs w:val="21"/>
          <w:highlight w:val="none"/>
          <w:u w:val="single"/>
        </w:rPr>
      </w:pPr>
      <w:r>
        <w:rPr>
          <w:color w:val="auto"/>
          <w:szCs w:val="21"/>
          <w:highlight w:val="none"/>
        </w:rPr>
        <w:t xml:space="preserve">签  订  地  点  </w:t>
      </w:r>
      <w:r>
        <w:rPr>
          <w:color w:val="auto"/>
          <w:szCs w:val="21"/>
          <w:highlight w:val="none"/>
          <w:u w:val="single"/>
        </w:rPr>
        <w:t xml:space="preserve">                          </w:t>
      </w:r>
      <w:r>
        <w:rPr>
          <w:color w:val="auto"/>
          <w:szCs w:val="21"/>
          <w:highlight w:val="none"/>
        </w:rPr>
        <w:t xml:space="preserve">  签 订 时 间</w:t>
      </w:r>
      <w:r>
        <w:rPr>
          <w:color w:val="auto"/>
          <w:szCs w:val="21"/>
          <w:highlight w:val="none"/>
          <w:u w:val="single"/>
        </w:rPr>
        <w:t xml:space="preserve">                       </w:t>
      </w:r>
    </w:p>
    <w:p w14:paraId="54BC674C">
      <w:pPr>
        <w:adjustRightInd w:val="0"/>
        <w:snapToGrid w:val="0"/>
        <w:spacing w:line="360" w:lineRule="auto"/>
        <w:ind w:firstLine="420" w:firstLineChars="200"/>
        <w:rPr>
          <w:color w:val="auto"/>
          <w:szCs w:val="21"/>
          <w:highlight w:val="none"/>
        </w:rPr>
      </w:pPr>
    </w:p>
    <w:p w14:paraId="087D2B34">
      <w:pPr>
        <w:adjustRightInd w:val="0"/>
        <w:snapToGrid w:val="0"/>
        <w:spacing w:line="360" w:lineRule="auto"/>
        <w:ind w:firstLine="420" w:firstLineChars="200"/>
        <w:rPr>
          <w:color w:val="auto"/>
          <w:szCs w:val="21"/>
          <w:highlight w:val="none"/>
        </w:rPr>
      </w:pPr>
      <w:r>
        <w:rPr>
          <w:color w:val="auto"/>
          <w:szCs w:val="21"/>
          <w:highlight w:val="none"/>
        </w:rPr>
        <w:t>根据《中华人民共和国政府采购法》等法律、法规规定，按照征集文件</w:t>
      </w:r>
      <w:r>
        <w:rPr>
          <w:rFonts w:hint="eastAsia"/>
          <w:color w:val="auto"/>
          <w:szCs w:val="21"/>
          <w:highlight w:val="none"/>
        </w:rPr>
        <w:t>及框架协议</w:t>
      </w:r>
      <w:r>
        <w:rPr>
          <w:color w:val="auto"/>
          <w:szCs w:val="21"/>
          <w:highlight w:val="none"/>
        </w:rPr>
        <w:t>规定条款和乙方响应文件及其承诺，甲乙双方签订本合同。</w:t>
      </w:r>
    </w:p>
    <w:p w14:paraId="60725F84">
      <w:pPr>
        <w:adjustRightInd w:val="0"/>
        <w:snapToGrid w:val="0"/>
        <w:spacing w:line="360" w:lineRule="auto"/>
        <w:ind w:firstLine="422" w:firstLineChars="200"/>
        <w:rPr>
          <w:b/>
          <w:color w:val="auto"/>
          <w:szCs w:val="21"/>
          <w:highlight w:val="none"/>
        </w:rPr>
      </w:pPr>
      <w:r>
        <w:rPr>
          <w:b/>
          <w:color w:val="auto"/>
          <w:szCs w:val="21"/>
          <w:highlight w:val="none"/>
        </w:rPr>
        <w:t>第一条　项目概况及服务范围</w:t>
      </w:r>
    </w:p>
    <w:p w14:paraId="382744BE">
      <w:pPr>
        <w:adjustRightInd w:val="0"/>
        <w:snapToGrid w:val="0"/>
        <w:spacing w:line="360" w:lineRule="auto"/>
        <w:ind w:firstLine="420" w:firstLineChars="200"/>
        <w:rPr>
          <w:color w:val="auto"/>
          <w:szCs w:val="21"/>
          <w:highlight w:val="none"/>
        </w:rPr>
      </w:pPr>
      <w:r>
        <w:rPr>
          <w:color w:val="auto"/>
          <w:szCs w:val="21"/>
          <w:highlight w:val="none"/>
        </w:rPr>
        <w:t>1.项目名称</w:t>
      </w:r>
      <w:r>
        <w:rPr>
          <w:rFonts w:hint="eastAsia"/>
          <w:color w:val="auto"/>
          <w:szCs w:val="21"/>
          <w:highlight w:val="none"/>
        </w:rPr>
        <w:t>及编号</w:t>
      </w:r>
      <w:r>
        <w:rPr>
          <w:color w:val="auto"/>
          <w:szCs w:val="21"/>
          <w:highlight w:val="none"/>
        </w:rPr>
        <w:t>：</w:t>
      </w:r>
      <w:r>
        <w:rPr>
          <w:color w:val="auto"/>
          <w:szCs w:val="21"/>
          <w:highlight w:val="none"/>
          <w:u w:val="single"/>
        </w:rPr>
        <w:t xml:space="preserve">                                              </w:t>
      </w:r>
      <w:r>
        <w:rPr>
          <w:rFonts w:hint="eastAsia"/>
          <w:color w:val="auto"/>
          <w:szCs w:val="21"/>
          <w:highlight w:val="none"/>
        </w:rPr>
        <w:t xml:space="preserve">； </w:t>
      </w:r>
    </w:p>
    <w:p w14:paraId="5B42BA3D">
      <w:pPr>
        <w:adjustRightInd w:val="0"/>
        <w:snapToGrid w:val="0"/>
        <w:spacing w:line="360" w:lineRule="auto"/>
        <w:ind w:firstLine="420" w:firstLineChars="200"/>
        <w:rPr>
          <w:color w:val="auto"/>
          <w:szCs w:val="21"/>
          <w:highlight w:val="none"/>
        </w:rPr>
      </w:pPr>
      <w:r>
        <w:rPr>
          <w:color w:val="auto"/>
          <w:szCs w:val="21"/>
          <w:highlight w:val="none"/>
        </w:rPr>
        <w:t>2.服务内容：</w:t>
      </w:r>
      <w:r>
        <w:rPr>
          <w:color w:val="auto"/>
          <w:szCs w:val="21"/>
          <w:highlight w:val="none"/>
          <w:u w:val="single"/>
        </w:rPr>
        <w:t xml:space="preserve">                                                    </w:t>
      </w:r>
      <w:r>
        <w:rPr>
          <w:color w:val="auto"/>
          <w:szCs w:val="21"/>
          <w:highlight w:val="none"/>
        </w:rPr>
        <w:t>；</w:t>
      </w:r>
    </w:p>
    <w:p w14:paraId="31D9BE73">
      <w:pPr>
        <w:adjustRightInd w:val="0"/>
        <w:snapToGrid w:val="0"/>
        <w:spacing w:line="360" w:lineRule="auto"/>
        <w:ind w:firstLine="420" w:firstLineChars="200"/>
        <w:rPr>
          <w:color w:val="auto"/>
          <w:szCs w:val="21"/>
          <w:highlight w:val="none"/>
        </w:rPr>
      </w:pPr>
      <w:r>
        <w:rPr>
          <w:color w:val="auto"/>
          <w:szCs w:val="21"/>
          <w:highlight w:val="none"/>
        </w:rPr>
        <w:t>3.</w:t>
      </w:r>
      <w:r>
        <w:rPr>
          <w:rFonts w:hint="eastAsia"/>
          <w:color w:val="auto"/>
          <w:szCs w:val="21"/>
          <w:highlight w:val="none"/>
        </w:rPr>
        <w:t>标项</w:t>
      </w:r>
      <w:r>
        <w:rPr>
          <w:color w:val="auto"/>
          <w:szCs w:val="21"/>
          <w:highlight w:val="none"/>
        </w:rPr>
        <w:t>：</w:t>
      </w:r>
      <w:r>
        <w:rPr>
          <w:rFonts w:hint="eastAsia"/>
          <w:color w:val="auto"/>
          <w:szCs w:val="21"/>
          <w:highlight w:val="none"/>
          <w:u w:val="single"/>
        </w:rPr>
        <w:t>标项二</w:t>
      </w:r>
      <w:r>
        <w:rPr>
          <w:color w:val="auto"/>
          <w:szCs w:val="21"/>
          <w:highlight w:val="none"/>
        </w:rPr>
        <w:t>；</w:t>
      </w:r>
    </w:p>
    <w:p w14:paraId="6C216DBC">
      <w:pPr>
        <w:adjustRightInd w:val="0"/>
        <w:snapToGrid w:val="0"/>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.服务期：</w:t>
      </w:r>
      <w:r>
        <w:rPr>
          <w:rFonts w:hint="eastAsia"/>
          <w:color w:val="auto"/>
          <w:szCs w:val="21"/>
          <w:highlight w:val="none"/>
          <w:u w:val="single"/>
        </w:rPr>
        <w:t>按框架协议规定执行</w:t>
      </w:r>
      <w:r>
        <w:rPr>
          <w:color w:val="auto"/>
          <w:szCs w:val="21"/>
          <w:highlight w:val="none"/>
        </w:rPr>
        <w:t>；</w:t>
      </w:r>
    </w:p>
    <w:p w14:paraId="15A9D712">
      <w:pPr>
        <w:adjustRightInd w:val="0"/>
        <w:snapToGrid w:val="0"/>
        <w:spacing w:line="360" w:lineRule="auto"/>
        <w:ind w:firstLine="420" w:firstLineChars="200"/>
        <w:rPr>
          <w:rFonts w:ascii="宋体" w:hAnsi="Courier New" w:cs="Courier New"/>
          <w:color w:val="auto"/>
          <w:szCs w:val="21"/>
          <w:highlight w:val="none"/>
        </w:rPr>
      </w:pPr>
      <w:r>
        <w:rPr>
          <w:rFonts w:hint="eastAsia"/>
          <w:color w:val="auto"/>
          <w:szCs w:val="21"/>
          <w:highlight w:val="none"/>
        </w:rPr>
        <w:t>5</w:t>
      </w:r>
      <w:r>
        <w:rPr>
          <w:color w:val="auto"/>
          <w:szCs w:val="21"/>
          <w:highlight w:val="none"/>
        </w:rPr>
        <w:t>.</w:t>
      </w:r>
      <w:r>
        <w:rPr>
          <w:rFonts w:hint="eastAsia"/>
          <w:color w:val="auto"/>
          <w:szCs w:val="21"/>
          <w:highlight w:val="none"/>
        </w:rPr>
        <w:t>协议价格：</w:t>
      </w:r>
      <w:r>
        <w:rPr>
          <w:rFonts w:hint="eastAsia"/>
          <w:color w:val="auto"/>
          <w:szCs w:val="21"/>
          <w:highlight w:val="none"/>
          <w:u w:val="single"/>
        </w:rPr>
        <w:t>按框架协议规定执行</w:t>
      </w:r>
      <w:r>
        <w:rPr>
          <w:rFonts w:hint="eastAsia"/>
          <w:color w:val="auto"/>
          <w:szCs w:val="21"/>
          <w:highlight w:val="none"/>
        </w:rPr>
        <w:t>。</w:t>
      </w:r>
    </w:p>
    <w:p w14:paraId="56FE430E">
      <w:pPr>
        <w:adjustRightInd w:val="0"/>
        <w:snapToGrid w:val="0"/>
        <w:ind w:firstLine="422" w:firstLineChars="200"/>
        <w:rPr>
          <w:b/>
          <w:color w:val="auto"/>
          <w:szCs w:val="21"/>
          <w:highlight w:val="none"/>
        </w:rPr>
      </w:pPr>
      <w:r>
        <w:rPr>
          <w:b/>
          <w:color w:val="auto"/>
          <w:szCs w:val="21"/>
          <w:highlight w:val="none"/>
        </w:rPr>
        <w:t>第</w:t>
      </w:r>
      <w:r>
        <w:rPr>
          <w:rFonts w:hint="eastAsia"/>
          <w:b/>
          <w:color w:val="auto"/>
          <w:szCs w:val="21"/>
          <w:highlight w:val="none"/>
        </w:rPr>
        <w:t>二</w:t>
      </w:r>
      <w:r>
        <w:rPr>
          <w:b/>
          <w:color w:val="auto"/>
          <w:szCs w:val="21"/>
          <w:highlight w:val="none"/>
        </w:rPr>
        <w:t>条　签订本合同依据</w:t>
      </w:r>
    </w:p>
    <w:p w14:paraId="65E3F175">
      <w:pPr>
        <w:adjustRightInd w:val="0"/>
        <w:snapToGrid w:val="0"/>
        <w:ind w:firstLine="420" w:firstLineChars="200"/>
        <w:rPr>
          <w:color w:val="auto"/>
          <w:szCs w:val="21"/>
          <w:highlight w:val="none"/>
        </w:rPr>
      </w:pPr>
      <w:r>
        <w:rPr>
          <w:color w:val="auto"/>
          <w:szCs w:val="21"/>
          <w:highlight w:val="none"/>
        </w:rPr>
        <w:t>1.</w:t>
      </w:r>
      <w:r>
        <w:rPr>
          <w:rFonts w:hint="eastAsia"/>
          <w:color w:val="auto"/>
          <w:szCs w:val="21"/>
          <w:highlight w:val="none"/>
        </w:rPr>
        <w:t>框架协议</w:t>
      </w:r>
      <w:r>
        <w:rPr>
          <w:color w:val="auto"/>
          <w:szCs w:val="21"/>
          <w:highlight w:val="none"/>
        </w:rPr>
        <w:t>；2.</w:t>
      </w:r>
      <w:r>
        <w:rPr>
          <w:rFonts w:hint="eastAsia"/>
          <w:color w:val="auto"/>
          <w:szCs w:val="21"/>
          <w:highlight w:val="none"/>
        </w:rPr>
        <w:t>征集文件</w:t>
      </w:r>
      <w:r>
        <w:rPr>
          <w:color w:val="auto"/>
          <w:szCs w:val="21"/>
          <w:highlight w:val="none"/>
        </w:rPr>
        <w:t>；3.</w:t>
      </w:r>
      <w:r>
        <w:rPr>
          <w:rFonts w:hint="eastAsia"/>
          <w:color w:val="auto"/>
          <w:szCs w:val="21"/>
          <w:highlight w:val="none"/>
        </w:rPr>
        <w:t>乙方提供的响应文件；</w:t>
      </w:r>
      <w:r>
        <w:rPr>
          <w:color w:val="auto"/>
          <w:szCs w:val="21"/>
          <w:highlight w:val="none"/>
        </w:rPr>
        <w:t>4.入围通知书。</w:t>
      </w:r>
    </w:p>
    <w:p w14:paraId="08A68295">
      <w:pPr>
        <w:adjustRightInd w:val="0"/>
        <w:snapToGrid w:val="0"/>
        <w:ind w:firstLine="422" w:firstLineChars="200"/>
        <w:rPr>
          <w:b/>
          <w:color w:val="auto"/>
          <w:szCs w:val="21"/>
          <w:highlight w:val="none"/>
        </w:rPr>
      </w:pPr>
      <w:r>
        <w:rPr>
          <w:b/>
          <w:color w:val="auto"/>
          <w:szCs w:val="21"/>
          <w:highlight w:val="none"/>
        </w:rPr>
        <w:t>第</w:t>
      </w:r>
      <w:r>
        <w:rPr>
          <w:rFonts w:hint="eastAsia"/>
          <w:b/>
          <w:color w:val="auto"/>
          <w:szCs w:val="21"/>
          <w:highlight w:val="none"/>
        </w:rPr>
        <w:t>三</w:t>
      </w:r>
      <w:r>
        <w:rPr>
          <w:b/>
          <w:color w:val="auto"/>
          <w:szCs w:val="21"/>
          <w:highlight w:val="none"/>
        </w:rPr>
        <w:t xml:space="preserve">条 </w:t>
      </w:r>
      <w:r>
        <w:rPr>
          <w:rFonts w:hint="eastAsia"/>
          <w:b/>
          <w:color w:val="auto"/>
          <w:szCs w:val="21"/>
          <w:highlight w:val="none"/>
        </w:rPr>
        <w:t>其他约定</w:t>
      </w:r>
    </w:p>
    <w:p w14:paraId="3F69CC12">
      <w:pPr>
        <w:adjustRightInd w:val="0"/>
        <w:snapToGrid w:val="0"/>
        <w:ind w:firstLine="420" w:firstLineChars="200"/>
        <w:rPr>
          <w:color w:val="auto"/>
          <w:szCs w:val="21"/>
          <w:highlight w:val="none"/>
        </w:rPr>
      </w:pPr>
      <w:r>
        <w:rPr>
          <w:rFonts w:hint="eastAsia"/>
          <w:color w:val="auto"/>
          <w:szCs w:val="21"/>
          <w:highlight w:val="none"/>
        </w:rPr>
        <w:t>1.本合同基于甲乙双方签订的</w:t>
      </w:r>
      <w:r>
        <w:rPr>
          <w:rFonts w:hint="eastAsia"/>
          <w:color w:val="auto"/>
          <w:szCs w:val="21"/>
          <w:highlight w:val="none"/>
          <w:lang w:eastAsia="zh-CN"/>
        </w:rPr>
        <w:t>贺州市平桂区财政局2026～2027年度政府投资项目评审服务</w:t>
      </w:r>
      <w:r>
        <w:rPr>
          <w:rFonts w:hint="eastAsia"/>
          <w:color w:val="auto"/>
          <w:szCs w:val="21"/>
          <w:highlight w:val="none"/>
        </w:rPr>
        <w:t>框架协议授予。</w:t>
      </w:r>
    </w:p>
    <w:p w14:paraId="6EF72DD5">
      <w:pPr>
        <w:adjustRightInd w:val="0"/>
        <w:snapToGrid w:val="0"/>
        <w:ind w:firstLine="420" w:firstLineChars="200"/>
        <w:rPr>
          <w:rFonts w:hint="eastAsia"/>
          <w:color w:val="auto"/>
          <w:szCs w:val="21"/>
          <w:highlight w:val="none"/>
        </w:rPr>
      </w:pPr>
      <w:r>
        <w:rPr>
          <w:rFonts w:hint="eastAsia"/>
          <w:color w:val="auto"/>
          <w:szCs w:val="21"/>
          <w:highlight w:val="none"/>
        </w:rPr>
        <w:t>2.履约验收时间：</w:t>
      </w:r>
      <w:r>
        <w:rPr>
          <w:rFonts w:hint="eastAsia"/>
          <w:color w:val="auto"/>
          <w:szCs w:val="21"/>
          <w:highlight w:val="none"/>
          <w:lang w:eastAsia="zh-CN"/>
        </w:rPr>
        <w:t>乙方</w:t>
      </w:r>
      <w:r>
        <w:rPr>
          <w:rFonts w:hint="eastAsia"/>
          <w:color w:val="auto"/>
          <w:szCs w:val="21"/>
          <w:highlight w:val="none"/>
        </w:rPr>
        <w:t>自接到</w:t>
      </w:r>
      <w:r>
        <w:rPr>
          <w:rFonts w:hint="eastAsia"/>
          <w:color w:val="auto"/>
          <w:szCs w:val="21"/>
          <w:highlight w:val="none"/>
          <w:lang w:eastAsia="zh-CN"/>
        </w:rPr>
        <w:t>甲方</w:t>
      </w:r>
      <w:r>
        <w:rPr>
          <w:rFonts w:hint="eastAsia"/>
          <w:color w:val="auto"/>
          <w:szCs w:val="21"/>
          <w:highlight w:val="none"/>
        </w:rPr>
        <w:t>提交完整评审项目资料当日起应按以下要求提交评审初步结论：评审项目金额500万元（含）以下的，20天内完成；评审项目金额500万以上至2000万元（含）以下30天内完成；评审项目金额2000万以上至5000万元（含）以下45天内完成；评审项目金额5000万以上60天内完成。</w:t>
      </w:r>
    </w:p>
    <w:p w14:paraId="0B429C9D">
      <w:pPr>
        <w:adjustRightInd w:val="0"/>
        <w:snapToGrid w:val="0"/>
        <w:ind w:firstLine="420" w:firstLineChars="200"/>
        <w:rPr>
          <w:color w:val="auto"/>
          <w:szCs w:val="21"/>
          <w:highlight w:val="none"/>
        </w:rPr>
      </w:pPr>
      <w:r>
        <w:rPr>
          <w:rFonts w:hint="eastAsia"/>
          <w:color w:val="auto"/>
          <w:szCs w:val="21"/>
          <w:highlight w:val="none"/>
          <w:lang w:eastAsia="zh-CN"/>
        </w:rPr>
        <w:t>乙方</w:t>
      </w:r>
      <w:r>
        <w:rPr>
          <w:rFonts w:hint="eastAsia"/>
          <w:color w:val="auto"/>
          <w:szCs w:val="21"/>
          <w:highlight w:val="none"/>
        </w:rPr>
        <w:t>无故超出上述评审规定时间50%以上、累计出现三次以上（含三次），</w:t>
      </w:r>
      <w:r>
        <w:rPr>
          <w:rFonts w:hint="eastAsia"/>
          <w:color w:val="auto"/>
          <w:szCs w:val="21"/>
          <w:highlight w:val="none"/>
          <w:lang w:val="en-US" w:eastAsia="zh-CN"/>
        </w:rPr>
        <w:t>甲方</w:t>
      </w:r>
      <w:r>
        <w:rPr>
          <w:rFonts w:hint="eastAsia"/>
          <w:color w:val="auto"/>
          <w:szCs w:val="21"/>
          <w:highlight w:val="none"/>
        </w:rPr>
        <w:t>将</w:t>
      </w:r>
      <w:r>
        <w:rPr>
          <w:rFonts w:hint="eastAsia"/>
          <w:color w:val="auto"/>
          <w:szCs w:val="21"/>
          <w:highlight w:val="none"/>
          <w:lang w:eastAsia="zh-CN"/>
        </w:rPr>
        <w:t>乙方</w:t>
      </w:r>
      <w:r>
        <w:rPr>
          <w:rFonts w:hint="eastAsia"/>
          <w:color w:val="auto"/>
          <w:szCs w:val="21"/>
          <w:highlight w:val="none"/>
        </w:rPr>
        <w:t>列入财政评审项目评审黑名单，取消其为期2年的评审资格。如遇政府对项目评审时间的特殊要求，</w:t>
      </w:r>
      <w:r>
        <w:rPr>
          <w:rFonts w:hint="eastAsia"/>
          <w:color w:val="auto"/>
          <w:szCs w:val="21"/>
          <w:highlight w:val="none"/>
          <w:lang w:eastAsia="zh-CN"/>
        </w:rPr>
        <w:t>乙方</w:t>
      </w:r>
      <w:r>
        <w:rPr>
          <w:rFonts w:hint="eastAsia"/>
          <w:color w:val="auto"/>
          <w:szCs w:val="21"/>
          <w:highlight w:val="none"/>
        </w:rPr>
        <w:t>则应无条件服从</w:t>
      </w:r>
      <w:r>
        <w:rPr>
          <w:rFonts w:hint="eastAsia"/>
          <w:color w:val="auto"/>
          <w:szCs w:val="21"/>
          <w:highlight w:val="none"/>
          <w:lang w:eastAsia="zh-CN"/>
        </w:rPr>
        <w:t>甲方</w:t>
      </w:r>
      <w:r>
        <w:rPr>
          <w:rFonts w:hint="eastAsia"/>
          <w:color w:val="auto"/>
          <w:szCs w:val="21"/>
          <w:highlight w:val="none"/>
        </w:rPr>
        <w:t>的时间安排。</w:t>
      </w:r>
    </w:p>
    <w:p w14:paraId="7E415F0E">
      <w:pPr>
        <w:adjustRightInd w:val="0"/>
        <w:snapToGrid w:val="0"/>
        <w:ind w:firstLine="420" w:firstLineChars="200"/>
        <w:rPr>
          <w:color w:val="auto"/>
          <w:szCs w:val="21"/>
          <w:highlight w:val="none"/>
        </w:rPr>
      </w:pPr>
      <w:r>
        <w:rPr>
          <w:rFonts w:hint="eastAsia"/>
          <w:color w:val="auto"/>
          <w:szCs w:val="21"/>
          <w:highlight w:val="none"/>
        </w:rPr>
        <w:t>3.本合同未尽事宜，遵照《民法典》有关条文执行。</w:t>
      </w:r>
    </w:p>
    <w:p w14:paraId="09BB3765">
      <w:pPr>
        <w:adjustRightInd w:val="0"/>
        <w:snapToGrid w:val="0"/>
        <w:ind w:firstLine="420" w:firstLineChars="200"/>
        <w:rPr>
          <w:color w:val="auto"/>
          <w:szCs w:val="21"/>
          <w:highlight w:val="none"/>
        </w:rPr>
      </w:pPr>
      <w:r>
        <w:rPr>
          <w:rFonts w:hint="eastAsia"/>
          <w:color w:val="auto"/>
          <w:szCs w:val="21"/>
          <w:highlight w:val="none"/>
        </w:rPr>
        <w:t>4.合同执行中，如需修改或补充合同内容，由双方协商另签署书面修改或补充合同。但补充内容不得改变框架协议约定的合同实质性条款。</w:t>
      </w:r>
    </w:p>
    <w:p w14:paraId="46DBAEB5">
      <w:pPr>
        <w:adjustRightInd w:val="0"/>
        <w:snapToGrid w:val="0"/>
        <w:ind w:firstLine="420" w:firstLineChars="200"/>
        <w:rPr>
          <w:color w:val="auto"/>
          <w:szCs w:val="21"/>
          <w:highlight w:val="none"/>
        </w:rPr>
      </w:pPr>
      <w:r>
        <w:rPr>
          <w:rFonts w:hint="eastAsia"/>
          <w:color w:val="auto"/>
          <w:szCs w:val="21"/>
          <w:highlight w:val="none"/>
        </w:rPr>
        <w:t>5.除《中华人民共和国政府采购法》第五十条规定的情形外，本合同一经签订，甲乙双方不得擅自变更、中止或终止。</w:t>
      </w:r>
    </w:p>
    <w:p w14:paraId="4B9B3CA5">
      <w:pPr>
        <w:adjustRightInd w:val="0"/>
        <w:snapToGrid w:val="0"/>
        <w:ind w:firstLine="420" w:firstLineChars="200"/>
        <w:rPr>
          <w:color w:val="auto"/>
          <w:szCs w:val="21"/>
          <w:highlight w:val="none"/>
        </w:rPr>
      </w:pPr>
      <w:r>
        <w:rPr>
          <w:rFonts w:hint="eastAsia"/>
          <w:color w:val="auto"/>
          <w:szCs w:val="21"/>
          <w:highlight w:val="none"/>
        </w:rPr>
        <w:t>6.未经甲方书面同意，乙方不得擅自转让其应履行的合同义务。</w:t>
      </w:r>
    </w:p>
    <w:p w14:paraId="1D4C242D">
      <w:pPr>
        <w:adjustRightInd w:val="0"/>
        <w:snapToGrid w:val="0"/>
        <w:ind w:firstLine="422" w:firstLineChars="200"/>
        <w:rPr>
          <w:color w:val="auto"/>
          <w:szCs w:val="21"/>
          <w:highlight w:val="none"/>
        </w:rPr>
      </w:pPr>
      <w:r>
        <w:rPr>
          <w:b/>
          <w:color w:val="auto"/>
          <w:szCs w:val="21"/>
          <w:highlight w:val="none"/>
        </w:rPr>
        <w:t>第</w:t>
      </w:r>
      <w:r>
        <w:rPr>
          <w:rFonts w:hint="eastAsia"/>
          <w:b/>
          <w:color w:val="auto"/>
          <w:szCs w:val="21"/>
          <w:highlight w:val="none"/>
        </w:rPr>
        <w:t>四</w:t>
      </w:r>
      <w:r>
        <w:rPr>
          <w:b/>
          <w:color w:val="auto"/>
          <w:szCs w:val="21"/>
          <w:highlight w:val="none"/>
        </w:rPr>
        <w:t>条　</w:t>
      </w:r>
      <w:r>
        <w:rPr>
          <w:color w:val="auto"/>
          <w:szCs w:val="21"/>
          <w:highlight w:val="none"/>
        </w:rPr>
        <w:t>本合同一式</w:t>
      </w:r>
      <w:r>
        <w:rPr>
          <w:rFonts w:hint="eastAsia"/>
          <w:color w:val="auto"/>
          <w:szCs w:val="21"/>
          <w:highlight w:val="none"/>
        </w:rPr>
        <w:t>二</w:t>
      </w:r>
      <w:r>
        <w:rPr>
          <w:color w:val="auto"/>
          <w:szCs w:val="21"/>
          <w:highlight w:val="none"/>
        </w:rPr>
        <w:t>份，</w:t>
      </w:r>
      <w:r>
        <w:rPr>
          <w:rFonts w:hint="eastAsia"/>
          <w:color w:val="auto"/>
          <w:szCs w:val="21"/>
          <w:highlight w:val="none"/>
        </w:rPr>
        <w:t>双方各一份，</w:t>
      </w:r>
      <w:r>
        <w:rPr>
          <w:color w:val="auto"/>
          <w:szCs w:val="21"/>
          <w:highlight w:val="none"/>
        </w:rPr>
        <w:t>具有同等法律效力。</w:t>
      </w:r>
    </w:p>
    <w:p w14:paraId="0CEC9CA1">
      <w:pPr>
        <w:adjustRightInd w:val="0"/>
        <w:snapToGrid w:val="0"/>
        <w:ind w:firstLine="420" w:firstLineChars="200"/>
        <w:rPr>
          <w:color w:val="auto"/>
          <w:szCs w:val="21"/>
          <w:highlight w:val="none"/>
        </w:rPr>
      </w:pPr>
      <w:r>
        <w:rPr>
          <w:color w:val="auto"/>
          <w:szCs w:val="21"/>
          <w:highlight w:val="none"/>
        </w:rPr>
        <w:t>本合同经甲乙双方法定代表人或被授权代表签字并加盖单位公章后生效。</w:t>
      </w:r>
    </w:p>
    <w:tbl>
      <w:tblPr>
        <w:tblStyle w:val="51"/>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gridCol w:w="4777"/>
      </w:tblGrid>
      <w:tr w14:paraId="233F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4522" w:type="dxa"/>
            <w:vAlign w:val="center"/>
          </w:tcPr>
          <w:p w14:paraId="1AF91161">
            <w:pPr>
              <w:snapToGrid w:val="0"/>
              <w:spacing w:line="360" w:lineRule="exact"/>
              <w:rPr>
                <w:color w:val="auto"/>
                <w:szCs w:val="21"/>
                <w:highlight w:val="none"/>
              </w:rPr>
            </w:pPr>
            <w:r>
              <w:rPr>
                <w:color w:val="auto"/>
                <w:szCs w:val="21"/>
                <w:highlight w:val="none"/>
              </w:rPr>
              <w:t xml:space="preserve">甲方（章）      </w:t>
            </w:r>
          </w:p>
          <w:p w14:paraId="7EF1957B">
            <w:pPr>
              <w:snapToGrid w:val="0"/>
              <w:spacing w:line="360" w:lineRule="exact"/>
              <w:rPr>
                <w:color w:val="auto"/>
                <w:szCs w:val="21"/>
                <w:highlight w:val="none"/>
              </w:rPr>
            </w:pPr>
            <w:r>
              <w:rPr>
                <w:color w:val="auto"/>
                <w:szCs w:val="21"/>
                <w:highlight w:val="none"/>
              </w:rPr>
              <w:t xml:space="preserve">     </w:t>
            </w:r>
          </w:p>
          <w:p w14:paraId="3ACAB0FF">
            <w:pPr>
              <w:snapToGrid w:val="0"/>
              <w:spacing w:line="360" w:lineRule="exact"/>
              <w:ind w:firstLine="945" w:firstLineChars="450"/>
              <w:jc w:val="right"/>
              <w:rPr>
                <w:color w:val="auto"/>
                <w:szCs w:val="21"/>
                <w:highlight w:val="none"/>
              </w:rPr>
            </w:pPr>
            <w:r>
              <w:rPr>
                <w:rFonts w:hint="eastAsia"/>
                <w:color w:val="auto"/>
                <w:szCs w:val="21"/>
                <w:highlight w:val="none"/>
              </w:rPr>
              <w:t>年    月    日</w:t>
            </w:r>
          </w:p>
        </w:tc>
        <w:tc>
          <w:tcPr>
            <w:tcW w:w="4777" w:type="dxa"/>
            <w:vAlign w:val="center"/>
          </w:tcPr>
          <w:p w14:paraId="0ECA49A2">
            <w:pPr>
              <w:snapToGrid w:val="0"/>
              <w:spacing w:line="360" w:lineRule="exact"/>
              <w:rPr>
                <w:color w:val="auto"/>
                <w:szCs w:val="21"/>
                <w:highlight w:val="none"/>
              </w:rPr>
            </w:pPr>
            <w:r>
              <w:rPr>
                <w:color w:val="auto"/>
                <w:szCs w:val="21"/>
                <w:highlight w:val="none"/>
              </w:rPr>
              <w:t xml:space="preserve">乙方（章）       </w:t>
            </w:r>
          </w:p>
          <w:p w14:paraId="25E76B7B">
            <w:pPr>
              <w:snapToGrid w:val="0"/>
              <w:spacing w:line="360" w:lineRule="exact"/>
              <w:rPr>
                <w:color w:val="auto"/>
                <w:szCs w:val="21"/>
                <w:highlight w:val="none"/>
              </w:rPr>
            </w:pPr>
            <w:r>
              <w:rPr>
                <w:color w:val="auto"/>
                <w:szCs w:val="21"/>
                <w:highlight w:val="none"/>
              </w:rPr>
              <w:t xml:space="preserve">     </w:t>
            </w:r>
          </w:p>
          <w:p w14:paraId="3326C84B">
            <w:pPr>
              <w:snapToGrid w:val="0"/>
              <w:spacing w:line="360" w:lineRule="exact"/>
              <w:jc w:val="right"/>
              <w:rPr>
                <w:color w:val="auto"/>
                <w:szCs w:val="21"/>
                <w:highlight w:val="none"/>
              </w:rPr>
            </w:pPr>
            <w:r>
              <w:rPr>
                <w:rFonts w:hint="eastAsia"/>
                <w:color w:val="auto"/>
                <w:szCs w:val="21"/>
                <w:highlight w:val="none"/>
              </w:rPr>
              <w:t>年    月    日</w:t>
            </w:r>
          </w:p>
        </w:tc>
      </w:tr>
      <w:tr w14:paraId="5BC8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4522" w:type="dxa"/>
            <w:vAlign w:val="center"/>
          </w:tcPr>
          <w:p w14:paraId="2D3C3FE9">
            <w:pPr>
              <w:snapToGrid w:val="0"/>
              <w:spacing w:line="360" w:lineRule="exact"/>
              <w:rPr>
                <w:color w:val="auto"/>
                <w:szCs w:val="21"/>
                <w:highlight w:val="none"/>
              </w:rPr>
            </w:pPr>
            <w:r>
              <w:rPr>
                <w:color w:val="auto"/>
                <w:szCs w:val="21"/>
                <w:highlight w:val="none"/>
              </w:rPr>
              <w:t>法定代表人</w:t>
            </w:r>
            <w:r>
              <w:rPr>
                <w:rFonts w:hint="eastAsia"/>
                <w:color w:val="auto"/>
                <w:szCs w:val="21"/>
                <w:highlight w:val="none"/>
              </w:rPr>
              <w:t>或</w:t>
            </w:r>
            <w:r>
              <w:rPr>
                <w:color w:val="auto"/>
                <w:szCs w:val="21"/>
                <w:highlight w:val="none"/>
              </w:rPr>
              <w:t>委托代理人：</w:t>
            </w:r>
          </w:p>
        </w:tc>
        <w:tc>
          <w:tcPr>
            <w:tcW w:w="4777" w:type="dxa"/>
            <w:vAlign w:val="center"/>
          </w:tcPr>
          <w:p w14:paraId="7F728104">
            <w:pPr>
              <w:snapToGrid w:val="0"/>
              <w:spacing w:line="360" w:lineRule="exact"/>
              <w:rPr>
                <w:color w:val="auto"/>
                <w:szCs w:val="21"/>
                <w:highlight w:val="none"/>
              </w:rPr>
            </w:pPr>
            <w:r>
              <w:rPr>
                <w:color w:val="auto"/>
                <w:szCs w:val="21"/>
                <w:highlight w:val="none"/>
              </w:rPr>
              <w:t>法定代表人</w:t>
            </w:r>
            <w:r>
              <w:rPr>
                <w:rFonts w:hint="eastAsia"/>
                <w:color w:val="auto"/>
                <w:szCs w:val="21"/>
                <w:highlight w:val="none"/>
              </w:rPr>
              <w:t>或委托代理人</w:t>
            </w:r>
            <w:r>
              <w:rPr>
                <w:color w:val="auto"/>
                <w:szCs w:val="21"/>
                <w:highlight w:val="none"/>
              </w:rPr>
              <w:t>：</w:t>
            </w:r>
          </w:p>
        </w:tc>
      </w:tr>
    </w:tbl>
    <w:p w14:paraId="7D011CAC">
      <w:pPr>
        <w:widowControl/>
        <w:jc w:val="left"/>
        <w:rPr>
          <w:rFonts w:ascii="仿宋" w:hAnsi="仿宋" w:eastAsia="仿宋"/>
          <w:color w:val="auto"/>
          <w:szCs w:val="21"/>
          <w:highlight w:val="none"/>
          <w:u w:val="single"/>
        </w:rPr>
      </w:pPr>
    </w:p>
    <w:p w14:paraId="021399E8">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86" w:name="_Toc13126"/>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七</w:t>
      </w:r>
      <w:r>
        <w:rPr>
          <w:rFonts w:ascii="Times New Roman" w:hAnsi="Times New Roman" w:cs="Times New Roman"/>
          <w:color w:val="auto"/>
          <w:sz w:val="32"/>
          <w:szCs w:val="32"/>
          <w:highlight w:val="none"/>
        </w:rPr>
        <w:t>章  响应文件格式</w:t>
      </w:r>
      <w:bookmarkEnd w:id="86"/>
    </w:p>
    <w:p w14:paraId="7B3D4B19">
      <w:pPr>
        <w:rPr>
          <w:color w:val="auto"/>
          <w:sz w:val="28"/>
          <w:szCs w:val="28"/>
          <w:highlight w:val="none"/>
        </w:rPr>
      </w:pPr>
    </w:p>
    <w:p w14:paraId="0F283F92">
      <w:pPr>
        <w:rPr>
          <w:color w:val="auto"/>
          <w:sz w:val="28"/>
          <w:szCs w:val="28"/>
          <w:highlight w:val="none"/>
        </w:rPr>
      </w:pPr>
    </w:p>
    <w:p w14:paraId="7ECBCE13">
      <w:pPr>
        <w:rPr>
          <w:color w:val="auto"/>
          <w:sz w:val="28"/>
          <w:szCs w:val="28"/>
          <w:highlight w:val="none"/>
        </w:rPr>
      </w:pPr>
    </w:p>
    <w:p w14:paraId="7767EA09">
      <w:pPr>
        <w:rPr>
          <w:color w:val="auto"/>
          <w:sz w:val="28"/>
          <w:szCs w:val="28"/>
          <w:highlight w:val="none"/>
        </w:rPr>
      </w:pPr>
    </w:p>
    <w:p w14:paraId="75A7535B">
      <w:pPr>
        <w:spacing w:line="500" w:lineRule="exact"/>
        <w:ind w:firstLine="560" w:firstLineChars="200"/>
        <w:rPr>
          <w:color w:val="auto"/>
          <w:sz w:val="28"/>
          <w:szCs w:val="28"/>
          <w:highlight w:val="none"/>
        </w:rPr>
      </w:pPr>
      <w:r>
        <w:rPr>
          <w:rFonts w:hint="eastAsia"/>
          <w:color w:val="auto"/>
          <w:sz w:val="28"/>
          <w:szCs w:val="28"/>
          <w:highlight w:val="none"/>
        </w:rPr>
        <w:t>注：有签字、盖章要求的应按要求</w:t>
      </w:r>
      <w:bookmarkStart w:id="87" w:name="_Hlk89032274"/>
      <w:r>
        <w:rPr>
          <w:rFonts w:hint="eastAsia"/>
          <w:color w:val="auto"/>
          <w:sz w:val="28"/>
          <w:szCs w:val="28"/>
          <w:highlight w:val="none"/>
        </w:rPr>
        <w:t>签字（签章）、盖章（签章）</w:t>
      </w:r>
      <w:bookmarkEnd w:id="87"/>
      <w:r>
        <w:rPr>
          <w:rFonts w:hint="eastAsia"/>
          <w:color w:val="auto"/>
          <w:sz w:val="28"/>
          <w:szCs w:val="28"/>
          <w:highlight w:val="none"/>
        </w:rPr>
        <w:t>。</w:t>
      </w:r>
    </w:p>
    <w:p w14:paraId="266520A4">
      <w:pPr>
        <w:snapToGrid w:val="0"/>
        <w:spacing w:before="120" w:beforeLines="50" w:after="50" w:line="440" w:lineRule="exact"/>
        <w:jc w:val="left"/>
        <w:outlineLvl w:val="1"/>
        <w:rPr>
          <w:bCs/>
          <w:color w:val="auto"/>
          <w:sz w:val="24"/>
          <w:highlight w:val="none"/>
        </w:rPr>
      </w:pPr>
      <w:r>
        <w:rPr>
          <w:color w:val="auto"/>
          <w:highlight w:val="none"/>
        </w:rPr>
        <w:br w:type="page"/>
      </w:r>
      <w:bookmarkStart w:id="88" w:name="_Toc254970698"/>
      <w:bookmarkStart w:id="89" w:name="_Toc254970557"/>
      <w:r>
        <w:rPr>
          <w:rFonts w:hint="eastAsia"/>
          <w:bCs/>
          <w:color w:val="auto"/>
          <w:sz w:val="24"/>
          <w:highlight w:val="none"/>
        </w:rPr>
        <w:t>1</w:t>
      </w:r>
      <w:r>
        <w:rPr>
          <w:bCs/>
          <w:color w:val="auto"/>
          <w:sz w:val="24"/>
          <w:highlight w:val="none"/>
        </w:rPr>
        <w:t>．响应文件封面参考格式</w:t>
      </w:r>
      <w:r>
        <w:rPr>
          <w:rFonts w:hint="eastAsia"/>
          <w:bCs/>
          <w:color w:val="auto"/>
          <w:sz w:val="24"/>
          <w:highlight w:val="none"/>
        </w:rPr>
        <w:t>（资格证明文件）</w:t>
      </w:r>
      <w:r>
        <w:rPr>
          <w:bCs/>
          <w:color w:val="auto"/>
          <w:sz w:val="24"/>
          <w:highlight w:val="none"/>
        </w:rPr>
        <w:t xml:space="preserve">： </w:t>
      </w:r>
    </w:p>
    <w:p w14:paraId="009BC302">
      <w:pPr>
        <w:snapToGrid w:val="0"/>
        <w:spacing w:before="120" w:beforeLines="50" w:after="50" w:line="360" w:lineRule="exact"/>
        <w:rPr>
          <w:color w:val="auto"/>
          <w:sz w:val="24"/>
          <w:highlight w:val="none"/>
        </w:rPr>
      </w:pPr>
    </w:p>
    <w:p w14:paraId="4326B9F0">
      <w:pPr>
        <w:snapToGrid w:val="0"/>
        <w:spacing w:before="120" w:beforeLines="50" w:after="50" w:line="360" w:lineRule="exact"/>
        <w:jc w:val="center"/>
        <w:rPr>
          <w:bCs/>
          <w:color w:val="auto"/>
          <w:sz w:val="24"/>
          <w:highlight w:val="none"/>
        </w:rPr>
      </w:pPr>
    </w:p>
    <w:p w14:paraId="6006C98D">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68F664FE">
      <w:pPr>
        <w:snapToGrid w:val="0"/>
        <w:spacing w:before="120" w:beforeLines="50" w:after="50" w:line="360" w:lineRule="exact"/>
        <w:jc w:val="center"/>
        <w:rPr>
          <w:b/>
          <w:bCs/>
          <w:color w:val="auto"/>
          <w:sz w:val="44"/>
          <w:szCs w:val="44"/>
          <w:highlight w:val="none"/>
        </w:rPr>
      </w:pPr>
    </w:p>
    <w:p w14:paraId="6558F01A">
      <w:pPr>
        <w:snapToGrid w:val="0"/>
        <w:spacing w:before="120" w:beforeLines="50" w:after="50" w:line="360" w:lineRule="exact"/>
        <w:jc w:val="center"/>
        <w:rPr>
          <w:b/>
          <w:bCs/>
          <w:color w:val="auto"/>
          <w:sz w:val="44"/>
          <w:szCs w:val="44"/>
          <w:highlight w:val="none"/>
        </w:rPr>
      </w:pPr>
    </w:p>
    <w:p w14:paraId="66D1C90F">
      <w:pPr>
        <w:snapToGrid w:val="0"/>
        <w:spacing w:before="120" w:beforeLines="50" w:after="50" w:line="360" w:lineRule="exact"/>
        <w:jc w:val="center"/>
        <w:rPr>
          <w:b/>
          <w:bCs/>
          <w:color w:val="auto"/>
          <w:sz w:val="44"/>
          <w:szCs w:val="44"/>
          <w:highlight w:val="none"/>
        </w:rPr>
      </w:pPr>
      <w:r>
        <w:rPr>
          <w:b/>
          <w:bCs/>
          <w:color w:val="auto"/>
          <w:sz w:val="44"/>
          <w:szCs w:val="44"/>
          <w:highlight w:val="none"/>
        </w:rPr>
        <w:t>资格</w:t>
      </w:r>
      <w:r>
        <w:rPr>
          <w:rFonts w:hint="eastAsia"/>
          <w:b/>
          <w:bCs/>
          <w:color w:val="auto"/>
          <w:sz w:val="44"/>
          <w:szCs w:val="44"/>
          <w:highlight w:val="none"/>
        </w:rPr>
        <w:t>证明</w:t>
      </w:r>
      <w:r>
        <w:rPr>
          <w:b/>
          <w:bCs/>
          <w:color w:val="auto"/>
          <w:sz w:val="44"/>
          <w:szCs w:val="44"/>
          <w:highlight w:val="none"/>
        </w:rPr>
        <w:t>文件</w:t>
      </w:r>
    </w:p>
    <w:p w14:paraId="1D3E818C">
      <w:pPr>
        <w:snapToGrid w:val="0"/>
        <w:spacing w:before="120" w:beforeLines="50" w:after="50" w:line="360" w:lineRule="exact"/>
        <w:rPr>
          <w:bCs/>
          <w:color w:val="auto"/>
          <w:sz w:val="24"/>
          <w:highlight w:val="none"/>
        </w:rPr>
      </w:pPr>
    </w:p>
    <w:p w14:paraId="32965F3B">
      <w:pPr>
        <w:snapToGrid w:val="0"/>
        <w:spacing w:before="120" w:beforeLines="50" w:after="50" w:line="360" w:lineRule="exact"/>
        <w:rPr>
          <w:bCs/>
          <w:color w:val="auto"/>
          <w:sz w:val="24"/>
          <w:highlight w:val="none"/>
        </w:rPr>
      </w:pPr>
    </w:p>
    <w:p w14:paraId="6FE88BEF">
      <w:pPr>
        <w:snapToGrid w:val="0"/>
        <w:spacing w:before="120" w:beforeLines="50" w:after="50" w:line="360" w:lineRule="exact"/>
        <w:rPr>
          <w:bCs/>
          <w:color w:val="auto"/>
          <w:sz w:val="24"/>
          <w:highlight w:val="none"/>
        </w:rPr>
      </w:pPr>
    </w:p>
    <w:p w14:paraId="5D49D679">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33DEB311">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3092DB40">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ED43510">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64FCAA15">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759C31B8">
      <w:pPr>
        <w:pStyle w:val="7"/>
        <w:snapToGrid w:val="0"/>
        <w:spacing w:before="50" w:after="50" w:line="360" w:lineRule="exact"/>
        <w:ind w:firstLine="960" w:firstLineChars="400"/>
        <w:rPr>
          <w:bCs/>
          <w:color w:val="auto"/>
          <w:sz w:val="24"/>
          <w:szCs w:val="24"/>
          <w:highlight w:val="none"/>
        </w:rPr>
      </w:pPr>
    </w:p>
    <w:p w14:paraId="2A09DB03">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2FCDD3C">
      <w:pPr>
        <w:snapToGrid w:val="0"/>
        <w:spacing w:before="120" w:beforeLines="50" w:after="50" w:line="360" w:lineRule="exact"/>
        <w:rPr>
          <w:b/>
          <w:bCs/>
          <w:color w:val="auto"/>
          <w:sz w:val="24"/>
          <w:highlight w:val="none"/>
        </w:rPr>
      </w:pPr>
      <w:r>
        <w:rPr>
          <w:color w:val="auto"/>
          <w:highlight w:val="none"/>
        </w:rPr>
        <w:br w:type="page"/>
      </w:r>
      <w:bookmarkEnd w:id="88"/>
      <w:bookmarkEnd w:id="89"/>
      <w:r>
        <w:rPr>
          <w:b/>
          <w:bCs/>
          <w:color w:val="auto"/>
          <w:sz w:val="24"/>
          <w:highlight w:val="none"/>
        </w:rPr>
        <w:t xml:space="preserve"> </w:t>
      </w:r>
    </w:p>
    <w:p w14:paraId="56242306">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4DE9D409">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7E23D9FD">
      <w:pPr>
        <w:snapToGrid w:val="0"/>
        <w:spacing w:before="50" w:after="50" w:line="440" w:lineRule="exact"/>
        <w:rPr>
          <w:rFonts w:ascii="Calibri" w:hAnsi="Calibri"/>
          <w:b/>
          <w:color w:val="auto"/>
          <w:sz w:val="24"/>
          <w:highlight w:val="none"/>
        </w:rPr>
      </w:pPr>
      <w:r>
        <w:rPr>
          <w:b/>
          <w:color w:val="auto"/>
          <w:sz w:val="24"/>
          <w:highlight w:val="none"/>
        </w:rPr>
        <w:br w:type="page"/>
      </w:r>
      <w:r>
        <w:rPr>
          <w:bCs/>
          <w:color w:val="auto"/>
          <w:sz w:val="24"/>
          <w:highlight w:val="none"/>
        </w:rPr>
        <w:t xml:space="preserve"> </w:t>
      </w:r>
      <w:r>
        <w:rPr>
          <w:rFonts w:ascii="Calibri" w:hAnsi="Calibri"/>
          <w:b/>
          <w:color w:val="auto"/>
          <w:szCs w:val="21"/>
          <w:highlight w:val="none"/>
        </w:rPr>
        <w:t>1．</w:t>
      </w:r>
      <w:r>
        <w:rPr>
          <w:rFonts w:hint="eastAsia" w:ascii="Calibri" w:hAnsi="Calibri"/>
          <w:b/>
          <w:color w:val="auto"/>
          <w:szCs w:val="21"/>
          <w:highlight w:val="none"/>
        </w:rPr>
        <w:t>贺州市政府采购供应商信用承诺函</w:t>
      </w:r>
      <w:r>
        <w:rPr>
          <w:rFonts w:ascii="Calibri" w:hAnsi="Calibri"/>
          <w:b/>
          <w:color w:val="auto"/>
          <w:szCs w:val="21"/>
          <w:highlight w:val="none"/>
        </w:rPr>
        <w:t>格式：</w:t>
      </w:r>
    </w:p>
    <w:p w14:paraId="1211396C">
      <w:pPr>
        <w:snapToGrid w:val="0"/>
        <w:spacing w:before="50" w:after="50" w:line="440" w:lineRule="exact"/>
        <w:ind w:firstLine="103" w:firstLineChars="49"/>
        <w:jc w:val="center"/>
        <w:rPr>
          <w:rFonts w:ascii="Calibri" w:hAnsi="Calibri"/>
          <w:b/>
          <w:bCs/>
          <w:color w:val="auto"/>
          <w:sz w:val="32"/>
          <w:szCs w:val="32"/>
          <w:highlight w:val="none"/>
        </w:rPr>
      </w:pPr>
      <w:r>
        <w:rPr>
          <w:rFonts w:hint="eastAsia"/>
          <w:b/>
          <w:color w:val="auto"/>
          <w:szCs w:val="21"/>
          <w:highlight w:val="none"/>
        </w:rPr>
        <w:t>贺州市政府采购供应商信用承诺函</w:t>
      </w:r>
    </w:p>
    <w:p w14:paraId="04F0B1CF">
      <w:pPr>
        <w:spacing w:line="560" w:lineRule="exact"/>
        <w:rPr>
          <w:rFonts w:ascii="宋体" w:hAnsi="宋体" w:cs="宋体"/>
          <w:color w:val="auto"/>
          <w:szCs w:val="21"/>
          <w:highlight w:val="none"/>
        </w:rPr>
      </w:pPr>
      <w:r>
        <w:rPr>
          <w:rFonts w:hint="eastAsia" w:ascii="宋体" w:hAnsi="宋体" w:cs="宋体"/>
          <w:color w:val="auto"/>
          <w:szCs w:val="21"/>
          <w:highlight w:val="none"/>
        </w:rPr>
        <w:t>致（采购人或采购代理机构）：</w:t>
      </w:r>
    </w:p>
    <w:p w14:paraId="0BF09D43">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供应商名称：</w:t>
      </w:r>
    </w:p>
    <w:p w14:paraId="07A5D5DA">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统一社会信用代码：</w:t>
      </w:r>
    </w:p>
    <w:p w14:paraId="49865E3D">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供应商地址：</w:t>
      </w:r>
    </w:p>
    <w:p w14:paraId="7A55808C">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937198E">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1.我单位具有符合采购文件资格要求独立承担民事责任的能力。</w:t>
      </w:r>
    </w:p>
    <w:p w14:paraId="64407F22">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2.我单位具有符合采购文件资格要求的财务状况报告。</w:t>
      </w:r>
    </w:p>
    <w:p w14:paraId="7E8628FE">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3.我单位具有符合采购文件资格要求的依法缴纳税收和社会保障记录的良好记录。</w:t>
      </w:r>
    </w:p>
    <w:p w14:paraId="52C1A017">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4.我单位具有符合采购文件资格要求履行合同所必需的设备和专业技术能力。</w:t>
      </w:r>
    </w:p>
    <w:p w14:paraId="7DCBA128">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56E7C7B4">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若我单位承诺不实，自愿承担提供虚假材料谋取中标、成交的法律责任。</w:t>
      </w:r>
    </w:p>
    <w:p w14:paraId="26834E2F">
      <w:pPr>
        <w:spacing w:line="560" w:lineRule="exact"/>
        <w:ind w:firstLine="420" w:firstLineChars="200"/>
        <w:rPr>
          <w:rFonts w:ascii="宋体" w:hAnsi="宋体" w:cs="宋体"/>
          <w:color w:val="auto"/>
          <w:szCs w:val="21"/>
          <w:highlight w:val="none"/>
        </w:rPr>
      </w:pPr>
    </w:p>
    <w:p w14:paraId="21936413">
      <w:pPr>
        <w:wordWrap w:val="0"/>
        <w:spacing w:line="560" w:lineRule="exact"/>
        <w:ind w:firstLine="2415" w:firstLineChars="1150"/>
        <w:jc w:val="right"/>
        <w:rPr>
          <w:rFonts w:ascii="宋体" w:hAnsi="宋体" w:cs="宋体"/>
          <w:color w:val="auto"/>
          <w:szCs w:val="21"/>
          <w:highlight w:val="none"/>
        </w:rPr>
      </w:pPr>
      <w:r>
        <w:rPr>
          <w:rFonts w:hint="eastAsia" w:ascii="宋体" w:hAnsi="宋体" w:cs="宋体"/>
          <w:color w:val="auto"/>
          <w:szCs w:val="21"/>
          <w:highlight w:val="none"/>
        </w:rPr>
        <w:t xml:space="preserve">供应商名称（公章）：     </w:t>
      </w:r>
    </w:p>
    <w:p w14:paraId="605DB3E8">
      <w:pPr>
        <w:wordWrap w:val="0"/>
        <w:spacing w:line="560" w:lineRule="exact"/>
        <w:ind w:firstLine="1470" w:firstLineChars="700"/>
        <w:jc w:val="right"/>
        <w:rPr>
          <w:rFonts w:ascii="宋体" w:hAnsi="宋体" w:cs="宋体"/>
          <w:color w:val="auto"/>
          <w:szCs w:val="21"/>
          <w:highlight w:val="none"/>
        </w:rPr>
      </w:pPr>
      <w:r>
        <w:rPr>
          <w:rFonts w:hint="eastAsia" w:ascii="宋体" w:hAnsi="宋体" w:cs="宋体"/>
          <w:color w:val="auto"/>
          <w:szCs w:val="21"/>
          <w:highlight w:val="none"/>
        </w:rPr>
        <w:t xml:space="preserve">法定代表人或授权代表(签名或盖章)：     </w:t>
      </w:r>
    </w:p>
    <w:p w14:paraId="0A80D79A">
      <w:pPr>
        <w:spacing w:line="560" w:lineRule="exact"/>
        <w:ind w:firstLine="2940" w:firstLineChars="1400"/>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3794DEA8">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注：1.供应商须在投标（响应）文件中按此模板提供承诺函，未提供视为未实质性响应招标（采购）文件要求，按无效投标（响应）处理。</w:t>
      </w:r>
    </w:p>
    <w:p w14:paraId="5E975CDB">
      <w:pPr>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2.供应商的法定代表人（其他组织的为负责人）或者授权代表的签名或盖章应真实、有效，如由授权代表签名或盖章的，应提供“法定代表人授权书”。</w:t>
      </w:r>
    </w:p>
    <w:p w14:paraId="13129A7D">
      <w:pPr>
        <w:snapToGrid w:val="0"/>
        <w:spacing w:before="50" w:after="120" w:afterLines="50" w:line="440" w:lineRule="exact"/>
        <w:jc w:val="left"/>
        <w:rPr>
          <w:rFonts w:ascii="Calibri" w:hAnsi="Calibri"/>
          <w:b/>
          <w:color w:val="auto"/>
          <w:szCs w:val="21"/>
          <w:highlight w:val="none"/>
        </w:rPr>
      </w:pPr>
      <w:r>
        <w:rPr>
          <w:rFonts w:ascii="Calibri" w:hAnsi="Calibri"/>
          <w:color w:val="auto"/>
          <w:szCs w:val="21"/>
          <w:highlight w:val="none"/>
        </w:rPr>
        <w:br w:type="page"/>
      </w:r>
      <w:r>
        <w:rPr>
          <w:rFonts w:ascii="Calibri" w:hAnsi="Calibri"/>
          <w:color w:val="auto"/>
          <w:szCs w:val="21"/>
          <w:highlight w:val="none"/>
        </w:rPr>
        <w:t>2．</w:t>
      </w:r>
      <w:r>
        <w:rPr>
          <w:rFonts w:ascii="Calibri" w:hAnsi="Calibri"/>
          <w:color w:val="auto"/>
          <w:highlight w:val="none"/>
        </w:rPr>
        <w:t>满足供应商特定资格条件的其他证明材料</w:t>
      </w:r>
      <w:r>
        <w:rPr>
          <w:rFonts w:ascii="Calibri" w:hAnsi="Calibri"/>
          <w:color w:val="auto"/>
          <w:szCs w:val="21"/>
          <w:highlight w:val="none"/>
        </w:rPr>
        <w:t>加盖供应商</w:t>
      </w:r>
      <w:r>
        <w:rPr>
          <w:rFonts w:hint="eastAsia" w:ascii="Calibri" w:hAnsi="Calibri"/>
          <w:color w:val="auto"/>
          <w:szCs w:val="21"/>
          <w:highlight w:val="none"/>
        </w:rPr>
        <w:t>电子签章</w:t>
      </w:r>
      <w:r>
        <w:rPr>
          <w:rFonts w:ascii="Calibri" w:hAnsi="Calibri"/>
          <w:color w:val="auto"/>
          <w:highlight w:val="none"/>
        </w:rPr>
        <w:t>（</w:t>
      </w:r>
      <w:r>
        <w:rPr>
          <w:rFonts w:ascii="Calibri" w:hAnsi="Calibri"/>
          <w:color w:val="auto"/>
          <w:szCs w:val="21"/>
          <w:highlight w:val="none"/>
        </w:rPr>
        <w:t>按“评审方法及标准” “资格审查表”“</w:t>
      </w:r>
      <w:r>
        <w:rPr>
          <w:rFonts w:ascii="Calibri" w:hAnsi="Calibri"/>
          <w:color w:val="auto"/>
          <w:szCs w:val="21"/>
          <w:highlight w:val="none"/>
          <w:lang w:val="zh-CN"/>
        </w:rPr>
        <w:t xml:space="preserve"> 供应商应符合的</w:t>
      </w:r>
      <w:r>
        <w:rPr>
          <w:rFonts w:ascii="Calibri" w:hAnsi="Calibri"/>
          <w:color w:val="auto"/>
          <w:szCs w:val="21"/>
          <w:highlight w:val="none"/>
        </w:rPr>
        <w:t>特定资格条件”规定提供</w:t>
      </w:r>
      <w:r>
        <w:rPr>
          <w:rFonts w:ascii="Calibri" w:hAnsi="Calibri"/>
          <w:color w:val="auto"/>
          <w:highlight w:val="none"/>
        </w:rPr>
        <w:t>）。</w:t>
      </w:r>
      <w:r>
        <w:rPr>
          <w:rFonts w:hint="eastAsia" w:ascii="Calibri" w:hAnsi="Calibri"/>
          <w:b/>
          <w:color w:val="auto"/>
          <w:szCs w:val="21"/>
          <w:highlight w:val="none"/>
        </w:rPr>
        <w:t>（如征集文件有要求时提供）</w:t>
      </w:r>
    </w:p>
    <w:p w14:paraId="723E9FDA">
      <w:pPr>
        <w:snapToGrid w:val="0"/>
        <w:spacing w:before="50" w:after="120" w:afterLines="50" w:line="360" w:lineRule="auto"/>
        <w:jc w:val="left"/>
        <w:rPr>
          <w:rFonts w:ascii="Calibri" w:hAnsi="Calibri"/>
          <w:color w:val="auto"/>
          <w:szCs w:val="21"/>
          <w:highlight w:val="none"/>
        </w:rPr>
      </w:pPr>
      <w:r>
        <w:rPr>
          <w:rFonts w:ascii="Calibri" w:hAnsi="Calibri"/>
          <w:color w:val="auto"/>
          <w:szCs w:val="21"/>
          <w:highlight w:val="none"/>
        </w:rPr>
        <w:br w:type="page"/>
      </w:r>
      <w:r>
        <w:rPr>
          <w:rFonts w:hint="eastAsia" w:ascii="Calibri" w:hAnsi="Calibri"/>
          <w:color w:val="auto"/>
          <w:szCs w:val="21"/>
          <w:highlight w:val="none"/>
        </w:rPr>
        <w:t>2</w:t>
      </w:r>
      <w:r>
        <w:rPr>
          <w:rFonts w:ascii="Calibri" w:hAnsi="Calibri"/>
          <w:color w:val="auto"/>
          <w:szCs w:val="21"/>
          <w:highlight w:val="none"/>
        </w:rPr>
        <w:t>.1</w:t>
      </w:r>
      <w:r>
        <w:rPr>
          <w:rFonts w:hint="eastAsia" w:ascii="Calibri" w:hAnsi="Calibri"/>
          <w:color w:val="auto"/>
          <w:szCs w:val="21"/>
          <w:highlight w:val="none"/>
        </w:rPr>
        <w:t>供应商直接控股股东信息表</w:t>
      </w:r>
    </w:p>
    <w:tbl>
      <w:tblPr>
        <w:tblStyle w:val="51"/>
        <w:tblW w:w="9476" w:type="dxa"/>
        <w:tblInd w:w="125" w:type="dxa"/>
        <w:shd w:val="clear" w:color="auto" w:fill="FFFFFF"/>
        <w:tblLayout w:type="fixed"/>
        <w:tblCellMar>
          <w:top w:w="0" w:type="dxa"/>
          <w:left w:w="0" w:type="dxa"/>
          <w:bottom w:w="0" w:type="dxa"/>
          <w:right w:w="0" w:type="dxa"/>
        </w:tblCellMar>
      </w:tblPr>
      <w:tblGrid>
        <w:gridCol w:w="828"/>
        <w:gridCol w:w="2269"/>
        <w:gridCol w:w="1239"/>
        <w:gridCol w:w="3722"/>
        <w:gridCol w:w="1418"/>
      </w:tblGrid>
      <w:tr w14:paraId="2CE06BF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272E354">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2E34AAC">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276B261">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929378F">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6027B75">
            <w:pPr>
              <w:spacing w:line="360" w:lineRule="auto"/>
              <w:jc w:val="center"/>
              <w:rPr>
                <w:color w:val="auto"/>
                <w:szCs w:val="21"/>
                <w:highlight w:val="none"/>
              </w:rPr>
            </w:pPr>
            <w:r>
              <w:rPr>
                <w:rFonts w:hint="eastAsia"/>
                <w:color w:val="auto"/>
                <w:szCs w:val="21"/>
                <w:highlight w:val="none"/>
              </w:rPr>
              <w:t>备注</w:t>
            </w:r>
          </w:p>
        </w:tc>
      </w:tr>
      <w:tr w14:paraId="56F74FF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EAE011B">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FD14571">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8D25F7D">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049D76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838E0DA">
            <w:pPr>
              <w:spacing w:line="360" w:lineRule="auto"/>
              <w:jc w:val="center"/>
              <w:rPr>
                <w:color w:val="auto"/>
                <w:szCs w:val="21"/>
                <w:highlight w:val="none"/>
              </w:rPr>
            </w:pPr>
          </w:p>
        </w:tc>
      </w:tr>
      <w:tr w14:paraId="775B2F0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B02308C">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D6A883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66846D1">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250A4B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9CDB396">
            <w:pPr>
              <w:spacing w:line="360" w:lineRule="auto"/>
              <w:jc w:val="center"/>
              <w:rPr>
                <w:color w:val="auto"/>
                <w:szCs w:val="21"/>
                <w:highlight w:val="none"/>
              </w:rPr>
            </w:pPr>
          </w:p>
        </w:tc>
      </w:tr>
      <w:tr w14:paraId="4C75E89E">
        <w:tblPrEx>
          <w:shd w:val="clear" w:color="auto" w:fill="FFFFFF"/>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BE3C28F">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2F9F19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22310A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90DD781">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F0EC366">
            <w:pPr>
              <w:spacing w:line="360" w:lineRule="auto"/>
              <w:jc w:val="center"/>
              <w:rPr>
                <w:color w:val="auto"/>
                <w:szCs w:val="21"/>
                <w:highlight w:val="none"/>
              </w:rPr>
            </w:pPr>
          </w:p>
        </w:tc>
      </w:tr>
      <w:tr w14:paraId="08CA058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3D8C482">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F8265CD">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1437B6D">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7CC65A4">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1AEC0CF">
            <w:pPr>
              <w:spacing w:line="360" w:lineRule="auto"/>
              <w:jc w:val="center"/>
              <w:rPr>
                <w:color w:val="auto"/>
                <w:szCs w:val="21"/>
                <w:highlight w:val="none"/>
              </w:rPr>
            </w:pPr>
          </w:p>
        </w:tc>
      </w:tr>
    </w:tbl>
    <w:p w14:paraId="314E7693">
      <w:pPr>
        <w:snapToGrid w:val="0"/>
        <w:spacing w:line="360" w:lineRule="auto"/>
        <w:jc w:val="left"/>
        <w:rPr>
          <w:rFonts w:ascii="Calibri" w:hAnsi="Calibri"/>
          <w:color w:val="auto"/>
          <w:szCs w:val="21"/>
          <w:highlight w:val="none"/>
        </w:rPr>
      </w:pPr>
      <w:r>
        <w:rPr>
          <w:rFonts w:hint="eastAsia" w:ascii="Calibri" w:hAnsi="Calibri"/>
          <w:color w:val="auto"/>
          <w:szCs w:val="21"/>
          <w:highlight w:val="none"/>
        </w:rPr>
        <w:t>注：</w:t>
      </w:r>
    </w:p>
    <w:p w14:paraId="593E6341">
      <w:pPr>
        <w:snapToGrid w:val="0"/>
        <w:spacing w:line="360" w:lineRule="auto"/>
        <w:jc w:val="left"/>
        <w:rPr>
          <w:rFonts w:ascii="Calibri" w:hAnsi="Calibri"/>
          <w:color w:val="auto"/>
          <w:szCs w:val="21"/>
          <w:highlight w:val="none"/>
        </w:rPr>
      </w:pPr>
      <w:r>
        <w:rPr>
          <w:rFonts w:hint="eastAsia" w:ascii="Calibri" w:hAnsi="Calibri"/>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E4AB0F">
      <w:pPr>
        <w:snapToGrid w:val="0"/>
        <w:spacing w:line="360" w:lineRule="auto"/>
        <w:jc w:val="left"/>
        <w:rPr>
          <w:rFonts w:ascii="Calibri" w:hAnsi="Calibri"/>
          <w:color w:val="auto"/>
          <w:szCs w:val="21"/>
          <w:highlight w:val="none"/>
        </w:rPr>
      </w:pPr>
      <w:r>
        <w:rPr>
          <w:rFonts w:hint="eastAsia" w:ascii="Calibri" w:hAnsi="Calibri"/>
          <w:color w:val="auto"/>
          <w:szCs w:val="21"/>
          <w:highlight w:val="none"/>
        </w:rPr>
        <w:t>2.本表所指的控股关系仅限于直接控股关系，不包括间接的控股关系。公司实际控制人与公司之间的关系不属于本表所指的直接控股关系。</w:t>
      </w:r>
    </w:p>
    <w:p w14:paraId="507EE3D2">
      <w:pPr>
        <w:snapToGrid w:val="0"/>
        <w:spacing w:line="360" w:lineRule="auto"/>
        <w:jc w:val="left"/>
        <w:rPr>
          <w:rFonts w:ascii="Calibri" w:hAnsi="Calibri"/>
          <w:color w:val="auto"/>
          <w:szCs w:val="21"/>
          <w:highlight w:val="none"/>
        </w:rPr>
      </w:pPr>
      <w:r>
        <w:rPr>
          <w:rFonts w:hint="eastAsia" w:ascii="Calibri" w:hAnsi="Calibri"/>
          <w:color w:val="auto"/>
          <w:szCs w:val="21"/>
          <w:highlight w:val="none"/>
        </w:rPr>
        <w:t>3.供应商不存在直接控股股东的，则填“无”。</w:t>
      </w:r>
    </w:p>
    <w:p w14:paraId="4202E28A">
      <w:pPr>
        <w:snapToGrid w:val="0"/>
        <w:spacing w:line="360" w:lineRule="auto"/>
        <w:jc w:val="left"/>
        <w:rPr>
          <w:rFonts w:ascii="Calibri" w:hAnsi="Calibri"/>
          <w:color w:val="auto"/>
          <w:szCs w:val="21"/>
          <w:highlight w:val="none"/>
        </w:rPr>
      </w:pPr>
    </w:p>
    <w:p w14:paraId="29AB5DBC">
      <w:pPr>
        <w:snapToGrid w:val="0"/>
        <w:spacing w:line="360" w:lineRule="auto"/>
        <w:jc w:val="left"/>
        <w:rPr>
          <w:rFonts w:ascii="Calibri" w:hAnsi="Calibri"/>
          <w:color w:val="auto"/>
          <w:szCs w:val="21"/>
          <w:highlight w:val="none"/>
        </w:rPr>
      </w:pPr>
    </w:p>
    <w:p w14:paraId="56BCEEBE">
      <w:pPr>
        <w:snapToGrid w:val="0"/>
        <w:spacing w:line="360" w:lineRule="auto"/>
        <w:jc w:val="left"/>
        <w:rPr>
          <w:rFonts w:ascii="Calibri" w:hAnsi="Calibri"/>
          <w:color w:val="auto"/>
          <w:szCs w:val="21"/>
          <w:highlight w:val="none"/>
        </w:rPr>
      </w:pPr>
    </w:p>
    <w:p w14:paraId="5BCABD3B">
      <w:pPr>
        <w:snapToGrid w:val="0"/>
        <w:spacing w:line="360" w:lineRule="auto"/>
        <w:jc w:val="left"/>
        <w:rPr>
          <w:rFonts w:ascii="Calibri" w:hAnsi="Calibri"/>
          <w:color w:val="auto"/>
          <w:szCs w:val="21"/>
          <w:highlight w:val="none"/>
        </w:rPr>
      </w:pPr>
    </w:p>
    <w:p w14:paraId="3D7C1E31">
      <w:pPr>
        <w:snapToGrid w:val="0"/>
        <w:spacing w:line="360" w:lineRule="auto"/>
        <w:jc w:val="left"/>
        <w:rPr>
          <w:rFonts w:ascii="Calibri" w:hAnsi="Calibri"/>
          <w:color w:val="auto"/>
          <w:szCs w:val="21"/>
          <w:highlight w:val="none"/>
        </w:rPr>
      </w:pPr>
    </w:p>
    <w:p w14:paraId="3E13D26F">
      <w:pPr>
        <w:snapToGrid w:val="0"/>
        <w:spacing w:line="360" w:lineRule="auto"/>
        <w:ind w:firstLine="4410" w:firstLineChars="2100"/>
        <w:rPr>
          <w:rFonts w:ascii="Calibri" w:hAnsi="Calibri"/>
          <w:color w:val="auto"/>
          <w:szCs w:val="21"/>
          <w:highlight w:val="none"/>
        </w:rPr>
      </w:pPr>
      <w:r>
        <w:rPr>
          <w:rFonts w:hint="eastAsia" w:ascii="Calibri" w:hAnsi="Calibri"/>
          <w:color w:val="auto"/>
          <w:szCs w:val="21"/>
          <w:highlight w:val="none"/>
        </w:rPr>
        <w:t>供应商名称(电子签章)：</w:t>
      </w:r>
    </w:p>
    <w:p w14:paraId="487C3318">
      <w:pPr>
        <w:snapToGrid w:val="0"/>
        <w:spacing w:line="360" w:lineRule="auto"/>
        <w:ind w:firstLine="4515" w:firstLineChars="2150"/>
        <w:rPr>
          <w:rFonts w:ascii="Calibri" w:hAnsi="Calibri"/>
          <w:color w:val="auto"/>
          <w:szCs w:val="21"/>
          <w:highlight w:val="none"/>
        </w:rPr>
      </w:pPr>
      <w:r>
        <w:rPr>
          <w:rFonts w:hint="eastAsia" w:ascii="Calibri" w:hAnsi="Calibri"/>
          <w:color w:val="auto"/>
          <w:szCs w:val="21"/>
          <w:highlight w:val="none"/>
        </w:rPr>
        <w:t>日期：  年  月   日</w:t>
      </w:r>
    </w:p>
    <w:p w14:paraId="1319F165">
      <w:pPr>
        <w:snapToGrid w:val="0"/>
        <w:spacing w:line="360" w:lineRule="auto"/>
        <w:jc w:val="left"/>
        <w:rPr>
          <w:rFonts w:ascii="Calibri" w:hAnsi="Calibri"/>
          <w:color w:val="auto"/>
          <w:szCs w:val="21"/>
          <w:highlight w:val="none"/>
        </w:rPr>
      </w:pPr>
      <w:r>
        <w:rPr>
          <w:rFonts w:ascii="Calibri" w:hAnsi="Calibri"/>
          <w:color w:val="auto"/>
          <w:szCs w:val="21"/>
          <w:highlight w:val="none"/>
        </w:rPr>
        <w:br w:type="page"/>
      </w:r>
      <w:r>
        <w:rPr>
          <w:rFonts w:hint="eastAsia" w:ascii="Calibri" w:hAnsi="Calibri"/>
          <w:color w:val="auto"/>
          <w:szCs w:val="21"/>
          <w:highlight w:val="none"/>
        </w:rPr>
        <w:t>2</w:t>
      </w:r>
      <w:r>
        <w:rPr>
          <w:rFonts w:ascii="Calibri" w:hAnsi="Calibri"/>
          <w:color w:val="auto"/>
          <w:szCs w:val="21"/>
          <w:highlight w:val="none"/>
        </w:rPr>
        <w:t>.2</w:t>
      </w:r>
      <w:r>
        <w:rPr>
          <w:rFonts w:hint="eastAsia" w:ascii="Calibri" w:hAnsi="Calibri"/>
          <w:color w:val="auto"/>
          <w:szCs w:val="21"/>
          <w:highlight w:val="none"/>
        </w:rPr>
        <w:t>供应商直接管理关系信息表</w:t>
      </w:r>
    </w:p>
    <w:tbl>
      <w:tblPr>
        <w:tblStyle w:val="51"/>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7B23AF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61C579D">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76B43FC">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E09C82E">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8D820B5">
            <w:pPr>
              <w:spacing w:line="360" w:lineRule="auto"/>
              <w:jc w:val="center"/>
              <w:rPr>
                <w:color w:val="auto"/>
                <w:szCs w:val="21"/>
                <w:highlight w:val="none"/>
              </w:rPr>
            </w:pPr>
            <w:r>
              <w:rPr>
                <w:rFonts w:hint="eastAsia"/>
                <w:color w:val="auto"/>
                <w:szCs w:val="21"/>
                <w:highlight w:val="none"/>
              </w:rPr>
              <w:t>备注</w:t>
            </w:r>
          </w:p>
        </w:tc>
      </w:tr>
      <w:tr w14:paraId="7CEE2ED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A9CF8D2">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26E556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5E0F73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767ADB1">
            <w:pPr>
              <w:spacing w:line="360" w:lineRule="auto"/>
              <w:jc w:val="center"/>
              <w:rPr>
                <w:color w:val="auto"/>
                <w:szCs w:val="21"/>
                <w:highlight w:val="none"/>
              </w:rPr>
            </w:pPr>
          </w:p>
        </w:tc>
      </w:tr>
      <w:tr w14:paraId="60E591E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B494071">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C54961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A8BD0E1">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02C6A55">
            <w:pPr>
              <w:spacing w:line="360" w:lineRule="auto"/>
              <w:jc w:val="center"/>
              <w:rPr>
                <w:color w:val="auto"/>
                <w:szCs w:val="21"/>
                <w:highlight w:val="none"/>
              </w:rPr>
            </w:pPr>
          </w:p>
        </w:tc>
      </w:tr>
      <w:tr w14:paraId="0334C67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5515344">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AC9BD0B">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8ECA31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4C46476">
            <w:pPr>
              <w:spacing w:line="360" w:lineRule="auto"/>
              <w:jc w:val="center"/>
              <w:rPr>
                <w:color w:val="auto"/>
                <w:szCs w:val="21"/>
                <w:highlight w:val="none"/>
              </w:rPr>
            </w:pPr>
          </w:p>
        </w:tc>
      </w:tr>
      <w:tr w14:paraId="45DAF55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3469E17">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FB3F3A7">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F988F3E">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101B92A">
            <w:pPr>
              <w:spacing w:line="360" w:lineRule="auto"/>
              <w:jc w:val="center"/>
              <w:rPr>
                <w:color w:val="auto"/>
                <w:szCs w:val="21"/>
                <w:highlight w:val="none"/>
              </w:rPr>
            </w:pPr>
          </w:p>
        </w:tc>
      </w:tr>
    </w:tbl>
    <w:p w14:paraId="6C405508">
      <w:pPr>
        <w:snapToGrid w:val="0"/>
        <w:spacing w:line="360" w:lineRule="auto"/>
        <w:jc w:val="left"/>
        <w:rPr>
          <w:rFonts w:ascii="Calibri" w:hAnsi="Calibri"/>
          <w:color w:val="auto"/>
          <w:szCs w:val="21"/>
          <w:highlight w:val="none"/>
        </w:rPr>
      </w:pPr>
      <w:r>
        <w:rPr>
          <w:rFonts w:hint="eastAsia" w:ascii="Calibri" w:hAnsi="Calibri"/>
          <w:color w:val="auto"/>
          <w:szCs w:val="21"/>
          <w:highlight w:val="none"/>
        </w:rPr>
        <w:t>注：</w:t>
      </w:r>
    </w:p>
    <w:p w14:paraId="38E24EEB">
      <w:pPr>
        <w:snapToGrid w:val="0"/>
        <w:spacing w:line="360" w:lineRule="auto"/>
        <w:ind w:firstLine="420" w:firstLineChars="200"/>
        <w:jc w:val="left"/>
        <w:rPr>
          <w:rFonts w:ascii="Calibri" w:hAnsi="Calibri"/>
          <w:color w:val="auto"/>
          <w:szCs w:val="21"/>
          <w:highlight w:val="none"/>
        </w:rPr>
      </w:pPr>
      <w:r>
        <w:rPr>
          <w:rFonts w:hint="eastAsia" w:ascii="Calibri" w:hAnsi="Calibri"/>
          <w:color w:val="auto"/>
          <w:szCs w:val="21"/>
          <w:highlight w:val="none"/>
        </w:rPr>
        <w:t>1.管理关系：是指不具有出资持股关系的其他单位之间存在的管理与被管理关系，如一些上下级关系的事业单位和团体组织。</w:t>
      </w:r>
    </w:p>
    <w:p w14:paraId="4596BB16">
      <w:pPr>
        <w:snapToGrid w:val="0"/>
        <w:spacing w:line="360" w:lineRule="auto"/>
        <w:ind w:firstLine="420" w:firstLineChars="200"/>
        <w:jc w:val="left"/>
        <w:rPr>
          <w:rFonts w:ascii="Calibri" w:hAnsi="Calibri"/>
          <w:color w:val="auto"/>
          <w:szCs w:val="21"/>
          <w:highlight w:val="none"/>
        </w:rPr>
      </w:pPr>
      <w:r>
        <w:rPr>
          <w:rFonts w:hint="eastAsia" w:ascii="Calibri" w:hAnsi="Calibri"/>
          <w:color w:val="auto"/>
          <w:szCs w:val="21"/>
          <w:highlight w:val="none"/>
        </w:rPr>
        <w:t>2.本表所指的管理关系仅限于直接管理关系，不包括间接的管理关系。</w:t>
      </w:r>
    </w:p>
    <w:p w14:paraId="6EBB1C05">
      <w:pPr>
        <w:snapToGrid w:val="0"/>
        <w:spacing w:line="360" w:lineRule="auto"/>
        <w:ind w:firstLine="420" w:firstLineChars="200"/>
        <w:jc w:val="left"/>
        <w:rPr>
          <w:rFonts w:ascii="Calibri" w:hAnsi="Calibri"/>
          <w:color w:val="auto"/>
          <w:szCs w:val="21"/>
          <w:highlight w:val="none"/>
        </w:rPr>
      </w:pPr>
      <w:r>
        <w:rPr>
          <w:rFonts w:hint="eastAsia" w:ascii="Calibri" w:hAnsi="Calibri"/>
          <w:color w:val="auto"/>
          <w:szCs w:val="21"/>
          <w:highlight w:val="none"/>
        </w:rPr>
        <w:t>3.供应商不存在直接管理关系的，则填“无”。</w:t>
      </w:r>
    </w:p>
    <w:p w14:paraId="569FD8BA">
      <w:pPr>
        <w:snapToGrid w:val="0"/>
        <w:spacing w:line="360" w:lineRule="auto"/>
        <w:jc w:val="left"/>
        <w:rPr>
          <w:rFonts w:ascii="Calibri" w:hAnsi="Calibri"/>
          <w:color w:val="auto"/>
          <w:szCs w:val="21"/>
          <w:highlight w:val="none"/>
        </w:rPr>
      </w:pPr>
    </w:p>
    <w:p w14:paraId="07EE6D27">
      <w:pPr>
        <w:snapToGrid w:val="0"/>
        <w:spacing w:line="360" w:lineRule="auto"/>
        <w:jc w:val="left"/>
        <w:rPr>
          <w:rFonts w:ascii="Calibri" w:hAnsi="Calibri"/>
          <w:color w:val="auto"/>
          <w:szCs w:val="21"/>
          <w:highlight w:val="none"/>
        </w:rPr>
      </w:pPr>
    </w:p>
    <w:p w14:paraId="2C8FC3DE">
      <w:pPr>
        <w:snapToGrid w:val="0"/>
        <w:spacing w:line="360" w:lineRule="auto"/>
        <w:jc w:val="left"/>
        <w:rPr>
          <w:rFonts w:ascii="Calibri" w:hAnsi="Calibri"/>
          <w:color w:val="auto"/>
          <w:szCs w:val="21"/>
          <w:highlight w:val="none"/>
        </w:rPr>
      </w:pPr>
    </w:p>
    <w:p w14:paraId="0BAAFE65">
      <w:pPr>
        <w:snapToGrid w:val="0"/>
        <w:spacing w:line="360" w:lineRule="auto"/>
        <w:jc w:val="left"/>
        <w:rPr>
          <w:rFonts w:ascii="Calibri" w:hAnsi="Calibri"/>
          <w:color w:val="auto"/>
          <w:szCs w:val="21"/>
          <w:highlight w:val="none"/>
        </w:rPr>
      </w:pPr>
    </w:p>
    <w:p w14:paraId="75B3B2BB">
      <w:pPr>
        <w:snapToGrid w:val="0"/>
        <w:spacing w:line="360" w:lineRule="auto"/>
        <w:jc w:val="left"/>
        <w:rPr>
          <w:rFonts w:ascii="Calibri" w:hAnsi="Calibri"/>
          <w:color w:val="auto"/>
          <w:szCs w:val="21"/>
          <w:highlight w:val="none"/>
        </w:rPr>
      </w:pPr>
    </w:p>
    <w:p w14:paraId="40732602">
      <w:pPr>
        <w:snapToGrid w:val="0"/>
        <w:spacing w:line="360" w:lineRule="auto"/>
        <w:jc w:val="left"/>
        <w:rPr>
          <w:rFonts w:ascii="Calibri" w:hAnsi="Calibri"/>
          <w:color w:val="auto"/>
          <w:szCs w:val="21"/>
          <w:highlight w:val="none"/>
        </w:rPr>
      </w:pPr>
    </w:p>
    <w:p w14:paraId="285CE1C3">
      <w:pPr>
        <w:snapToGrid w:val="0"/>
        <w:spacing w:line="360" w:lineRule="auto"/>
        <w:jc w:val="left"/>
        <w:rPr>
          <w:rFonts w:ascii="Calibri" w:hAnsi="Calibri"/>
          <w:color w:val="auto"/>
          <w:szCs w:val="21"/>
          <w:highlight w:val="none"/>
        </w:rPr>
      </w:pPr>
    </w:p>
    <w:p w14:paraId="0326F395">
      <w:pPr>
        <w:snapToGrid w:val="0"/>
        <w:spacing w:line="360" w:lineRule="auto"/>
        <w:jc w:val="left"/>
        <w:rPr>
          <w:rFonts w:ascii="Calibri" w:hAnsi="Calibri"/>
          <w:color w:val="auto"/>
          <w:szCs w:val="21"/>
          <w:highlight w:val="none"/>
        </w:rPr>
      </w:pPr>
    </w:p>
    <w:p w14:paraId="076C8B36">
      <w:pPr>
        <w:snapToGrid w:val="0"/>
        <w:spacing w:line="360" w:lineRule="auto"/>
        <w:ind w:firstLine="4410" w:firstLineChars="2100"/>
        <w:rPr>
          <w:rFonts w:ascii="Calibri" w:hAnsi="Calibri"/>
          <w:color w:val="auto"/>
          <w:szCs w:val="21"/>
          <w:highlight w:val="none"/>
        </w:rPr>
      </w:pPr>
      <w:r>
        <w:rPr>
          <w:rFonts w:hint="eastAsia" w:ascii="Calibri" w:hAnsi="Calibri"/>
          <w:color w:val="auto"/>
          <w:szCs w:val="21"/>
          <w:highlight w:val="none"/>
        </w:rPr>
        <w:t>供应商名称(电子签章)：</w:t>
      </w:r>
    </w:p>
    <w:p w14:paraId="5BCE29C0">
      <w:pPr>
        <w:snapToGrid w:val="0"/>
        <w:spacing w:line="360" w:lineRule="auto"/>
        <w:ind w:firstLine="4515" w:firstLineChars="2150"/>
        <w:rPr>
          <w:rFonts w:ascii="Calibri" w:hAnsi="Calibri"/>
          <w:color w:val="auto"/>
          <w:szCs w:val="21"/>
          <w:highlight w:val="none"/>
        </w:rPr>
      </w:pPr>
      <w:r>
        <w:rPr>
          <w:rFonts w:hint="eastAsia" w:ascii="Calibri" w:hAnsi="Calibri"/>
          <w:color w:val="auto"/>
          <w:szCs w:val="21"/>
          <w:highlight w:val="none"/>
        </w:rPr>
        <w:t>日期：  年  月   日</w:t>
      </w:r>
    </w:p>
    <w:p w14:paraId="57AFAA17">
      <w:pPr>
        <w:snapToGrid w:val="0"/>
        <w:spacing w:before="50" w:after="120" w:afterLines="50" w:line="440" w:lineRule="exact"/>
        <w:jc w:val="left"/>
        <w:rPr>
          <w:rFonts w:ascii="Calibri" w:hAnsi="Calibri"/>
          <w:b/>
          <w:color w:val="auto"/>
          <w:szCs w:val="21"/>
          <w:highlight w:val="none"/>
        </w:rPr>
      </w:pPr>
    </w:p>
    <w:p w14:paraId="58B00EBC">
      <w:pPr>
        <w:snapToGrid w:val="0"/>
        <w:spacing w:before="50" w:after="120" w:afterLines="50" w:line="440" w:lineRule="exact"/>
        <w:jc w:val="left"/>
        <w:rPr>
          <w:rFonts w:ascii="Calibri" w:hAnsi="Calibri"/>
          <w:b/>
          <w:color w:val="auto"/>
          <w:szCs w:val="21"/>
          <w:highlight w:val="none"/>
        </w:rPr>
      </w:pPr>
      <w:r>
        <w:rPr>
          <w:rFonts w:ascii="Calibri" w:hAnsi="Calibri"/>
          <w:b/>
          <w:color w:val="auto"/>
          <w:szCs w:val="21"/>
          <w:highlight w:val="none"/>
        </w:rPr>
        <w:br w:type="page"/>
      </w:r>
      <w:r>
        <w:rPr>
          <w:rFonts w:hint="eastAsia" w:ascii="Calibri" w:hAnsi="Calibri"/>
          <w:color w:val="auto"/>
          <w:szCs w:val="21"/>
          <w:highlight w:val="none"/>
        </w:rPr>
        <w:t>3</w:t>
      </w:r>
      <w:r>
        <w:rPr>
          <w:rFonts w:ascii="Calibri" w:hAnsi="Calibri"/>
          <w:color w:val="auto"/>
          <w:szCs w:val="21"/>
          <w:highlight w:val="none"/>
        </w:rPr>
        <w:t>．响应保证金缴纳证明</w:t>
      </w:r>
      <w:r>
        <w:rPr>
          <w:rFonts w:hint="eastAsia" w:ascii="Calibri" w:hAnsi="Calibri"/>
          <w:color w:val="auto"/>
          <w:szCs w:val="21"/>
          <w:highlight w:val="none"/>
        </w:rPr>
        <w:t>。</w:t>
      </w:r>
      <w:r>
        <w:rPr>
          <w:rFonts w:hint="eastAsia" w:ascii="Calibri" w:hAnsi="Calibri"/>
          <w:b/>
          <w:color w:val="auto"/>
          <w:szCs w:val="21"/>
          <w:highlight w:val="none"/>
        </w:rPr>
        <w:t>（如征集文件有要求时提供）</w:t>
      </w:r>
    </w:p>
    <w:p w14:paraId="775EE9D8">
      <w:pPr>
        <w:snapToGrid w:val="0"/>
        <w:spacing w:before="50" w:after="120" w:afterLines="50" w:line="440" w:lineRule="exact"/>
        <w:jc w:val="left"/>
        <w:rPr>
          <w:rFonts w:ascii="Calibri" w:hAnsi="Calibri"/>
          <w:color w:val="auto"/>
          <w:highlight w:val="none"/>
        </w:rPr>
      </w:pPr>
      <w:r>
        <w:rPr>
          <w:rFonts w:hint="eastAsia" w:ascii="Calibri" w:hAnsi="Calibri"/>
          <w:color w:val="auto"/>
          <w:highlight w:val="none"/>
        </w:rPr>
        <w:t>（1）以转账、电汇形式缴纳的，提供转账、电汇凭证扫描件或复印件（网银可提供截图）</w:t>
      </w:r>
      <w:r>
        <w:rPr>
          <w:rFonts w:ascii="Calibri" w:hAnsi="Calibri"/>
          <w:color w:val="auto"/>
          <w:highlight w:val="none"/>
        </w:rPr>
        <w:t>加盖</w:t>
      </w:r>
      <w:r>
        <w:rPr>
          <w:rFonts w:hint="eastAsia" w:ascii="Calibri" w:hAnsi="Calibri"/>
          <w:color w:val="auto"/>
          <w:highlight w:val="none"/>
        </w:rPr>
        <w:t>供应商电子签章；</w:t>
      </w:r>
    </w:p>
    <w:p w14:paraId="3EB4148D">
      <w:pPr>
        <w:snapToGrid w:val="0"/>
        <w:spacing w:before="50" w:after="120" w:afterLines="50" w:line="440" w:lineRule="exact"/>
        <w:jc w:val="left"/>
        <w:rPr>
          <w:rFonts w:ascii="Calibri" w:hAnsi="Calibri"/>
          <w:color w:val="auto"/>
          <w:highlight w:val="none"/>
        </w:rPr>
      </w:pPr>
      <w:r>
        <w:rPr>
          <w:rFonts w:hint="eastAsia" w:ascii="Calibri" w:hAnsi="Calibri"/>
          <w:color w:val="auto"/>
          <w:highlight w:val="none"/>
        </w:rPr>
        <w:t>（2）以支票、汇票、本票或金融机构、担保机构出具的保函等非现金形式缴纳的，提供原件扫描件或复印件并加盖供应商电子签章。响应保函参考如下格式开具：</w:t>
      </w:r>
    </w:p>
    <w:p w14:paraId="34D5457E">
      <w:pPr>
        <w:snapToGrid w:val="0"/>
        <w:spacing w:before="50" w:after="120" w:afterLines="50" w:line="440" w:lineRule="exact"/>
        <w:jc w:val="center"/>
        <w:rPr>
          <w:rFonts w:ascii="Calibri" w:hAnsi="Calibri"/>
          <w:b/>
          <w:bCs/>
          <w:color w:val="auto"/>
          <w:sz w:val="24"/>
          <w:szCs w:val="32"/>
          <w:highlight w:val="none"/>
        </w:rPr>
      </w:pPr>
      <w:r>
        <w:rPr>
          <w:rFonts w:hint="eastAsia" w:ascii="Calibri" w:hAnsi="Calibri"/>
          <w:b/>
          <w:bCs/>
          <w:color w:val="auto"/>
          <w:sz w:val="24"/>
          <w:szCs w:val="32"/>
          <w:highlight w:val="none"/>
        </w:rPr>
        <w:t>响应保函格式</w:t>
      </w:r>
    </w:p>
    <w:p w14:paraId="5A05DAB0">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编号：</w:t>
      </w:r>
      <w:r>
        <w:rPr>
          <w:rFonts w:ascii="Calibri" w:hAnsi="Calibri"/>
          <w:color w:val="auto"/>
          <w:highlight w:val="none"/>
        </w:rPr>
        <w:t xml:space="preserve">           </w:t>
      </w:r>
    </w:p>
    <w:p w14:paraId="310863F0">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申请人：</w:t>
      </w:r>
    </w:p>
    <w:p w14:paraId="304F4504">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地址：</w:t>
      </w:r>
    </w:p>
    <w:p w14:paraId="7F1DC2FF">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受益人：广西机电设备招标有限公司</w:t>
      </w:r>
      <w:r>
        <w:rPr>
          <w:rFonts w:ascii="Calibri" w:hAnsi="Calibri"/>
          <w:color w:val="auto"/>
          <w:highlight w:val="none"/>
        </w:rPr>
        <w:t xml:space="preserve"> </w:t>
      </w:r>
    </w:p>
    <w:p w14:paraId="5E63D707">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地址：</w:t>
      </w:r>
    </w:p>
    <w:p w14:paraId="10CFDEA8">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开立人：</w:t>
      </w:r>
    </w:p>
    <w:p w14:paraId="2C0B57C3">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地址：</w:t>
      </w:r>
    </w:p>
    <w:p w14:paraId="056110CA">
      <w:pPr>
        <w:snapToGrid w:val="0"/>
        <w:spacing w:before="50" w:after="120" w:afterLines="50" w:line="276" w:lineRule="auto"/>
        <w:jc w:val="left"/>
        <w:rPr>
          <w:rFonts w:ascii="Calibri" w:hAnsi="Calibri"/>
          <w:color w:val="auto"/>
          <w:highlight w:val="none"/>
        </w:rPr>
      </w:pPr>
    </w:p>
    <w:p w14:paraId="46927AFD">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致：广西机电设备招标有限公司</w:t>
      </w:r>
    </w:p>
    <w:p w14:paraId="70B87135">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我方（即“开立人”）已获得通知，本保函申请人（即“供应商”）已响应贵方于</w:t>
      </w:r>
      <w:r>
        <w:rPr>
          <w:rFonts w:ascii="Calibri" w:hAnsi="Calibri"/>
          <w:color w:val="auto"/>
          <w:highlight w:val="none"/>
          <w:u w:val="single"/>
        </w:rPr>
        <w:t xml:space="preserve">         </w:t>
      </w:r>
      <w:r>
        <w:rPr>
          <w:rFonts w:hint="eastAsia" w:ascii="Calibri" w:hAnsi="Calibri"/>
          <w:color w:val="auto"/>
          <w:highlight w:val="none"/>
        </w:rPr>
        <w:t>年</w:t>
      </w:r>
      <w:r>
        <w:rPr>
          <w:rFonts w:ascii="Calibri" w:hAnsi="Calibri"/>
          <w:color w:val="auto"/>
          <w:highlight w:val="none"/>
          <w:u w:val="single"/>
        </w:rPr>
        <w:t xml:space="preserve">             </w:t>
      </w:r>
      <w:r>
        <w:rPr>
          <w:rFonts w:hint="eastAsia" w:ascii="Calibri" w:hAnsi="Calibri"/>
          <w:color w:val="auto"/>
          <w:highlight w:val="none"/>
        </w:rPr>
        <w:t>月</w:t>
      </w:r>
      <w:r>
        <w:rPr>
          <w:rFonts w:ascii="Calibri" w:hAnsi="Calibri"/>
          <w:color w:val="auto"/>
          <w:highlight w:val="none"/>
          <w:u w:val="single"/>
        </w:rPr>
        <w:t xml:space="preserve">     </w:t>
      </w:r>
      <w:r>
        <w:rPr>
          <w:rFonts w:ascii="Calibri" w:hAnsi="Calibri"/>
          <w:color w:val="auto"/>
          <w:highlight w:val="none"/>
        </w:rPr>
        <w:t xml:space="preserve"> </w:t>
      </w:r>
      <w:r>
        <w:rPr>
          <w:rFonts w:hint="eastAsia" w:ascii="Calibri" w:hAnsi="Calibri"/>
          <w:color w:val="auto"/>
          <w:highlight w:val="none"/>
        </w:rPr>
        <w:t>日就</w:t>
      </w:r>
      <w:r>
        <w:rPr>
          <w:rFonts w:ascii="Calibri" w:hAnsi="Calibri"/>
          <w:color w:val="auto"/>
          <w:highlight w:val="none"/>
        </w:rPr>
        <w:t xml:space="preserve"> </w:t>
      </w:r>
      <w:r>
        <w:rPr>
          <w:rFonts w:ascii="Calibri" w:hAnsi="Calibri"/>
          <w:color w:val="auto"/>
          <w:highlight w:val="none"/>
          <w:u w:val="single"/>
        </w:rPr>
        <w:t xml:space="preserve">                                          </w:t>
      </w:r>
      <w:r>
        <w:rPr>
          <w:rFonts w:hint="eastAsia" w:ascii="Calibri" w:hAnsi="Calibri"/>
          <w:color w:val="auto"/>
          <w:highlight w:val="none"/>
        </w:rPr>
        <w:t>（以下简称“本项目”）发出的征集文件，并已向采购代理机构（即“受益人”）提交了响应文件。</w:t>
      </w:r>
    </w:p>
    <w:p w14:paraId="05399329">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一、我方理解根据征集条件，供应商必须提交一份响应保函（以下简称“本保函”），以担保供应商诚信履行其在采购活动中承担的义务。鉴此，应申请人要求，我方在此同意向贵方出具此响应保函，本保函担保金额为人民币（大写）</w:t>
      </w:r>
      <w:r>
        <w:rPr>
          <w:rFonts w:ascii="Calibri" w:hAnsi="Calibri"/>
          <w:color w:val="auto"/>
          <w:highlight w:val="none"/>
          <w:u w:val="single"/>
        </w:rPr>
        <w:t xml:space="preserve">                            </w:t>
      </w:r>
      <w:r>
        <w:rPr>
          <w:rFonts w:hint="eastAsia" w:ascii="Calibri" w:hAnsi="Calibri"/>
          <w:color w:val="auto"/>
          <w:highlight w:val="none"/>
        </w:rPr>
        <w:t>元（</w:t>
      </w:r>
      <w:r>
        <w:rPr>
          <w:rFonts w:ascii="Calibri" w:hAnsi="Calibri"/>
          <w:color w:val="auto"/>
          <w:highlight w:val="none"/>
        </w:rPr>
        <w:t>¥</w:t>
      </w:r>
      <w:r>
        <w:rPr>
          <w:rFonts w:ascii="Calibri" w:hAnsi="Calibri"/>
          <w:color w:val="auto"/>
          <w:highlight w:val="none"/>
          <w:u w:val="single"/>
        </w:rPr>
        <w:t xml:space="preserve">                         </w:t>
      </w:r>
      <w:r>
        <w:rPr>
          <w:rFonts w:hint="eastAsia" w:ascii="Calibri" w:hAnsi="Calibri"/>
          <w:color w:val="auto"/>
          <w:highlight w:val="none"/>
        </w:rPr>
        <w:t>）。</w:t>
      </w:r>
    </w:p>
    <w:p w14:paraId="2FE5FFE2">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二、我方在供应商发生以下情形时承担保证担保责任：</w:t>
      </w:r>
      <w:r>
        <w:rPr>
          <w:rFonts w:ascii="Calibri" w:hAnsi="Calibri"/>
          <w:color w:val="auto"/>
          <w:highlight w:val="none"/>
        </w:rPr>
        <w:t xml:space="preserve"> </w:t>
      </w:r>
    </w:p>
    <w:p w14:paraId="021911C1">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1</w:t>
      </w:r>
      <w:r>
        <w:rPr>
          <w:rFonts w:hint="eastAsia" w:ascii="Calibri" w:hAnsi="Calibri"/>
          <w:color w:val="auto"/>
          <w:highlight w:val="none"/>
        </w:rPr>
        <w:t>）供应商在截标后和响应有效期满之前撤销响应文件的；</w:t>
      </w:r>
      <w:r>
        <w:rPr>
          <w:rFonts w:ascii="Calibri" w:hAnsi="Calibri"/>
          <w:color w:val="auto"/>
          <w:highlight w:val="none"/>
        </w:rPr>
        <w:t xml:space="preserve"> </w:t>
      </w:r>
    </w:p>
    <w:p w14:paraId="1C750DA6">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2</w:t>
      </w:r>
      <w:r>
        <w:rPr>
          <w:rFonts w:hint="eastAsia" w:ascii="Calibri" w:hAnsi="Calibri"/>
          <w:color w:val="auto"/>
          <w:highlight w:val="none"/>
        </w:rPr>
        <w:t>）供应商在入围通知书发出之日起</w:t>
      </w:r>
      <w:r>
        <w:rPr>
          <w:rFonts w:ascii="Calibri" w:hAnsi="Calibri"/>
          <w:color w:val="auto"/>
          <w:highlight w:val="none"/>
        </w:rPr>
        <w:t>5</w:t>
      </w:r>
      <w:r>
        <w:rPr>
          <w:rFonts w:hint="eastAsia" w:ascii="Calibri" w:hAnsi="Calibri"/>
          <w:color w:val="auto"/>
          <w:highlight w:val="none"/>
        </w:rPr>
        <w:t>个工作日内，未缴纳本项目代理服务费的；</w:t>
      </w:r>
    </w:p>
    <w:p w14:paraId="3B578DDE">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5</w:t>
      </w:r>
      <w:r>
        <w:rPr>
          <w:rFonts w:hint="eastAsia" w:ascii="Calibri" w:hAnsi="Calibri"/>
          <w:color w:val="auto"/>
          <w:highlight w:val="none"/>
        </w:rPr>
        <w:t>）供应商违反征集文件规定的其他情形。</w:t>
      </w:r>
    </w:p>
    <w:p w14:paraId="3A78B0EB">
      <w:pPr>
        <w:snapToGrid w:val="0"/>
        <w:spacing w:before="50" w:after="120" w:afterLines="50" w:line="276" w:lineRule="auto"/>
        <w:jc w:val="left"/>
        <w:rPr>
          <w:rFonts w:ascii="Calibri" w:hAnsi="Calibri"/>
          <w:color w:val="auto"/>
          <w:highlight w:val="none"/>
        </w:rPr>
      </w:pPr>
      <w:r>
        <w:rPr>
          <w:rFonts w:ascii="Calibri" w:hAnsi="Calibri"/>
          <w:color w:val="auto"/>
          <w:highlight w:val="none"/>
        </w:rPr>
        <w:t xml:space="preserve">    </w:t>
      </w:r>
      <w:r>
        <w:rPr>
          <w:rFonts w:hint="eastAsia" w:ascii="Calibri" w:hAnsi="Calibri"/>
          <w:color w:val="auto"/>
          <w:highlight w:val="none"/>
        </w:rPr>
        <w:t>三、本保函为不可撤销、不可转让的见索即付独立保函。本保函有效期自开立之日起至响应有效期届满之日后的</w:t>
      </w:r>
      <w:r>
        <w:rPr>
          <w:rFonts w:ascii="Calibri" w:hAnsi="Calibri"/>
          <w:color w:val="auto"/>
          <w:highlight w:val="none"/>
          <w:u w:val="single"/>
        </w:rPr>
        <w:t xml:space="preserve">  28  </w:t>
      </w:r>
      <w:r>
        <w:rPr>
          <w:rFonts w:hint="eastAsia" w:ascii="Calibri" w:hAnsi="Calibri"/>
          <w:color w:val="auto"/>
          <w:highlight w:val="none"/>
        </w:rPr>
        <w:t>日。响应有效期延长的，本保函有效期相应顺延。</w:t>
      </w:r>
    </w:p>
    <w:p w14:paraId="6025C379">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四、我方承诺，在收到受益人发来的书面付款通知后的</w:t>
      </w:r>
      <w:r>
        <w:rPr>
          <w:rFonts w:ascii="Calibri" w:hAnsi="Calibri"/>
          <w:color w:val="auto"/>
          <w:highlight w:val="none"/>
          <w:u w:val="single"/>
        </w:rPr>
        <w:t xml:space="preserve">   5    </w:t>
      </w:r>
      <w:r>
        <w:rPr>
          <w:rFonts w:hint="eastAsia" w:ascii="Calibri" w:hAnsi="Calibri"/>
          <w:color w:val="auto"/>
          <w:highlight w:val="none"/>
        </w:rPr>
        <w:t>日内无条件支付，前述书面付款通知即为付款要求之单据，且应满足以下要求：</w:t>
      </w:r>
    </w:p>
    <w:p w14:paraId="1220E461">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1</w:t>
      </w:r>
      <w:r>
        <w:rPr>
          <w:rFonts w:hint="eastAsia" w:ascii="Calibri" w:hAnsi="Calibri"/>
          <w:color w:val="auto"/>
          <w:highlight w:val="none"/>
        </w:rPr>
        <w:t>）付款通知到达的日期在本保函的有效期内；</w:t>
      </w:r>
    </w:p>
    <w:p w14:paraId="4D56AF2F">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2</w:t>
      </w:r>
      <w:r>
        <w:rPr>
          <w:rFonts w:hint="eastAsia" w:ascii="Calibri" w:hAnsi="Calibri"/>
          <w:color w:val="auto"/>
          <w:highlight w:val="none"/>
        </w:rPr>
        <w:t>）载明要求支付的金额；</w:t>
      </w:r>
    </w:p>
    <w:p w14:paraId="2D7D1D7B">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3</w:t>
      </w:r>
      <w:r>
        <w:rPr>
          <w:rFonts w:hint="eastAsia" w:ascii="Calibri" w:hAnsi="Calibri"/>
          <w:color w:val="auto"/>
          <w:highlight w:val="none"/>
        </w:rPr>
        <w:t>）载明申请人违反征集文件规定的义务内容和具体条款；</w:t>
      </w:r>
    </w:p>
    <w:p w14:paraId="4DBC7F46">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4</w:t>
      </w:r>
      <w:r>
        <w:rPr>
          <w:rFonts w:hint="eastAsia" w:ascii="Calibri" w:hAnsi="Calibri"/>
          <w:color w:val="auto"/>
          <w:highlight w:val="none"/>
        </w:rPr>
        <w:t>）声明不存在征集文件规定或我国法律规定免除申请人或我方支付责任的情形；</w:t>
      </w:r>
    </w:p>
    <w:p w14:paraId="16C37834">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w:t>
      </w:r>
      <w:r>
        <w:rPr>
          <w:rFonts w:ascii="Calibri" w:hAnsi="Calibri"/>
          <w:color w:val="auto"/>
          <w:highlight w:val="none"/>
        </w:rPr>
        <w:t>5</w:t>
      </w:r>
      <w:r>
        <w:rPr>
          <w:rFonts w:hint="eastAsia" w:ascii="Calibri" w:hAnsi="Calibri"/>
          <w:color w:val="auto"/>
          <w:highlight w:val="none"/>
        </w:rPr>
        <w:t>）书面付款通知应在本保函有效期内到达的地址是：</w:t>
      </w:r>
      <w:r>
        <w:rPr>
          <w:rFonts w:ascii="Calibri" w:hAnsi="Calibri"/>
          <w:color w:val="auto"/>
          <w:highlight w:val="none"/>
          <w:u w:val="single"/>
        </w:rPr>
        <w:t xml:space="preserve">                                     </w:t>
      </w:r>
      <w:r>
        <w:rPr>
          <w:rFonts w:hint="eastAsia" w:ascii="Calibri" w:hAnsi="Calibri"/>
          <w:color w:val="auto"/>
          <w:highlight w:val="none"/>
        </w:rPr>
        <w:t>。</w:t>
      </w:r>
    </w:p>
    <w:p w14:paraId="04A8EBD0">
      <w:pPr>
        <w:snapToGrid w:val="0"/>
        <w:spacing w:before="50" w:after="120" w:afterLines="50" w:line="276" w:lineRule="auto"/>
        <w:jc w:val="left"/>
        <w:rPr>
          <w:rFonts w:ascii="Calibri" w:hAnsi="Calibri"/>
          <w:color w:val="auto"/>
          <w:highlight w:val="none"/>
        </w:rPr>
      </w:pPr>
      <w:r>
        <w:rPr>
          <w:rFonts w:ascii="Calibri" w:hAnsi="Calibri"/>
          <w:color w:val="auto"/>
          <w:highlight w:val="none"/>
        </w:rPr>
        <w:t xml:space="preserve">        </w:t>
      </w:r>
      <w:r>
        <w:rPr>
          <w:rFonts w:hint="eastAsia" w:ascii="Calibri" w:hAnsi="Calibri"/>
          <w:color w:val="auto"/>
          <w:highlight w:val="none"/>
        </w:rPr>
        <w:t>受益人发出的书面付款通知应由其为鉴明受益人法定代表人（负责人）或授权代理人签字并加盖公章。</w:t>
      </w:r>
    </w:p>
    <w:p w14:paraId="31ACA555">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五、本保函项下的权利不得转让，不得设定担保。贵方未经我方书面同意转让本保函或其项下任何权利，对我方不发生法律效力。</w:t>
      </w:r>
      <w:r>
        <w:rPr>
          <w:rFonts w:ascii="Calibri" w:hAnsi="Calibri"/>
          <w:color w:val="auto"/>
          <w:highlight w:val="none"/>
        </w:rPr>
        <w:t xml:space="preserve"> </w:t>
      </w:r>
    </w:p>
    <w:p w14:paraId="341C1B76">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六、本保函项下的基础交易不成立、不生效、无效、被撤销、被解除，不影响本保函的独立有效。</w:t>
      </w:r>
      <w:r>
        <w:rPr>
          <w:rFonts w:ascii="Calibri" w:hAnsi="Calibri"/>
          <w:color w:val="auto"/>
          <w:highlight w:val="none"/>
        </w:rPr>
        <w:t xml:space="preserve"> </w:t>
      </w:r>
    </w:p>
    <w:p w14:paraId="3F65B52B">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七、受益人应在本保函到期后的七日内将本保函正本退回我方注销，但是不论受益人是否按此要求将本保函正本退回我方，我方在本保函项下的义务和责任均在保函有效期到期后自动消灭。</w:t>
      </w:r>
      <w:r>
        <w:rPr>
          <w:rFonts w:ascii="Calibri" w:hAnsi="Calibri"/>
          <w:color w:val="auto"/>
          <w:highlight w:val="none"/>
        </w:rPr>
        <w:t xml:space="preserve"> </w:t>
      </w:r>
    </w:p>
    <w:p w14:paraId="2C15D8D6">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八、本保函适用的法律为中华人民共和国法律，争议裁判管辖地为中华人民共和国。</w:t>
      </w:r>
      <w:r>
        <w:rPr>
          <w:rFonts w:ascii="Calibri" w:hAnsi="Calibri"/>
          <w:color w:val="auto"/>
          <w:highlight w:val="none"/>
        </w:rPr>
        <w:t xml:space="preserve"> </w:t>
      </w:r>
    </w:p>
    <w:p w14:paraId="62D4ABB5">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九、本保函自我方法定代表人或授权代表签字并加盖公章之日起生效。</w:t>
      </w:r>
      <w:r>
        <w:rPr>
          <w:rFonts w:ascii="Calibri" w:hAnsi="Calibri"/>
          <w:color w:val="auto"/>
          <w:highlight w:val="none"/>
        </w:rPr>
        <w:t xml:space="preserve"> </w:t>
      </w:r>
    </w:p>
    <w:p w14:paraId="422CEE9E">
      <w:pPr>
        <w:snapToGrid w:val="0"/>
        <w:spacing w:before="50" w:after="120" w:afterLines="50" w:line="276" w:lineRule="auto"/>
        <w:jc w:val="left"/>
        <w:rPr>
          <w:rFonts w:ascii="Calibri" w:hAnsi="Calibri"/>
          <w:color w:val="auto"/>
          <w:highlight w:val="none"/>
        </w:rPr>
      </w:pPr>
    </w:p>
    <w:p w14:paraId="6A45628C">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开</w:t>
      </w:r>
      <w:r>
        <w:rPr>
          <w:rFonts w:ascii="Calibri" w:hAnsi="Calibri"/>
          <w:color w:val="auto"/>
          <w:highlight w:val="none"/>
        </w:rPr>
        <w:t xml:space="preserve"> </w:t>
      </w:r>
      <w:r>
        <w:rPr>
          <w:rFonts w:hint="eastAsia" w:ascii="Calibri" w:hAnsi="Calibri"/>
          <w:color w:val="auto"/>
          <w:highlight w:val="none"/>
        </w:rPr>
        <w:t>立</w:t>
      </w:r>
      <w:r>
        <w:rPr>
          <w:rFonts w:ascii="Calibri" w:hAnsi="Calibri"/>
          <w:color w:val="auto"/>
          <w:highlight w:val="none"/>
        </w:rPr>
        <w:t xml:space="preserve"> </w:t>
      </w:r>
      <w:r>
        <w:rPr>
          <w:rFonts w:hint="eastAsia" w:ascii="Calibri" w:hAnsi="Calibri"/>
          <w:color w:val="auto"/>
          <w:highlight w:val="none"/>
        </w:rPr>
        <w:t>人：</w:t>
      </w:r>
      <w:r>
        <w:rPr>
          <w:rFonts w:ascii="Calibri" w:hAnsi="Calibri"/>
          <w:color w:val="auto"/>
          <w:highlight w:val="none"/>
        </w:rPr>
        <w:t xml:space="preserve">                                                  </w:t>
      </w:r>
      <w:r>
        <w:rPr>
          <w:rFonts w:hint="eastAsia" w:ascii="Calibri" w:hAnsi="Calibri"/>
          <w:color w:val="auto"/>
          <w:highlight w:val="none"/>
        </w:rPr>
        <w:t>（公章）</w:t>
      </w:r>
      <w:r>
        <w:rPr>
          <w:rFonts w:ascii="Calibri" w:hAnsi="Calibri"/>
          <w:color w:val="auto"/>
          <w:highlight w:val="none"/>
        </w:rPr>
        <w:t xml:space="preserve"> </w:t>
      </w:r>
    </w:p>
    <w:p w14:paraId="120DF2E7">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法定代表人（或授权代表）</w:t>
      </w:r>
      <w:r>
        <w:rPr>
          <w:rFonts w:ascii="Calibri" w:hAnsi="Calibri"/>
          <w:color w:val="auto"/>
          <w:highlight w:val="none"/>
        </w:rPr>
        <w:t xml:space="preserve"> </w:t>
      </w:r>
      <w:r>
        <w:rPr>
          <w:rFonts w:hint="eastAsia" w:ascii="Calibri" w:hAnsi="Calibri"/>
          <w:color w:val="auto"/>
          <w:highlight w:val="none"/>
        </w:rPr>
        <w:t>：</w:t>
      </w:r>
      <w:r>
        <w:rPr>
          <w:rFonts w:ascii="Calibri" w:hAnsi="Calibri"/>
          <w:color w:val="auto"/>
          <w:highlight w:val="none"/>
        </w:rPr>
        <w:t xml:space="preserve">               </w:t>
      </w:r>
      <w:r>
        <w:rPr>
          <w:rFonts w:hint="eastAsia" w:ascii="Calibri" w:hAnsi="Calibri"/>
          <w:color w:val="auto"/>
          <w:highlight w:val="none"/>
        </w:rPr>
        <w:t>（签字）</w:t>
      </w:r>
      <w:r>
        <w:rPr>
          <w:rFonts w:ascii="Calibri" w:hAnsi="Calibri"/>
          <w:color w:val="auto"/>
          <w:highlight w:val="none"/>
        </w:rPr>
        <w:t xml:space="preserve"> </w:t>
      </w:r>
    </w:p>
    <w:p w14:paraId="50A398BD">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地</w:t>
      </w:r>
      <w:r>
        <w:rPr>
          <w:rFonts w:ascii="Calibri" w:hAnsi="Calibri"/>
          <w:color w:val="auto"/>
          <w:highlight w:val="none"/>
        </w:rPr>
        <w:t xml:space="preserve">    </w:t>
      </w:r>
      <w:r>
        <w:rPr>
          <w:rFonts w:hint="eastAsia" w:ascii="Calibri" w:hAnsi="Calibri"/>
          <w:color w:val="auto"/>
          <w:highlight w:val="none"/>
        </w:rPr>
        <w:t>址：</w:t>
      </w:r>
      <w:r>
        <w:rPr>
          <w:rFonts w:ascii="Calibri" w:hAnsi="Calibri"/>
          <w:color w:val="auto"/>
          <w:highlight w:val="none"/>
        </w:rPr>
        <w:t xml:space="preserve">                                       </w:t>
      </w:r>
    </w:p>
    <w:p w14:paraId="2625FBBF">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邮政编码：</w:t>
      </w:r>
      <w:r>
        <w:rPr>
          <w:rFonts w:ascii="Calibri" w:hAnsi="Calibri"/>
          <w:color w:val="auto"/>
          <w:highlight w:val="none"/>
        </w:rPr>
        <w:t xml:space="preserve">                 </w:t>
      </w:r>
    </w:p>
    <w:p w14:paraId="4843968B">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电</w:t>
      </w:r>
      <w:r>
        <w:rPr>
          <w:rFonts w:ascii="Calibri" w:hAnsi="Calibri"/>
          <w:color w:val="auto"/>
          <w:highlight w:val="none"/>
        </w:rPr>
        <w:t xml:space="preserve">    </w:t>
      </w:r>
      <w:r>
        <w:rPr>
          <w:rFonts w:hint="eastAsia" w:ascii="Calibri" w:hAnsi="Calibri"/>
          <w:color w:val="auto"/>
          <w:highlight w:val="none"/>
        </w:rPr>
        <w:t>话：</w:t>
      </w:r>
      <w:r>
        <w:rPr>
          <w:rFonts w:ascii="Calibri" w:hAnsi="Calibri"/>
          <w:color w:val="auto"/>
          <w:highlight w:val="none"/>
        </w:rPr>
        <w:t xml:space="preserve">                 </w:t>
      </w:r>
    </w:p>
    <w:p w14:paraId="11FBE1B8">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传</w:t>
      </w:r>
      <w:r>
        <w:rPr>
          <w:rFonts w:ascii="Calibri" w:hAnsi="Calibri"/>
          <w:color w:val="auto"/>
          <w:highlight w:val="none"/>
        </w:rPr>
        <w:t xml:space="preserve">    </w:t>
      </w:r>
      <w:r>
        <w:rPr>
          <w:rFonts w:hint="eastAsia" w:ascii="Calibri" w:hAnsi="Calibri"/>
          <w:color w:val="auto"/>
          <w:highlight w:val="none"/>
        </w:rPr>
        <w:t>真：</w:t>
      </w:r>
      <w:r>
        <w:rPr>
          <w:rFonts w:ascii="Calibri" w:hAnsi="Calibri"/>
          <w:color w:val="auto"/>
          <w:highlight w:val="none"/>
        </w:rPr>
        <w:t xml:space="preserve">                 </w:t>
      </w:r>
    </w:p>
    <w:p w14:paraId="380CE355">
      <w:pPr>
        <w:snapToGrid w:val="0"/>
        <w:spacing w:before="50" w:after="120" w:afterLines="50" w:line="276" w:lineRule="auto"/>
        <w:jc w:val="left"/>
        <w:rPr>
          <w:rFonts w:ascii="Calibri" w:hAnsi="Calibri"/>
          <w:color w:val="auto"/>
          <w:highlight w:val="none"/>
        </w:rPr>
      </w:pPr>
      <w:r>
        <w:rPr>
          <w:rFonts w:hint="eastAsia" w:ascii="Calibri" w:hAnsi="Calibri"/>
          <w:color w:val="auto"/>
          <w:highlight w:val="none"/>
        </w:rPr>
        <w:t>开立时间：</w:t>
      </w:r>
      <w:r>
        <w:rPr>
          <w:rFonts w:ascii="Calibri" w:hAnsi="Calibri"/>
          <w:color w:val="auto"/>
          <w:highlight w:val="none"/>
        </w:rPr>
        <w:t xml:space="preserve">      </w:t>
      </w:r>
      <w:r>
        <w:rPr>
          <w:rFonts w:hint="eastAsia" w:ascii="Calibri" w:hAnsi="Calibri"/>
          <w:color w:val="auto"/>
          <w:highlight w:val="none"/>
        </w:rPr>
        <w:t>年</w:t>
      </w:r>
      <w:r>
        <w:rPr>
          <w:rFonts w:ascii="Calibri" w:hAnsi="Calibri"/>
          <w:color w:val="auto"/>
          <w:highlight w:val="none"/>
        </w:rPr>
        <w:t xml:space="preserve">       </w:t>
      </w:r>
      <w:r>
        <w:rPr>
          <w:rFonts w:hint="eastAsia" w:ascii="Calibri" w:hAnsi="Calibri"/>
          <w:color w:val="auto"/>
          <w:highlight w:val="none"/>
        </w:rPr>
        <w:t>月</w:t>
      </w:r>
      <w:r>
        <w:rPr>
          <w:rFonts w:ascii="Calibri" w:hAnsi="Calibri"/>
          <w:color w:val="auto"/>
          <w:highlight w:val="none"/>
        </w:rPr>
        <w:t xml:space="preserve">        </w:t>
      </w:r>
      <w:r>
        <w:rPr>
          <w:rFonts w:hint="eastAsia" w:ascii="Calibri" w:hAnsi="Calibri"/>
          <w:color w:val="auto"/>
          <w:highlight w:val="none"/>
        </w:rPr>
        <w:t>日</w:t>
      </w:r>
    </w:p>
    <w:p w14:paraId="6B09B23C">
      <w:pPr>
        <w:snapToGrid w:val="0"/>
        <w:spacing w:before="50" w:after="120" w:afterLines="50" w:line="440" w:lineRule="exact"/>
        <w:jc w:val="left"/>
        <w:rPr>
          <w:color w:val="auto"/>
          <w:highlight w:val="none"/>
        </w:rPr>
      </w:pPr>
      <w:r>
        <w:rPr>
          <w:rFonts w:ascii="Calibri" w:hAnsi="Calibri"/>
          <w:color w:val="auto"/>
          <w:highlight w:val="none"/>
        </w:rPr>
        <w:br w:type="page"/>
      </w:r>
      <w:r>
        <w:rPr>
          <w:rFonts w:hint="eastAsia" w:ascii="Calibri" w:hAnsi="Calibri"/>
          <w:color w:val="auto"/>
          <w:szCs w:val="21"/>
          <w:highlight w:val="none"/>
        </w:rPr>
        <w:t>4</w:t>
      </w:r>
      <w:r>
        <w:rPr>
          <w:rFonts w:ascii="Calibri" w:hAnsi="Calibri"/>
          <w:color w:val="auto"/>
          <w:szCs w:val="21"/>
          <w:highlight w:val="none"/>
        </w:rPr>
        <w:t>．供应商认为应当要提交的</w:t>
      </w:r>
      <w:r>
        <w:rPr>
          <w:rFonts w:hint="eastAsia" w:ascii="Calibri" w:hAnsi="Calibri"/>
          <w:color w:val="auto"/>
          <w:szCs w:val="21"/>
          <w:highlight w:val="none"/>
        </w:rPr>
        <w:t>其他</w:t>
      </w:r>
      <w:r>
        <w:rPr>
          <w:rFonts w:ascii="Calibri" w:hAnsi="Calibri"/>
          <w:color w:val="auto"/>
          <w:szCs w:val="21"/>
          <w:highlight w:val="none"/>
        </w:rPr>
        <w:t>资格证明材料。</w:t>
      </w:r>
    </w:p>
    <w:p w14:paraId="40FBB943">
      <w:pPr>
        <w:spacing w:line="276" w:lineRule="auto"/>
        <w:rPr>
          <w:bCs/>
          <w:color w:val="auto"/>
          <w:sz w:val="24"/>
          <w:highlight w:val="none"/>
        </w:rPr>
      </w:pPr>
    </w:p>
    <w:p w14:paraId="376EFF6B">
      <w:pPr>
        <w:pStyle w:val="7"/>
        <w:overflowPunct w:val="0"/>
        <w:ind w:firstLine="0"/>
        <w:rPr>
          <w:color w:val="auto"/>
          <w:szCs w:val="21"/>
          <w:highlight w:val="none"/>
        </w:rPr>
      </w:pPr>
      <w:bookmarkStart w:id="90" w:name="_Hlk65854557"/>
      <w:bookmarkStart w:id="91" w:name="_Hlk65852070"/>
      <w:r>
        <w:rPr>
          <w:color w:val="auto"/>
          <w:szCs w:val="21"/>
          <w:highlight w:val="none"/>
        </w:rPr>
        <w:t xml:space="preserve"> </w:t>
      </w:r>
    </w:p>
    <w:bookmarkEnd w:id="90"/>
    <w:bookmarkEnd w:id="91"/>
    <w:p w14:paraId="6D21D9DA">
      <w:pPr>
        <w:widowControl/>
        <w:jc w:val="left"/>
        <w:rPr>
          <w:color w:val="auto"/>
          <w:szCs w:val="21"/>
          <w:highlight w:val="none"/>
        </w:rPr>
      </w:pPr>
    </w:p>
    <w:p w14:paraId="70958BDD">
      <w:pPr>
        <w:snapToGrid w:val="0"/>
        <w:spacing w:before="120" w:beforeLines="50" w:after="50" w:line="440" w:lineRule="exact"/>
        <w:jc w:val="left"/>
        <w:outlineLvl w:val="1"/>
        <w:rPr>
          <w:bCs/>
          <w:color w:val="auto"/>
          <w:sz w:val="24"/>
          <w:highlight w:val="none"/>
        </w:rPr>
      </w:pPr>
      <w:r>
        <w:rPr>
          <w:bCs/>
          <w:color w:val="auto"/>
          <w:sz w:val="24"/>
          <w:highlight w:val="none"/>
        </w:rPr>
        <w:br w:type="page"/>
      </w:r>
      <w:r>
        <w:rPr>
          <w:rFonts w:hint="eastAsia"/>
          <w:bCs/>
          <w:color w:val="auto"/>
          <w:sz w:val="24"/>
          <w:highlight w:val="none"/>
        </w:rPr>
        <w:t>2</w:t>
      </w:r>
      <w:r>
        <w:rPr>
          <w:bCs/>
          <w:color w:val="auto"/>
          <w:sz w:val="24"/>
          <w:highlight w:val="none"/>
        </w:rPr>
        <w:t>．响应文件封面参考格式</w:t>
      </w:r>
      <w:r>
        <w:rPr>
          <w:rFonts w:hint="eastAsia"/>
          <w:bCs/>
          <w:color w:val="auto"/>
          <w:sz w:val="24"/>
          <w:highlight w:val="none"/>
        </w:rPr>
        <w:t>（商务技术文件）</w:t>
      </w:r>
      <w:r>
        <w:rPr>
          <w:bCs/>
          <w:color w:val="auto"/>
          <w:sz w:val="24"/>
          <w:highlight w:val="none"/>
        </w:rPr>
        <w:t>：</w:t>
      </w:r>
    </w:p>
    <w:p w14:paraId="14F6DC0F">
      <w:pPr>
        <w:snapToGrid w:val="0"/>
        <w:spacing w:before="120" w:beforeLines="50" w:after="50" w:line="360" w:lineRule="exact"/>
        <w:rPr>
          <w:color w:val="auto"/>
          <w:sz w:val="24"/>
          <w:highlight w:val="none"/>
        </w:rPr>
      </w:pPr>
    </w:p>
    <w:p w14:paraId="34B0B523">
      <w:pPr>
        <w:snapToGrid w:val="0"/>
        <w:spacing w:before="120" w:beforeLines="50" w:after="50" w:line="360" w:lineRule="exact"/>
        <w:jc w:val="center"/>
        <w:rPr>
          <w:bCs/>
          <w:color w:val="auto"/>
          <w:sz w:val="24"/>
          <w:highlight w:val="none"/>
        </w:rPr>
      </w:pPr>
    </w:p>
    <w:p w14:paraId="1FA519CD">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3B62EED4">
      <w:pPr>
        <w:snapToGrid w:val="0"/>
        <w:spacing w:before="120" w:beforeLines="50" w:after="50" w:line="360" w:lineRule="exact"/>
        <w:jc w:val="center"/>
        <w:rPr>
          <w:b/>
          <w:bCs/>
          <w:color w:val="auto"/>
          <w:sz w:val="44"/>
          <w:szCs w:val="44"/>
          <w:highlight w:val="none"/>
        </w:rPr>
      </w:pPr>
    </w:p>
    <w:p w14:paraId="25E0FD5B">
      <w:pPr>
        <w:snapToGrid w:val="0"/>
        <w:spacing w:before="120" w:beforeLines="50" w:after="50" w:line="360" w:lineRule="exact"/>
        <w:jc w:val="center"/>
        <w:rPr>
          <w:b/>
          <w:bCs/>
          <w:color w:val="auto"/>
          <w:sz w:val="44"/>
          <w:szCs w:val="44"/>
          <w:highlight w:val="none"/>
        </w:rPr>
      </w:pPr>
    </w:p>
    <w:p w14:paraId="07E8E8C4">
      <w:pPr>
        <w:snapToGrid w:val="0"/>
        <w:spacing w:before="120" w:beforeLines="50" w:after="50" w:line="360" w:lineRule="exact"/>
        <w:jc w:val="center"/>
        <w:rPr>
          <w:b/>
          <w:bCs/>
          <w:color w:val="auto"/>
          <w:sz w:val="44"/>
          <w:szCs w:val="44"/>
          <w:highlight w:val="none"/>
        </w:rPr>
      </w:pPr>
      <w:r>
        <w:rPr>
          <w:b/>
          <w:bCs/>
          <w:color w:val="auto"/>
          <w:sz w:val="44"/>
          <w:szCs w:val="44"/>
          <w:highlight w:val="none"/>
        </w:rPr>
        <w:t>商务技术文件</w:t>
      </w:r>
    </w:p>
    <w:p w14:paraId="42D70D52">
      <w:pPr>
        <w:snapToGrid w:val="0"/>
        <w:spacing w:before="120" w:beforeLines="50" w:after="50" w:line="360" w:lineRule="exact"/>
        <w:rPr>
          <w:bCs/>
          <w:color w:val="auto"/>
          <w:sz w:val="24"/>
          <w:highlight w:val="none"/>
        </w:rPr>
      </w:pPr>
    </w:p>
    <w:p w14:paraId="2225B232">
      <w:pPr>
        <w:snapToGrid w:val="0"/>
        <w:spacing w:before="120" w:beforeLines="50" w:after="50" w:line="360" w:lineRule="exact"/>
        <w:rPr>
          <w:bCs/>
          <w:color w:val="auto"/>
          <w:sz w:val="24"/>
          <w:highlight w:val="none"/>
        </w:rPr>
      </w:pPr>
    </w:p>
    <w:p w14:paraId="14C4BE9D">
      <w:pPr>
        <w:snapToGrid w:val="0"/>
        <w:spacing w:before="120" w:beforeLines="50" w:after="50" w:line="360" w:lineRule="exact"/>
        <w:rPr>
          <w:bCs/>
          <w:color w:val="auto"/>
          <w:sz w:val="24"/>
          <w:highlight w:val="none"/>
        </w:rPr>
      </w:pPr>
    </w:p>
    <w:p w14:paraId="2BCE338A">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1D598CDE">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49B82A35">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37455C4">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73276E88">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3E85E363">
      <w:pPr>
        <w:pStyle w:val="7"/>
        <w:snapToGrid w:val="0"/>
        <w:spacing w:before="50" w:after="50" w:line="360" w:lineRule="exact"/>
        <w:ind w:firstLine="960" w:firstLineChars="400"/>
        <w:rPr>
          <w:bCs/>
          <w:color w:val="auto"/>
          <w:sz w:val="24"/>
          <w:szCs w:val="24"/>
          <w:highlight w:val="none"/>
        </w:rPr>
      </w:pPr>
    </w:p>
    <w:p w14:paraId="6B438591">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491DA99F">
      <w:pPr>
        <w:snapToGrid w:val="0"/>
        <w:spacing w:before="50" w:after="50" w:line="440" w:lineRule="exact"/>
        <w:ind w:firstLine="102" w:firstLineChars="49"/>
        <w:jc w:val="center"/>
        <w:rPr>
          <w:color w:val="auto"/>
          <w:highlight w:val="none"/>
        </w:rPr>
      </w:pPr>
      <w:r>
        <w:rPr>
          <w:color w:val="auto"/>
          <w:highlight w:val="none"/>
        </w:rPr>
        <w:br w:type="page"/>
      </w:r>
      <w:r>
        <w:rPr>
          <w:rFonts w:hint="eastAsia"/>
          <w:b/>
          <w:color w:val="auto"/>
          <w:sz w:val="28"/>
          <w:szCs w:val="28"/>
          <w:highlight w:val="none"/>
        </w:rPr>
        <w:t>评审索引表</w:t>
      </w:r>
    </w:p>
    <w:tbl>
      <w:tblPr>
        <w:tblStyle w:val="51"/>
        <w:tblpPr w:leftFromText="180" w:rightFromText="180" w:vertAnchor="text" w:horzAnchor="page" w:tblpX="1810" w:tblpY="242"/>
        <w:tblW w:w="8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2523"/>
        <w:gridCol w:w="1843"/>
        <w:gridCol w:w="2977"/>
      </w:tblGrid>
      <w:tr w14:paraId="0A3E6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129" w:type="dxa"/>
            <w:tcBorders>
              <w:top w:val="single" w:color="auto" w:sz="4" w:space="0"/>
              <w:left w:val="single" w:color="auto" w:sz="4" w:space="0"/>
              <w:bottom w:val="single" w:color="auto" w:sz="4" w:space="0"/>
              <w:right w:val="single" w:color="auto" w:sz="4" w:space="0"/>
            </w:tcBorders>
            <w:vAlign w:val="center"/>
          </w:tcPr>
          <w:p w14:paraId="702DFD28">
            <w:pPr>
              <w:jc w:val="center"/>
              <w:rPr>
                <w:rFonts w:ascii="Arial" w:hAnsi="Arial" w:cs="Arial"/>
                <w:color w:val="auto"/>
                <w:szCs w:val="21"/>
                <w:highlight w:val="none"/>
              </w:rPr>
            </w:pPr>
            <w:r>
              <w:rPr>
                <w:rFonts w:hint="eastAsia" w:ascii="Arial" w:hAnsi="Arial" w:cs="Arial"/>
                <w:color w:val="auto"/>
                <w:szCs w:val="21"/>
                <w:highlight w:val="none"/>
              </w:rPr>
              <w:t>评审要求</w:t>
            </w:r>
          </w:p>
        </w:tc>
        <w:tc>
          <w:tcPr>
            <w:tcW w:w="2523" w:type="dxa"/>
            <w:tcBorders>
              <w:top w:val="single" w:color="auto" w:sz="4" w:space="0"/>
              <w:left w:val="single" w:color="auto" w:sz="4" w:space="0"/>
              <w:bottom w:val="single" w:color="auto" w:sz="4" w:space="0"/>
              <w:right w:val="single" w:color="auto" w:sz="4" w:space="0"/>
            </w:tcBorders>
            <w:vAlign w:val="center"/>
          </w:tcPr>
          <w:p w14:paraId="2918A501">
            <w:pPr>
              <w:jc w:val="center"/>
              <w:rPr>
                <w:rFonts w:ascii="Arial" w:hAnsi="Arial" w:cs="Arial"/>
                <w:color w:val="auto"/>
                <w:szCs w:val="21"/>
                <w:highlight w:val="none"/>
              </w:rPr>
            </w:pPr>
            <w:r>
              <w:rPr>
                <w:rFonts w:hint="eastAsia" w:ascii="Arial" w:hAnsi="Arial" w:cs="Arial"/>
                <w:color w:val="auto"/>
                <w:szCs w:val="21"/>
                <w:highlight w:val="none"/>
              </w:rPr>
              <w:t>评分标准</w:t>
            </w:r>
          </w:p>
        </w:tc>
        <w:tc>
          <w:tcPr>
            <w:tcW w:w="1843" w:type="dxa"/>
            <w:tcBorders>
              <w:top w:val="single" w:color="auto" w:sz="4" w:space="0"/>
              <w:left w:val="single" w:color="auto" w:sz="4" w:space="0"/>
              <w:bottom w:val="single" w:color="auto" w:sz="4" w:space="0"/>
              <w:right w:val="single" w:color="auto" w:sz="4" w:space="0"/>
            </w:tcBorders>
            <w:vAlign w:val="center"/>
          </w:tcPr>
          <w:p w14:paraId="15D6F8C1">
            <w:pPr>
              <w:jc w:val="center"/>
              <w:rPr>
                <w:rFonts w:ascii="Arial" w:hAnsi="Arial" w:cs="Arial"/>
                <w:color w:val="auto"/>
                <w:szCs w:val="21"/>
                <w:highlight w:val="none"/>
              </w:rPr>
            </w:pPr>
            <w:r>
              <w:rPr>
                <w:rFonts w:hint="eastAsia" w:ascii="Arial" w:hAnsi="Arial" w:cs="Arial"/>
                <w:color w:val="auto"/>
                <w:szCs w:val="21"/>
                <w:highlight w:val="none"/>
              </w:rPr>
              <w:t>响应情况及</w:t>
            </w:r>
          </w:p>
          <w:p w14:paraId="066A262C">
            <w:pPr>
              <w:jc w:val="center"/>
              <w:rPr>
                <w:rFonts w:ascii="Arial" w:hAnsi="Arial" w:cs="Arial"/>
                <w:color w:val="auto"/>
                <w:szCs w:val="21"/>
                <w:highlight w:val="none"/>
              </w:rPr>
            </w:pPr>
            <w:r>
              <w:rPr>
                <w:rFonts w:ascii="Arial" w:hAnsi="Arial" w:cs="Arial"/>
                <w:color w:val="auto"/>
                <w:szCs w:val="21"/>
                <w:highlight w:val="none"/>
              </w:rPr>
              <w:t>对应页码</w:t>
            </w:r>
          </w:p>
        </w:tc>
        <w:tc>
          <w:tcPr>
            <w:tcW w:w="2977" w:type="dxa"/>
            <w:tcBorders>
              <w:top w:val="single" w:color="auto" w:sz="4" w:space="0"/>
              <w:left w:val="single" w:color="auto" w:sz="4" w:space="0"/>
              <w:bottom w:val="single" w:color="auto" w:sz="4" w:space="0"/>
              <w:right w:val="single" w:color="auto" w:sz="4" w:space="0"/>
            </w:tcBorders>
          </w:tcPr>
          <w:p w14:paraId="6E7A167C">
            <w:pPr>
              <w:jc w:val="center"/>
              <w:rPr>
                <w:rFonts w:ascii="Arial" w:hAnsi="Arial" w:cs="Arial"/>
                <w:color w:val="auto"/>
                <w:szCs w:val="21"/>
                <w:highlight w:val="none"/>
              </w:rPr>
            </w:pPr>
            <w:r>
              <w:rPr>
                <w:rFonts w:hint="eastAsia" w:ascii="Arial" w:hAnsi="Arial" w:cs="Arial"/>
                <w:color w:val="auto"/>
                <w:szCs w:val="21"/>
                <w:highlight w:val="none"/>
              </w:rPr>
              <w:t>得分（投标人自行打分）</w:t>
            </w:r>
          </w:p>
        </w:tc>
      </w:tr>
      <w:tr w14:paraId="7A5C3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restart"/>
            <w:tcBorders>
              <w:top w:val="single" w:color="auto" w:sz="4" w:space="0"/>
              <w:left w:val="single" w:color="auto" w:sz="4" w:space="0"/>
              <w:right w:val="single" w:color="auto" w:sz="4" w:space="0"/>
            </w:tcBorders>
            <w:vAlign w:val="center"/>
          </w:tcPr>
          <w:p w14:paraId="10A57A16">
            <w:pPr>
              <w:jc w:val="center"/>
              <w:rPr>
                <w:rFonts w:ascii="Arial" w:hAnsi="Arial" w:cs="Arial"/>
                <w:color w:val="auto"/>
                <w:szCs w:val="21"/>
                <w:highlight w:val="none"/>
              </w:rPr>
            </w:pPr>
            <w:r>
              <w:rPr>
                <w:rFonts w:hint="eastAsia" w:ascii="Arial" w:hAnsi="Arial" w:cs="Arial"/>
                <w:color w:val="auto"/>
                <w:szCs w:val="21"/>
                <w:highlight w:val="none"/>
              </w:rPr>
              <w:t>商务资信分</w:t>
            </w:r>
          </w:p>
        </w:tc>
        <w:tc>
          <w:tcPr>
            <w:tcW w:w="2523" w:type="dxa"/>
            <w:tcBorders>
              <w:top w:val="single" w:color="auto" w:sz="4" w:space="0"/>
              <w:left w:val="single" w:color="auto" w:sz="4" w:space="0"/>
              <w:bottom w:val="single" w:color="auto" w:sz="4" w:space="0"/>
              <w:right w:val="single" w:color="auto" w:sz="4" w:space="0"/>
            </w:tcBorders>
            <w:vAlign w:val="center"/>
          </w:tcPr>
          <w:p w14:paraId="07AD6459">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D232F21">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665EF9DE">
            <w:pPr>
              <w:jc w:val="center"/>
              <w:rPr>
                <w:rFonts w:ascii="Arial" w:hAnsi="Arial" w:cs="Arial"/>
                <w:color w:val="auto"/>
                <w:szCs w:val="21"/>
                <w:highlight w:val="none"/>
              </w:rPr>
            </w:pPr>
          </w:p>
        </w:tc>
      </w:tr>
      <w:tr w14:paraId="6F04F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264C60A5">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6A02C057">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97CAD6E">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361A5608">
            <w:pPr>
              <w:jc w:val="center"/>
              <w:rPr>
                <w:rFonts w:ascii="Arial" w:hAnsi="Arial" w:cs="Arial"/>
                <w:color w:val="auto"/>
                <w:szCs w:val="21"/>
                <w:highlight w:val="none"/>
              </w:rPr>
            </w:pPr>
          </w:p>
        </w:tc>
      </w:tr>
      <w:tr w14:paraId="49A66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59AFDF00">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53CFB34A">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0E891AF">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132026C3">
            <w:pPr>
              <w:jc w:val="center"/>
              <w:rPr>
                <w:rFonts w:ascii="Arial" w:hAnsi="Arial" w:cs="Arial"/>
                <w:color w:val="auto"/>
                <w:szCs w:val="21"/>
                <w:highlight w:val="none"/>
              </w:rPr>
            </w:pPr>
          </w:p>
        </w:tc>
      </w:tr>
      <w:tr w14:paraId="50CCF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798A3079">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118B2DCE">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DB79CDB">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2FDE18D8">
            <w:pPr>
              <w:jc w:val="center"/>
              <w:rPr>
                <w:rFonts w:ascii="Arial" w:hAnsi="Arial" w:cs="Arial"/>
                <w:color w:val="auto"/>
                <w:szCs w:val="21"/>
                <w:highlight w:val="none"/>
              </w:rPr>
            </w:pPr>
          </w:p>
        </w:tc>
      </w:tr>
      <w:tr w14:paraId="315A6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6EEBF1CD">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2EF795F9">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CAABADF">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03271403">
            <w:pPr>
              <w:jc w:val="center"/>
              <w:rPr>
                <w:rFonts w:ascii="Arial" w:hAnsi="Arial" w:cs="Arial"/>
                <w:color w:val="auto"/>
                <w:szCs w:val="21"/>
                <w:highlight w:val="none"/>
              </w:rPr>
            </w:pPr>
          </w:p>
        </w:tc>
      </w:tr>
      <w:tr w14:paraId="1459A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vAlign w:val="center"/>
          </w:tcPr>
          <w:p w14:paraId="3009EADA">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4B05C20F">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049B58C">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11E812EB">
            <w:pPr>
              <w:jc w:val="center"/>
              <w:rPr>
                <w:rFonts w:ascii="Arial" w:hAnsi="Arial" w:cs="Arial"/>
                <w:color w:val="auto"/>
                <w:szCs w:val="21"/>
                <w:highlight w:val="none"/>
              </w:rPr>
            </w:pPr>
          </w:p>
        </w:tc>
      </w:tr>
      <w:tr w14:paraId="3ECE9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restart"/>
            <w:tcBorders>
              <w:top w:val="single" w:color="auto" w:sz="4" w:space="0"/>
              <w:left w:val="single" w:color="auto" w:sz="4" w:space="0"/>
              <w:right w:val="single" w:color="auto" w:sz="4" w:space="0"/>
            </w:tcBorders>
            <w:vAlign w:val="center"/>
          </w:tcPr>
          <w:p w14:paraId="5357C37D">
            <w:pPr>
              <w:jc w:val="center"/>
              <w:rPr>
                <w:rFonts w:ascii="Arial" w:hAnsi="Arial" w:cs="Arial"/>
                <w:color w:val="auto"/>
                <w:szCs w:val="21"/>
                <w:highlight w:val="none"/>
              </w:rPr>
            </w:pPr>
            <w:r>
              <w:rPr>
                <w:rFonts w:hint="eastAsia" w:ascii="Arial" w:hAnsi="Arial" w:cs="Arial"/>
                <w:color w:val="auto"/>
                <w:szCs w:val="21"/>
                <w:highlight w:val="none"/>
              </w:rPr>
              <w:t>技术分</w:t>
            </w:r>
          </w:p>
        </w:tc>
        <w:tc>
          <w:tcPr>
            <w:tcW w:w="2523" w:type="dxa"/>
            <w:tcBorders>
              <w:top w:val="single" w:color="auto" w:sz="4" w:space="0"/>
              <w:left w:val="single" w:color="auto" w:sz="4" w:space="0"/>
              <w:bottom w:val="single" w:color="auto" w:sz="4" w:space="0"/>
              <w:right w:val="single" w:color="auto" w:sz="4" w:space="0"/>
            </w:tcBorders>
            <w:vAlign w:val="center"/>
          </w:tcPr>
          <w:p w14:paraId="36DC6FAE">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245934B">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5A8DC754">
            <w:pPr>
              <w:jc w:val="center"/>
              <w:rPr>
                <w:rFonts w:ascii="Arial" w:hAnsi="Arial" w:cs="Arial"/>
                <w:color w:val="auto"/>
                <w:szCs w:val="21"/>
                <w:highlight w:val="none"/>
              </w:rPr>
            </w:pPr>
          </w:p>
        </w:tc>
      </w:tr>
      <w:tr w14:paraId="15353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vAlign w:val="center"/>
          </w:tcPr>
          <w:p w14:paraId="05FC4C56">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2A4E6160">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4AD17A3">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6C9D29EE">
            <w:pPr>
              <w:jc w:val="center"/>
              <w:rPr>
                <w:rFonts w:ascii="Arial" w:hAnsi="Arial" w:cs="Arial"/>
                <w:color w:val="auto"/>
                <w:szCs w:val="21"/>
                <w:highlight w:val="none"/>
              </w:rPr>
            </w:pPr>
          </w:p>
        </w:tc>
      </w:tr>
      <w:tr w14:paraId="77421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vAlign w:val="center"/>
          </w:tcPr>
          <w:p w14:paraId="425912D9">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4C043127">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9B9A501">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26C961EF">
            <w:pPr>
              <w:jc w:val="center"/>
              <w:rPr>
                <w:rFonts w:ascii="Arial" w:hAnsi="Arial" w:cs="Arial"/>
                <w:color w:val="auto"/>
                <w:szCs w:val="21"/>
                <w:highlight w:val="none"/>
              </w:rPr>
            </w:pPr>
          </w:p>
        </w:tc>
      </w:tr>
      <w:tr w14:paraId="39481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vAlign w:val="center"/>
          </w:tcPr>
          <w:p w14:paraId="3D86F439">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7B9A7954">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D314ADA">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751F4325">
            <w:pPr>
              <w:jc w:val="center"/>
              <w:rPr>
                <w:rFonts w:ascii="Arial" w:hAnsi="Arial" w:cs="Arial"/>
                <w:color w:val="auto"/>
                <w:szCs w:val="21"/>
                <w:highlight w:val="none"/>
              </w:rPr>
            </w:pPr>
          </w:p>
        </w:tc>
      </w:tr>
      <w:tr w14:paraId="0B575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vAlign w:val="center"/>
          </w:tcPr>
          <w:p w14:paraId="216E45F6">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vAlign w:val="center"/>
          </w:tcPr>
          <w:p w14:paraId="3400341F">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180EE73">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tcPr>
          <w:p w14:paraId="6379EA1D">
            <w:pPr>
              <w:jc w:val="center"/>
              <w:rPr>
                <w:rFonts w:ascii="Arial" w:hAnsi="Arial" w:cs="Arial"/>
                <w:color w:val="auto"/>
                <w:szCs w:val="21"/>
                <w:highlight w:val="none"/>
              </w:rPr>
            </w:pPr>
          </w:p>
        </w:tc>
      </w:tr>
    </w:tbl>
    <w:p w14:paraId="3D9F1A1A">
      <w:pPr>
        <w:snapToGrid w:val="0"/>
        <w:spacing w:before="50" w:after="50" w:line="440" w:lineRule="exact"/>
        <w:ind w:firstLine="102" w:firstLineChars="49"/>
        <w:jc w:val="center"/>
        <w:rPr>
          <w:b/>
          <w:color w:val="auto"/>
          <w:sz w:val="28"/>
          <w:szCs w:val="28"/>
          <w:highlight w:val="none"/>
        </w:rPr>
      </w:pPr>
      <w:r>
        <w:rPr>
          <w:color w:val="auto"/>
          <w:highlight w:val="none"/>
        </w:rPr>
        <w:br w:type="page"/>
      </w:r>
      <w:r>
        <w:rPr>
          <w:b/>
          <w:color w:val="auto"/>
          <w:sz w:val="28"/>
          <w:szCs w:val="28"/>
          <w:highlight w:val="none"/>
        </w:rPr>
        <w:t>目录</w:t>
      </w:r>
    </w:p>
    <w:p w14:paraId="6DCDF209">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7CD4B2EC">
      <w:pPr>
        <w:jc w:val="center"/>
        <w:rPr>
          <w:color w:val="auto"/>
          <w:highlight w:val="none"/>
        </w:rPr>
      </w:pPr>
      <w:r>
        <w:rPr>
          <w:color w:val="auto"/>
          <w:highlight w:val="none"/>
        </w:rPr>
        <w:br w:type="page"/>
      </w:r>
    </w:p>
    <w:p w14:paraId="2C34D47D">
      <w:pPr>
        <w:rPr>
          <w:b/>
          <w:color w:val="auto"/>
          <w:szCs w:val="21"/>
          <w:highlight w:val="none"/>
        </w:rPr>
      </w:pPr>
      <w:bookmarkStart w:id="92" w:name="_Toc455309222"/>
      <w:bookmarkStart w:id="93" w:name="_Toc462320613"/>
      <w:bookmarkStart w:id="94" w:name="_Toc462223472"/>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430E6040">
      <w:pPr>
        <w:jc w:val="center"/>
        <w:rPr>
          <w:color w:val="auto"/>
          <w:highlight w:val="none"/>
        </w:rPr>
      </w:pPr>
    </w:p>
    <w:bookmarkEnd w:id="92"/>
    <w:bookmarkEnd w:id="93"/>
    <w:bookmarkEnd w:id="94"/>
    <w:p w14:paraId="05D68A0F">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3DAEAEC0">
      <w:pPr>
        <w:spacing w:line="360" w:lineRule="auto"/>
        <w:rPr>
          <w:color w:val="auto"/>
          <w:highlight w:val="none"/>
        </w:rPr>
      </w:pPr>
    </w:p>
    <w:p w14:paraId="5C4B3836">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7EB2AB52">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59CB6686">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2F4C89AF">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5DFBB553">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601B6B2A">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01510760">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125AFE6A">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5F200C5D">
      <w:pPr>
        <w:spacing w:line="540" w:lineRule="exact"/>
        <w:rPr>
          <w:color w:val="auto"/>
          <w:szCs w:val="21"/>
          <w:highlight w:val="none"/>
        </w:rPr>
      </w:pPr>
    </w:p>
    <w:p w14:paraId="5C28D599">
      <w:pPr>
        <w:spacing w:line="540" w:lineRule="exact"/>
        <w:ind w:firstLine="420" w:firstLineChars="200"/>
        <w:rPr>
          <w:color w:val="auto"/>
          <w:szCs w:val="21"/>
          <w:highlight w:val="none"/>
        </w:rPr>
      </w:pPr>
      <w:r>
        <w:rPr>
          <w:color w:val="auto"/>
          <w:szCs w:val="21"/>
          <w:highlight w:val="none"/>
        </w:rPr>
        <w:t>特此证明。</w:t>
      </w:r>
    </w:p>
    <w:p w14:paraId="39771F85">
      <w:pPr>
        <w:spacing w:line="360" w:lineRule="auto"/>
        <w:ind w:firstLine="4830" w:firstLineChars="2300"/>
        <w:rPr>
          <w:color w:val="auto"/>
          <w:szCs w:val="21"/>
          <w:highlight w:val="none"/>
        </w:rPr>
      </w:pPr>
    </w:p>
    <w:p w14:paraId="6BDFC1E4">
      <w:pPr>
        <w:spacing w:line="360" w:lineRule="auto"/>
        <w:ind w:firstLine="4830" w:firstLineChars="2300"/>
        <w:rPr>
          <w:color w:val="auto"/>
          <w:szCs w:val="21"/>
          <w:highlight w:val="none"/>
        </w:rPr>
      </w:pPr>
    </w:p>
    <w:p w14:paraId="7AE14DDE">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95CE617">
      <w:pPr>
        <w:spacing w:line="360" w:lineRule="auto"/>
        <w:jc w:val="right"/>
        <w:rPr>
          <w:color w:val="auto"/>
          <w:szCs w:val="21"/>
          <w:highlight w:val="none"/>
        </w:rPr>
      </w:pPr>
      <w:r>
        <w:rPr>
          <w:color w:val="auto"/>
          <w:szCs w:val="21"/>
          <w:highlight w:val="none"/>
        </w:rPr>
        <w:t xml:space="preserve">                                                                                              年       月       日 </w:t>
      </w:r>
    </w:p>
    <w:p w14:paraId="397D447F">
      <w:pPr>
        <w:spacing w:line="360" w:lineRule="auto"/>
        <w:ind w:firstLine="420" w:firstLineChars="200"/>
        <w:rPr>
          <w:color w:val="auto"/>
          <w:szCs w:val="21"/>
          <w:highlight w:val="none"/>
        </w:rPr>
      </w:pPr>
    </w:p>
    <w:p w14:paraId="2D17FBA8">
      <w:pPr>
        <w:spacing w:line="360" w:lineRule="auto"/>
        <w:rPr>
          <w:color w:val="auto"/>
          <w:szCs w:val="21"/>
          <w:highlight w:val="none"/>
        </w:rPr>
      </w:pPr>
      <w:r>
        <w:rPr>
          <w:color w:val="auto"/>
          <w:szCs w:val="21"/>
          <w:highlight w:val="none"/>
        </w:rPr>
        <w:t>附件：法定代表人身份证复印件</w:t>
      </w:r>
    </w:p>
    <w:p w14:paraId="7466C0A6">
      <w:pPr>
        <w:spacing w:line="360" w:lineRule="auto"/>
        <w:rPr>
          <w:color w:val="auto"/>
          <w:szCs w:val="21"/>
          <w:highlight w:val="none"/>
        </w:rPr>
      </w:pPr>
    </w:p>
    <w:p w14:paraId="50FC5FBE">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50633D3C">
      <w:pPr>
        <w:snapToGrid w:val="0"/>
        <w:spacing w:before="120" w:beforeLines="50" w:after="50" w:line="360" w:lineRule="exact"/>
        <w:rPr>
          <w:b/>
          <w:color w:val="auto"/>
          <w:szCs w:val="21"/>
          <w:highlight w:val="none"/>
        </w:rPr>
      </w:pPr>
    </w:p>
    <w:p w14:paraId="3F619ACD">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7EE8339E">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（征集人名称）</w:t>
      </w:r>
      <w:r>
        <w:rPr>
          <w:color w:val="auto"/>
          <w:szCs w:val="21"/>
          <w:highlight w:val="none"/>
        </w:rPr>
        <w:t>：</w:t>
      </w:r>
    </w:p>
    <w:p w14:paraId="3D2238DD">
      <w:pPr>
        <w:snapToGrid w:val="0"/>
        <w:spacing w:before="120" w:beforeLines="50" w:after="50" w:line="440" w:lineRule="exact"/>
        <w:ind w:firstLine="420" w:firstLineChars="200"/>
        <w:rPr>
          <w:color w:val="auto"/>
          <w:szCs w:val="21"/>
          <w:highlight w:val="none"/>
        </w:rPr>
      </w:pPr>
      <w:r>
        <w:rPr>
          <w:color w:val="auto"/>
          <w:szCs w:val="21"/>
          <w:highlight w:val="none"/>
        </w:rPr>
        <w:t>我__</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_系_</w:t>
      </w:r>
      <w:r>
        <w:rPr>
          <w:i/>
          <w:iCs/>
          <w:color w:val="auto"/>
          <w:szCs w:val="21"/>
          <w:highlight w:val="none"/>
          <w:u w:val="single"/>
        </w:rPr>
        <w:t>（供应商名称）</w:t>
      </w:r>
      <w:r>
        <w:rPr>
          <w:color w:val="auto"/>
          <w:szCs w:val="21"/>
          <w:highlight w:val="none"/>
        </w:rPr>
        <w:t xml:space="preserve">_的法定代表人，现授权委托本单位在职职工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项目的响应活动，并代表我方全权办理针对上述项目的响应、截标、评审、签约等具体事务和签署相关文件。</w:t>
      </w:r>
    </w:p>
    <w:p w14:paraId="29B75209">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4328EE49">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66B21B7F">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5251AA61">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59C8C217">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50ECA011">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2E81778F">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48A30C95">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C5FE02F">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71A2BBAE">
      <w:pPr>
        <w:spacing w:line="360" w:lineRule="auto"/>
        <w:rPr>
          <w:color w:val="auto"/>
          <w:szCs w:val="21"/>
          <w:highlight w:val="none"/>
        </w:rPr>
      </w:pPr>
    </w:p>
    <w:p w14:paraId="0CB4CCD4">
      <w:pPr>
        <w:spacing w:line="360" w:lineRule="auto"/>
        <w:rPr>
          <w:color w:val="auto"/>
          <w:szCs w:val="21"/>
          <w:highlight w:val="none"/>
        </w:rPr>
      </w:pPr>
    </w:p>
    <w:p w14:paraId="2B8499FC">
      <w:pPr>
        <w:spacing w:line="360" w:lineRule="auto"/>
        <w:rPr>
          <w:color w:val="auto"/>
          <w:szCs w:val="21"/>
          <w:highlight w:val="none"/>
        </w:rPr>
      </w:pPr>
      <w:r>
        <w:rPr>
          <w:color w:val="auto"/>
          <w:szCs w:val="21"/>
          <w:highlight w:val="none"/>
        </w:rPr>
        <w:t>附件：法定代表人身份证复印件及授权代表身份证复印件</w:t>
      </w:r>
    </w:p>
    <w:p w14:paraId="326699C2">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第一部分 商务文件</w:t>
      </w:r>
    </w:p>
    <w:p w14:paraId="4408042E">
      <w:pPr>
        <w:jc w:val="center"/>
        <w:rPr>
          <w:bCs/>
          <w:color w:val="auto"/>
          <w:sz w:val="24"/>
          <w:highlight w:val="none"/>
        </w:rPr>
      </w:pPr>
      <w:r>
        <w:rPr>
          <w:color w:val="auto"/>
          <w:highlight w:val="none"/>
        </w:rPr>
        <w:t>（本商务文件供应商可自行编写，也可参照下述提纲编写）</w:t>
      </w:r>
    </w:p>
    <w:p w14:paraId="14746F43">
      <w:pPr>
        <w:snapToGrid w:val="0"/>
        <w:spacing w:before="50" w:after="120" w:afterLines="50" w:line="440" w:lineRule="exact"/>
        <w:jc w:val="left"/>
        <w:rPr>
          <w:color w:val="auto"/>
          <w:szCs w:val="21"/>
          <w:highlight w:val="none"/>
        </w:rPr>
      </w:pPr>
    </w:p>
    <w:p w14:paraId="0862A089">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r>
        <w:rPr>
          <w:color w:val="auto"/>
          <w:szCs w:val="21"/>
          <w:highlight w:val="none"/>
        </w:rPr>
        <w:t>：</w:t>
      </w:r>
    </w:p>
    <w:tbl>
      <w:tblPr>
        <w:tblStyle w:val="51"/>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6905D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735145D">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38C28E06">
            <w:pPr>
              <w:snapToGrid w:val="0"/>
              <w:spacing w:before="120" w:beforeLines="50"/>
              <w:jc w:val="center"/>
              <w:rPr>
                <w:color w:val="auto"/>
                <w:szCs w:val="21"/>
                <w:highlight w:val="none"/>
              </w:rPr>
            </w:pPr>
            <w:r>
              <w:rPr>
                <w:color w:val="auto"/>
                <w:szCs w:val="21"/>
                <w:highlight w:val="none"/>
              </w:rPr>
              <w:t>征集文件的商务要求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57064874">
            <w:pPr>
              <w:snapToGrid w:val="0"/>
              <w:spacing w:before="120" w:beforeLines="50"/>
              <w:jc w:val="center"/>
              <w:rPr>
                <w:color w:val="auto"/>
                <w:szCs w:val="21"/>
                <w:highlight w:val="none"/>
              </w:rPr>
            </w:pPr>
            <w:r>
              <w:rPr>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30B7F50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68A97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7DF63D6">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24D1EF03">
            <w:pPr>
              <w:snapToGrid w:val="0"/>
              <w:spacing w:before="120" w:beforeLines="50"/>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50979176">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7663945">
            <w:pPr>
              <w:snapToGrid w:val="0"/>
              <w:spacing w:before="120" w:beforeLines="50"/>
              <w:jc w:val="center"/>
              <w:rPr>
                <w:color w:val="auto"/>
                <w:szCs w:val="21"/>
                <w:highlight w:val="none"/>
              </w:rPr>
            </w:pPr>
          </w:p>
        </w:tc>
      </w:tr>
      <w:tr w14:paraId="33EBE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5CC3857">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6CBA1B1A">
            <w:pPr>
              <w:spacing w:line="360" w:lineRule="exact"/>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1375440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4D87BF3C">
            <w:pPr>
              <w:snapToGrid w:val="0"/>
              <w:spacing w:before="120" w:beforeLines="50"/>
              <w:jc w:val="center"/>
              <w:rPr>
                <w:color w:val="auto"/>
                <w:szCs w:val="21"/>
                <w:highlight w:val="none"/>
              </w:rPr>
            </w:pPr>
          </w:p>
        </w:tc>
      </w:tr>
      <w:tr w14:paraId="3A81A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94D09B8">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21A747D2">
            <w:pPr>
              <w:spacing w:line="360" w:lineRule="exact"/>
              <w:jc w:val="center"/>
              <w:rPr>
                <w:color w:val="auto"/>
                <w:szCs w:val="21"/>
                <w:highlight w:val="none"/>
              </w:rPr>
            </w:pPr>
            <w:r>
              <w:rPr>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vAlign w:val="center"/>
          </w:tcPr>
          <w:p w14:paraId="4595497E">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33A38B13">
            <w:pPr>
              <w:snapToGrid w:val="0"/>
              <w:spacing w:before="120" w:beforeLines="50"/>
              <w:jc w:val="center"/>
              <w:rPr>
                <w:color w:val="auto"/>
                <w:szCs w:val="21"/>
                <w:highlight w:val="none"/>
              </w:rPr>
            </w:pPr>
          </w:p>
        </w:tc>
      </w:tr>
    </w:tbl>
    <w:p w14:paraId="765D3730">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95" w:name="_Hlk48144603"/>
      <w:bookmarkStart w:id="96" w:name="_Hlk88990584"/>
      <w:r>
        <w:rPr>
          <w:rFonts w:ascii="Times New Roman" w:hAnsi="Times New Roman" w:cs="Times New Roman"/>
          <w:color w:val="auto"/>
          <w:highlight w:val="none"/>
        </w:rPr>
        <w:t>注：</w:t>
      </w:r>
      <w:bookmarkStart w:id="97" w:name="_Hlk19049081"/>
      <w:r>
        <w:rPr>
          <w:rFonts w:ascii="Times New Roman" w:hAnsi="Times New Roman" w:cs="Times New Roman"/>
          <w:color w:val="auto"/>
          <w:highlight w:val="none"/>
        </w:rPr>
        <w:t>（1）本表应对征集文件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w:t>
      </w:r>
      <w:r>
        <w:rPr>
          <w:rFonts w:hint="eastAsia" w:ascii="Times New Roman" w:hAnsi="Times New Roman" w:cs="Times New Roman"/>
          <w:color w:val="auto"/>
          <w:highlight w:val="none"/>
        </w:rPr>
        <w:t>逐条</w:t>
      </w:r>
      <w:r>
        <w:rPr>
          <w:rFonts w:ascii="Times New Roman" w:hAnsi="Times New Roman" w:cs="Times New Roman"/>
          <w:color w:val="auto"/>
          <w:highlight w:val="none"/>
        </w:rPr>
        <w:t>响应，并根据响应情况在“偏离说明”</w:t>
      </w:r>
      <w:r>
        <w:rPr>
          <w:rFonts w:hint="eastAsia" w:ascii="Times New Roman" w:hAnsi="Times New Roman" w:cs="Times New Roman"/>
          <w:color w:val="auto"/>
          <w:highlight w:val="none"/>
        </w:rPr>
        <w:t>填写无偏离或正偏离</w:t>
      </w:r>
      <w:r>
        <w:rPr>
          <w:rFonts w:ascii="Times New Roman" w:hAnsi="Times New Roman" w:cs="Times New Roman"/>
          <w:color w:val="auto"/>
          <w:highlight w:val="none"/>
        </w:rPr>
        <w:t>。</w:t>
      </w:r>
      <w:r>
        <w:rPr>
          <w:rFonts w:hint="eastAsia" w:ascii="Times New Roman" w:hAnsi="Times New Roman" w:cs="Times New Roman"/>
          <w:color w:val="auto"/>
          <w:highlight w:val="none"/>
        </w:rPr>
        <w:t>负偏离将导致响应被否决。</w:t>
      </w:r>
    </w:p>
    <w:p w14:paraId="4DF9AFA6">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5A08EB32">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7"/>
    <w:p w14:paraId="2D4539B9">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5"/>
    <w:p w14:paraId="0AE780E6">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96"/>
    <w:p w14:paraId="254BA5ED">
      <w:pPr>
        <w:snapToGrid w:val="0"/>
        <w:spacing w:before="50" w:after="120" w:afterLines="50"/>
        <w:jc w:val="left"/>
        <w:rPr>
          <w:rFonts w:ascii="Calibri" w:hAnsi="Calibri"/>
          <w:b/>
          <w:color w:val="auto"/>
          <w:szCs w:val="21"/>
          <w:highlight w:val="none"/>
        </w:rPr>
      </w:pPr>
      <w:r>
        <w:rPr>
          <w:rFonts w:ascii="Calibri" w:hAnsi="Calibri"/>
          <w:color w:val="auto"/>
          <w:szCs w:val="21"/>
          <w:highlight w:val="none"/>
        </w:rPr>
        <w:t>2．近年供应商类似成功案例的业绩证明。</w:t>
      </w:r>
    </w:p>
    <w:p w14:paraId="4744A887">
      <w:pPr>
        <w:snapToGrid w:val="0"/>
        <w:spacing w:before="50" w:after="120" w:afterLines="50"/>
        <w:jc w:val="center"/>
        <w:rPr>
          <w:rFonts w:ascii="Calibri" w:hAnsi="Calibri"/>
          <w:color w:val="auto"/>
          <w:szCs w:val="21"/>
          <w:highlight w:val="none"/>
        </w:rPr>
      </w:pPr>
      <w:r>
        <w:rPr>
          <w:rFonts w:ascii="Calibri" w:hAnsi="Calibri"/>
          <w:b/>
          <w:color w:val="auto"/>
          <w:szCs w:val="21"/>
          <w:highlight w:val="none"/>
        </w:rPr>
        <w:t>类似成功案例业绩一览表</w:t>
      </w:r>
    </w:p>
    <w:tbl>
      <w:tblPr>
        <w:tblStyle w:val="51"/>
        <w:tblW w:w="947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0"/>
        <w:gridCol w:w="797"/>
        <w:gridCol w:w="1112"/>
        <w:gridCol w:w="945"/>
        <w:gridCol w:w="944"/>
        <w:gridCol w:w="910"/>
        <w:gridCol w:w="827"/>
        <w:gridCol w:w="1286"/>
        <w:gridCol w:w="1103"/>
        <w:gridCol w:w="1103"/>
      </w:tblGrid>
      <w:tr w14:paraId="30C55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3" w:hRule="atLeast"/>
        </w:trPr>
        <w:tc>
          <w:tcPr>
            <w:tcW w:w="450" w:type="dxa"/>
            <w:tcBorders>
              <w:top w:val="single" w:color="auto" w:sz="4" w:space="0"/>
              <w:left w:val="single" w:color="auto" w:sz="4" w:space="0"/>
              <w:right w:val="single" w:color="auto" w:sz="4" w:space="0"/>
            </w:tcBorders>
            <w:vAlign w:val="center"/>
          </w:tcPr>
          <w:p w14:paraId="0FFB02F9">
            <w:pPr>
              <w:snapToGrid w:val="0"/>
              <w:spacing w:line="240" w:lineRule="exact"/>
              <w:jc w:val="center"/>
              <w:rPr>
                <w:color w:val="auto"/>
                <w:szCs w:val="21"/>
                <w:highlight w:val="none"/>
              </w:rPr>
            </w:pPr>
            <w:r>
              <w:rPr>
                <w:rFonts w:hint="eastAsia"/>
                <w:color w:val="auto"/>
                <w:szCs w:val="21"/>
                <w:highlight w:val="none"/>
              </w:rPr>
              <w:t>序号</w:t>
            </w:r>
          </w:p>
        </w:tc>
        <w:tc>
          <w:tcPr>
            <w:tcW w:w="797" w:type="dxa"/>
            <w:tcBorders>
              <w:top w:val="single" w:color="auto" w:sz="4" w:space="0"/>
              <w:left w:val="single" w:color="auto" w:sz="4" w:space="0"/>
              <w:right w:val="single" w:color="auto" w:sz="4" w:space="0"/>
            </w:tcBorders>
            <w:vAlign w:val="center"/>
          </w:tcPr>
          <w:p w14:paraId="425E65CF">
            <w:pPr>
              <w:snapToGrid w:val="0"/>
              <w:spacing w:line="240" w:lineRule="exact"/>
              <w:jc w:val="center"/>
              <w:rPr>
                <w:color w:val="auto"/>
                <w:szCs w:val="21"/>
                <w:highlight w:val="none"/>
              </w:rPr>
            </w:pPr>
            <w:r>
              <w:rPr>
                <w:rFonts w:hint="eastAsia"/>
                <w:color w:val="auto"/>
                <w:szCs w:val="21"/>
                <w:highlight w:val="none"/>
              </w:rPr>
              <w:t>委托单位（</w:t>
            </w:r>
            <w:r>
              <w:rPr>
                <w:bCs/>
                <w:color w:val="auto"/>
                <w:highlight w:val="none"/>
              </w:rPr>
              <w:t>财政、审计</w:t>
            </w:r>
            <w:r>
              <w:rPr>
                <w:rFonts w:hint="eastAsia"/>
                <w:bCs/>
                <w:color w:val="auto"/>
                <w:highlight w:val="none"/>
              </w:rPr>
              <w:t>部门</w:t>
            </w:r>
            <w:r>
              <w:rPr>
                <w:rFonts w:hint="eastAsia"/>
                <w:color w:val="auto"/>
                <w:szCs w:val="21"/>
                <w:highlight w:val="none"/>
              </w:rPr>
              <w:t>）</w:t>
            </w:r>
          </w:p>
        </w:tc>
        <w:tc>
          <w:tcPr>
            <w:tcW w:w="1112" w:type="dxa"/>
            <w:tcBorders>
              <w:top w:val="single" w:color="auto" w:sz="4" w:space="0"/>
              <w:left w:val="single" w:color="auto" w:sz="4" w:space="0"/>
              <w:bottom w:val="single" w:color="auto" w:sz="4" w:space="0"/>
              <w:right w:val="single" w:color="auto" w:sz="4" w:space="0"/>
            </w:tcBorders>
            <w:vAlign w:val="center"/>
          </w:tcPr>
          <w:p w14:paraId="36F45732">
            <w:pPr>
              <w:snapToGrid w:val="0"/>
              <w:spacing w:line="240" w:lineRule="exact"/>
              <w:jc w:val="center"/>
              <w:rPr>
                <w:color w:val="auto"/>
                <w:szCs w:val="21"/>
                <w:highlight w:val="none"/>
              </w:rPr>
            </w:pPr>
            <w:r>
              <w:rPr>
                <w:rFonts w:hint="eastAsia"/>
                <w:color w:val="auto"/>
                <w:szCs w:val="21"/>
                <w:highlight w:val="none"/>
              </w:rPr>
              <w:t>工程类型</w:t>
            </w:r>
          </w:p>
          <w:p w14:paraId="2F8414F0">
            <w:pPr>
              <w:snapToGrid w:val="0"/>
              <w:spacing w:line="240" w:lineRule="exact"/>
              <w:jc w:val="center"/>
              <w:rPr>
                <w:color w:val="auto"/>
                <w:szCs w:val="21"/>
                <w:highlight w:val="none"/>
              </w:rPr>
            </w:pPr>
            <w:r>
              <w:rPr>
                <w:rFonts w:hint="eastAsia"/>
                <w:color w:val="auto"/>
                <w:szCs w:val="21"/>
                <w:highlight w:val="none"/>
              </w:rPr>
              <w:t>（</w:t>
            </w:r>
            <w:r>
              <w:rPr>
                <w:rFonts w:hint="eastAsia"/>
                <w:bCs/>
                <w:color w:val="auto"/>
                <w:highlight w:val="none"/>
              </w:rPr>
              <w:t>土建、水利、交通、市政</w:t>
            </w:r>
            <w:r>
              <w:rPr>
                <w:rFonts w:hint="eastAsia"/>
                <w:color w:val="auto"/>
                <w:szCs w:val="21"/>
                <w:highlight w:val="none"/>
              </w:rPr>
              <w:t>）</w:t>
            </w:r>
          </w:p>
        </w:tc>
        <w:tc>
          <w:tcPr>
            <w:tcW w:w="945" w:type="dxa"/>
            <w:tcBorders>
              <w:top w:val="single" w:color="auto" w:sz="4" w:space="0"/>
              <w:left w:val="single" w:color="auto" w:sz="4" w:space="0"/>
              <w:bottom w:val="single" w:color="auto" w:sz="4" w:space="0"/>
              <w:right w:val="single" w:color="auto" w:sz="4" w:space="0"/>
            </w:tcBorders>
            <w:vAlign w:val="center"/>
          </w:tcPr>
          <w:p w14:paraId="1BAA7E02">
            <w:pPr>
              <w:snapToGrid w:val="0"/>
              <w:spacing w:line="240" w:lineRule="exact"/>
              <w:jc w:val="center"/>
              <w:rPr>
                <w:color w:val="auto"/>
                <w:szCs w:val="21"/>
                <w:highlight w:val="none"/>
              </w:rPr>
            </w:pPr>
            <w:r>
              <w:rPr>
                <w:rFonts w:hint="eastAsia"/>
                <w:color w:val="auto"/>
                <w:szCs w:val="21"/>
                <w:highlight w:val="none"/>
              </w:rPr>
              <w:t>项目建设</w:t>
            </w:r>
            <w:r>
              <w:rPr>
                <w:color w:val="auto"/>
                <w:szCs w:val="21"/>
                <w:highlight w:val="none"/>
              </w:rPr>
              <w:t>单位名称</w:t>
            </w:r>
          </w:p>
        </w:tc>
        <w:tc>
          <w:tcPr>
            <w:tcW w:w="944" w:type="dxa"/>
            <w:tcBorders>
              <w:top w:val="single" w:color="auto" w:sz="4" w:space="0"/>
              <w:left w:val="single" w:color="auto" w:sz="4" w:space="0"/>
              <w:bottom w:val="single" w:color="auto" w:sz="4" w:space="0"/>
              <w:right w:val="single" w:color="auto" w:sz="4" w:space="0"/>
            </w:tcBorders>
            <w:vAlign w:val="center"/>
          </w:tcPr>
          <w:p w14:paraId="434C92E0">
            <w:pPr>
              <w:snapToGrid w:val="0"/>
              <w:spacing w:line="240" w:lineRule="exact"/>
              <w:jc w:val="center"/>
              <w:rPr>
                <w:color w:val="auto"/>
                <w:szCs w:val="21"/>
                <w:highlight w:val="none"/>
              </w:rPr>
            </w:pPr>
            <w:r>
              <w:rPr>
                <w:color w:val="auto"/>
                <w:szCs w:val="21"/>
                <w:highlight w:val="none"/>
              </w:rPr>
              <w:t>项目名称</w:t>
            </w:r>
          </w:p>
        </w:tc>
        <w:tc>
          <w:tcPr>
            <w:tcW w:w="910" w:type="dxa"/>
            <w:tcBorders>
              <w:top w:val="single" w:color="auto" w:sz="4" w:space="0"/>
              <w:left w:val="single" w:color="auto" w:sz="4" w:space="0"/>
              <w:bottom w:val="single" w:color="auto" w:sz="4" w:space="0"/>
              <w:right w:val="single" w:color="auto" w:sz="4" w:space="0"/>
            </w:tcBorders>
            <w:vAlign w:val="center"/>
          </w:tcPr>
          <w:p w14:paraId="4E796DEF">
            <w:pPr>
              <w:snapToGrid w:val="0"/>
              <w:spacing w:line="240" w:lineRule="exact"/>
              <w:jc w:val="center"/>
              <w:rPr>
                <w:color w:val="auto"/>
                <w:szCs w:val="21"/>
                <w:highlight w:val="none"/>
              </w:rPr>
            </w:pPr>
            <w:r>
              <w:rPr>
                <w:rFonts w:hint="eastAsia"/>
                <w:color w:val="auto"/>
                <w:szCs w:val="21"/>
                <w:highlight w:val="none"/>
              </w:rPr>
              <w:t>委托</w:t>
            </w:r>
            <w:r>
              <w:rPr>
                <w:color w:val="auto"/>
                <w:szCs w:val="21"/>
                <w:highlight w:val="none"/>
              </w:rPr>
              <w:t>时间</w:t>
            </w:r>
          </w:p>
        </w:tc>
        <w:tc>
          <w:tcPr>
            <w:tcW w:w="827" w:type="dxa"/>
            <w:tcBorders>
              <w:top w:val="single" w:color="auto" w:sz="4" w:space="0"/>
              <w:left w:val="single" w:color="auto" w:sz="4" w:space="0"/>
              <w:bottom w:val="single" w:color="auto" w:sz="4" w:space="0"/>
              <w:right w:val="single" w:color="auto" w:sz="4" w:space="0"/>
            </w:tcBorders>
            <w:vAlign w:val="center"/>
          </w:tcPr>
          <w:p w14:paraId="50B9C070">
            <w:pPr>
              <w:snapToGrid w:val="0"/>
              <w:spacing w:line="240" w:lineRule="exact"/>
              <w:jc w:val="center"/>
              <w:rPr>
                <w:color w:val="auto"/>
                <w:szCs w:val="21"/>
                <w:highlight w:val="none"/>
              </w:rPr>
            </w:pPr>
            <w:r>
              <w:rPr>
                <w:rFonts w:hint="eastAsia"/>
                <w:color w:val="auto"/>
                <w:szCs w:val="21"/>
                <w:highlight w:val="none"/>
              </w:rPr>
              <w:t>评审结论书或审定表/单时间</w:t>
            </w:r>
          </w:p>
        </w:tc>
        <w:tc>
          <w:tcPr>
            <w:tcW w:w="1286" w:type="dxa"/>
            <w:tcBorders>
              <w:top w:val="single" w:color="auto" w:sz="4" w:space="0"/>
              <w:left w:val="single" w:color="auto" w:sz="4" w:space="0"/>
              <w:bottom w:val="single" w:color="auto" w:sz="4" w:space="0"/>
              <w:right w:val="single" w:color="auto" w:sz="4" w:space="0"/>
            </w:tcBorders>
            <w:vAlign w:val="center"/>
          </w:tcPr>
          <w:p w14:paraId="35B5F3AA">
            <w:pPr>
              <w:snapToGrid w:val="0"/>
              <w:spacing w:line="240" w:lineRule="exact"/>
              <w:jc w:val="center"/>
              <w:rPr>
                <w:color w:val="auto"/>
                <w:szCs w:val="21"/>
                <w:highlight w:val="none"/>
              </w:rPr>
            </w:pPr>
            <w:r>
              <w:rPr>
                <w:rFonts w:hint="eastAsia"/>
                <w:color w:val="auto"/>
                <w:szCs w:val="21"/>
                <w:highlight w:val="none"/>
              </w:rPr>
              <w:t>本次拟派评审人员</w:t>
            </w:r>
          </w:p>
        </w:tc>
        <w:tc>
          <w:tcPr>
            <w:tcW w:w="1103" w:type="dxa"/>
            <w:tcBorders>
              <w:top w:val="single" w:color="auto" w:sz="4" w:space="0"/>
              <w:left w:val="single" w:color="auto" w:sz="4" w:space="0"/>
              <w:bottom w:val="single" w:color="auto" w:sz="4" w:space="0"/>
              <w:right w:val="single" w:color="auto" w:sz="4" w:space="0"/>
            </w:tcBorders>
            <w:vAlign w:val="center"/>
          </w:tcPr>
          <w:p w14:paraId="6D666B2C">
            <w:pPr>
              <w:snapToGrid w:val="0"/>
              <w:spacing w:line="240" w:lineRule="exact"/>
              <w:jc w:val="center"/>
              <w:rPr>
                <w:color w:val="auto"/>
                <w:szCs w:val="21"/>
                <w:highlight w:val="none"/>
              </w:rPr>
            </w:pPr>
            <w:r>
              <w:rPr>
                <w:rFonts w:hint="eastAsia"/>
                <w:color w:val="auto"/>
                <w:szCs w:val="21"/>
                <w:highlight w:val="none"/>
              </w:rPr>
              <w:t>项目审定总价（元）</w:t>
            </w:r>
          </w:p>
        </w:tc>
        <w:tc>
          <w:tcPr>
            <w:tcW w:w="1103" w:type="dxa"/>
            <w:tcBorders>
              <w:top w:val="single" w:color="auto" w:sz="4" w:space="0"/>
              <w:left w:val="single" w:color="auto" w:sz="4" w:space="0"/>
              <w:bottom w:val="single" w:color="auto" w:sz="4" w:space="0"/>
              <w:right w:val="single" w:color="auto" w:sz="4" w:space="0"/>
            </w:tcBorders>
            <w:vAlign w:val="center"/>
          </w:tcPr>
          <w:p w14:paraId="7555B949">
            <w:pPr>
              <w:snapToGrid w:val="0"/>
              <w:spacing w:line="240" w:lineRule="exact"/>
              <w:jc w:val="center"/>
              <w:rPr>
                <w:color w:val="auto"/>
                <w:szCs w:val="21"/>
                <w:highlight w:val="none"/>
              </w:rPr>
            </w:pPr>
            <w:r>
              <w:rPr>
                <w:rFonts w:hint="eastAsia"/>
                <w:color w:val="auto"/>
                <w:szCs w:val="21"/>
                <w:highlight w:val="none"/>
              </w:rPr>
              <w:t>评审定案净减值（元）</w:t>
            </w:r>
          </w:p>
        </w:tc>
      </w:tr>
      <w:tr w14:paraId="43EFE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50" w:type="dxa"/>
            <w:tcBorders>
              <w:top w:val="single" w:color="auto" w:sz="4" w:space="0"/>
              <w:left w:val="single" w:color="auto" w:sz="4" w:space="0"/>
              <w:bottom w:val="single" w:color="auto" w:sz="4" w:space="0"/>
              <w:right w:val="single" w:color="auto" w:sz="4" w:space="0"/>
            </w:tcBorders>
          </w:tcPr>
          <w:p w14:paraId="722ADE3C">
            <w:pPr>
              <w:snapToGrid w:val="0"/>
              <w:spacing w:line="240" w:lineRule="exact"/>
              <w:jc w:val="left"/>
              <w:rPr>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tcPr>
          <w:p w14:paraId="23B31495">
            <w:pPr>
              <w:snapToGrid w:val="0"/>
              <w:spacing w:line="240" w:lineRule="exact"/>
              <w:jc w:val="left"/>
              <w:rPr>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60322CF1">
            <w:pPr>
              <w:snapToGrid w:val="0"/>
              <w:spacing w:line="240" w:lineRule="exact"/>
              <w:jc w:val="left"/>
              <w:rPr>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884D673">
            <w:pPr>
              <w:snapToGrid w:val="0"/>
              <w:spacing w:line="240" w:lineRule="exact"/>
              <w:jc w:val="left"/>
              <w:rPr>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14:paraId="4E617B74">
            <w:pPr>
              <w:snapToGrid w:val="0"/>
              <w:spacing w:line="240" w:lineRule="exact"/>
              <w:jc w:val="left"/>
              <w:rPr>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tcPr>
          <w:p w14:paraId="569BFDBF">
            <w:pPr>
              <w:snapToGrid w:val="0"/>
              <w:spacing w:line="240" w:lineRule="exact"/>
              <w:jc w:val="left"/>
              <w:rPr>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tcPr>
          <w:p w14:paraId="3D686DB1">
            <w:pPr>
              <w:snapToGrid w:val="0"/>
              <w:spacing w:line="240" w:lineRule="exact"/>
              <w:jc w:val="left"/>
              <w:rPr>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tcPr>
          <w:p w14:paraId="33F23F63">
            <w:pPr>
              <w:snapToGrid w:val="0"/>
              <w:spacing w:line="24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7D816F42">
            <w:pPr>
              <w:snapToGrid w:val="0"/>
              <w:spacing w:line="24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6BB848DC">
            <w:pPr>
              <w:snapToGrid w:val="0"/>
              <w:spacing w:line="240" w:lineRule="exact"/>
              <w:jc w:val="left"/>
              <w:rPr>
                <w:color w:val="auto"/>
                <w:szCs w:val="21"/>
                <w:highlight w:val="none"/>
              </w:rPr>
            </w:pPr>
          </w:p>
        </w:tc>
      </w:tr>
      <w:tr w14:paraId="255C1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50" w:type="dxa"/>
            <w:tcBorders>
              <w:top w:val="single" w:color="auto" w:sz="4" w:space="0"/>
              <w:left w:val="single" w:color="auto" w:sz="4" w:space="0"/>
              <w:bottom w:val="single" w:color="auto" w:sz="4" w:space="0"/>
              <w:right w:val="single" w:color="auto" w:sz="4" w:space="0"/>
            </w:tcBorders>
          </w:tcPr>
          <w:p w14:paraId="0D23053F">
            <w:pPr>
              <w:snapToGrid w:val="0"/>
              <w:spacing w:before="50" w:after="120" w:afterLines="50" w:line="400" w:lineRule="exact"/>
              <w:jc w:val="left"/>
              <w:rPr>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tcPr>
          <w:p w14:paraId="661556E3">
            <w:pPr>
              <w:snapToGrid w:val="0"/>
              <w:spacing w:before="50" w:after="120" w:afterLines="50" w:line="400" w:lineRule="exact"/>
              <w:jc w:val="left"/>
              <w:rPr>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681F707B">
            <w:pPr>
              <w:snapToGrid w:val="0"/>
              <w:spacing w:before="50" w:after="120" w:afterLines="50" w:line="400" w:lineRule="exact"/>
              <w:jc w:val="left"/>
              <w:rPr>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586D582A">
            <w:pPr>
              <w:snapToGrid w:val="0"/>
              <w:spacing w:before="50" w:after="120" w:afterLines="50" w:line="400" w:lineRule="exact"/>
              <w:jc w:val="left"/>
              <w:rPr>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14:paraId="37B50131">
            <w:pPr>
              <w:snapToGrid w:val="0"/>
              <w:spacing w:before="50" w:after="120" w:afterLines="50" w:line="400" w:lineRule="exact"/>
              <w:jc w:val="left"/>
              <w:rPr>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tcPr>
          <w:p w14:paraId="5C4E9C73">
            <w:pPr>
              <w:snapToGrid w:val="0"/>
              <w:spacing w:before="50" w:after="120" w:afterLines="50" w:line="400" w:lineRule="exact"/>
              <w:jc w:val="left"/>
              <w:rPr>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tcPr>
          <w:p w14:paraId="3BADF13C">
            <w:pPr>
              <w:snapToGrid w:val="0"/>
              <w:spacing w:before="50" w:after="120" w:afterLines="50" w:line="400" w:lineRule="exact"/>
              <w:jc w:val="left"/>
              <w:rPr>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tcPr>
          <w:p w14:paraId="1EE2B159">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15F568A1">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7FEC81CE">
            <w:pPr>
              <w:snapToGrid w:val="0"/>
              <w:spacing w:before="50" w:after="120" w:afterLines="50" w:line="400" w:lineRule="exact"/>
              <w:jc w:val="left"/>
              <w:rPr>
                <w:color w:val="auto"/>
                <w:szCs w:val="21"/>
                <w:highlight w:val="none"/>
              </w:rPr>
            </w:pPr>
          </w:p>
        </w:tc>
      </w:tr>
      <w:tr w14:paraId="25AC8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450" w:type="dxa"/>
            <w:tcBorders>
              <w:top w:val="single" w:color="auto" w:sz="4" w:space="0"/>
              <w:left w:val="single" w:color="auto" w:sz="4" w:space="0"/>
              <w:bottom w:val="single" w:color="auto" w:sz="4" w:space="0"/>
              <w:right w:val="single" w:color="auto" w:sz="4" w:space="0"/>
            </w:tcBorders>
          </w:tcPr>
          <w:p w14:paraId="16ED9B7F">
            <w:pPr>
              <w:snapToGrid w:val="0"/>
              <w:spacing w:before="50" w:after="120" w:afterLines="50" w:line="400" w:lineRule="exact"/>
              <w:jc w:val="left"/>
              <w:rPr>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tcPr>
          <w:p w14:paraId="12A3DA50">
            <w:pPr>
              <w:snapToGrid w:val="0"/>
              <w:spacing w:before="50" w:after="120" w:afterLines="50" w:line="400" w:lineRule="exact"/>
              <w:jc w:val="left"/>
              <w:rPr>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1744DC89">
            <w:pPr>
              <w:snapToGrid w:val="0"/>
              <w:spacing w:before="50" w:after="120" w:afterLines="50" w:line="400" w:lineRule="exact"/>
              <w:jc w:val="left"/>
              <w:rPr>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4D503AC8">
            <w:pPr>
              <w:snapToGrid w:val="0"/>
              <w:spacing w:before="50" w:after="120" w:afterLines="50" w:line="400" w:lineRule="exact"/>
              <w:jc w:val="left"/>
              <w:rPr>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14:paraId="20EB28FF">
            <w:pPr>
              <w:snapToGrid w:val="0"/>
              <w:spacing w:before="50" w:after="120" w:afterLines="50" w:line="400" w:lineRule="exact"/>
              <w:jc w:val="left"/>
              <w:rPr>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tcPr>
          <w:p w14:paraId="286774E5">
            <w:pPr>
              <w:snapToGrid w:val="0"/>
              <w:spacing w:before="50" w:after="120" w:afterLines="50" w:line="400" w:lineRule="exact"/>
              <w:jc w:val="left"/>
              <w:rPr>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tcPr>
          <w:p w14:paraId="05B1ECA3">
            <w:pPr>
              <w:snapToGrid w:val="0"/>
              <w:spacing w:before="50" w:after="120" w:afterLines="50" w:line="400" w:lineRule="exact"/>
              <w:jc w:val="left"/>
              <w:rPr>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tcPr>
          <w:p w14:paraId="3FDCDF00">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0A219339">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0B70F237">
            <w:pPr>
              <w:snapToGrid w:val="0"/>
              <w:spacing w:before="50" w:after="120" w:afterLines="50" w:line="400" w:lineRule="exact"/>
              <w:jc w:val="left"/>
              <w:rPr>
                <w:color w:val="auto"/>
                <w:szCs w:val="21"/>
                <w:highlight w:val="none"/>
              </w:rPr>
            </w:pPr>
          </w:p>
        </w:tc>
      </w:tr>
      <w:tr w14:paraId="0E720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50" w:type="dxa"/>
            <w:tcBorders>
              <w:top w:val="single" w:color="auto" w:sz="4" w:space="0"/>
              <w:left w:val="single" w:color="auto" w:sz="4" w:space="0"/>
              <w:bottom w:val="single" w:color="auto" w:sz="4" w:space="0"/>
              <w:right w:val="single" w:color="auto" w:sz="4" w:space="0"/>
            </w:tcBorders>
          </w:tcPr>
          <w:p w14:paraId="41D2FD4D">
            <w:pPr>
              <w:snapToGrid w:val="0"/>
              <w:spacing w:before="50" w:after="120" w:afterLines="50" w:line="400" w:lineRule="exact"/>
              <w:jc w:val="left"/>
              <w:rPr>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tcPr>
          <w:p w14:paraId="4FF39797">
            <w:pPr>
              <w:snapToGrid w:val="0"/>
              <w:spacing w:before="50" w:after="120" w:afterLines="50" w:line="400" w:lineRule="exact"/>
              <w:jc w:val="left"/>
              <w:rPr>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3588E5FA">
            <w:pPr>
              <w:snapToGrid w:val="0"/>
              <w:spacing w:before="50" w:after="120" w:afterLines="50" w:line="400" w:lineRule="exact"/>
              <w:jc w:val="left"/>
              <w:rPr>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6AE90DAE">
            <w:pPr>
              <w:snapToGrid w:val="0"/>
              <w:spacing w:before="50" w:after="120" w:afterLines="50" w:line="400" w:lineRule="exact"/>
              <w:jc w:val="left"/>
              <w:rPr>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14:paraId="6EEF8369">
            <w:pPr>
              <w:snapToGrid w:val="0"/>
              <w:spacing w:before="50" w:after="120" w:afterLines="50" w:line="400" w:lineRule="exact"/>
              <w:jc w:val="left"/>
              <w:rPr>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tcPr>
          <w:p w14:paraId="378F9789">
            <w:pPr>
              <w:snapToGrid w:val="0"/>
              <w:spacing w:before="50" w:after="120" w:afterLines="50" w:line="400" w:lineRule="exact"/>
              <w:jc w:val="left"/>
              <w:rPr>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tcPr>
          <w:p w14:paraId="7C204A29">
            <w:pPr>
              <w:snapToGrid w:val="0"/>
              <w:spacing w:before="50" w:after="120" w:afterLines="50" w:line="400" w:lineRule="exact"/>
              <w:jc w:val="left"/>
              <w:rPr>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tcPr>
          <w:p w14:paraId="2C25B5C1">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51C44CFF">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265F2C31">
            <w:pPr>
              <w:snapToGrid w:val="0"/>
              <w:spacing w:before="50" w:after="120" w:afterLines="50" w:line="400" w:lineRule="exact"/>
              <w:jc w:val="left"/>
              <w:rPr>
                <w:color w:val="auto"/>
                <w:szCs w:val="21"/>
                <w:highlight w:val="none"/>
              </w:rPr>
            </w:pPr>
          </w:p>
        </w:tc>
      </w:tr>
      <w:tr w14:paraId="0B84A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50" w:type="dxa"/>
            <w:tcBorders>
              <w:top w:val="single" w:color="auto" w:sz="4" w:space="0"/>
              <w:left w:val="single" w:color="auto" w:sz="4" w:space="0"/>
              <w:bottom w:val="single" w:color="auto" w:sz="4" w:space="0"/>
              <w:right w:val="single" w:color="auto" w:sz="4" w:space="0"/>
            </w:tcBorders>
          </w:tcPr>
          <w:p w14:paraId="297A2484">
            <w:pPr>
              <w:snapToGrid w:val="0"/>
              <w:spacing w:before="50" w:after="120" w:afterLines="50" w:line="400" w:lineRule="exact"/>
              <w:jc w:val="left"/>
              <w:rPr>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tcPr>
          <w:p w14:paraId="45A103CA">
            <w:pPr>
              <w:snapToGrid w:val="0"/>
              <w:spacing w:before="50" w:after="120" w:afterLines="50" w:line="400" w:lineRule="exact"/>
              <w:jc w:val="left"/>
              <w:rPr>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26F62722">
            <w:pPr>
              <w:snapToGrid w:val="0"/>
              <w:spacing w:before="50" w:after="120" w:afterLines="50" w:line="400" w:lineRule="exact"/>
              <w:jc w:val="left"/>
              <w:rPr>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tcPr>
          <w:p w14:paraId="60C450C6">
            <w:pPr>
              <w:snapToGrid w:val="0"/>
              <w:spacing w:before="50" w:after="120" w:afterLines="50" w:line="400" w:lineRule="exact"/>
              <w:jc w:val="left"/>
              <w:rPr>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14:paraId="00786331">
            <w:pPr>
              <w:snapToGrid w:val="0"/>
              <w:spacing w:before="50" w:after="120" w:afterLines="50" w:line="400" w:lineRule="exact"/>
              <w:jc w:val="left"/>
              <w:rPr>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tcPr>
          <w:p w14:paraId="7A30FBA4">
            <w:pPr>
              <w:snapToGrid w:val="0"/>
              <w:spacing w:before="50" w:after="120" w:afterLines="50" w:line="400" w:lineRule="exact"/>
              <w:jc w:val="left"/>
              <w:rPr>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tcPr>
          <w:p w14:paraId="6B7E5BCF">
            <w:pPr>
              <w:snapToGrid w:val="0"/>
              <w:spacing w:before="50" w:after="120" w:afterLines="50" w:line="400" w:lineRule="exact"/>
              <w:jc w:val="left"/>
              <w:rPr>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tcPr>
          <w:p w14:paraId="1E438DCD">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6316D2BA">
            <w:pPr>
              <w:snapToGrid w:val="0"/>
              <w:spacing w:before="50" w:after="120" w:afterLines="50" w:line="400" w:lineRule="exact"/>
              <w:jc w:val="left"/>
              <w:rPr>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14:paraId="24F98AAD">
            <w:pPr>
              <w:snapToGrid w:val="0"/>
              <w:spacing w:before="50" w:after="120" w:afterLines="50" w:line="400" w:lineRule="exact"/>
              <w:jc w:val="left"/>
              <w:rPr>
                <w:color w:val="auto"/>
                <w:szCs w:val="21"/>
                <w:highlight w:val="none"/>
              </w:rPr>
            </w:pPr>
          </w:p>
        </w:tc>
      </w:tr>
    </w:tbl>
    <w:p w14:paraId="260F7474">
      <w:pPr>
        <w:snapToGrid w:val="0"/>
        <w:spacing w:before="152" w:after="160"/>
        <w:rPr>
          <w:color w:val="auto"/>
          <w:szCs w:val="21"/>
          <w:highlight w:val="none"/>
        </w:rPr>
      </w:pPr>
      <w:r>
        <w:rPr>
          <w:color w:val="auto"/>
          <w:szCs w:val="21"/>
          <w:highlight w:val="none"/>
        </w:rPr>
        <w:t>注：</w:t>
      </w:r>
    </w:p>
    <w:p w14:paraId="7F3C137C">
      <w:pPr>
        <w:snapToGrid w:val="0"/>
        <w:spacing w:before="152" w:after="160"/>
        <w:rPr>
          <w:color w:val="auto"/>
          <w:szCs w:val="21"/>
          <w:highlight w:val="none"/>
        </w:rPr>
      </w:pPr>
      <w:r>
        <w:rPr>
          <w:color w:val="auto"/>
          <w:sz w:val="20"/>
          <w:szCs w:val="21"/>
          <w:highlight w:val="none"/>
        </w:rPr>
        <w:t>（1）</w:t>
      </w:r>
      <w:r>
        <w:rPr>
          <w:color w:val="auto"/>
          <w:szCs w:val="21"/>
          <w:highlight w:val="none"/>
        </w:rPr>
        <w:t>未附</w:t>
      </w:r>
      <w:r>
        <w:rPr>
          <w:rFonts w:hint="eastAsia"/>
          <w:color w:val="auto"/>
          <w:szCs w:val="21"/>
          <w:highlight w:val="none"/>
        </w:rPr>
        <w:t>证明材料</w:t>
      </w:r>
      <w:r>
        <w:rPr>
          <w:color w:val="auto"/>
          <w:szCs w:val="21"/>
          <w:highlight w:val="none"/>
        </w:rPr>
        <w:t>的业绩无效</w:t>
      </w:r>
      <w:r>
        <w:rPr>
          <w:rFonts w:hint="eastAsia"/>
          <w:color w:val="auto"/>
          <w:szCs w:val="21"/>
          <w:highlight w:val="none"/>
        </w:rPr>
        <w:t>，证明材料</w:t>
      </w:r>
      <w:r>
        <w:rPr>
          <w:color w:val="auto"/>
          <w:szCs w:val="21"/>
          <w:highlight w:val="none"/>
        </w:rPr>
        <w:t>见第四章《评审方法及标准》规定</w:t>
      </w:r>
    </w:p>
    <w:p w14:paraId="0BE4911E">
      <w:pPr>
        <w:snapToGrid w:val="0"/>
        <w:spacing w:before="152" w:after="160"/>
        <w:rPr>
          <w:color w:val="auto"/>
          <w:szCs w:val="21"/>
          <w:highlight w:val="none"/>
        </w:rPr>
      </w:pPr>
      <w:r>
        <w:rPr>
          <w:color w:val="auto"/>
          <w:sz w:val="20"/>
          <w:szCs w:val="21"/>
          <w:highlight w:val="none"/>
        </w:rPr>
        <w:t>（</w:t>
      </w:r>
      <w:r>
        <w:rPr>
          <w:rFonts w:hint="eastAsia"/>
          <w:color w:val="auto"/>
          <w:sz w:val="20"/>
          <w:szCs w:val="21"/>
          <w:highlight w:val="none"/>
        </w:rPr>
        <w:t>2</w:t>
      </w:r>
      <w:r>
        <w:rPr>
          <w:color w:val="auto"/>
          <w:sz w:val="20"/>
          <w:szCs w:val="21"/>
          <w:highlight w:val="none"/>
        </w:rPr>
        <w:t>）</w:t>
      </w:r>
      <w:r>
        <w:rPr>
          <w:color w:val="auto"/>
          <w:szCs w:val="21"/>
          <w:highlight w:val="none"/>
        </w:rPr>
        <w:t>类似项目的定义见第四章《评审方法及标准》规定。</w:t>
      </w:r>
    </w:p>
    <w:p w14:paraId="5E4D9758">
      <w:pPr>
        <w:rPr>
          <w:rFonts w:ascii="Calibri" w:hAnsi="Calibri"/>
          <w:color w:val="auto"/>
          <w:highlight w:val="none"/>
        </w:rPr>
      </w:pPr>
      <w:r>
        <w:rPr>
          <w:rFonts w:ascii="Calibri" w:hAnsi="Calibri"/>
          <w:color w:val="auto"/>
          <w:szCs w:val="21"/>
          <w:highlight w:val="none"/>
        </w:rPr>
        <w:t>（</w:t>
      </w:r>
      <w:r>
        <w:rPr>
          <w:rFonts w:hint="eastAsia" w:ascii="Calibri" w:hAnsi="Calibri"/>
          <w:color w:val="auto"/>
          <w:szCs w:val="21"/>
          <w:highlight w:val="none"/>
        </w:rPr>
        <w:t>3</w:t>
      </w:r>
      <w:r>
        <w:rPr>
          <w:rFonts w:ascii="Calibri" w:hAnsi="Calibri"/>
          <w:color w:val="auto"/>
          <w:szCs w:val="21"/>
          <w:highlight w:val="none"/>
        </w:rPr>
        <w:t>）</w:t>
      </w:r>
      <w:bookmarkStart w:id="98" w:name="_Hlk19049505"/>
      <w:r>
        <w:rPr>
          <w:rFonts w:ascii="Calibri" w:hAnsi="Calibri"/>
          <w:color w:val="auto"/>
          <w:highlight w:val="none"/>
        </w:rPr>
        <w:t>本表可拓展。</w:t>
      </w:r>
      <w:bookmarkEnd w:id="98"/>
    </w:p>
    <w:p w14:paraId="348DCBA8">
      <w:pPr>
        <w:snapToGrid w:val="0"/>
        <w:spacing w:before="50"/>
        <w:jc w:val="left"/>
        <w:rPr>
          <w:rFonts w:ascii="Calibri" w:hAnsi="Calibri"/>
          <w:color w:val="auto"/>
          <w:szCs w:val="21"/>
          <w:highlight w:val="none"/>
        </w:rPr>
      </w:pPr>
      <w:bookmarkStart w:id="99" w:name="_Hlk88990617"/>
      <w:r>
        <w:rPr>
          <w:rFonts w:ascii="Calibri" w:hAnsi="Calibri"/>
          <w:color w:val="auto"/>
          <w:szCs w:val="21"/>
          <w:highlight w:val="none"/>
        </w:rPr>
        <w:t>供应商</w:t>
      </w:r>
      <w:r>
        <w:rPr>
          <w:rFonts w:hint="eastAsia" w:ascii="Calibri" w:hAnsi="Calibri"/>
          <w:color w:val="auto"/>
          <w:szCs w:val="21"/>
          <w:highlight w:val="none"/>
        </w:rPr>
        <w:t>名称(电子签章</w:t>
      </w:r>
      <w:r>
        <w:rPr>
          <w:rFonts w:ascii="Calibri" w:hAnsi="Calibri"/>
          <w:color w:val="auto"/>
          <w:szCs w:val="21"/>
          <w:highlight w:val="none"/>
        </w:rPr>
        <w:t>)：</w:t>
      </w:r>
      <w:bookmarkEnd w:id="99"/>
      <w:r>
        <w:rPr>
          <w:rFonts w:ascii="Calibri" w:hAnsi="Calibri"/>
          <w:color w:val="auto"/>
          <w:szCs w:val="21"/>
          <w:highlight w:val="none"/>
          <w:u w:val="single"/>
        </w:rPr>
        <w:t xml:space="preserve">                 </w:t>
      </w:r>
      <w:r>
        <w:rPr>
          <w:rFonts w:ascii="Calibri" w:hAnsi="Calibri"/>
          <w:color w:val="auto"/>
          <w:szCs w:val="21"/>
          <w:highlight w:val="none"/>
        </w:rPr>
        <w:t xml:space="preserve">                                            </w:t>
      </w:r>
    </w:p>
    <w:p w14:paraId="1DCB3E5C">
      <w:pPr>
        <w:snapToGrid w:val="0"/>
        <w:spacing w:before="50"/>
        <w:jc w:val="left"/>
        <w:rPr>
          <w:rFonts w:ascii="Calibri" w:hAnsi="Calibri"/>
          <w:color w:val="auto"/>
          <w:szCs w:val="21"/>
          <w:highlight w:val="none"/>
        </w:rPr>
      </w:pPr>
      <w:r>
        <w:rPr>
          <w:rFonts w:ascii="Calibri" w:hAnsi="Calibri"/>
          <w:color w:val="auto"/>
          <w:szCs w:val="21"/>
          <w:highlight w:val="none"/>
        </w:rPr>
        <w:t>年    月   日</w:t>
      </w:r>
    </w:p>
    <w:p w14:paraId="0F248925">
      <w:pPr>
        <w:snapToGrid w:val="0"/>
        <w:spacing w:before="50" w:after="120" w:afterLines="50"/>
        <w:jc w:val="left"/>
        <w:rPr>
          <w:color w:val="auto"/>
          <w:szCs w:val="21"/>
          <w:highlight w:val="none"/>
        </w:rPr>
        <w:sectPr>
          <w:headerReference r:id="rId16" w:type="default"/>
          <w:pgSz w:w="11906" w:h="16838"/>
          <w:pgMar w:top="1304" w:right="1418" w:bottom="1304" w:left="1418" w:header="851" w:footer="992" w:gutter="0"/>
          <w:cols w:space="720" w:num="1"/>
          <w:docGrid w:linePitch="312" w:charSpace="0"/>
        </w:sectPr>
      </w:pPr>
    </w:p>
    <w:p w14:paraId="093E3AC0">
      <w:pPr>
        <w:snapToGrid w:val="0"/>
        <w:spacing w:before="50"/>
        <w:jc w:val="left"/>
        <w:rPr>
          <w:rFonts w:ascii="Calibri" w:hAnsi="Calibri"/>
          <w:color w:val="auto"/>
          <w:szCs w:val="21"/>
          <w:highlight w:val="none"/>
        </w:rPr>
      </w:pPr>
      <w:bookmarkStart w:id="100" w:name="_Hlk19050322"/>
      <w:r>
        <w:rPr>
          <w:rFonts w:hint="eastAsia" w:ascii="Calibri" w:hAnsi="Calibri"/>
          <w:color w:val="auto"/>
          <w:szCs w:val="21"/>
          <w:highlight w:val="none"/>
        </w:rPr>
        <w:t>3</w:t>
      </w:r>
      <w:r>
        <w:rPr>
          <w:rFonts w:ascii="Calibri" w:hAnsi="Calibri"/>
          <w:color w:val="auto"/>
          <w:szCs w:val="21"/>
          <w:highlight w:val="none"/>
        </w:rPr>
        <w:t>．供应商认为需提供的其他材料（根据征集文件编写）</w:t>
      </w:r>
    </w:p>
    <w:p w14:paraId="5BA2A3CE">
      <w:pPr>
        <w:snapToGrid w:val="0"/>
        <w:spacing w:before="50"/>
        <w:jc w:val="left"/>
        <w:rPr>
          <w:rFonts w:ascii="Calibri" w:hAnsi="Calibri"/>
          <w:color w:val="auto"/>
          <w:szCs w:val="21"/>
          <w:highlight w:val="none"/>
        </w:rPr>
      </w:pPr>
      <w:r>
        <w:rPr>
          <w:rFonts w:ascii="Calibri" w:hAnsi="Calibri"/>
          <w:color w:val="auto"/>
          <w:szCs w:val="21"/>
          <w:highlight w:val="none"/>
        </w:rPr>
        <w:br w:type="page"/>
      </w:r>
      <w:r>
        <w:rPr>
          <w:rFonts w:hint="eastAsia" w:ascii="Calibri" w:hAnsi="Calibri"/>
          <w:color w:val="auto"/>
          <w:szCs w:val="21"/>
          <w:highlight w:val="none"/>
        </w:rPr>
        <w:t>4</w:t>
      </w:r>
      <w:r>
        <w:rPr>
          <w:rFonts w:ascii="Calibri" w:hAnsi="Calibri"/>
          <w:color w:val="auto"/>
          <w:szCs w:val="21"/>
          <w:highlight w:val="none"/>
        </w:rPr>
        <w:t>.</w:t>
      </w:r>
      <w:r>
        <w:rPr>
          <w:rFonts w:hint="eastAsia" w:ascii="Calibri" w:hAnsi="Calibri"/>
          <w:color w:val="auto"/>
          <w:highlight w:val="none"/>
        </w:rPr>
        <w:t xml:space="preserve"> </w:t>
      </w:r>
      <w:r>
        <w:rPr>
          <w:rFonts w:hint="eastAsia" w:ascii="Calibri" w:hAnsi="Calibri"/>
          <w:color w:val="auto"/>
          <w:szCs w:val="21"/>
          <w:highlight w:val="none"/>
        </w:rPr>
        <w:t>无串标行为承诺函</w:t>
      </w:r>
    </w:p>
    <w:p w14:paraId="5C868490">
      <w:pPr>
        <w:snapToGrid w:val="0"/>
        <w:spacing w:before="50" w:after="120" w:afterLines="50"/>
        <w:jc w:val="center"/>
        <w:rPr>
          <w:rFonts w:ascii="Calibri" w:hAnsi="Calibri"/>
          <w:color w:val="auto"/>
          <w:szCs w:val="21"/>
          <w:highlight w:val="none"/>
        </w:rPr>
      </w:pPr>
    </w:p>
    <w:p w14:paraId="0F94D624">
      <w:pPr>
        <w:snapToGrid w:val="0"/>
        <w:spacing w:before="50" w:after="120" w:afterLines="50"/>
        <w:jc w:val="center"/>
        <w:rPr>
          <w:rFonts w:ascii="Calibri" w:hAnsi="Calibri"/>
          <w:color w:val="auto"/>
          <w:szCs w:val="21"/>
          <w:highlight w:val="none"/>
        </w:rPr>
      </w:pPr>
      <w:r>
        <w:rPr>
          <w:rFonts w:hint="eastAsia" w:ascii="Calibri" w:hAnsi="Calibri"/>
          <w:color w:val="auto"/>
          <w:szCs w:val="21"/>
          <w:highlight w:val="none"/>
        </w:rPr>
        <w:t>供应商参加本项目无围标串标行为的承诺函</w:t>
      </w:r>
    </w:p>
    <w:p w14:paraId="5997C9A8">
      <w:pPr>
        <w:snapToGrid w:val="0"/>
        <w:spacing w:before="50" w:after="120" w:afterLines="50"/>
        <w:jc w:val="left"/>
        <w:rPr>
          <w:rFonts w:ascii="Calibri" w:hAnsi="Calibri"/>
          <w:color w:val="auto"/>
          <w:szCs w:val="21"/>
          <w:highlight w:val="none"/>
        </w:rPr>
      </w:pPr>
    </w:p>
    <w:p w14:paraId="08F34774">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一、我方承诺无下列相互串通响应的情形：</w:t>
      </w:r>
    </w:p>
    <w:p w14:paraId="55A2F190">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1.不同供应商的响应文件由同一单位或者个人编制；或者不同供应商报名的IP地址一致的；</w:t>
      </w:r>
    </w:p>
    <w:p w14:paraId="17446357">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2.不同供应商委托同一单位或者个人办理响应事宜；</w:t>
      </w:r>
    </w:p>
    <w:p w14:paraId="30077367">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3.不同的供应商的响应文件载明的项目管理员为同一个人；</w:t>
      </w:r>
    </w:p>
    <w:p w14:paraId="588E5C99">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4.不同供应商的响应文件异常一致或者响应报价呈规律性差异；</w:t>
      </w:r>
    </w:p>
    <w:p w14:paraId="0305E9B3">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5.不同供应商的响应文件相互混装；</w:t>
      </w:r>
    </w:p>
    <w:p w14:paraId="50ECD135">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6.不同供应商的响应保证金从同一单位或者个人账户转出。</w:t>
      </w:r>
    </w:p>
    <w:p w14:paraId="0725FA76">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二、我方承诺无下列恶意串通的情形：</w:t>
      </w:r>
    </w:p>
    <w:p w14:paraId="56A188CB">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1.供应商直接或者间接从采购人或者采购代理机构处获得其他供应商的相关信息并修改其响应文件或者响应文件；</w:t>
      </w:r>
    </w:p>
    <w:p w14:paraId="66B54DF1">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2.供应商按照采购人或者采购代理机构的授意撤换、修改响应文件或者响应文件；</w:t>
      </w:r>
    </w:p>
    <w:p w14:paraId="1EC8801D">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3.供应商之间协商报价、技术方案等响应文件或者响应文件的实质性内容；</w:t>
      </w:r>
    </w:p>
    <w:p w14:paraId="6945D070">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4.属于同一集团、协会、商会等组织成员的供应商按照该组织要求协同参加政府采购活动；</w:t>
      </w:r>
    </w:p>
    <w:p w14:paraId="4B8F5475">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5.供应商之间事先约定一致抬高或者压低响应报价，或者在采购项目中事先约定轮流以高价位或者低价位中标，或者事先约定由某一特定供应商中标，然后再参加响应；</w:t>
      </w:r>
    </w:p>
    <w:p w14:paraId="4A995A36">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6.供应商之间商定部分供应商放弃参加政府采购活动或者放弃中标；</w:t>
      </w:r>
    </w:p>
    <w:p w14:paraId="7852A47F">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7.供应商与采购人或者采购代理机构之间、供应商相互之间，为谋求特定供应商中标或者排斥其他供应商的其他串通行为。</w:t>
      </w:r>
    </w:p>
    <w:p w14:paraId="36263738">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以上情形一经核查属实，我方愿意承担一切后果，并不再寻求任何旨在减轻或者免除法律责任的辩解。</w:t>
      </w:r>
    </w:p>
    <w:p w14:paraId="05144586">
      <w:pPr>
        <w:snapToGrid w:val="0"/>
        <w:spacing w:before="50" w:after="120" w:afterLines="50"/>
        <w:jc w:val="center"/>
        <w:rPr>
          <w:rFonts w:ascii="Calibri" w:hAnsi="Calibri"/>
          <w:color w:val="auto"/>
          <w:szCs w:val="21"/>
          <w:highlight w:val="none"/>
        </w:rPr>
      </w:pPr>
      <w:r>
        <w:rPr>
          <w:rFonts w:hint="eastAsia" w:ascii="Calibri" w:hAnsi="Calibri"/>
          <w:color w:val="auto"/>
          <w:szCs w:val="21"/>
          <w:highlight w:val="none"/>
        </w:rPr>
        <w:t xml:space="preserve"> </w:t>
      </w:r>
      <w:r>
        <w:rPr>
          <w:rFonts w:ascii="Calibri" w:hAnsi="Calibri"/>
          <w:color w:val="auto"/>
          <w:szCs w:val="21"/>
          <w:highlight w:val="none"/>
        </w:rPr>
        <w:t xml:space="preserve"> </w:t>
      </w:r>
    </w:p>
    <w:p w14:paraId="691C3CD7">
      <w:pPr>
        <w:snapToGrid w:val="0"/>
        <w:spacing w:before="50" w:after="120" w:afterLines="50"/>
        <w:jc w:val="center"/>
        <w:rPr>
          <w:rFonts w:ascii="Calibri" w:hAnsi="Calibri"/>
          <w:color w:val="auto"/>
          <w:szCs w:val="21"/>
          <w:highlight w:val="none"/>
        </w:rPr>
      </w:pPr>
    </w:p>
    <w:p w14:paraId="1FCF200B">
      <w:pPr>
        <w:snapToGrid w:val="0"/>
        <w:spacing w:before="50" w:after="120" w:afterLines="50"/>
        <w:jc w:val="center"/>
        <w:rPr>
          <w:rFonts w:ascii="Calibri" w:hAnsi="Calibri"/>
          <w:color w:val="auto"/>
          <w:szCs w:val="21"/>
          <w:highlight w:val="none"/>
        </w:rPr>
      </w:pPr>
    </w:p>
    <w:p w14:paraId="7340A4B4">
      <w:pPr>
        <w:snapToGrid w:val="0"/>
        <w:spacing w:before="50" w:after="120" w:afterLines="50"/>
        <w:jc w:val="center"/>
        <w:rPr>
          <w:rFonts w:ascii="Calibri" w:hAnsi="Calibri"/>
          <w:color w:val="auto"/>
          <w:szCs w:val="21"/>
          <w:highlight w:val="none"/>
        </w:rPr>
      </w:pPr>
      <w:r>
        <w:rPr>
          <w:rFonts w:ascii="Calibri" w:hAnsi="Calibri"/>
          <w:color w:val="auto"/>
          <w:szCs w:val="21"/>
          <w:highlight w:val="none"/>
        </w:rPr>
        <w:t>供应商</w:t>
      </w:r>
      <w:r>
        <w:rPr>
          <w:rFonts w:hint="eastAsia" w:ascii="Calibri" w:hAnsi="Calibri"/>
          <w:color w:val="auto"/>
          <w:szCs w:val="21"/>
          <w:highlight w:val="none"/>
        </w:rPr>
        <w:t>名称(电子签章</w:t>
      </w:r>
      <w:r>
        <w:rPr>
          <w:rFonts w:ascii="Calibri" w:hAnsi="Calibri"/>
          <w:color w:val="auto"/>
          <w:szCs w:val="21"/>
          <w:highlight w:val="none"/>
        </w:rPr>
        <w:t>)</w:t>
      </w:r>
      <w:r>
        <w:rPr>
          <w:rFonts w:hint="eastAsia" w:ascii="Calibri" w:hAnsi="Calibri"/>
          <w:color w:val="auto"/>
          <w:szCs w:val="21"/>
          <w:highlight w:val="none"/>
        </w:rPr>
        <w:t>：</w:t>
      </w:r>
    </w:p>
    <w:p w14:paraId="0A0BB55F">
      <w:pPr>
        <w:snapToGrid w:val="0"/>
        <w:spacing w:before="50" w:after="120" w:afterLines="50"/>
        <w:jc w:val="center"/>
        <w:rPr>
          <w:rFonts w:ascii="Calibri" w:hAnsi="Calibri"/>
          <w:color w:val="auto"/>
          <w:szCs w:val="21"/>
          <w:highlight w:val="none"/>
        </w:rPr>
      </w:pPr>
      <w:r>
        <w:rPr>
          <w:rFonts w:hint="eastAsia" w:ascii="Calibri" w:hAnsi="Calibri"/>
          <w:color w:val="auto"/>
          <w:szCs w:val="21"/>
          <w:highlight w:val="none"/>
        </w:rPr>
        <w:t>日期：  年  月   日</w:t>
      </w:r>
    </w:p>
    <w:p w14:paraId="796E1334">
      <w:pPr>
        <w:ind w:firstLine="420" w:firstLineChars="200"/>
        <w:rPr>
          <w:color w:val="auto"/>
          <w:szCs w:val="21"/>
          <w:highlight w:val="none"/>
        </w:rPr>
        <w:sectPr>
          <w:pgSz w:w="11906" w:h="16838"/>
          <w:pgMar w:top="1304" w:right="1418" w:bottom="1304" w:left="1418" w:header="851" w:footer="992" w:gutter="0"/>
          <w:cols w:space="720" w:num="1"/>
          <w:docGrid w:linePitch="312" w:charSpace="0"/>
        </w:sectPr>
      </w:pPr>
    </w:p>
    <w:bookmarkEnd w:id="100"/>
    <w:p w14:paraId="54D7A96D">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5</w:t>
      </w:r>
      <w:r>
        <w:rPr>
          <w:rFonts w:ascii="Calibri" w:hAnsi="Calibri"/>
          <w:color w:val="auto"/>
          <w:szCs w:val="21"/>
          <w:highlight w:val="none"/>
        </w:rPr>
        <w:t>.代理服务费承诺书</w:t>
      </w:r>
    </w:p>
    <w:p w14:paraId="511EB49C">
      <w:pPr>
        <w:spacing w:line="360" w:lineRule="exact"/>
        <w:rPr>
          <w:rFonts w:ascii="Calibri" w:hAnsi="Calibri"/>
          <w:color w:val="auto"/>
          <w:szCs w:val="21"/>
          <w:highlight w:val="none"/>
        </w:rPr>
      </w:pPr>
      <w:r>
        <w:rPr>
          <w:rFonts w:ascii="Calibri" w:hAnsi="Calibri"/>
          <w:color w:val="auto"/>
          <w:szCs w:val="21"/>
          <w:highlight w:val="none"/>
        </w:rPr>
        <w:t>致：广西机电设备招标有限公司</w:t>
      </w:r>
    </w:p>
    <w:p w14:paraId="7BC6E61D">
      <w:pPr>
        <w:spacing w:line="360" w:lineRule="exact"/>
        <w:ind w:firstLine="420" w:firstLineChars="200"/>
        <w:rPr>
          <w:rFonts w:ascii="Calibri" w:hAnsi="Calibri"/>
          <w:color w:val="auto"/>
          <w:szCs w:val="21"/>
          <w:highlight w:val="none"/>
        </w:rPr>
      </w:pPr>
      <w:bookmarkStart w:id="101" w:name="_Hlk19050395"/>
      <w:r>
        <w:rPr>
          <w:rFonts w:ascii="Calibri" w:hAnsi="Calibri"/>
          <w:color w:val="auto"/>
          <w:szCs w:val="21"/>
          <w:highlight w:val="none"/>
        </w:rPr>
        <w:t>我单位参加了贵方组织的采购项目编号为</w:t>
      </w:r>
      <w:r>
        <w:rPr>
          <w:rFonts w:ascii="Calibri" w:hAnsi="Calibri"/>
          <w:b/>
          <w:color w:val="auto"/>
          <w:szCs w:val="21"/>
          <w:highlight w:val="none"/>
        </w:rPr>
        <w:t>（</w:t>
      </w:r>
      <w:r>
        <w:rPr>
          <w:rFonts w:ascii="Calibri" w:hAnsi="Calibri"/>
          <w:color w:val="auto"/>
          <w:szCs w:val="21"/>
          <w:highlight w:val="none"/>
          <w:u w:val="single"/>
        </w:rPr>
        <w:t xml:space="preserve">                    )</w:t>
      </w:r>
      <w:r>
        <w:rPr>
          <w:rFonts w:ascii="Calibri" w:hAnsi="Calibri"/>
          <w:color w:val="auto"/>
          <w:szCs w:val="21"/>
          <w:highlight w:val="none"/>
        </w:rPr>
        <w:t>的响应，并递交了响应保证金</w:t>
      </w:r>
      <w:bookmarkStart w:id="102" w:name="_Hlk19050352"/>
      <w:r>
        <w:rPr>
          <w:rFonts w:ascii="Calibri" w:hAnsi="Calibri"/>
          <w:color w:val="auto"/>
          <w:szCs w:val="21"/>
          <w:highlight w:val="none"/>
        </w:rPr>
        <w:t>（</w:t>
      </w:r>
      <w:r>
        <w:rPr>
          <w:rFonts w:ascii="Calibri" w:hAnsi="Calibri"/>
          <w:color w:val="auto"/>
          <w:kern w:val="0"/>
          <w:szCs w:val="21"/>
          <w:highlight w:val="none"/>
        </w:rPr>
        <w:t>¥</w:t>
      </w:r>
      <w:r>
        <w:rPr>
          <w:rFonts w:ascii="Calibri" w:hAnsi="Calibri"/>
          <w:color w:val="auto"/>
          <w:szCs w:val="21"/>
          <w:highlight w:val="none"/>
          <w:u w:val="single"/>
        </w:rPr>
        <w:t xml:space="preserve">       </w:t>
      </w:r>
      <w:r>
        <w:rPr>
          <w:rFonts w:ascii="Calibri" w:hAnsi="Calibri"/>
          <w:color w:val="auto"/>
          <w:szCs w:val="21"/>
          <w:highlight w:val="none"/>
        </w:rPr>
        <w:t>）</w:t>
      </w:r>
      <w:bookmarkEnd w:id="102"/>
      <w:r>
        <w:rPr>
          <w:rFonts w:ascii="Calibri" w:hAnsi="Calibri"/>
          <w:color w:val="auto"/>
          <w:szCs w:val="21"/>
          <w:highlight w:val="none"/>
        </w:rPr>
        <w:t>，在此我方说明如下：</w:t>
      </w:r>
    </w:p>
    <w:bookmarkEnd w:id="101"/>
    <w:p w14:paraId="1CC75F7F">
      <w:pPr>
        <w:spacing w:line="360" w:lineRule="exact"/>
        <w:ind w:firstLine="420" w:firstLineChars="200"/>
        <w:rPr>
          <w:rFonts w:ascii="Calibri" w:hAnsi="Calibri"/>
          <w:color w:val="auto"/>
          <w:szCs w:val="21"/>
          <w:highlight w:val="none"/>
        </w:rPr>
      </w:pPr>
      <w:r>
        <w:rPr>
          <w:rFonts w:ascii="Calibri" w:hAnsi="Calibri"/>
          <w:color w:val="auto"/>
          <w:szCs w:val="21"/>
          <w:highlight w:val="none"/>
        </w:rPr>
        <w:t>1．我方承诺，若我单位中标，保证在领取入围通知书之前，按本项目征集文件的规定标准向贵单位支付代理服务费。如我单位未按规定缴纳代理服务费，贵方可</w:t>
      </w:r>
      <w:r>
        <w:rPr>
          <w:rFonts w:hint="eastAsia" w:ascii="Calibri" w:hAnsi="Calibri"/>
          <w:color w:val="auto"/>
          <w:szCs w:val="21"/>
          <w:highlight w:val="none"/>
        </w:rPr>
        <w:t>不退还</w:t>
      </w:r>
      <w:r>
        <w:rPr>
          <w:rFonts w:ascii="Calibri" w:hAnsi="Calibri"/>
          <w:color w:val="auto"/>
          <w:szCs w:val="21"/>
          <w:highlight w:val="none"/>
        </w:rPr>
        <w:t>我单位提交的响应保证金</w:t>
      </w:r>
      <w:r>
        <w:rPr>
          <w:rFonts w:hint="eastAsia" w:ascii="Calibri" w:hAnsi="Calibri"/>
          <w:color w:val="auto"/>
          <w:szCs w:val="21"/>
          <w:highlight w:val="none"/>
        </w:rPr>
        <w:t>，并从中</w:t>
      </w:r>
      <w:r>
        <w:rPr>
          <w:rFonts w:ascii="Calibri" w:hAnsi="Calibri"/>
          <w:color w:val="auto"/>
          <w:szCs w:val="21"/>
          <w:highlight w:val="none"/>
        </w:rPr>
        <w:t>扣除</w:t>
      </w:r>
      <w:r>
        <w:rPr>
          <w:rFonts w:hint="eastAsia" w:ascii="Calibri" w:hAnsi="Calibri"/>
          <w:color w:val="auto"/>
          <w:szCs w:val="21"/>
          <w:highlight w:val="none"/>
        </w:rPr>
        <w:t>代理服务费</w:t>
      </w:r>
      <w:r>
        <w:rPr>
          <w:rFonts w:ascii="Calibri" w:hAnsi="Calibri"/>
          <w:color w:val="auto"/>
          <w:szCs w:val="21"/>
          <w:highlight w:val="none"/>
        </w:rPr>
        <w:t>，余款按下列账户退回。</w:t>
      </w:r>
    </w:p>
    <w:p w14:paraId="4E5F820D">
      <w:pPr>
        <w:spacing w:line="360" w:lineRule="exact"/>
        <w:ind w:firstLine="420" w:firstLineChars="200"/>
        <w:rPr>
          <w:rFonts w:ascii="Calibri" w:hAnsi="Calibri"/>
          <w:color w:val="auto"/>
          <w:szCs w:val="21"/>
          <w:highlight w:val="none"/>
        </w:rPr>
      </w:pPr>
      <w:bookmarkStart w:id="103" w:name="_Hlk19050518"/>
      <w:r>
        <w:rPr>
          <w:rFonts w:ascii="Calibri" w:hAnsi="Calibri"/>
          <w:color w:val="auto"/>
          <w:szCs w:val="21"/>
          <w:highlight w:val="none"/>
        </w:rPr>
        <w:t>我公司选择第</w:t>
      </w:r>
      <w:r>
        <w:rPr>
          <w:rFonts w:ascii="Calibri" w:hAnsi="Calibri"/>
          <w:color w:val="auto"/>
          <w:szCs w:val="21"/>
          <w:highlight w:val="none"/>
          <w:u w:val="single"/>
        </w:rPr>
        <w:t xml:space="preserve">     </w:t>
      </w:r>
      <w:r>
        <w:rPr>
          <w:rFonts w:ascii="Calibri" w:hAnsi="Calibri"/>
          <w:color w:val="auto"/>
          <w:szCs w:val="21"/>
          <w:highlight w:val="none"/>
        </w:rPr>
        <w:t>种方式缴纳代理服务费。</w:t>
      </w:r>
    </w:p>
    <w:p w14:paraId="6C27CAB0">
      <w:pPr>
        <w:spacing w:line="360" w:lineRule="exact"/>
        <w:ind w:firstLine="420" w:firstLineChars="200"/>
        <w:rPr>
          <w:rFonts w:ascii="Calibri" w:hAnsi="Calibri"/>
          <w:color w:val="auto"/>
          <w:szCs w:val="21"/>
          <w:highlight w:val="none"/>
        </w:rPr>
      </w:pPr>
      <w:r>
        <w:rPr>
          <w:rFonts w:ascii="Calibri" w:hAnsi="Calibri"/>
          <w:color w:val="auto"/>
          <w:szCs w:val="21"/>
          <w:highlight w:val="none"/>
        </w:rPr>
        <w:t>第一种方式：一次性足额缴纳代理服务费。</w:t>
      </w:r>
    </w:p>
    <w:p w14:paraId="582BD330">
      <w:pPr>
        <w:spacing w:line="360" w:lineRule="exact"/>
        <w:ind w:firstLine="420" w:firstLineChars="200"/>
        <w:rPr>
          <w:rFonts w:ascii="Calibri" w:hAnsi="Calibri"/>
          <w:color w:val="auto"/>
          <w:szCs w:val="21"/>
          <w:highlight w:val="none"/>
        </w:rPr>
      </w:pPr>
      <w:r>
        <w:rPr>
          <w:rFonts w:ascii="Calibri" w:hAnsi="Calibri"/>
          <w:color w:val="auto"/>
          <w:szCs w:val="21"/>
          <w:highlight w:val="none"/>
        </w:rPr>
        <w:t>第二种方式：从响应保证金中抵扣代理服务费，不足部分补交。</w:t>
      </w:r>
    </w:p>
    <w:bookmarkEnd w:id="103"/>
    <w:p w14:paraId="06C570DF">
      <w:pPr>
        <w:spacing w:line="360" w:lineRule="exact"/>
        <w:ind w:firstLine="420" w:firstLineChars="200"/>
        <w:rPr>
          <w:rFonts w:ascii="Calibri" w:hAnsi="Calibri"/>
          <w:color w:val="auto"/>
          <w:szCs w:val="21"/>
          <w:highlight w:val="none"/>
        </w:rPr>
      </w:pPr>
      <w:r>
        <w:rPr>
          <w:rFonts w:ascii="Calibri" w:hAnsi="Calibri"/>
          <w:color w:val="auto"/>
          <w:szCs w:val="21"/>
          <w:highlight w:val="none"/>
        </w:rPr>
        <w:t>2．如我单位响应保证金无法原路返回，请按下表账户信息无息退还。</w:t>
      </w:r>
    </w:p>
    <w:tbl>
      <w:tblPr>
        <w:tblStyle w:val="51"/>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BCC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133D39D">
            <w:pPr>
              <w:spacing w:line="360" w:lineRule="exact"/>
              <w:jc w:val="center"/>
              <w:rPr>
                <w:color w:val="auto"/>
                <w:szCs w:val="21"/>
                <w:highlight w:val="none"/>
              </w:rPr>
            </w:pPr>
            <w:r>
              <w:rPr>
                <w:color w:val="auto"/>
                <w:szCs w:val="21"/>
                <w:highlight w:val="none"/>
              </w:rPr>
              <w:t>收款户名</w:t>
            </w:r>
          </w:p>
        </w:tc>
        <w:tc>
          <w:tcPr>
            <w:tcW w:w="5431" w:type="dxa"/>
            <w:vAlign w:val="center"/>
          </w:tcPr>
          <w:p w14:paraId="530BC7F1">
            <w:pPr>
              <w:spacing w:line="360" w:lineRule="exact"/>
              <w:jc w:val="center"/>
              <w:rPr>
                <w:color w:val="auto"/>
                <w:szCs w:val="21"/>
                <w:highlight w:val="none"/>
              </w:rPr>
            </w:pPr>
          </w:p>
        </w:tc>
      </w:tr>
      <w:tr w14:paraId="34FD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07C56368">
            <w:pPr>
              <w:spacing w:line="360" w:lineRule="exact"/>
              <w:jc w:val="center"/>
              <w:rPr>
                <w:color w:val="auto"/>
                <w:szCs w:val="21"/>
                <w:highlight w:val="none"/>
              </w:rPr>
            </w:pPr>
            <w:r>
              <w:rPr>
                <w:color w:val="auto"/>
                <w:szCs w:val="21"/>
                <w:highlight w:val="none"/>
              </w:rPr>
              <w:t>账    号</w:t>
            </w:r>
          </w:p>
        </w:tc>
        <w:tc>
          <w:tcPr>
            <w:tcW w:w="5431" w:type="dxa"/>
            <w:vAlign w:val="center"/>
          </w:tcPr>
          <w:p w14:paraId="0B451535">
            <w:pPr>
              <w:spacing w:line="360" w:lineRule="exact"/>
              <w:jc w:val="center"/>
              <w:rPr>
                <w:color w:val="auto"/>
                <w:szCs w:val="21"/>
                <w:highlight w:val="none"/>
              </w:rPr>
            </w:pPr>
          </w:p>
        </w:tc>
      </w:tr>
      <w:tr w14:paraId="4F9E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986F1A4">
            <w:pPr>
              <w:spacing w:line="360" w:lineRule="exact"/>
              <w:jc w:val="center"/>
              <w:rPr>
                <w:color w:val="auto"/>
                <w:szCs w:val="21"/>
                <w:highlight w:val="none"/>
              </w:rPr>
            </w:pPr>
            <w:r>
              <w:rPr>
                <w:color w:val="auto"/>
                <w:szCs w:val="21"/>
                <w:highlight w:val="none"/>
              </w:rPr>
              <w:t>开户银行</w:t>
            </w:r>
          </w:p>
        </w:tc>
        <w:tc>
          <w:tcPr>
            <w:tcW w:w="5431" w:type="dxa"/>
            <w:vAlign w:val="center"/>
          </w:tcPr>
          <w:p w14:paraId="49053A62">
            <w:pPr>
              <w:spacing w:line="360" w:lineRule="exact"/>
              <w:jc w:val="center"/>
              <w:rPr>
                <w:color w:val="auto"/>
                <w:szCs w:val="21"/>
                <w:highlight w:val="none"/>
              </w:rPr>
            </w:pPr>
          </w:p>
        </w:tc>
      </w:tr>
      <w:tr w14:paraId="42F4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C3B7FC2">
            <w:pPr>
              <w:spacing w:line="360" w:lineRule="exact"/>
              <w:jc w:val="center"/>
              <w:rPr>
                <w:color w:val="auto"/>
                <w:szCs w:val="21"/>
                <w:highlight w:val="none"/>
              </w:rPr>
            </w:pPr>
            <w:r>
              <w:rPr>
                <w:color w:val="auto"/>
                <w:szCs w:val="21"/>
                <w:highlight w:val="none"/>
              </w:rPr>
              <w:t>银行行号</w:t>
            </w:r>
          </w:p>
        </w:tc>
        <w:tc>
          <w:tcPr>
            <w:tcW w:w="5431" w:type="dxa"/>
            <w:vAlign w:val="center"/>
          </w:tcPr>
          <w:p w14:paraId="104BFBCD">
            <w:pPr>
              <w:spacing w:line="360" w:lineRule="exact"/>
              <w:jc w:val="center"/>
              <w:rPr>
                <w:color w:val="auto"/>
                <w:szCs w:val="21"/>
                <w:highlight w:val="none"/>
              </w:rPr>
            </w:pPr>
          </w:p>
        </w:tc>
      </w:tr>
    </w:tbl>
    <w:p w14:paraId="4B6D3E00">
      <w:pPr>
        <w:spacing w:line="360" w:lineRule="exact"/>
        <w:ind w:firstLine="420" w:firstLineChars="200"/>
        <w:rPr>
          <w:rFonts w:ascii="Calibri" w:hAnsi="Calibri"/>
          <w:color w:val="auto"/>
          <w:szCs w:val="21"/>
          <w:highlight w:val="none"/>
        </w:rPr>
      </w:pPr>
      <w:r>
        <w:rPr>
          <w:rFonts w:ascii="Calibri" w:hAnsi="Calibri"/>
          <w:color w:val="auto"/>
          <w:szCs w:val="21"/>
          <w:highlight w:val="none"/>
        </w:rPr>
        <w:t>3．如果我单位未遵守有关征集文件关于响应保证金的规定，贵方可以没收我单位响应保证金。</w:t>
      </w:r>
    </w:p>
    <w:p w14:paraId="5FD85D76">
      <w:pPr>
        <w:spacing w:line="360" w:lineRule="exact"/>
        <w:ind w:firstLine="420" w:firstLineChars="200"/>
        <w:rPr>
          <w:rFonts w:ascii="Calibri" w:hAnsi="Calibri"/>
          <w:color w:val="auto"/>
          <w:szCs w:val="21"/>
          <w:highlight w:val="none"/>
        </w:rPr>
      </w:pPr>
      <w:r>
        <w:rPr>
          <w:rFonts w:ascii="Calibri" w:hAnsi="Calibri"/>
          <w:color w:val="auto"/>
          <w:szCs w:val="21"/>
          <w:highlight w:val="none"/>
        </w:rPr>
        <w:t>4. 我单位选择第</w:t>
      </w:r>
      <w:r>
        <w:rPr>
          <w:rFonts w:ascii="Calibri" w:hAnsi="Calibri"/>
          <w:color w:val="auto"/>
          <w:szCs w:val="21"/>
          <w:highlight w:val="none"/>
          <w:u w:val="single"/>
        </w:rPr>
        <w:t xml:space="preserve">     </w:t>
      </w:r>
      <w:r>
        <w:rPr>
          <w:rFonts w:ascii="Calibri" w:hAnsi="Calibri"/>
          <w:color w:val="auto"/>
          <w:szCs w:val="21"/>
          <w:highlight w:val="none"/>
        </w:rPr>
        <w:t>种方式作为代理服务费开票类型：</w:t>
      </w:r>
    </w:p>
    <w:p w14:paraId="2F656F7C">
      <w:pPr>
        <w:spacing w:line="360" w:lineRule="exact"/>
        <w:ind w:firstLine="420" w:firstLineChars="200"/>
        <w:rPr>
          <w:rFonts w:ascii="Calibri" w:hAnsi="Calibri"/>
          <w:color w:val="auto"/>
          <w:szCs w:val="21"/>
          <w:highlight w:val="none"/>
        </w:rPr>
      </w:pPr>
      <w:r>
        <w:rPr>
          <w:rFonts w:ascii="Calibri" w:hAnsi="Calibri"/>
          <w:color w:val="auto"/>
          <w:szCs w:val="21"/>
          <w:highlight w:val="none"/>
        </w:rPr>
        <w:t>第一种方式：开具收据。</w:t>
      </w:r>
    </w:p>
    <w:p w14:paraId="084C50A4">
      <w:pPr>
        <w:spacing w:line="360" w:lineRule="exact"/>
        <w:ind w:firstLine="420" w:firstLineChars="200"/>
        <w:rPr>
          <w:rFonts w:ascii="Calibri" w:hAnsi="Calibri"/>
          <w:color w:val="auto"/>
          <w:szCs w:val="21"/>
          <w:highlight w:val="none"/>
        </w:rPr>
      </w:pPr>
      <w:r>
        <w:rPr>
          <w:rFonts w:ascii="Calibri" w:hAnsi="Calibri"/>
          <w:color w:val="auto"/>
          <w:szCs w:val="21"/>
          <w:highlight w:val="none"/>
        </w:rPr>
        <w:t>第二种方式：开具增值税普通发票。开票信息如下：1.公司名称</w:t>
      </w:r>
      <w:r>
        <w:rPr>
          <w:rFonts w:ascii="Calibri" w:hAnsi="Calibri"/>
          <w:color w:val="auto"/>
          <w:szCs w:val="21"/>
          <w:highlight w:val="none"/>
          <w:u w:val="single"/>
        </w:rPr>
        <w:t xml:space="preserve">                      </w:t>
      </w:r>
      <w:r>
        <w:rPr>
          <w:rFonts w:ascii="Calibri" w:hAnsi="Calibri"/>
          <w:color w:val="auto"/>
          <w:szCs w:val="21"/>
          <w:highlight w:val="none"/>
        </w:rPr>
        <w:t>；2.纳税人识别号</w:t>
      </w:r>
      <w:r>
        <w:rPr>
          <w:rFonts w:ascii="Calibri" w:hAnsi="Calibri"/>
          <w:color w:val="auto"/>
          <w:szCs w:val="21"/>
          <w:highlight w:val="none"/>
          <w:u w:val="single"/>
        </w:rPr>
        <w:t xml:space="preserve">                     </w:t>
      </w:r>
      <w:r>
        <w:rPr>
          <w:rFonts w:ascii="Calibri" w:hAnsi="Calibri"/>
          <w:color w:val="auto"/>
          <w:szCs w:val="21"/>
          <w:highlight w:val="none"/>
        </w:rPr>
        <w:t>；</w:t>
      </w:r>
    </w:p>
    <w:p w14:paraId="30E1576F">
      <w:pPr>
        <w:spacing w:line="360" w:lineRule="exact"/>
        <w:ind w:firstLine="420" w:firstLineChars="200"/>
        <w:rPr>
          <w:rFonts w:ascii="Calibri" w:hAnsi="Calibri"/>
          <w:color w:val="auto"/>
          <w:szCs w:val="21"/>
          <w:highlight w:val="none"/>
        </w:rPr>
      </w:pPr>
      <w:r>
        <w:rPr>
          <w:rFonts w:ascii="Calibri" w:hAnsi="Calibri"/>
          <w:color w:val="auto"/>
          <w:szCs w:val="21"/>
          <w:highlight w:val="none"/>
        </w:rPr>
        <w:t>第三种方式：开具增值税专用发票，开票信息如下：1.公司名称</w:t>
      </w:r>
      <w:r>
        <w:rPr>
          <w:rFonts w:ascii="Calibri" w:hAnsi="Calibri"/>
          <w:color w:val="auto"/>
          <w:szCs w:val="21"/>
          <w:highlight w:val="none"/>
          <w:u w:val="single"/>
        </w:rPr>
        <w:t xml:space="preserve">                      </w:t>
      </w:r>
      <w:r>
        <w:rPr>
          <w:rFonts w:ascii="Calibri" w:hAnsi="Calibri"/>
          <w:color w:val="auto"/>
          <w:szCs w:val="21"/>
          <w:highlight w:val="none"/>
        </w:rPr>
        <w:t>；2.纳税人识别号</w:t>
      </w:r>
      <w:r>
        <w:rPr>
          <w:rFonts w:ascii="Calibri" w:hAnsi="Calibri"/>
          <w:color w:val="auto"/>
          <w:szCs w:val="21"/>
          <w:highlight w:val="none"/>
          <w:u w:val="single"/>
        </w:rPr>
        <w:t xml:space="preserve">                     </w:t>
      </w:r>
      <w:r>
        <w:rPr>
          <w:rFonts w:ascii="Calibri" w:hAnsi="Calibri"/>
          <w:color w:val="auto"/>
          <w:szCs w:val="21"/>
          <w:highlight w:val="none"/>
        </w:rPr>
        <w:t>；3.税局登记地址</w:t>
      </w:r>
      <w:r>
        <w:rPr>
          <w:rFonts w:ascii="Calibri" w:hAnsi="Calibri"/>
          <w:color w:val="auto"/>
          <w:szCs w:val="21"/>
          <w:highlight w:val="none"/>
          <w:u w:val="single"/>
        </w:rPr>
        <w:t xml:space="preserve">                     </w:t>
      </w:r>
      <w:r>
        <w:rPr>
          <w:rFonts w:ascii="Calibri" w:hAnsi="Calibri"/>
          <w:color w:val="auto"/>
          <w:szCs w:val="21"/>
          <w:highlight w:val="none"/>
        </w:rPr>
        <w:t>；4.税局登记电话</w:t>
      </w:r>
      <w:r>
        <w:rPr>
          <w:rFonts w:ascii="Calibri" w:hAnsi="Calibri"/>
          <w:color w:val="auto"/>
          <w:szCs w:val="21"/>
          <w:highlight w:val="none"/>
          <w:u w:val="single"/>
        </w:rPr>
        <w:t xml:space="preserve">             </w:t>
      </w:r>
      <w:r>
        <w:rPr>
          <w:rFonts w:ascii="Calibri" w:hAnsi="Calibri"/>
          <w:color w:val="auto"/>
          <w:szCs w:val="21"/>
          <w:highlight w:val="none"/>
        </w:rPr>
        <w:t>；5.开户银行</w:t>
      </w:r>
      <w:r>
        <w:rPr>
          <w:rFonts w:ascii="Calibri" w:hAnsi="Calibri"/>
          <w:color w:val="auto"/>
          <w:szCs w:val="21"/>
          <w:highlight w:val="none"/>
          <w:u w:val="single"/>
        </w:rPr>
        <w:t xml:space="preserve">                 </w:t>
      </w:r>
      <w:r>
        <w:rPr>
          <w:rFonts w:ascii="Calibri" w:hAnsi="Calibri"/>
          <w:color w:val="auto"/>
          <w:szCs w:val="21"/>
          <w:highlight w:val="none"/>
        </w:rPr>
        <w:t>；6.银行账户</w:t>
      </w:r>
      <w:r>
        <w:rPr>
          <w:rFonts w:ascii="Calibri" w:hAnsi="Calibri"/>
          <w:color w:val="auto"/>
          <w:szCs w:val="21"/>
          <w:highlight w:val="none"/>
          <w:u w:val="single"/>
        </w:rPr>
        <w:t xml:space="preserve">                         </w:t>
      </w:r>
      <w:r>
        <w:rPr>
          <w:rFonts w:ascii="Calibri" w:hAnsi="Calibri"/>
          <w:color w:val="auto"/>
          <w:szCs w:val="21"/>
          <w:highlight w:val="none"/>
        </w:rPr>
        <w:t>。</w:t>
      </w:r>
    </w:p>
    <w:p w14:paraId="52FB2955">
      <w:pPr>
        <w:spacing w:before="120" w:beforeLines="50" w:line="360" w:lineRule="auto"/>
        <w:jc w:val="left"/>
        <w:rPr>
          <w:rFonts w:ascii="Calibri" w:hAnsi="Calibri"/>
          <w:color w:val="auto"/>
          <w:szCs w:val="21"/>
          <w:highlight w:val="none"/>
        </w:rPr>
      </w:pPr>
    </w:p>
    <w:p w14:paraId="383A1BE1">
      <w:pPr>
        <w:spacing w:before="120" w:beforeLines="50" w:line="360" w:lineRule="auto"/>
        <w:jc w:val="left"/>
        <w:rPr>
          <w:rFonts w:ascii="Calibri" w:hAnsi="Calibri"/>
          <w:color w:val="auto"/>
          <w:szCs w:val="21"/>
          <w:highlight w:val="none"/>
          <w:u w:val="single"/>
        </w:rPr>
      </w:pPr>
      <w:r>
        <w:rPr>
          <w:rFonts w:hint="eastAsia" w:ascii="Calibri" w:hAnsi="Calibri"/>
          <w:color w:val="auto"/>
          <w:szCs w:val="21"/>
          <w:highlight w:val="none"/>
        </w:rPr>
        <w:t>供应商名称(电子签章)：</w:t>
      </w:r>
      <w:r>
        <w:rPr>
          <w:rFonts w:ascii="Calibri" w:hAnsi="Calibri"/>
          <w:color w:val="auto"/>
          <w:szCs w:val="21"/>
          <w:highlight w:val="none"/>
          <w:u w:val="single"/>
        </w:rPr>
        <w:t xml:space="preserve">                             </w:t>
      </w:r>
    </w:p>
    <w:p w14:paraId="6135712F">
      <w:pPr>
        <w:spacing w:before="120" w:beforeLines="50" w:line="360" w:lineRule="auto"/>
        <w:jc w:val="left"/>
        <w:rPr>
          <w:rFonts w:ascii="Calibri" w:hAnsi="Calibri"/>
          <w:color w:val="auto"/>
          <w:szCs w:val="21"/>
          <w:highlight w:val="none"/>
        </w:rPr>
      </w:pPr>
      <w:r>
        <w:rPr>
          <w:rFonts w:ascii="Calibri" w:hAnsi="Calibri"/>
          <w:color w:val="auto"/>
          <w:szCs w:val="21"/>
          <w:highlight w:val="none"/>
        </w:rPr>
        <w:t>供应商地址：</w:t>
      </w:r>
      <w:r>
        <w:rPr>
          <w:rFonts w:ascii="Calibri" w:hAnsi="Calibri"/>
          <w:color w:val="auto"/>
          <w:szCs w:val="21"/>
          <w:highlight w:val="none"/>
          <w:u w:val="single"/>
        </w:rPr>
        <w:t xml:space="preserve">                                     </w:t>
      </w:r>
    </w:p>
    <w:p w14:paraId="094A4512">
      <w:pPr>
        <w:spacing w:before="120" w:beforeLines="50" w:line="360" w:lineRule="auto"/>
        <w:jc w:val="left"/>
        <w:rPr>
          <w:rFonts w:ascii="Calibri" w:hAnsi="Calibri"/>
          <w:color w:val="auto"/>
          <w:szCs w:val="21"/>
          <w:highlight w:val="none"/>
          <w:u w:val="single"/>
        </w:rPr>
      </w:pPr>
      <w:r>
        <w:rPr>
          <w:rFonts w:ascii="Calibri" w:hAnsi="Calibri"/>
          <w:color w:val="auto"/>
          <w:szCs w:val="21"/>
          <w:highlight w:val="none"/>
        </w:rPr>
        <w:t>法定代表人或授权代表签字或盖章：</w:t>
      </w:r>
      <w:r>
        <w:rPr>
          <w:rFonts w:ascii="Calibri" w:hAnsi="Calibri"/>
          <w:color w:val="auto"/>
          <w:szCs w:val="21"/>
          <w:highlight w:val="none"/>
          <w:u w:val="single"/>
        </w:rPr>
        <w:t xml:space="preserve">                          </w:t>
      </w:r>
    </w:p>
    <w:p w14:paraId="44B3647E">
      <w:pPr>
        <w:wordWrap w:val="0"/>
        <w:spacing w:before="120" w:beforeLines="50" w:line="360" w:lineRule="auto"/>
        <w:jc w:val="right"/>
        <w:rPr>
          <w:rFonts w:ascii="Calibri" w:hAnsi="Calibri"/>
          <w:color w:val="auto"/>
          <w:szCs w:val="21"/>
          <w:highlight w:val="none"/>
        </w:rPr>
      </w:pPr>
      <w:r>
        <w:rPr>
          <w:rFonts w:ascii="Calibri" w:hAnsi="Calibri"/>
          <w:color w:val="auto"/>
          <w:szCs w:val="21"/>
          <w:highlight w:val="none"/>
        </w:rPr>
        <w:t>日期：</w:t>
      </w:r>
      <w:r>
        <w:rPr>
          <w:rFonts w:ascii="Calibri" w:hAnsi="Calibri"/>
          <w:color w:val="auto"/>
          <w:szCs w:val="21"/>
          <w:highlight w:val="none"/>
          <w:u w:val="single"/>
        </w:rPr>
        <w:t xml:space="preserve">      </w:t>
      </w:r>
      <w:r>
        <w:rPr>
          <w:rFonts w:ascii="Calibri" w:hAnsi="Calibri"/>
          <w:color w:val="auto"/>
          <w:szCs w:val="21"/>
          <w:highlight w:val="none"/>
        </w:rPr>
        <w:t>年</w:t>
      </w:r>
      <w:r>
        <w:rPr>
          <w:rFonts w:ascii="Calibri" w:hAnsi="Calibri"/>
          <w:color w:val="auto"/>
          <w:szCs w:val="21"/>
          <w:highlight w:val="none"/>
          <w:u w:val="single"/>
        </w:rPr>
        <w:t xml:space="preserve">    </w:t>
      </w:r>
      <w:r>
        <w:rPr>
          <w:rFonts w:ascii="Calibri" w:hAnsi="Calibri"/>
          <w:color w:val="auto"/>
          <w:szCs w:val="21"/>
          <w:highlight w:val="none"/>
        </w:rPr>
        <w:t>月</w:t>
      </w:r>
      <w:r>
        <w:rPr>
          <w:rFonts w:ascii="Calibri" w:hAnsi="Calibri"/>
          <w:color w:val="auto"/>
          <w:szCs w:val="21"/>
          <w:highlight w:val="none"/>
          <w:u w:val="single"/>
        </w:rPr>
        <w:t xml:space="preserve">    </w:t>
      </w:r>
      <w:r>
        <w:rPr>
          <w:rFonts w:ascii="Calibri" w:hAnsi="Calibri"/>
          <w:color w:val="auto"/>
          <w:szCs w:val="21"/>
          <w:highlight w:val="none"/>
        </w:rPr>
        <w:t>日</w:t>
      </w:r>
    </w:p>
    <w:p w14:paraId="143D461E">
      <w:pPr>
        <w:spacing w:before="120" w:beforeLines="50" w:line="360" w:lineRule="auto"/>
        <w:jc w:val="left"/>
        <w:rPr>
          <w:rFonts w:ascii="Calibri" w:hAnsi="Calibri"/>
          <w:color w:val="auto"/>
          <w:szCs w:val="21"/>
          <w:highlight w:val="none"/>
        </w:rPr>
      </w:pPr>
      <w:r>
        <w:rPr>
          <w:rFonts w:ascii="Calibri" w:hAnsi="Calibri"/>
          <w:color w:val="auto"/>
          <w:szCs w:val="21"/>
          <w:highlight w:val="none"/>
        </w:rPr>
        <w:t>说明：</w:t>
      </w:r>
    </w:p>
    <w:p w14:paraId="6C2D3693">
      <w:pPr>
        <w:spacing w:line="340" w:lineRule="exact"/>
        <w:ind w:firstLine="420" w:firstLineChars="200"/>
        <w:rPr>
          <w:rFonts w:ascii="Calibri" w:hAnsi="Calibri"/>
          <w:color w:val="auto"/>
          <w:szCs w:val="21"/>
          <w:highlight w:val="none"/>
        </w:rPr>
      </w:pPr>
      <w:r>
        <w:rPr>
          <w:rFonts w:ascii="Calibri" w:hAnsi="Calibri"/>
          <w:color w:val="auto"/>
          <w:szCs w:val="21"/>
          <w:highlight w:val="none"/>
        </w:rPr>
        <w:t>（1）为保障资金安全，上述账户不能为私人账户。</w:t>
      </w:r>
    </w:p>
    <w:p w14:paraId="01D50D04">
      <w:pPr>
        <w:spacing w:line="340" w:lineRule="exact"/>
        <w:ind w:firstLine="420" w:firstLineChars="200"/>
        <w:rPr>
          <w:rFonts w:ascii="Calibri" w:hAnsi="Calibri"/>
          <w:color w:val="auto"/>
          <w:szCs w:val="21"/>
          <w:highlight w:val="none"/>
        </w:rPr>
      </w:pPr>
      <w:r>
        <w:rPr>
          <w:rFonts w:ascii="Calibri" w:hAnsi="Calibri"/>
          <w:color w:val="auto"/>
          <w:szCs w:val="21"/>
          <w:highlight w:val="none"/>
        </w:rPr>
        <w:t>（2）如因未按要求缴纳响应保证金，导致响应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5D205B3">
      <w:pPr>
        <w:jc w:val="center"/>
        <w:rPr>
          <w:color w:val="auto"/>
          <w:highlight w:val="none"/>
        </w:rPr>
      </w:pPr>
      <w:r>
        <w:rPr>
          <w:rFonts w:ascii="Calibri" w:hAnsi="Calibri"/>
          <w:color w:val="auto"/>
          <w:highlight w:val="none"/>
        </w:rPr>
        <w:t>（3）如供应商未及时收到退回款项，请与广西机电设备招标有限公司财务部联系。广西机电设备招标有限公司财务部联系方式：联系人：吴茜；电话：0771-2821398；传真：0771-2843545。</w:t>
      </w:r>
    </w:p>
    <w:p w14:paraId="33A2135E">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第二部分 技术文件</w:t>
      </w:r>
    </w:p>
    <w:p w14:paraId="7F7944E8">
      <w:pPr>
        <w:jc w:val="center"/>
        <w:rPr>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429C1562">
      <w:pPr>
        <w:snapToGrid w:val="0"/>
        <w:spacing w:before="50" w:after="120" w:afterLines="50"/>
        <w:jc w:val="left"/>
        <w:rPr>
          <w:color w:val="auto"/>
          <w:szCs w:val="21"/>
          <w:highlight w:val="none"/>
        </w:rPr>
      </w:pPr>
    </w:p>
    <w:p w14:paraId="496DCD17">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p>
    <w:tbl>
      <w:tblPr>
        <w:tblStyle w:val="51"/>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0D9E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053DC22E">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407E938C">
            <w:pPr>
              <w:snapToGrid w:val="0"/>
              <w:spacing w:before="120" w:beforeLines="50"/>
              <w:jc w:val="center"/>
              <w:rPr>
                <w:color w:val="auto"/>
                <w:szCs w:val="21"/>
                <w:highlight w:val="none"/>
              </w:rPr>
            </w:pPr>
            <w:r>
              <w:rPr>
                <w:color w:val="auto"/>
                <w:szCs w:val="21"/>
                <w:highlight w:val="none"/>
              </w:rPr>
              <w:t>征集文件要求（注明章节及条款号）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146E32BA">
            <w:pPr>
              <w:snapToGrid w:val="0"/>
              <w:spacing w:before="120" w:beforeLines="50"/>
              <w:jc w:val="center"/>
              <w:rPr>
                <w:color w:val="auto"/>
                <w:szCs w:val="21"/>
                <w:highlight w:val="none"/>
              </w:rPr>
            </w:pPr>
            <w:r>
              <w:rPr>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6A429DCE">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7A38B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E6E4945">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102674D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3A4673CB">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C8E52D2">
            <w:pPr>
              <w:snapToGrid w:val="0"/>
              <w:spacing w:before="120" w:beforeLines="50"/>
              <w:jc w:val="center"/>
              <w:rPr>
                <w:color w:val="auto"/>
                <w:szCs w:val="21"/>
                <w:highlight w:val="none"/>
              </w:rPr>
            </w:pPr>
          </w:p>
        </w:tc>
      </w:tr>
      <w:tr w14:paraId="71683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42CD555">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5900BE3A">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3341E78">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367C8B51">
            <w:pPr>
              <w:snapToGrid w:val="0"/>
              <w:spacing w:before="120" w:beforeLines="50"/>
              <w:jc w:val="center"/>
              <w:rPr>
                <w:color w:val="auto"/>
                <w:szCs w:val="21"/>
                <w:highlight w:val="none"/>
              </w:rPr>
            </w:pPr>
          </w:p>
        </w:tc>
      </w:tr>
      <w:tr w14:paraId="70DEA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79691C2">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0465BE3E">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FD751B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CF5E619">
            <w:pPr>
              <w:snapToGrid w:val="0"/>
              <w:spacing w:before="120" w:beforeLines="50"/>
              <w:jc w:val="center"/>
              <w:rPr>
                <w:color w:val="auto"/>
                <w:szCs w:val="21"/>
                <w:highlight w:val="none"/>
              </w:rPr>
            </w:pPr>
          </w:p>
        </w:tc>
      </w:tr>
      <w:tr w14:paraId="527B1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7735120">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256A7103">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8570F0E">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9A01FBD">
            <w:pPr>
              <w:snapToGrid w:val="0"/>
              <w:spacing w:before="120" w:beforeLines="50"/>
              <w:jc w:val="center"/>
              <w:rPr>
                <w:color w:val="auto"/>
                <w:szCs w:val="21"/>
                <w:highlight w:val="none"/>
              </w:rPr>
            </w:pPr>
          </w:p>
        </w:tc>
      </w:tr>
    </w:tbl>
    <w:p w14:paraId="32C1EBE9">
      <w:pPr>
        <w:rPr>
          <w:color w:val="auto"/>
          <w:szCs w:val="21"/>
          <w:highlight w:val="none"/>
        </w:rPr>
      </w:pPr>
    </w:p>
    <w:p w14:paraId="067A0663">
      <w:pPr>
        <w:pStyle w:val="26"/>
        <w:tabs>
          <w:tab w:val="left" w:pos="2127"/>
        </w:tabs>
        <w:spacing w:line="340" w:lineRule="exact"/>
        <w:jc w:val="left"/>
        <w:rPr>
          <w:rFonts w:ascii="Times New Roman" w:hAnsi="Times New Roman" w:cs="Times New Roman"/>
          <w:color w:val="auto"/>
          <w:highlight w:val="none"/>
        </w:rPr>
      </w:pPr>
      <w:bookmarkStart w:id="104" w:name="_Hlk88990482"/>
      <w:r>
        <w:rPr>
          <w:color w:val="auto"/>
          <w:highlight w:val="none"/>
        </w:rPr>
        <w:t>注：</w:t>
      </w:r>
      <w:r>
        <w:rPr>
          <w:rFonts w:ascii="Times New Roman" w:hAnsi="Times New Roman" w:cs="Times New Roman"/>
          <w:color w:val="auto"/>
          <w:highlight w:val="none"/>
        </w:rPr>
        <w:t>（1）本表应对征集文件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w:t>
      </w:r>
      <w:r>
        <w:rPr>
          <w:rFonts w:hint="eastAsia" w:ascii="Times New Roman" w:hAnsi="Times New Roman" w:cs="Times New Roman"/>
          <w:color w:val="auto"/>
          <w:highlight w:val="none"/>
        </w:rPr>
        <w:t>逐条</w:t>
      </w:r>
      <w:r>
        <w:rPr>
          <w:rFonts w:ascii="Times New Roman" w:hAnsi="Times New Roman" w:cs="Times New Roman"/>
          <w:color w:val="auto"/>
          <w:highlight w:val="none"/>
        </w:rPr>
        <w:t>响应，并根据响应情况在“偏离说明”</w:t>
      </w:r>
      <w:r>
        <w:rPr>
          <w:rFonts w:hint="eastAsia" w:ascii="Times New Roman" w:hAnsi="Times New Roman" w:cs="Times New Roman"/>
          <w:color w:val="auto"/>
          <w:highlight w:val="none"/>
        </w:rPr>
        <w:t>填写无偏离或正偏离</w:t>
      </w:r>
      <w:r>
        <w:rPr>
          <w:rFonts w:ascii="Times New Roman" w:hAnsi="Times New Roman" w:cs="Times New Roman"/>
          <w:color w:val="auto"/>
          <w:highlight w:val="none"/>
        </w:rPr>
        <w:t>。</w:t>
      </w:r>
      <w:r>
        <w:rPr>
          <w:rFonts w:hint="eastAsia" w:ascii="Times New Roman" w:hAnsi="Times New Roman" w:cs="Times New Roman"/>
          <w:color w:val="auto"/>
          <w:highlight w:val="none"/>
        </w:rPr>
        <w:t>负偏离将导致响应被否决。</w:t>
      </w:r>
    </w:p>
    <w:p w14:paraId="6DC0C1A8">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119FEC3D">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71912957">
      <w:pPr>
        <w:rPr>
          <w:color w:val="auto"/>
          <w:highlight w:val="none"/>
        </w:rPr>
      </w:pPr>
      <w:r>
        <w:rPr>
          <w:color w:val="auto"/>
          <w:highlight w:val="none"/>
        </w:rPr>
        <w:t>（4）本表可扩展。</w:t>
      </w:r>
    </w:p>
    <w:bookmarkEnd w:id="104"/>
    <w:p w14:paraId="345BCE00">
      <w:pPr>
        <w:rPr>
          <w:color w:val="auto"/>
          <w:szCs w:val="21"/>
          <w:highlight w:val="none"/>
        </w:rPr>
      </w:pPr>
    </w:p>
    <w:p w14:paraId="0AC9BA8E">
      <w:pPr>
        <w:rPr>
          <w:color w:val="auto"/>
          <w:spacing w:val="20"/>
          <w:szCs w:val="21"/>
          <w:highlight w:val="none"/>
          <w:u w:val="single"/>
        </w:rPr>
      </w:pPr>
      <w:bookmarkStart w:id="105" w:name="_Hlk88990507"/>
    </w:p>
    <w:p w14:paraId="3E3371E4">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05"/>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12064F27">
      <w:pPr>
        <w:snapToGrid w:val="0"/>
        <w:spacing w:before="50" w:after="120" w:afterLines="50"/>
        <w:jc w:val="left"/>
        <w:rPr>
          <w:color w:val="auto"/>
          <w:szCs w:val="21"/>
          <w:highlight w:val="none"/>
        </w:rPr>
      </w:pPr>
    </w:p>
    <w:p w14:paraId="350DC52C">
      <w:pPr>
        <w:snapToGrid w:val="0"/>
        <w:spacing w:before="50" w:after="120" w:afterLines="50"/>
        <w:jc w:val="left"/>
        <w:rPr>
          <w:color w:val="auto"/>
          <w:szCs w:val="21"/>
          <w:highlight w:val="none"/>
        </w:rPr>
      </w:pPr>
    </w:p>
    <w:p w14:paraId="00AFCBB7">
      <w:pPr>
        <w:snapToGrid w:val="0"/>
        <w:spacing w:before="50" w:after="120" w:afterLines="50"/>
        <w:jc w:val="left"/>
        <w:rPr>
          <w:color w:val="auto"/>
          <w:szCs w:val="21"/>
          <w:highlight w:val="none"/>
        </w:rPr>
      </w:pPr>
    </w:p>
    <w:p w14:paraId="704255DE">
      <w:pPr>
        <w:snapToGrid w:val="0"/>
        <w:spacing w:before="50" w:after="120" w:afterLines="50"/>
        <w:jc w:val="left"/>
        <w:rPr>
          <w:color w:val="auto"/>
          <w:szCs w:val="21"/>
          <w:highlight w:val="none"/>
        </w:rPr>
      </w:pPr>
      <w:r>
        <w:rPr>
          <w:color w:val="auto"/>
          <w:szCs w:val="21"/>
          <w:highlight w:val="none"/>
        </w:rPr>
        <w:br w:type="page"/>
      </w:r>
      <w:r>
        <w:rPr>
          <w:color w:val="auto"/>
          <w:szCs w:val="21"/>
          <w:highlight w:val="none"/>
        </w:rPr>
        <w:t>3．方案</w:t>
      </w:r>
    </w:p>
    <w:p w14:paraId="293BEC0B">
      <w:pPr>
        <w:spacing w:line="360" w:lineRule="auto"/>
        <w:rPr>
          <w:color w:val="auto"/>
          <w:szCs w:val="21"/>
          <w:highlight w:val="none"/>
        </w:rPr>
      </w:pPr>
      <w:r>
        <w:rPr>
          <w:rFonts w:hint="eastAsia"/>
          <w:color w:val="auto"/>
          <w:szCs w:val="21"/>
          <w:highlight w:val="none"/>
        </w:rPr>
        <w:t>详见采购需求及评分标准。</w:t>
      </w:r>
    </w:p>
    <w:p w14:paraId="77BFB8EA">
      <w:pPr>
        <w:spacing w:line="360" w:lineRule="auto"/>
        <w:rPr>
          <w:color w:val="auto"/>
          <w:szCs w:val="21"/>
          <w:highlight w:val="none"/>
        </w:rPr>
      </w:pPr>
    </w:p>
    <w:p w14:paraId="355B212C">
      <w:pPr>
        <w:snapToGrid w:val="0"/>
        <w:spacing w:before="50" w:after="120" w:afterLines="50"/>
        <w:jc w:val="center"/>
        <w:rPr>
          <w:color w:val="auto"/>
          <w:szCs w:val="21"/>
          <w:highlight w:val="none"/>
        </w:rPr>
      </w:pPr>
    </w:p>
    <w:p w14:paraId="307E4AAC">
      <w:pPr>
        <w:snapToGrid w:val="0"/>
        <w:spacing w:before="50" w:after="120" w:afterLines="50"/>
        <w:jc w:val="left"/>
        <w:rPr>
          <w:color w:val="auto"/>
          <w:szCs w:val="21"/>
          <w:highlight w:val="none"/>
        </w:rPr>
      </w:pPr>
      <w:r>
        <w:rPr>
          <w:color w:val="auto"/>
          <w:szCs w:val="21"/>
          <w:highlight w:val="none"/>
        </w:rPr>
        <w:br w:type="page"/>
      </w:r>
      <w:r>
        <w:rPr>
          <w:color w:val="auto"/>
          <w:szCs w:val="21"/>
          <w:highlight w:val="none"/>
        </w:rPr>
        <w:t>4．项目拟投入服务团队人员结构表</w:t>
      </w:r>
    </w:p>
    <w:p w14:paraId="2067A7CE">
      <w:pPr>
        <w:snapToGrid w:val="0"/>
        <w:spacing w:before="120" w:beforeLines="50" w:after="50" w:line="400" w:lineRule="exact"/>
        <w:jc w:val="center"/>
        <w:rPr>
          <w:rFonts w:ascii="Calibri" w:hAnsi="Calibri"/>
          <w:color w:val="auto"/>
          <w:szCs w:val="21"/>
          <w:highlight w:val="none"/>
        </w:rPr>
      </w:pPr>
      <w:r>
        <w:rPr>
          <w:rFonts w:hint="eastAsia" w:ascii="Calibri" w:hAnsi="Calibri"/>
          <w:color w:val="auto"/>
          <w:szCs w:val="21"/>
          <w:highlight w:val="none"/>
        </w:rPr>
        <w:t>拟投入评审项目人员</w:t>
      </w:r>
      <w:r>
        <w:rPr>
          <w:rFonts w:ascii="Calibri" w:hAnsi="Calibri"/>
          <w:color w:val="auto"/>
          <w:szCs w:val="21"/>
          <w:highlight w:val="none"/>
        </w:rPr>
        <w:t>一览表</w:t>
      </w:r>
    </w:p>
    <w:tbl>
      <w:tblPr>
        <w:tblStyle w:val="51"/>
        <w:tblW w:w="102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9"/>
        <w:gridCol w:w="1023"/>
        <w:gridCol w:w="1485"/>
        <w:gridCol w:w="2174"/>
        <w:gridCol w:w="1148"/>
        <w:gridCol w:w="1620"/>
        <w:gridCol w:w="1307"/>
        <w:gridCol w:w="880"/>
      </w:tblGrid>
      <w:tr w14:paraId="24543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732E342D">
            <w:pPr>
              <w:snapToGrid w:val="0"/>
              <w:spacing w:before="120" w:beforeLines="50" w:after="50"/>
              <w:jc w:val="center"/>
              <w:rPr>
                <w:color w:val="auto"/>
                <w:szCs w:val="21"/>
                <w:highlight w:val="none"/>
              </w:rPr>
            </w:pPr>
            <w:r>
              <w:rPr>
                <w:rFonts w:hint="eastAsia"/>
                <w:color w:val="auto"/>
                <w:szCs w:val="21"/>
                <w:highlight w:val="none"/>
              </w:rPr>
              <w:t>序号</w:t>
            </w:r>
          </w:p>
        </w:tc>
        <w:tc>
          <w:tcPr>
            <w:tcW w:w="1023" w:type="dxa"/>
            <w:tcBorders>
              <w:top w:val="single" w:color="auto" w:sz="4" w:space="0"/>
              <w:left w:val="single" w:color="auto" w:sz="4" w:space="0"/>
              <w:bottom w:val="single" w:color="auto" w:sz="4" w:space="0"/>
              <w:right w:val="single" w:color="auto" w:sz="4" w:space="0"/>
            </w:tcBorders>
            <w:vAlign w:val="center"/>
          </w:tcPr>
          <w:p w14:paraId="58B61D1F">
            <w:pPr>
              <w:snapToGrid w:val="0"/>
              <w:spacing w:before="120" w:beforeLines="50" w:after="50"/>
              <w:jc w:val="center"/>
              <w:rPr>
                <w:color w:val="auto"/>
                <w:szCs w:val="21"/>
                <w:highlight w:val="none"/>
              </w:rPr>
            </w:pPr>
            <w:r>
              <w:rPr>
                <w:color w:val="auto"/>
                <w:szCs w:val="21"/>
                <w:highlight w:val="none"/>
              </w:rPr>
              <w:t>姓名</w:t>
            </w:r>
          </w:p>
        </w:tc>
        <w:tc>
          <w:tcPr>
            <w:tcW w:w="1485" w:type="dxa"/>
            <w:tcBorders>
              <w:top w:val="single" w:color="auto" w:sz="4" w:space="0"/>
              <w:left w:val="single" w:color="auto" w:sz="4" w:space="0"/>
              <w:bottom w:val="single" w:color="auto" w:sz="4" w:space="0"/>
              <w:right w:val="single" w:color="auto" w:sz="4" w:space="0"/>
            </w:tcBorders>
            <w:vAlign w:val="center"/>
          </w:tcPr>
          <w:p w14:paraId="394DD80A">
            <w:pPr>
              <w:tabs>
                <w:tab w:val="left" w:pos="260"/>
              </w:tabs>
              <w:snapToGrid w:val="0"/>
              <w:spacing w:before="120" w:beforeLines="50" w:after="50"/>
              <w:jc w:val="center"/>
              <w:rPr>
                <w:color w:val="auto"/>
                <w:szCs w:val="21"/>
                <w:highlight w:val="none"/>
              </w:rPr>
            </w:pPr>
            <w:r>
              <w:rPr>
                <w:rFonts w:hint="eastAsia"/>
                <w:bCs/>
                <w:color w:val="auto"/>
                <w:highlight w:val="none"/>
              </w:rPr>
              <w:t>造价工程师</w:t>
            </w:r>
            <w:r>
              <w:rPr>
                <w:bCs/>
                <w:color w:val="auto"/>
                <w:highlight w:val="none"/>
              </w:rPr>
              <w:t>资格</w:t>
            </w:r>
            <w:r>
              <w:rPr>
                <w:rFonts w:hint="eastAsia"/>
                <w:bCs/>
                <w:color w:val="auto"/>
                <w:highlight w:val="none"/>
              </w:rPr>
              <w:t>（一级、二级）/注册会计师</w:t>
            </w:r>
          </w:p>
        </w:tc>
        <w:tc>
          <w:tcPr>
            <w:tcW w:w="2174" w:type="dxa"/>
            <w:tcBorders>
              <w:top w:val="single" w:color="auto" w:sz="4" w:space="0"/>
              <w:left w:val="single" w:color="auto" w:sz="4" w:space="0"/>
              <w:bottom w:val="single" w:color="auto" w:sz="4" w:space="0"/>
              <w:right w:val="single" w:color="auto" w:sz="4" w:space="0"/>
            </w:tcBorders>
            <w:vAlign w:val="center"/>
          </w:tcPr>
          <w:p w14:paraId="21A16A7A">
            <w:pPr>
              <w:tabs>
                <w:tab w:val="left" w:pos="260"/>
              </w:tabs>
              <w:snapToGrid w:val="0"/>
              <w:jc w:val="center"/>
              <w:rPr>
                <w:bCs/>
                <w:color w:val="auto"/>
                <w:highlight w:val="none"/>
              </w:rPr>
            </w:pPr>
            <w:r>
              <w:rPr>
                <w:rFonts w:hint="eastAsia"/>
                <w:bCs/>
                <w:color w:val="auto"/>
                <w:highlight w:val="none"/>
              </w:rPr>
              <w:t>造价工程师专业</w:t>
            </w:r>
          </w:p>
          <w:p w14:paraId="12BF3A1C">
            <w:pPr>
              <w:tabs>
                <w:tab w:val="left" w:pos="260"/>
              </w:tabs>
              <w:snapToGrid w:val="0"/>
              <w:jc w:val="center"/>
              <w:rPr>
                <w:bCs/>
                <w:color w:val="auto"/>
                <w:highlight w:val="none"/>
              </w:rPr>
            </w:pPr>
            <w:r>
              <w:rPr>
                <w:rFonts w:hint="eastAsia"/>
                <w:bCs/>
                <w:color w:val="auto"/>
                <w:highlight w:val="none"/>
              </w:rPr>
              <w:t>（土建、安装、公路、水利）</w:t>
            </w:r>
          </w:p>
        </w:tc>
        <w:tc>
          <w:tcPr>
            <w:tcW w:w="1148" w:type="dxa"/>
            <w:tcBorders>
              <w:top w:val="single" w:color="auto" w:sz="4" w:space="0"/>
              <w:left w:val="single" w:color="auto" w:sz="4" w:space="0"/>
              <w:bottom w:val="single" w:color="auto" w:sz="4" w:space="0"/>
              <w:right w:val="single" w:color="auto" w:sz="4" w:space="0"/>
            </w:tcBorders>
            <w:vAlign w:val="center"/>
          </w:tcPr>
          <w:p w14:paraId="13352069">
            <w:pPr>
              <w:snapToGrid w:val="0"/>
              <w:jc w:val="center"/>
              <w:rPr>
                <w:color w:val="auto"/>
                <w:szCs w:val="21"/>
                <w:highlight w:val="none"/>
              </w:rPr>
            </w:pPr>
            <w:r>
              <w:rPr>
                <w:rFonts w:hint="eastAsia"/>
                <w:color w:val="auto"/>
                <w:szCs w:val="21"/>
                <w:highlight w:val="none"/>
              </w:rPr>
              <w:t>职称</w:t>
            </w:r>
          </w:p>
        </w:tc>
        <w:tc>
          <w:tcPr>
            <w:tcW w:w="1620" w:type="dxa"/>
            <w:tcBorders>
              <w:top w:val="single" w:color="auto" w:sz="4" w:space="0"/>
              <w:left w:val="single" w:color="auto" w:sz="4" w:space="0"/>
              <w:bottom w:val="single" w:color="auto" w:sz="4" w:space="0"/>
              <w:right w:val="single" w:color="auto" w:sz="4" w:space="0"/>
            </w:tcBorders>
            <w:vAlign w:val="center"/>
          </w:tcPr>
          <w:p w14:paraId="5E51E528">
            <w:pPr>
              <w:snapToGrid w:val="0"/>
              <w:jc w:val="center"/>
              <w:rPr>
                <w:color w:val="auto"/>
                <w:szCs w:val="21"/>
                <w:highlight w:val="none"/>
              </w:rPr>
            </w:pPr>
            <w:r>
              <w:rPr>
                <w:rFonts w:hint="eastAsia"/>
                <w:color w:val="auto"/>
                <w:szCs w:val="21"/>
                <w:highlight w:val="none"/>
              </w:rPr>
              <w:t>岗位</w:t>
            </w:r>
          </w:p>
          <w:p w14:paraId="5E861579">
            <w:pPr>
              <w:snapToGrid w:val="0"/>
              <w:jc w:val="center"/>
              <w:rPr>
                <w:color w:val="auto"/>
                <w:szCs w:val="21"/>
                <w:highlight w:val="none"/>
              </w:rPr>
            </w:pPr>
            <w:r>
              <w:rPr>
                <w:rFonts w:hint="eastAsia"/>
                <w:color w:val="auto"/>
                <w:szCs w:val="21"/>
                <w:highlight w:val="none"/>
              </w:rPr>
              <w:t>（主审、协审、复审）</w:t>
            </w:r>
          </w:p>
        </w:tc>
        <w:tc>
          <w:tcPr>
            <w:tcW w:w="1307" w:type="dxa"/>
            <w:tcBorders>
              <w:top w:val="single" w:color="auto" w:sz="4" w:space="0"/>
              <w:left w:val="single" w:color="auto" w:sz="4" w:space="0"/>
              <w:bottom w:val="single" w:color="auto" w:sz="4" w:space="0"/>
              <w:right w:val="single" w:color="auto" w:sz="4" w:space="0"/>
            </w:tcBorders>
            <w:vAlign w:val="center"/>
          </w:tcPr>
          <w:p w14:paraId="16D01ECB">
            <w:pPr>
              <w:snapToGrid w:val="0"/>
              <w:jc w:val="center"/>
              <w:rPr>
                <w:color w:val="auto"/>
                <w:szCs w:val="21"/>
                <w:highlight w:val="none"/>
              </w:rPr>
            </w:pPr>
            <w:r>
              <w:rPr>
                <w:rFonts w:hint="eastAsia"/>
                <w:color w:val="auto"/>
                <w:szCs w:val="21"/>
                <w:highlight w:val="none"/>
              </w:rPr>
              <w:t>在本单位社保缴纳起始年份</w:t>
            </w:r>
          </w:p>
        </w:tc>
        <w:tc>
          <w:tcPr>
            <w:tcW w:w="880" w:type="dxa"/>
            <w:tcBorders>
              <w:top w:val="single" w:color="auto" w:sz="4" w:space="0"/>
              <w:left w:val="single" w:color="auto" w:sz="4" w:space="0"/>
              <w:bottom w:val="single" w:color="auto" w:sz="4" w:space="0"/>
              <w:right w:val="single" w:color="auto" w:sz="4" w:space="0"/>
            </w:tcBorders>
          </w:tcPr>
          <w:p w14:paraId="6A86C18C">
            <w:pPr>
              <w:tabs>
                <w:tab w:val="left" w:pos="260"/>
              </w:tabs>
              <w:snapToGrid w:val="0"/>
              <w:spacing w:before="120" w:beforeLines="50" w:after="50"/>
              <w:jc w:val="center"/>
              <w:rPr>
                <w:color w:val="auto"/>
                <w:szCs w:val="21"/>
                <w:highlight w:val="none"/>
              </w:rPr>
            </w:pPr>
            <w:r>
              <w:rPr>
                <w:rFonts w:hint="eastAsia"/>
                <w:bCs/>
                <w:color w:val="auto"/>
                <w:highlight w:val="none"/>
              </w:rPr>
              <w:t>证件页码</w:t>
            </w:r>
          </w:p>
        </w:tc>
      </w:tr>
      <w:tr w14:paraId="6077D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579" w:type="dxa"/>
            <w:tcBorders>
              <w:top w:val="single" w:color="auto" w:sz="4" w:space="0"/>
              <w:left w:val="single" w:color="auto" w:sz="4" w:space="0"/>
              <w:bottom w:val="single" w:color="auto" w:sz="4" w:space="0"/>
              <w:right w:val="single" w:color="auto" w:sz="4" w:space="0"/>
            </w:tcBorders>
          </w:tcPr>
          <w:p w14:paraId="49139E81">
            <w:pPr>
              <w:snapToGrid w:val="0"/>
              <w:spacing w:before="120" w:beforeLines="50" w:after="50"/>
              <w:rPr>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tcPr>
          <w:p w14:paraId="342B3EAD">
            <w:pPr>
              <w:snapToGrid w:val="0"/>
              <w:spacing w:before="120" w:beforeLines="50" w:after="50"/>
              <w:rPr>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tcPr>
          <w:p w14:paraId="6A408446">
            <w:pPr>
              <w:snapToGrid w:val="0"/>
              <w:spacing w:before="120" w:beforeLines="50" w:after="50"/>
              <w:rPr>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tcPr>
          <w:p w14:paraId="6CA7BBE1">
            <w:pPr>
              <w:snapToGrid w:val="0"/>
              <w:spacing w:before="120" w:beforeLines="50" w:after="50"/>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tcPr>
          <w:p w14:paraId="315242EB">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294BAE1B">
            <w:pPr>
              <w:snapToGrid w:val="0"/>
              <w:spacing w:before="120" w:beforeLines="50" w:after="50"/>
              <w:rPr>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tcPr>
          <w:p w14:paraId="1423017E">
            <w:pPr>
              <w:snapToGrid w:val="0"/>
              <w:spacing w:before="120" w:beforeLines="50" w:after="50"/>
              <w:rPr>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1AC6A1B9">
            <w:pPr>
              <w:snapToGrid w:val="0"/>
              <w:spacing w:before="120" w:beforeLines="50" w:after="50"/>
              <w:rPr>
                <w:color w:val="auto"/>
                <w:szCs w:val="21"/>
                <w:highlight w:val="none"/>
              </w:rPr>
            </w:pPr>
          </w:p>
        </w:tc>
      </w:tr>
      <w:tr w14:paraId="34174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79" w:type="dxa"/>
            <w:tcBorders>
              <w:top w:val="single" w:color="auto" w:sz="4" w:space="0"/>
              <w:left w:val="single" w:color="auto" w:sz="4" w:space="0"/>
              <w:bottom w:val="single" w:color="auto" w:sz="4" w:space="0"/>
              <w:right w:val="single" w:color="auto" w:sz="4" w:space="0"/>
            </w:tcBorders>
          </w:tcPr>
          <w:p w14:paraId="745AB3C3">
            <w:pPr>
              <w:snapToGrid w:val="0"/>
              <w:spacing w:before="120" w:beforeLines="50" w:after="50"/>
              <w:rPr>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tcPr>
          <w:p w14:paraId="7D1BFF30">
            <w:pPr>
              <w:snapToGrid w:val="0"/>
              <w:spacing w:before="120" w:beforeLines="50" w:after="50"/>
              <w:rPr>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tcPr>
          <w:p w14:paraId="7BC27567">
            <w:pPr>
              <w:snapToGrid w:val="0"/>
              <w:spacing w:before="120" w:beforeLines="50" w:after="50"/>
              <w:rPr>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tcPr>
          <w:p w14:paraId="1D795AAA">
            <w:pPr>
              <w:snapToGrid w:val="0"/>
              <w:spacing w:before="120" w:beforeLines="50" w:after="50"/>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tcPr>
          <w:p w14:paraId="476714E4">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403DC435">
            <w:pPr>
              <w:snapToGrid w:val="0"/>
              <w:spacing w:before="120" w:beforeLines="50" w:after="50"/>
              <w:rPr>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tcPr>
          <w:p w14:paraId="6132ADDF">
            <w:pPr>
              <w:snapToGrid w:val="0"/>
              <w:spacing w:before="120" w:beforeLines="50" w:after="50"/>
              <w:rPr>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24D31DDA">
            <w:pPr>
              <w:snapToGrid w:val="0"/>
              <w:spacing w:before="120" w:beforeLines="50" w:after="50"/>
              <w:rPr>
                <w:color w:val="auto"/>
                <w:szCs w:val="21"/>
                <w:highlight w:val="none"/>
              </w:rPr>
            </w:pPr>
          </w:p>
        </w:tc>
      </w:tr>
      <w:tr w14:paraId="4CEC7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79" w:type="dxa"/>
            <w:tcBorders>
              <w:top w:val="single" w:color="auto" w:sz="4" w:space="0"/>
              <w:left w:val="single" w:color="auto" w:sz="4" w:space="0"/>
              <w:bottom w:val="single" w:color="auto" w:sz="4" w:space="0"/>
              <w:right w:val="single" w:color="auto" w:sz="4" w:space="0"/>
            </w:tcBorders>
          </w:tcPr>
          <w:p w14:paraId="47387B9E">
            <w:pPr>
              <w:snapToGrid w:val="0"/>
              <w:spacing w:before="120" w:beforeLines="50" w:after="50"/>
              <w:rPr>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tcPr>
          <w:p w14:paraId="6C1BA802">
            <w:pPr>
              <w:snapToGrid w:val="0"/>
              <w:spacing w:before="120" w:beforeLines="50" w:after="50"/>
              <w:rPr>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tcPr>
          <w:p w14:paraId="1A15A288">
            <w:pPr>
              <w:snapToGrid w:val="0"/>
              <w:spacing w:before="120" w:beforeLines="50" w:after="50"/>
              <w:rPr>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tcPr>
          <w:p w14:paraId="1EAE0F16">
            <w:pPr>
              <w:snapToGrid w:val="0"/>
              <w:spacing w:before="120" w:beforeLines="50" w:after="50"/>
              <w:ind w:left="5250" w:leftChars="2500"/>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tcPr>
          <w:p w14:paraId="1BF1687B">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587568EA">
            <w:pPr>
              <w:snapToGrid w:val="0"/>
              <w:spacing w:before="120" w:beforeLines="50" w:after="50"/>
              <w:rPr>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tcPr>
          <w:p w14:paraId="27433FC8">
            <w:pPr>
              <w:snapToGrid w:val="0"/>
              <w:spacing w:before="120" w:beforeLines="50" w:after="50"/>
              <w:rPr>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08095E66">
            <w:pPr>
              <w:snapToGrid w:val="0"/>
              <w:spacing w:before="120" w:beforeLines="50" w:after="50"/>
              <w:rPr>
                <w:color w:val="auto"/>
                <w:szCs w:val="21"/>
                <w:highlight w:val="none"/>
              </w:rPr>
            </w:pPr>
          </w:p>
        </w:tc>
      </w:tr>
      <w:tr w14:paraId="6BBD1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79" w:type="dxa"/>
            <w:tcBorders>
              <w:top w:val="single" w:color="auto" w:sz="4" w:space="0"/>
              <w:left w:val="single" w:color="auto" w:sz="4" w:space="0"/>
              <w:bottom w:val="single" w:color="auto" w:sz="4" w:space="0"/>
              <w:right w:val="single" w:color="auto" w:sz="4" w:space="0"/>
            </w:tcBorders>
          </w:tcPr>
          <w:p w14:paraId="0F8EBE99">
            <w:pPr>
              <w:snapToGrid w:val="0"/>
              <w:spacing w:before="120" w:beforeLines="50" w:after="50"/>
              <w:rPr>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tcPr>
          <w:p w14:paraId="07188FB9">
            <w:pPr>
              <w:snapToGrid w:val="0"/>
              <w:spacing w:before="120" w:beforeLines="50" w:after="50"/>
              <w:rPr>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tcPr>
          <w:p w14:paraId="1BEB60FF">
            <w:pPr>
              <w:snapToGrid w:val="0"/>
              <w:spacing w:before="120" w:beforeLines="50" w:after="50"/>
              <w:rPr>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tcPr>
          <w:p w14:paraId="4E7EF690">
            <w:pPr>
              <w:snapToGrid w:val="0"/>
              <w:spacing w:before="120" w:beforeLines="50" w:after="50"/>
              <w:ind w:left="5250" w:leftChars="2500"/>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tcPr>
          <w:p w14:paraId="0F57F246">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5210FEF3">
            <w:pPr>
              <w:snapToGrid w:val="0"/>
              <w:spacing w:before="120" w:beforeLines="50" w:after="50"/>
              <w:rPr>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tcPr>
          <w:p w14:paraId="03EE4BA6">
            <w:pPr>
              <w:snapToGrid w:val="0"/>
              <w:spacing w:before="120" w:beforeLines="50" w:after="50"/>
              <w:rPr>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02041AFE">
            <w:pPr>
              <w:snapToGrid w:val="0"/>
              <w:spacing w:before="120" w:beforeLines="50" w:after="50"/>
              <w:rPr>
                <w:color w:val="auto"/>
                <w:szCs w:val="21"/>
                <w:highlight w:val="none"/>
              </w:rPr>
            </w:pPr>
          </w:p>
        </w:tc>
      </w:tr>
      <w:tr w14:paraId="508A7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79" w:type="dxa"/>
            <w:tcBorders>
              <w:top w:val="single" w:color="auto" w:sz="4" w:space="0"/>
              <w:left w:val="single" w:color="auto" w:sz="4" w:space="0"/>
              <w:bottom w:val="single" w:color="auto" w:sz="4" w:space="0"/>
              <w:right w:val="single" w:color="auto" w:sz="4" w:space="0"/>
            </w:tcBorders>
          </w:tcPr>
          <w:p w14:paraId="6E98D1F9">
            <w:pPr>
              <w:snapToGrid w:val="0"/>
              <w:spacing w:before="120" w:beforeLines="50" w:after="50"/>
              <w:rPr>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tcPr>
          <w:p w14:paraId="59CF735B">
            <w:pPr>
              <w:snapToGrid w:val="0"/>
              <w:spacing w:before="120" w:beforeLines="50" w:after="50"/>
              <w:rPr>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tcPr>
          <w:p w14:paraId="6B434C67">
            <w:pPr>
              <w:snapToGrid w:val="0"/>
              <w:spacing w:before="120" w:beforeLines="50" w:after="50"/>
              <w:rPr>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tcPr>
          <w:p w14:paraId="693B8565">
            <w:pPr>
              <w:snapToGrid w:val="0"/>
              <w:spacing w:before="120" w:beforeLines="50" w:after="50"/>
              <w:ind w:left="5250" w:leftChars="2500"/>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tcPr>
          <w:p w14:paraId="7163B336">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4FB3A4B0">
            <w:pPr>
              <w:snapToGrid w:val="0"/>
              <w:spacing w:before="120" w:beforeLines="50" w:after="50"/>
              <w:rPr>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tcPr>
          <w:p w14:paraId="53B2BE07">
            <w:pPr>
              <w:snapToGrid w:val="0"/>
              <w:spacing w:before="120" w:beforeLines="50" w:after="50"/>
              <w:rPr>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tcPr>
          <w:p w14:paraId="1D2A1A26">
            <w:pPr>
              <w:snapToGrid w:val="0"/>
              <w:spacing w:before="120" w:beforeLines="50" w:after="50"/>
              <w:rPr>
                <w:color w:val="auto"/>
                <w:szCs w:val="21"/>
                <w:highlight w:val="none"/>
              </w:rPr>
            </w:pPr>
          </w:p>
        </w:tc>
      </w:tr>
    </w:tbl>
    <w:p w14:paraId="0145B5E2">
      <w:pPr>
        <w:snapToGrid w:val="0"/>
        <w:spacing w:before="50" w:after="120" w:afterLines="50" w:line="440" w:lineRule="exact"/>
        <w:jc w:val="left"/>
        <w:rPr>
          <w:rFonts w:ascii="Calibri" w:hAnsi="Calibri"/>
          <w:color w:val="auto"/>
          <w:szCs w:val="21"/>
          <w:highlight w:val="none"/>
        </w:rPr>
      </w:pPr>
    </w:p>
    <w:p w14:paraId="56291400">
      <w:pPr>
        <w:snapToGrid w:val="0"/>
        <w:spacing w:before="50" w:after="120" w:afterLines="50" w:line="440" w:lineRule="exact"/>
        <w:jc w:val="left"/>
        <w:rPr>
          <w:rFonts w:ascii="Calibri" w:hAnsi="Calibri"/>
          <w:color w:val="auto"/>
          <w:szCs w:val="21"/>
          <w:highlight w:val="none"/>
        </w:rPr>
      </w:pPr>
      <w:r>
        <w:rPr>
          <w:rFonts w:ascii="Calibri" w:hAnsi="Calibri"/>
          <w:color w:val="auto"/>
          <w:szCs w:val="21"/>
          <w:highlight w:val="none"/>
        </w:rPr>
        <w:t>注：在填写时，如本表格不适合响应单位的实际情况，可根据本表格式自行划表填写。</w:t>
      </w:r>
    </w:p>
    <w:p w14:paraId="659924DE">
      <w:pPr>
        <w:rPr>
          <w:rFonts w:ascii="Calibri" w:hAnsi="Calibri"/>
          <w:color w:val="auto"/>
          <w:spacing w:val="20"/>
          <w:szCs w:val="21"/>
          <w:highlight w:val="none"/>
          <w:u w:val="single"/>
        </w:rPr>
      </w:pPr>
      <w:r>
        <w:rPr>
          <w:rFonts w:ascii="Calibri" w:hAnsi="Calibri"/>
          <w:color w:val="auto"/>
          <w:szCs w:val="21"/>
          <w:highlight w:val="none"/>
        </w:rPr>
        <w:t>供应商</w:t>
      </w:r>
      <w:r>
        <w:rPr>
          <w:rFonts w:hint="eastAsia" w:ascii="Calibri" w:hAnsi="Calibri"/>
          <w:color w:val="auto"/>
          <w:szCs w:val="21"/>
          <w:highlight w:val="none"/>
        </w:rPr>
        <w:t>名称(电子签章</w:t>
      </w:r>
      <w:r>
        <w:rPr>
          <w:rFonts w:ascii="Calibri" w:hAnsi="Calibri"/>
          <w:color w:val="auto"/>
          <w:szCs w:val="21"/>
          <w:highlight w:val="none"/>
        </w:rPr>
        <w:t>)</w:t>
      </w:r>
      <w:r>
        <w:rPr>
          <w:rFonts w:ascii="Calibri" w:hAnsi="Calibri"/>
          <w:color w:val="auto"/>
          <w:spacing w:val="20"/>
          <w:szCs w:val="21"/>
          <w:highlight w:val="none"/>
        </w:rPr>
        <w:t>：</w:t>
      </w:r>
      <w:r>
        <w:rPr>
          <w:rFonts w:ascii="Calibri" w:hAnsi="Calibri"/>
          <w:color w:val="auto"/>
          <w:spacing w:val="20"/>
          <w:szCs w:val="21"/>
          <w:highlight w:val="none"/>
          <w:u w:val="single"/>
        </w:rPr>
        <w:t xml:space="preserve">        </w:t>
      </w:r>
      <w:r>
        <w:rPr>
          <w:rFonts w:ascii="Calibri" w:hAnsi="Calibri"/>
          <w:color w:val="auto"/>
          <w:spacing w:val="20"/>
          <w:szCs w:val="21"/>
          <w:highlight w:val="none"/>
        </w:rPr>
        <w:t xml:space="preserve">           日  期：</w:t>
      </w:r>
      <w:r>
        <w:rPr>
          <w:rFonts w:ascii="Calibri" w:hAnsi="Calibri"/>
          <w:color w:val="auto"/>
          <w:spacing w:val="20"/>
          <w:szCs w:val="21"/>
          <w:highlight w:val="none"/>
          <w:u w:val="single"/>
        </w:rPr>
        <w:t xml:space="preserve">        </w:t>
      </w:r>
    </w:p>
    <w:p w14:paraId="11D0E42D">
      <w:pPr>
        <w:rPr>
          <w:rFonts w:ascii="Calibri" w:hAnsi="Calibri"/>
          <w:color w:val="auto"/>
          <w:spacing w:val="20"/>
          <w:szCs w:val="21"/>
          <w:highlight w:val="none"/>
          <w:u w:val="single"/>
        </w:rPr>
      </w:pPr>
    </w:p>
    <w:p w14:paraId="09BE7E2C">
      <w:pPr>
        <w:rPr>
          <w:rFonts w:ascii="Calibri" w:hAnsi="Calibri"/>
          <w:color w:val="auto"/>
          <w:szCs w:val="21"/>
          <w:highlight w:val="none"/>
        </w:rPr>
      </w:pPr>
    </w:p>
    <w:p w14:paraId="4D89CCD0">
      <w:pPr>
        <w:snapToGrid w:val="0"/>
        <w:spacing w:before="50" w:after="120" w:afterLines="50"/>
        <w:jc w:val="left"/>
        <w:rPr>
          <w:rFonts w:ascii="Calibri" w:hAnsi="Calibri"/>
          <w:color w:val="auto"/>
          <w:szCs w:val="21"/>
          <w:highlight w:val="none"/>
        </w:rPr>
      </w:pPr>
      <w:r>
        <w:rPr>
          <w:rFonts w:ascii="Calibri" w:hAnsi="Calibri"/>
          <w:color w:val="auto"/>
          <w:szCs w:val="21"/>
          <w:highlight w:val="none"/>
        </w:rPr>
        <w:t>5．企业管理体系认证或资质证明材料。</w:t>
      </w:r>
    </w:p>
    <w:p w14:paraId="3297011F">
      <w:pPr>
        <w:snapToGrid w:val="0"/>
        <w:spacing w:before="50" w:after="120" w:afterLines="50"/>
        <w:jc w:val="left"/>
        <w:rPr>
          <w:rFonts w:ascii="Calibri" w:hAnsi="Calibri"/>
          <w:color w:val="auto"/>
          <w:szCs w:val="21"/>
          <w:highlight w:val="none"/>
        </w:rPr>
      </w:pPr>
    </w:p>
    <w:p w14:paraId="1A119E18">
      <w:pPr>
        <w:snapToGrid w:val="0"/>
        <w:spacing w:before="50" w:after="120" w:afterLines="50"/>
        <w:jc w:val="left"/>
        <w:rPr>
          <w:rFonts w:ascii="Calibri" w:hAnsi="Calibri"/>
          <w:color w:val="auto"/>
          <w:szCs w:val="21"/>
          <w:highlight w:val="none"/>
        </w:rPr>
      </w:pPr>
    </w:p>
    <w:p w14:paraId="33CD3608">
      <w:pPr>
        <w:snapToGrid w:val="0"/>
        <w:spacing w:before="50" w:after="120" w:afterLines="50"/>
        <w:jc w:val="left"/>
        <w:rPr>
          <w:rFonts w:ascii="Calibri" w:hAnsi="Calibri"/>
          <w:color w:val="auto"/>
          <w:szCs w:val="21"/>
          <w:highlight w:val="none"/>
        </w:rPr>
      </w:pPr>
      <w:r>
        <w:rPr>
          <w:rFonts w:ascii="Calibri" w:hAnsi="Calibri"/>
          <w:color w:val="auto"/>
          <w:szCs w:val="21"/>
          <w:highlight w:val="none"/>
        </w:rPr>
        <w:t>6．供应商需要说明的其他文件和说明。</w:t>
      </w:r>
    </w:p>
    <w:p w14:paraId="20E9A8D1">
      <w:pPr>
        <w:snapToGrid w:val="0"/>
        <w:spacing w:before="50" w:after="120" w:afterLines="50"/>
        <w:jc w:val="left"/>
        <w:rPr>
          <w:rFonts w:ascii="Calibri" w:hAnsi="Calibri"/>
          <w:color w:val="auto"/>
          <w:szCs w:val="21"/>
          <w:highlight w:val="none"/>
        </w:rPr>
      </w:pPr>
    </w:p>
    <w:p w14:paraId="627F3ED6">
      <w:pPr>
        <w:snapToGrid w:val="0"/>
        <w:spacing w:before="50" w:after="120" w:afterLines="50"/>
        <w:jc w:val="left"/>
        <w:rPr>
          <w:rFonts w:ascii="Calibri" w:hAnsi="Calibri"/>
          <w:color w:val="auto"/>
          <w:szCs w:val="21"/>
          <w:highlight w:val="none"/>
        </w:rPr>
      </w:pPr>
      <w:r>
        <w:rPr>
          <w:rFonts w:hint="eastAsia" w:ascii="Calibri" w:hAnsi="Calibri"/>
          <w:color w:val="auto"/>
          <w:szCs w:val="21"/>
          <w:highlight w:val="none"/>
        </w:rPr>
        <w:t>7．评审报告</w:t>
      </w:r>
    </w:p>
    <w:p w14:paraId="29AA1FAC">
      <w:pPr>
        <w:snapToGrid w:val="0"/>
        <w:spacing w:before="50" w:after="120" w:afterLines="50"/>
        <w:jc w:val="left"/>
        <w:rPr>
          <w:color w:val="auto"/>
          <w:szCs w:val="21"/>
          <w:highlight w:val="none"/>
        </w:rPr>
      </w:pPr>
      <w:r>
        <w:rPr>
          <w:rFonts w:hint="eastAsia" w:ascii="Calibri" w:hAnsi="Calibri"/>
          <w:color w:val="auto"/>
          <w:szCs w:val="21"/>
          <w:highlight w:val="none"/>
        </w:rPr>
        <w:t>2022年至今，供应商承接的财政或审计部门与本标项服务内容一致的评审业务的一份工程类项目评审报告（只提供正文部分，不需要提供附件）为评分依据，如附多份评审报告，仅以第一份为评分依据。</w:t>
      </w:r>
    </w:p>
    <w:p w14:paraId="0F90A2E3">
      <w:pPr>
        <w:snapToGrid w:val="0"/>
        <w:spacing w:before="50" w:after="120" w:afterLines="50"/>
        <w:jc w:val="left"/>
        <w:rPr>
          <w:color w:val="auto"/>
          <w:szCs w:val="21"/>
          <w:highlight w:val="none"/>
        </w:rPr>
      </w:pPr>
    </w:p>
    <w:p w14:paraId="02F06BC0">
      <w:pPr>
        <w:snapToGrid w:val="0"/>
        <w:spacing w:before="50" w:after="120" w:afterLines="50"/>
        <w:jc w:val="left"/>
        <w:rPr>
          <w:color w:val="auto"/>
          <w:szCs w:val="21"/>
          <w:highlight w:val="none"/>
        </w:rPr>
      </w:pPr>
    </w:p>
    <w:p w14:paraId="6892FDAD">
      <w:pPr>
        <w:snapToGrid w:val="0"/>
        <w:spacing w:before="120" w:beforeLines="50" w:after="50" w:line="440" w:lineRule="exact"/>
        <w:jc w:val="left"/>
        <w:outlineLvl w:val="1"/>
        <w:rPr>
          <w:bCs/>
          <w:color w:val="auto"/>
          <w:sz w:val="24"/>
          <w:highlight w:val="none"/>
        </w:rPr>
      </w:pPr>
      <w:r>
        <w:rPr>
          <w:color w:val="auto"/>
          <w:szCs w:val="21"/>
          <w:highlight w:val="none"/>
        </w:rPr>
        <w:br w:type="page"/>
      </w:r>
      <w:r>
        <w:rPr>
          <w:bCs/>
          <w:color w:val="auto"/>
          <w:sz w:val="24"/>
          <w:highlight w:val="none"/>
        </w:rPr>
        <w:t>3．响应文件封面参考格式</w:t>
      </w:r>
      <w:r>
        <w:rPr>
          <w:rFonts w:hint="eastAsia"/>
          <w:bCs/>
          <w:color w:val="auto"/>
          <w:sz w:val="24"/>
          <w:highlight w:val="none"/>
        </w:rPr>
        <w:t>（报价文件）</w:t>
      </w:r>
      <w:r>
        <w:rPr>
          <w:bCs/>
          <w:color w:val="auto"/>
          <w:sz w:val="24"/>
          <w:highlight w:val="none"/>
        </w:rPr>
        <w:t xml:space="preserve">： </w:t>
      </w:r>
    </w:p>
    <w:p w14:paraId="04D90257">
      <w:pPr>
        <w:snapToGrid w:val="0"/>
        <w:spacing w:before="50" w:after="120" w:afterLines="50" w:line="400" w:lineRule="exact"/>
        <w:jc w:val="left"/>
        <w:rPr>
          <w:bCs/>
          <w:color w:val="auto"/>
          <w:sz w:val="24"/>
          <w:highlight w:val="none"/>
        </w:rPr>
      </w:pPr>
    </w:p>
    <w:p w14:paraId="6F77502D">
      <w:pPr>
        <w:snapToGrid w:val="0"/>
        <w:spacing w:before="120" w:beforeLines="50" w:after="50" w:line="360" w:lineRule="exact"/>
        <w:rPr>
          <w:color w:val="auto"/>
          <w:sz w:val="24"/>
          <w:highlight w:val="none"/>
        </w:rPr>
      </w:pPr>
    </w:p>
    <w:p w14:paraId="3CF55181">
      <w:pPr>
        <w:snapToGrid w:val="0"/>
        <w:spacing w:before="120" w:beforeLines="50" w:after="50" w:line="360" w:lineRule="exact"/>
        <w:jc w:val="center"/>
        <w:rPr>
          <w:bCs/>
          <w:color w:val="auto"/>
          <w:sz w:val="24"/>
          <w:highlight w:val="none"/>
        </w:rPr>
      </w:pPr>
    </w:p>
    <w:p w14:paraId="253A2618">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643FE6B1">
      <w:pPr>
        <w:snapToGrid w:val="0"/>
        <w:spacing w:before="120" w:beforeLines="50" w:after="50" w:line="360" w:lineRule="exact"/>
        <w:jc w:val="center"/>
        <w:rPr>
          <w:b/>
          <w:bCs/>
          <w:color w:val="auto"/>
          <w:sz w:val="44"/>
          <w:szCs w:val="44"/>
          <w:highlight w:val="none"/>
        </w:rPr>
      </w:pPr>
    </w:p>
    <w:p w14:paraId="055ECA6B">
      <w:pPr>
        <w:snapToGrid w:val="0"/>
        <w:spacing w:before="120" w:beforeLines="50" w:after="50" w:line="360" w:lineRule="exact"/>
        <w:jc w:val="center"/>
        <w:rPr>
          <w:b/>
          <w:bCs/>
          <w:color w:val="auto"/>
          <w:sz w:val="44"/>
          <w:szCs w:val="44"/>
          <w:highlight w:val="none"/>
        </w:rPr>
      </w:pPr>
    </w:p>
    <w:p w14:paraId="7296DCD4">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2D03B89F">
      <w:pPr>
        <w:snapToGrid w:val="0"/>
        <w:spacing w:before="120" w:beforeLines="50" w:after="50" w:line="360" w:lineRule="exact"/>
        <w:rPr>
          <w:bCs/>
          <w:color w:val="auto"/>
          <w:sz w:val="24"/>
          <w:highlight w:val="none"/>
        </w:rPr>
      </w:pPr>
    </w:p>
    <w:p w14:paraId="3228494D">
      <w:pPr>
        <w:snapToGrid w:val="0"/>
        <w:spacing w:before="120" w:beforeLines="50" w:after="50" w:line="360" w:lineRule="exact"/>
        <w:rPr>
          <w:bCs/>
          <w:color w:val="auto"/>
          <w:sz w:val="24"/>
          <w:highlight w:val="none"/>
        </w:rPr>
      </w:pPr>
    </w:p>
    <w:p w14:paraId="0477749B">
      <w:pPr>
        <w:snapToGrid w:val="0"/>
        <w:spacing w:before="120" w:beforeLines="50" w:after="50" w:line="360" w:lineRule="exact"/>
        <w:rPr>
          <w:bCs/>
          <w:color w:val="auto"/>
          <w:sz w:val="24"/>
          <w:highlight w:val="none"/>
        </w:rPr>
      </w:pPr>
    </w:p>
    <w:p w14:paraId="57947F3E">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188AF4BD">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53FE9F24">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3B87514B">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5FF432A5">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38691542">
      <w:pPr>
        <w:snapToGrid w:val="0"/>
        <w:spacing w:before="120" w:beforeLines="50" w:after="50" w:line="360" w:lineRule="exact"/>
        <w:ind w:firstLine="720" w:firstLineChars="300"/>
        <w:rPr>
          <w:bCs/>
          <w:color w:val="auto"/>
          <w:sz w:val="24"/>
          <w:highlight w:val="none"/>
        </w:rPr>
      </w:pPr>
    </w:p>
    <w:p w14:paraId="4F65FD6B">
      <w:pPr>
        <w:pStyle w:val="7"/>
        <w:snapToGrid w:val="0"/>
        <w:spacing w:before="50" w:after="50" w:line="360" w:lineRule="exact"/>
        <w:ind w:firstLine="960" w:firstLineChars="400"/>
        <w:rPr>
          <w:bCs/>
          <w:color w:val="auto"/>
          <w:sz w:val="24"/>
          <w:szCs w:val="24"/>
          <w:highlight w:val="none"/>
        </w:rPr>
      </w:pPr>
    </w:p>
    <w:p w14:paraId="38F5FFC1">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66678693">
      <w:pPr>
        <w:rPr>
          <w:color w:val="auto"/>
          <w:highlight w:val="none"/>
        </w:rPr>
      </w:pPr>
    </w:p>
    <w:p w14:paraId="2AE1B05B">
      <w:pPr>
        <w:jc w:val="center"/>
        <w:rPr>
          <w:b/>
          <w:bCs/>
          <w:color w:val="auto"/>
          <w:szCs w:val="21"/>
          <w:highlight w:val="none"/>
        </w:rPr>
      </w:pPr>
      <w:r>
        <w:rPr>
          <w:b/>
          <w:color w:val="auto"/>
          <w:szCs w:val="21"/>
          <w:highlight w:val="none"/>
        </w:rPr>
        <w:br w:type="page"/>
      </w:r>
      <w:r>
        <w:rPr>
          <w:b/>
          <w:bCs/>
          <w:color w:val="auto"/>
          <w:szCs w:val="21"/>
          <w:highlight w:val="none"/>
        </w:rPr>
        <w:t xml:space="preserve"> </w:t>
      </w:r>
    </w:p>
    <w:p w14:paraId="2538184E">
      <w:pPr>
        <w:snapToGrid w:val="0"/>
        <w:spacing w:before="120" w:beforeLines="50" w:after="50" w:line="440" w:lineRule="exact"/>
        <w:jc w:val="center"/>
        <w:outlineLvl w:val="1"/>
        <w:rPr>
          <w:bCs/>
          <w:color w:val="auto"/>
          <w:sz w:val="24"/>
          <w:highlight w:val="none"/>
        </w:rPr>
      </w:pPr>
      <w:r>
        <w:rPr>
          <w:bCs/>
          <w:color w:val="auto"/>
          <w:sz w:val="24"/>
          <w:highlight w:val="none"/>
        </w:rPr>
        <w:t>第三部分 报价文件</w:t>
      </w:r>
    </w:p>
    <w:p w14:paraId="0A1E321C">
      <w:pPr>
        <w:jc w:val="center"/>
        <w:rPr>
          <w:b/>
          <w:bCs/>
          <w:color w:val="auto"/>
          <w:szCs w:val="21"/>
          <w:highlight w:val="none"/>
        </w:rPr>
      </w:pPr>
    </w:p>
    <w:p w14:paraId="12C4163C">
      <w:pPr>
        <w:rPr>
          <w:color w:val="auto"/>
          <w:highlight w:val="none"/>
        </w:rPr>
      </w:pPr>
      <w:r>
        <w:rPr>
          <w:color w:val="auto"/>
          <w:highlight w:val="none"/>
        </w:rPr>
        <w:t>1．响应函格式：</w:t>
      </w:r>
    </w:p>
    <w:p w14:paraId="48F80BFB">
      <w:pPr>
        <w:rPr>
          <w:color w:val="auto"/>
          <w:highlight w:val="none"/>
        </w:rPr>
      </w:pPr>
    </w:p>
    <w:p w14:paraId="1A6DEF13">
      <w:pPr>
        <w:jc w:val="center"/>
        <w:rPr>
          <w:b/>
          <w:color w:val="auto"/>
          <w:szCs w:val="21"/>
          <w:highlight w:val="none"/>
        </w:rPr>
      </w:pPr>
      <w:r>
        <w:rPr>
          <w:b/>
          <w:color w:val="auto"/>
          <w:szCs w:val="21"/>
          <w:highlight w:val="none"/>
        </w:rPr>
        <w:t>投 标 函</w:t>
      </w:r>
    </w:p>
    <w:p w14:paraId="6476BDDD">
      <w:pPr>
        <w:rPr>
          <w:b/>
          <w:color w:val="auto"/>
          <w:szCs w:val="21"/>
          <w:highlight w:val="none"/>
        </w:rPr>
      </w:pPr>
    </w:p>
    <w:p w14:paraId="6E0308D6">
      <w:pPr>
        <w:spacing w:line="360" w:lineRule="auto"/>
        <w:rPr>
          <w:color w:val="auto"/>
          <w:szCs w:val="21"/>
          <w:highlight w:val="none"/>
        </w:rPr>
      </w:pPr>
      <w:r>
        <w:rPr>
          <w:color w:val="auto"/>
          <w:szCs w:val="21"/>
          <w:highlight w:val="none"/>
        </w:rPr>
        <w:t>致：</w:t>
      </w:r>
      <w:bookmarkStart w:id="106" w:name="_Hlk19051378"/>
      <w:r>
        <w:rPr>
          <w:color w:val="auto"/>
          <w:szCs w:val="21"/>
          <w:highlight w:val="none"/>
        </w:rPr>
        <w:t>_</w:t>
      </w:r>
      <w:r>
        <w:rPr>
          <w:i/>
          <w:iCs/>
          <w:color w:val="auto"/>
          <w:szCs w:val="21"/>
          <w:highlight w:val="none"/>
          <w:u w:val="single"/>
        </w:rPr>
        <w:t>（征集人名称）</w:t>
      </w:r>
      <w:r>
        <w:rPr>
          <w:i/>
          <w:iCs/>
          <w:color w:val="auto"/>
          <w:szCs w:val="21"/>
          <w:highlight w:val="none"/>
        </w:rPr>
        <w:t>_</w:t>
      </w:r>
      <w:bookmarkEnd w:id="106"/>
      <w:r>
        <w:rPr>
          <w:color w:val="auto"/>
          <w:szCs w:val="21"/>
          <w:highlight w:val="none"/>
        </w:rPr>
        <w:t>：</w:t>
      </w:r>
    </w:p>
    <w:p w14:paraId="02C47868">
      <w:pPr>
        <w:spacing w:line="360" w:lineRule="auto"/>
        <w:ind w:firstLine="420" w:firstLineChars="200"/>
        <w:rPr>
          <w:color w:val="auto"/>
          <w:szCs w:val="21"/>
          <w:highlight w:val="none"/>
        </w:rPr>
      </w:pPr>
      <w:r>
        <w:rPr>
          <w:color w:val="auto"/>
          <w:szCs w:val="21"/>
          <w:highlight w:val="none"/>
        </w:rPr>
        <w:t>我方已仔细研究了</w:t>
      </w:r>
      <w:bookmarkStart w:id="107" w:name="_Hlk19051388"/>
      <w:r>
        <w:rPr>
          <w:rFonts w:hint="eastAsia"/>
          <w:i/>
          <w:iCs/>
          <w:color w:val="auto"/>
          <w:szCs w:val="21"/>
          <w:highlight w:val="none"/>
          <w:u w:val="single"/>
        </w:rPr>
        <w:t>（项目名称）</w:t>
      </w:r>
      <w:bookmarkEnd w:id="107"/>
      <w:r>
        <w:rPr>
          <w:color w:val="auto"/>
          <w:szCs w:val="21"/>
          <w:highlight w:val="none"/>
        </w:rPr>
        <w:t>的征集文件的全部内容。签字代表</w:t>
      </w:r>
      <w:bookmarkStart w:id="108" w:name="_Hlk19051393"/>
      <w:r>
        <w:rPr>
          <w:rFonts w:hint="eastAsia"/>
          <w:i/>
          <w:iCs/>
          <w:color w:val="auto"/>
          <w:szCs w:val="21"/>
          <w:highlight w:val="none"/>
          <w:u w:val="single"/>
        </w:rPr>
        <w:t>（授权代表姓名）</w:t>
      </w:r>
      <w:bookmarkEnd w:id="108"/>
      <w:r>
        <w:rPr>
          <w:color w:val="auto"/>
          <w:szCs w:val="21"/>
          <w:highlight w:val="none"/>
        </w:rPr>
        <w:t>经正式授权并代表供应商_</w:t>
      </w:r>
      <w:bookmarkStart w:id="109" w:name="_Hlk19051402"/>
      <w:r>
        <w:rPr>
          <w:i/>
          <w:iCs/>
          <w:color w:val="auto"/>
          <w:szCs w:val="21"/>
          <w:highlight w:val="none"/>
          <w:u w:val="single"/>
        </w:rPr>
        <w:t>（供应商名称）</w:t>
      </w:r>
      <w:bookmarkEnd w:id="109"/>
      <w:r>
        <w:rPr>
          <w:color w:val="auto"/>
          <w:szCs w:val="21"/>
          <w:highlight w:val="none"/>
        </w:rPr>
        <w:t>提交响应文件</w:t>
      </w:r>
      <w:r>
        <w:rPr>
          <w:rFonts w:hint="eastAsia"/>
          <w:color w:val="auto"/>
          <w:szCs w:val="21"/>
          <w:highlight w:val="none"/>
        </w:rPr>
        <w:t>。</w:t>
      </w:r>
    </w:p>
    <w:p w14:paraId="0CB980D1">
      <w:pPr>
        <w:spacing w:line="360" w:lineRule="auto"/>
        <w:rPr>
          <w:color w:val="auto"/>
          <w:szCs w:val="21"/>
          <w:highlight w:val="none"/>
        </w:rPr>
      </w:pPr>
      <w:r>
        <w:rPr>
          <w:color w:val="auto"/>
          <w:szCs w:val="21"/>
          <w:highlight w:val="none"/>
        </w:rPr>
        <w:t>据此函，签字代表宣布同意如下：</w:t>
      </w:r>
    </w:p>
    <w:p w14:paraId="3E214BCB">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已详细审查全部“征集文件”，包括修改文件（如有的话）以及全部参考资料和有关附件，已经了解我方对于征集文件、采购过程、采购结果有依法进行询问、质疑、投诉的权利及相关渠道和要求。</w:t>
      </w:r>
    </w:p>
    <w:p w14:paraId="0A3C96B6">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在响应之前已经与贵方进行了充分的沟通，完全理解并接受征集文件的各项规定和要求，对征集文件的合理性、合法性不再有异议。</w:t>
      </w:r>
    </w:p>
    <w:p w14:paraId="65DAD586">
      <w:pPr>
        <w:spacing w:line="360" w:lineRule="auto"/>
        <w:rPr>
          <w:color w:val="auto"/>
          <w:szCs w:val="21"/>
          <w:highlight w:val="none"/>
        </w:rPr>
      </w:pPr>
      <w:r>
        <w:rPr>
          <w:color w:val="auto"/>
          <w:szCs w:val="21"/>
          <w:highlight w:val="none"/>
        </w:rPr>
        <w:t>（3）本响应有效期自响应截止之日起</w:t>
      </w:r>
      <w:r>
        <w:rPr>
          <w:color w:val="auto"/>
          <w:szCs w:val="21"/>
          <w:highlight w:val="none"/>
          <w:u w:val="single"/>
        </w:rPr>
        <w:t xml:space="preserve">     </w:t>
      </w:r>
      <w:r>
        <w:rPr>
          <w:color w:val="auto"/>
          <w:szCs w:val="21"/>
          <w:highlight w:val="none"/>
        </w:rPr>
        <w:t>天。</w:t>
      </w:r>
    </w:p>
    <w:p w14:paraId="64D5FD15">
      <w:pPr>
        <w:spacing w:line="360" w:lineRule="auto"/>
        <w:rPr>
          <w:color w:val="auto"/>
          <w:szCs w:val="21"/>
          <w:highlight w:val="none"/>
        </w:rPr>
      </w:pPr>
      <w:r>
        <w:rPr>
          <w:color w:val="auto"/>
          <w:szCs w:val="21"/>
          <w:highlight w:val="none"/>
        </w:rPr>
        <w:t>（4）如入围，本响应文件至本项目合同履行完毕止均保持有效，</w:t>
      </w:r>
      <w:r>
        <w:rPr>
          <w:rFonts w:hint="eastAsia"/>
          <w:color w:val="auto"/>
          <w:szCs w:val="21"/>
          <w:highlight w:val="none"/>
        </w:rPr>
        <w:t>我方</w:t>
      </w:r>
      <w:r>
        <w:rPr>
          <w:color w:val="auto"/>
          <w:szCs w:val="21"/>
          <w:highlight w:val="none"/>
        </w:rPr>
        <w:t>将按“征集文件”及政府采购法律、法规的规定履行合同责任和义务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79EAF863">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同意按照贵方要求提供与响应有关的一切数据或资料。</w:t>
      </w:r>
    </w:p>
    <w:p w14:paraId="671B4096">
      <w:pPr>
        <w:spacing w:line="360" w:lineRule="auto"/>
        <w:rPr>
          <w:color w:val="auto"/>
          <w:szCs w:val="21"/>
          <w:highlight w:val="none"/>
        </w:rPr>
      </w:pPr>
      <w:r>
        <w:rPr>
          <w:color w:val="auto"/>
          <w:szCs w:val="21"/>
          <w:highlight w:val="none"/>
        </w:rPr>
        <w:t>（6）与本项目有关的一切正式往来信函请寄：</w:t>
      </w:r>
    </w:p>
    <w:p w14:paraId="7DD6275D">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6722F3BF">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2CDF6CBD">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7EA5BE78">
      <w:pPr>
        <w:spacing w:line="360" w:lineRule="auto"/>
        <w:rPr>
          <w:color w:val="auto"/>
          <w:szCs w:val="21"/>
          <w:highlight w:val="none"/>
        </w:rPr>
      </w:pPr>
    </w:p>
    <w:p w14:paraId="6EDCC690">
      <w:pPr>
        <w:spacing w:line="360" w:lineRule="auto"/>
        <w:rPr>
          <w:color w:val="auto"/>
          <w:szCs w:val="21"/>
          <w:highlight w:val="none"/>
        </w:rPr>
      </w:pPr>
    </w:p>
    <w:p w14:paraId="0A7ABE86">
      <w:pPr>
        <w:spacing w:line="360" w:lineRule="auto"/>
        <w:rPr>
          <w:color w:val="auto"/>
          <w:szCs w:val="21"/>
          <w:highlight w:val="none"/>
        </w:rPr>
      </w:pPr>
    </w:p>
    <w:p w14:paraId="10A9AD72">
      <w:pPr>
        <w:spacing w:line="360" w:lineRule="auto"/>
        <w:rPr>
          <w:color w:val="auto"/>
          <w:szCs w:val="21"/>
          <w:highlight w:val="none"/>
        </w:rPr>
      </w:pPr>
      <w:r>
        <w:rPr>
          <w:rFonts w:hint="eastAsia"/>
          <w:color w:val="auto"/>
          <w:szCs w:val="21"/>
          <w:highlight w:val="none"/>
        </w:rPr>
        <w:t>供应商名称(电子签章)：</w:t>
      </w:r>
    </w:p>
    <w:p w14:paraId="635C6AA7">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9AC211B">
      <w:pPr>
        <w:rPr>
          <w:color w:val="auto"/>
          <w:highlight w:val="none"/>
        </w:rPr>
      </w:pPr>
      <w:r>
        <w:rPr>
          <w:b/>
          <w:color w:val="auto"/>
          <w:szCs w:val="21"/>
          <w:highlight w:val="none"/>
        </w:rPr>
        <w:br w:type="page"/>
      </w:r>
      <w:r>
        <w:rPr>
          <w:color w:val="auto"/>
          <w:highlight w:val="none"/>
        </w:rPr>
        <w:t>2．响应报价明细表格式：</w:t>
      </w:r>
    </w:p>
    <w:p w14:paraId="7A433158">
      <w:pPr>
        <w:jc w:val="center"/>
        <w:rPr>
          <w:b/>
          <w:color w:val="auto"/>
          <w:szCs w:val="21"/>
          <w:highlight w:val="none"/>
        </w:rPr>
      </w:pPr>
      <w:r>
        <w:rPr>
          <w:b/>
          <w:color w:val="auto"/>
          <w:szCs w:val="21"/>
          <w:highlight w:val="none"/>
        </w:rPr>
        <w:t>响应报价明细表</w:t>
      </w:r>
    </w:p>
    <w:p w14:paraId="01909855">
      <w:pPr>
        <w:rPr>
          <w:color w:val="auto"/>
          <w:spacing w:val="20"/>
          <w:szCs w:val="21"/>
          <w:highlight w:val="none"/>
          <w:u w:val="single"/>
        </w:rPr>
      </w:pPr>
      <w:r>
        <w:rPr>
          <w:rFonts w:hint="eastAsia"/>
          <w:color w:val="auto"/>
          <w:szCs w:val="21"/>
          <w:highlight w:val="none"/>
        </w:rPr>
        <w:t>标项</w:t>
      </w:r>
      <w:r>
        <w:rPr>
          <w:rFonts w:hint="eastAsia"/>
          <w:color w:val="auto"/>
          <w:szCs w:val="21"/>
          <w:highlight w:val="none"/>
          <w:u w:val="single"/>
        </w:rPr>
        <w:t xml:space="preserve"> </w:t>
      </w:r>
      <w:r>
        <w:rPr>
          <w:color w:val="auto"/>
          <w:szCs w:val="21"/>
          <w:highlight w:val="none"/>
          <w:u w:val="single"/>
        </w:rPr>
        <w:t xml:space="preserve">       </w:t>
      </w:r>
    </w:p>
    <w:tbl>
      <w:tblPr>
        <w:tblStyle w:val="51"/>
        <w:tblW w:w="7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5"/>
        <w:gridCol w:w="1437"/>
        <w:gridCol w:w="1599"/>
        <w:gridCol w:w="1413"/>
        <w:gridCol w:w="1381"/>
      </w:tblGrid>
      <w:tr w14:paraId="7257B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0" w:hRule="exact"/>
          <w:jc w:val="center"/>
        </w:trPr>
        <w:tc>
          <w:tcPr>
            <w:tcW w:w="1735" w:type="dxa"/>
            <w:tcBorders>
              <w:top w:val="single" w:color="auto" w:sz="4" w:space="0"/>
              <w:left w:val="single" w:color="auto" w:sz="4" w:space="0"/>
              <w:bottom w:val="single" w:color="auto" w:sz="4" w:space="0"/>
              <w:right w:val="single" w:color="auto" w:sz="4" w:space="0"/>
            </w:tcBorders>
            <w:vAlign w:val="center"/>
          </w:tcPr>
          <w:p w14:paraId="5F03868D">
            <w:pPr>
              <w:jc w:val="center"/>
              <w:rPr>
                <w:rFonts w:hint="eastAsia" w:eastAsia="宋体"/>
                <w:color w:val="auto"/>
                <w:szCs w:val="21"/>
                <w:highlight w:val="none"/>
                <w:lang w:val="en-US" w:eastAsia="zh-CN"/>
              </w:rPr>
            </w:pPr>
            <w:r>
              <w:rPr>
                <w:rFonts w:hint="eastAsia"/>
                <w:color w:val="auto"/>
                <w:szCs w:val="21"/>
                <w:highlight w:val="none"/>
              </w:rPr>
              <w:t>服务</w:t>
            </w:r>
            <w:r>
              <w:rPr>
                <w:rFonts w:hint="eastAsia"/>
                <w:color w:val="auto"/>
                <w:szCs w:val="21"/>
                <w:highlight w:val="none"/>
                <w:lang w:val="en-US" w:eastAsia="zh-CN"/>
              </w:rPr>
              <w:t>名称</w:t>
            </w:r>
          </w:p>
        </w:tc>
        <w:tc>
          <w:tcPr>
            <w:tcW w:w="1437" w:type="dxa"/>
            <w:tcBorders>
              <w:top w:val="single" w:color="auto" w:sz="4" w:space="0"/>
              <w:left w:val="single" w:color="auto" w:sz="4" w:space="0"/>
              <w:bottom w:val="single" w:color="auto" w:sz="4" w:space="0"/>
              <w:right w:val="single" w:color="auto" w:sz="4" w:space="0"/>
            </w:tcBorders>
            <w:vAlign w:val="center"/>
          </w:tcPr>
          <w:p w14:paraId="5DBA55A1">
            <w:pPr>
              <w:jc w:val="center"/>
              <w:rPr>
                <w:color w:val="auto"/>
                <w:szCs w:val="21"/>
                <w:highlight w:val="none"/>
              </w:rPr>
            </w:pPr>
            <w:r>
              <w:rPr>
                <w:rFonts w:hint="eastAsia"/>
                <w:color w:val="auto"/>
                <w:szCs w:val="21"/>
                <w:highlight w:val="none"/>
              </w:rPr>
              <w:t>最高限制单价(万元)</w:t>
            </w:r>
          </w:p>
        </w:tc>
        <w:tc>
          <w:tcPr>
            <w:tcW w:w="1599" w:type="dxa"/>
            <w:tcBorders>
              <w:top w:val="single" w:color="auto" w:sz="4" w:space="0"/>
              <w:left w:val="single" w:color="auto" w:sz="4" w:space="0"/>
              <w:bottom w:val="single" w:color="auto" w:sz="4" w:space="0"/>
              <w:right w:val="single" w:color="auto" w:sz="4" w:space="0"/>
            </w:tcBorders>
            <w:vAlign w:val="center"/>
          </w:tcPr>
          <w:p w14:paraId="7DBA7B05">
            <w:pPr>
              <w:jc w:val="center"/>
              <w:rPr>
                <w:color w:val="auto"/>
                <w:szCs w:val="21"/>
                <w:highlight w:val="none"/>
              </w:rPr>
            </w:pPr>
            <w:r>
              <w:rPr>
                <w:rFonts w:hint="eastAsia"/>
                <w:color w:val="auto"/>
                <w:szCs w:val="21"/>
                <w:highlight w:val="none"/>
              </w:rPr>
              <w:t>框架协议技术负责人</w:t>
            </w:r>
          </w:p>
        </w:tc>
        <w:tc>
          <w:tcPr>
            <w:tcW w:w="1413" w:type="dxa"/>
            <w:tcBorders>
              <w:top w:val="single" w:color="auto" w:sz="4" w:space="0"/>
              <w:left w:val="single" w:color="auto" w:sz="4" w:space="0"/>
              <w:bottom w:val="single" w:color="auto" w:sz="4" w:space="0"/>
              <w:right w:val="single" w:color="auto" w:sz="4" w:space="0"/>
            </w:tcBorders>
            <w:vAlign w:val="center"/>
          </w:tcPr>
          <w:p w14:paraId="6B6FF9D0">
            <w:pPr>
              <w:jc w:val="center"/>
              <w:rPr>
                <w:color w:val="auto"/>
                <w:szCs w:val="21"/>
                <w:highlight w:val="none"/>
              </w:rPr>
            </w:pPr>
            <w:r>
              <w:rPr>
                <w:rFonts w:hint="eastAsia"/>
                <w:color w:val="auto"/>
                <w:szCs w:val="21"/>
                <w:highlight w:val="none"/>
              </w:rPr>
              <w:t>服务标准</w:t>
            </w:r>
          </w:p>
        </w:tc>
        <w:tc>
          <w:tcPr>
            <w:tcW w:w="1381" w:type="dxa"/>
            <w:tcBorders>
              <w:top w:val="single" w:color="auto" w:sz="4" w:space="0"/>
              <w:left w:val="single" w:color="auto" w:sz="4" w:space="0"/>
              <w:bottom w:val="single" w:color="auto" w:sz="4" w:space="0"/>
              <w:right w:val="single" w:color="auto" w:sz="4" w:space="0"/>
            </w:tcBorders>
            <w:vAlign w:val="center"/>
          </w:tcPr>
          <w:p w14:paraId="1682F54A">
            <w:pPr>
              <w:jc w:val="center"/>
              <w:rPr>
                <w:color w:val="auto"/>
                <w:spacing w:val="20"/>
                <w:szCs w:val="21"/>
                <w:highlight w:val="none"/>
              </w:rPr>
            </w:pPr>
            <w:r>
              <w:rPr>
                <w:rFonts w:hint="eastAsia"/>
                <w:color w:val="auto"/>
                <w:spacing w:val="20"/>
                <w:szCs w:val="21"/>
                <w:highlight w:val="none"/>
              </w:rPr>
              <w:t>备注</w:t>
            </w:r>
          </w:p>
        </w:tc>
      </w:tr>
      <w:tr w14:paraId="07D0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9" w:hRule="exact"/>
          <w:jc w:val="center"/>
        </w:trPr>
        <w:tc>
          <w:tcPr>
            <w:tcW w:w="1735" w:type="dxa"/>
            <w:tcBorders>
              <w:top w:val="single" w:color="auto" w:sz="4" w:space="0"/>
              <w:left w:val="single" w:color="auto" w:sz="4" w:space="0"/>
              <w:bottom w:val="single" w:color="auto" w:sz="4" w:space="0"/>
              <w:right w:val="single" w:color="auto" w:sz="4" w:space="0"/>
            </w:tcBorders>
            <w:vAlign w:val="center"/>
          </w:tcPr>
          <w:p w14:paraId="4F6FB54B">
            <w:pPr>
              <w:jc w:val="center"/>
              <w:rPr>
                <w:color w:val="auto"/>
                <w:spacing w:val="20"/>
                <w:szCs w:val="21"/>
                <w:highlight w:val="none"/>
              </w:rPr>
            </w:pPr>
            <w:r>
              <w:rPr>
                <w:rFonts w:hint="eastAsia"/>
                <w:color w:val="auto"/>
                <w:spacing w:val="20"/>
                <w:szCs w:val="21"/>
                <w:highlight w:val="none"/>
              </w:rPr>
              <w:t>贺州市平桂区财政局</w:t>
            </w:r>
            <w:r>
              <w:rPr>
                <w:rFonts w:hint="eastAsia"/>
                <w:color w:val="auto"/>
                <w:spacing w:val="20"/>
                <w:szCs w:val="21"/>
                <w:highlight w:val="none"/>
                <w:lang w:eastAsia="zh-CN"/>
              </w:rPr>
              <w:t>2026～2027</w:t>
            </w:r>
            <w:r>
              <w:rPr>
                <w:rFonts w:hint="eastAsia"/>
                <w:color w:val="auto"/>
                <w:spacing w:val="20"/>
                <w:szCs w:val="21"/>
                <w:highlight w:val="none"/>
              </w:rPr>
              <w:t>年度政府投资项目评审服务</w:t>
            </w:r>
          </w:p>
        </w:tc>
        <w:tc>
          <w:tcPr>
            <w:tcW w:w="1437" w:type="dxa"/>
            <w:tcBorders>
              <w:top w:val="single" w:color="auto" w:sz="4" w:space="0"/>
              <w:left w:val="single" w:color="auto" w:sz="4" w:space="0"/>
              <w:bottom w:val="single" w:color="auto" w:sz="4" w:space="0"/>
              <w:right w:val="single" w:color="auto" w:sz="4" w:space="0"/>
            </w:tcBorders>
            <w:vAlign w:val="center"/>
          </w:tcPr>
          <w:p w14:paraId="26ADED80">
            <w:pPr>
              <w:jc w:val="center"/>
              <w:rPr>
                <w:color w:val="auto"/>
                <w:spacing w:val="20"/>
                <w:szCs w:val="21"/>
                <w:highlight w:val="none"/>
              </w:rPr>
            </w:pPr>
            <w:r>
              <w:rPr>
                <w:rFonts w:hint="eastAsia"/>
                <w:color w:val="auto"/>
                <w:spacing w:val="20"/>
                <w:szCs w:val="21"/>
                <w:highlight w:val="none"/>
              </w:rPr>
              <w:t>与本</w:t>
            </w:r>
            <w:r>
              <w:rPr>
                <w:rFonts w:hint="eastAsia"/>
                <w:color w:val="auto"/>
                <w:spacing w:val="20"/>
                <w:szCs w:val="21"/>
                <w:highlight w:val="none"/>
                <w:lang w:val="en-US" w:eastAsia="zh-CN"/>
              </w:rPr>
              <w:t>分项</w:t>
            </w:r>
            <w:r>
              <w:rPr>
                <w:rFonts w:hint="eastAsia"/>
                <w:color w:val="auto"/>
                <w:spacing w:val="20"/>
                <w:szCs w:val="21"/>
                <w:highlight w:val="none"/>
              </w:rPr>
              <w:t>最高限制单价一致</w:t>
            </w:r>
          </w:p>
        </w:tc>
        <w:tc>
          <w:tcPr>
            <w:tcW w:w="1599" w:type="dxa"/>
            <w:tcBorders>
              <w:top w:val="single" w:color="auto" w:sz="4" w:space="0"/>
              <w:left w:val="single" w:color="auto" w:sz="4" w:space="0"/>
              <w:bottom w:val="single" w:color="auto" w:sz="4" w:space="0"/>
              <w:right w:val="single" w:color="auto" w:sz="4" w:space="0"/>
            </w:tcBorders>
            <w:vAlign w:val="center"/>
          </w:tcPr>
          <w:p w14:paraId="66049E60">
            <w:pPr>
              <w:jc w:val="center"/>
              <w:rPr>
                <w:color w:val="auto"/>
                <w:spacing w:val="20"/>
                <w:szCs w:val="21"/>
                <w:highlight w:val="none"/>
              </w:rPr>
            </w:pPr>
          </w:p>
        </w:tc>
        <w:tc>
          <w:tcPr>
            <w:tcW w:w="1413" w:type="dxa"/>
            <w:tcBorders>
              <w:top w:val="single" w:color="auto" w:sz="4" w:space="0"/>
              <w:left w:val="single" w:color="auto" w:sz="4" w:space="0"/>
              <w:bottom w:val="single" w:color="auto" w:sz="4" w:space="0"/>
              <w:right w:val="single" w:color="auto" w:sz="4" w:space="0"/>
            </w:tcBorders>
            <w:vAlign w:val="center"/>
          </w:tcPr>
          <w:p w14:paraId="34436B4A">
            <w:pPr>
              <w:jc w:val="center"/>
              <w:rPr>
                <w:color w:val="auto"/>
                <w:spacing w:val="20"/>
                <w:szCs w:val="21"/>
                <w:highlight w:val="none"/>
              </w:rPr>
            </w:pPr>
            <w:r>
              <w:rPr>
                <w:rFonts w:hint="eastAsia"/>
                <w:color w:val="auto"/>
                <w:spacing w:val="20"/>
                <w:szCs w:val="21"/>
                <w:highlight w:val="none"/>
              </w:rPr>
              <w:t>严格遵守国家的法律、法规、规章制度和行业准则，满足采购人需求。</w:t>
            </w:r>
          </w:p>
        </w:tc>
        <w:tc>
          <w:tcPr>
            <w:tcW w:w="1381" w:type="dxa"/>
            <w:tcBorders>
              <w:top w:val="single" w:color="auto" w:sz="4" w:space="0"/>
              <w:left w:val="single" w:color="auto" w:sz="4" w:space="0"/>
              <w:bottom w:val="single" w:color="auto" w:sz="4" w:space="0"/>
              <w:right w:val="single" w:color="auto" w:sz="4" w:space="0"/>
            </w:tcBorders>
            <w:vAlign w:val="center"/>
          </w:tcPr>
          <w:p w14:paraId="1C42A45A">
            <w:pPr>
              <w:jc w:val="center"/>
              <w:rPr>
                <w:color w:val="auto"/>
                <w:spacing w:val="20"/>
                <w:szCs w:val="21"/>
                <w:highlight w:val="none"/>
              </w:rPr>
            </w:pPr>
            <w:r>
              <w:rPr>
                <w:rFonts w:hint="eastAsia"/>
                <w:color w:val="auto"/>
                <w:spacing w:val="20"/>
                <w:szCs w:val="21"/>
                <w:highlight w:val="none"/>
              </w:rPr>
              <w:t>本公司承诺同意按本项目征集文件规定的服务费计取和支付方式收费。</w:t>
            </w:r>
          </w:p>
        </w:tc>
      </w:tr>
    </w:tbl>
    <w:p w14:paraId="733DD887">
      <w:pPr>
        <w:rPr>
          <w:color w:val="auto"/>
          <w:spacing w:val="20"/>
          <w:szCs w:val="21"/>
          <w:highlight w:val="none"/>
          <w:u w:val="single"/>
        </w:rPr>
      </w:pPr>
    </w:p>
    <w:p w14:paraId="251C9916">
      <w:pPr>
        <w:rPr>
          <w:color w:val="auto"/>
          <w:spacing w:val="20"/>
          <w:szCs w:val="21"/>
          <w:highlight w:val="none"/>
          <w:u w:val="single"/>
        </w:rPr>
      </w:pPr>
    </w:p>
    <w:p w14:paraId="6E76AE93">
      <w:pPr>
        <w:spacing w:line="360" w:lineRule="auto"/>
        <w:rPr>
          <w:color w:val="auto"/>
          <w:spacing w:val="20"/>
          <w:szCs w:val="21"/>
          <w:highlight w:val="none"/>
        </w:rPr>
      </w:pPr>
    </w:p>
    <w:p w14:paraId="726B4DE5">
      <w:pPr>
        <w:snapToGrid w:val="0"/>
        <w:spacing w:before="50" w:after="120" w:afterLines="50"/>
        <w:jc w:val="left"/>
        <w:rPr>
          <w:color w:val="auto"/>
          <w:szCs w:val="21"/>
          <w:highlight w:val="none"/>
        </w:rPr>
      </w:pPr>
      <w:r>
        <w:rPr>
          <w:rFonts w:hint="eastAsia"/>
          <w:color w:val="auto"/>
          <w:szCs w:val="21"/>
          <w:highlight w:val="none"/>
        </w:rPr>
        <w:t>注：本表如与广西政府采购云平台不一致的，以广西政府采购云平台为准。</w:t>
      </w:r>
    </w:p>
    <w:p w14:paraId="50090B67">
      <w:pPr>
        <w:snapToGrid w:val="0"/>
        <w:spacing w:before="50" w:after="120" w:afterLines="50"/>
        <w:jc w:val="left"/>
        <w:rPr>
          <w:color w:val="auto"/>
          <w:szCs w:val="21"/>
          <w:highlight w:val="none"/>
        </w:rPr>
      </w:pPr>
    </w:p>
    <w:p w14:paraId="7F29244C">
      <w:pPr>
        <w:snapToGrid w:val="0"/>
        <w:spacing w:before="50" w:after="120" w:afterLines="50"/>
        <w:jc w:val="left"/>
        <w:rPr>
          <w:color w:val="auto"/>
          <w:szCs w:val="21"/>
          <w:highlight w:val="none"/>
        </w:rPr>
      </w:pPr>
    </w:p>
    <w:p w14:paraId="3877B14F">
      <w:pPr>
        <w:snapToGrid w:val="0"/>
        <w:spacing w:before="50" w:after="120" w:afterLines="50"/>
        <w:jc w:val="left"/>
        <w:rPr>
          <w:color w:val="auto"/>
          <w:szCs w:val="21"/>
          <w:highlight w:val="none"/>
        </w:rPr>
      </w:pPr>
      <w:r>
        <w:rPr>
          <w:rFonts w:hint="eastAsia"/>
          <w:color w:val="auto"/>
          <w:szCs w:val="21"/>
          <w:highlight w:val="none"/>
        </w:rPr>
        <w:t xml:space="preserve">供应商名称（电子签章）：                          </w:t>
      </w:r>
    </w:p>
    <w:p w14:paraId="32EE24CD">
      <w:pPr>
        <w:snapToGrid w:val="0"/>
        <w:spacing w:before="50" w:after="120" w:afterLines="50"/>
        <w:jc w:val="left"/>
        <w:rPr>
          <w:color w:val="auto"/>
          <w:szCs w:val="21"/>
          <w:highlight w:val="none"/>
        </w:rPr>
      </w:pPr>
      <w:r>
        <w:rPr>
          <w:rFonts w:hint="eastAsia"/>
          <w:color w:val="auto"/>
          <w:szCs w:val="21"/>
          <w:highlight w:val="none"/>
        </w:rPr>
        <w:t xml:space="preserve">日  期：         年   月   日 </w:t>
      </w:r>
    </w:p>
    <w:p w14:paraId="3B7EEA3B">
      <w:pPr>
        <w:snapToGrid w:val="0"/>
        <w:spacing w:before="50" w:after="120" w:afterLines="50"/>
        <w:jc w:val="left"/>
        <w:rPr>
          <w:color w:val="auto"/>
          <w:szCs w:val="21"/>
          <w:highlight w:val="none"/>
        </w:rPr>
      </w:pPr>
    </w:p>
    <w:p w14:paraId="16FDD656">
      <w:pPr>
        <w:snapToGrid w:val="0"/>
        <w:spacing w:before="50" w:after="120" w:afterLines="50"/>
        <w:jc w:val="left"/>
        <w:rPr>
          <w:color w:val="auto"/>
          <w:szCs w:val="21"/>
          <w:highlight w:val="none"/>
        </w:rPr>
      </w:pPr>
    </w:p>
    <w:p w14:paraId="03C0B703">
      <w:pPr>
        <w:snapToGrid w:val="0"/>
        <w:spacing w:before="50" w:after="120" w:afterLines="50"/>
        <w:jc w:val="left"/>
        <w:rPr>
          <w:color w:val="auto"/>
          <w:szCs w:val="21"/>
          <w:highlight w:val="none"/>
        </w:rPr>
      </w:pPr>
      <w:r>
        <w:rPr>
          <w:rFonts w:hint="eastAsia"/>
          <w:color w:val="auto"/>
          <w:szCs w:val="21"/>
          <w:highlight w:val="none"/>
        </w:rPr>
        <w:t>3．截标一览表</w:t>
      </w:r>
    </w:p>
    <w:p w14:paraId="00B41A56">
      <w:pPr>
        <w:widowControl/>
        <w:jc w:val="left"/>
        <w:rPr>
          <w:color w:val="auto"/>
          <w:szCs w:val="21"/>
          <w:highlight w:val="none"/>
        </w:rPr>
      </w:pPr>
    </w:p>
    <w:p w14:paraId="7E7699A8">
      <w:pPr>
        <w:widowControl/>
        <w:jc w:val="left"/>
        <w:rPr>
          <w:color w:val="auto"/>
          <w:szCs w:val="21"/>
          <w:highlight w:val="none"/>
        </w:rPr>
      </w:pPr>
    </w:p>
    <w:p w14:paraId="685AD701">
      <w:pPr>
        <w:widowControl/>
        <w:jc w:val="left"/>
        <w:rPr>
          <w:color w:val="auto"/>
          <w:szCs w:val="21"/>
          <w:highlight w:val="none"/>
        </w:rPr>
      </w:pPr>
    </w:p>
    <w:p w14:paraId="01ED8572">
      <w:pPr>
        <w:rPr>
          <w:b/>
          <w:color w:val="auto"/>
          <w:szCs w:val="21"/>
          <w:highlight w:val="none"/>
        </w:rPr>
      </w:pPr>
    </w:p>
    <w:p w14:paraId="1A0AF0A2">
      <w:pPr>
        <w:rPr>
          <w:b/>
          <w:color w:val="auto"/>
          <w:szCs w:val="21"/>
          <w:highlight w:val="none"/>
        </w:rPr>
      </w:pPr>
    </w:p>
    <w:p w14:paraId="51DE6D0B">
      <w:pPr>
        <w:jc w:val="center"/>
        <w:rPr>
          <w:rFonts w:ascii="Calibri" w:hAnsi="Calibri"/>
          <w:b/>
          <w:color w:val="auto"/>
          <w:szCs w:val="21"/>
          <w:highlight w:val="none"/>
        </w:rPr>
      </w:pPr>
      <w:r>
        <w:rPr>
          <w:rFonts w:hint="eastAsia"/>
          <w:b/>
          <w:color w:val="auto"/>
          <w:szCs w:val="21"/>
          <w:highlight w:val="none"/>
        </w:rPr>
        <w:t>格式详见广西政府采购云平台，且仅在广西政府采购云平台填写即可。</w:t>
      </w:r>
    </w:p>
    <w:p w14:paraId="712A26D4">
      <w:pPr>
        <w:jc w:val="center"/>
        <w:rPr>
          <w:b/>
          <w:color w:val="auto"/>
          <w:szCs w:val="21"/>
          <w:highlight w:val="none"/>
        </w:rPr>
      </w:pPr>
    </w:p>
    <w:p w14:paraId="36587D8F">
      <w:pPr>
        <w:jc w:val="center"/>
        <w:rPr>
          <w:b/>
          <w:color w:val="auto"/>
          <w:szCs w:val="21"/>
          <w:highlight w:val="none"/>
        </w:rPr>
      </w:pPr>
    </w:p>
    <w:bookmarkEnd w:id="0"/>
    <w:bookmarkEnd w:id="1"/>
    <w:p w14:paraId="51BA006B">
      <w:pPr>
        <w:snapToGrid w:val="0"/>
        <w:spacing w:before="120" w:beforeLines="50" w:after="50" w:line="440" w:lineRule="exact"/>
        <w:jc w:val="left"/>
        <w:outlineLvl w:val="1"/>
        <w:rPr>
          <w:bCs/>
          <w:color w:val="auto"/>
          <w:sz w:val="24"/>
          <w:highlight w:val="none"/>
        </w:rPr>
      </w:pPr>
    </w:p>
    <w:sectPr>
      <w:headerReference r:id="rId17" w:type="default"/>
      <w:pgSz w:w="11906" w:h="16838"/>
      <w:pgMar w:top="1418" w:right="144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8E0E8">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58130DD8">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47E32">
    <w:pPr>
      <w:pStyle w:val="3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D2693">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10</w:t>
    </w:r>
    <w:r>
      <w:fldChar w:fldCharType="end"/>
    </w:r>
  </w:p>
  <w:p w14:paraId="42B9DDA4">
    <w:pPr>
      <w:pStyle w:val="3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93CA8">
    <w:pPr>
      <w:pStyle w:val="31"/>
      <w:jc w:val="center"/>
    </w:pPr>
    <w:r>
      <w:fldChar w:fldCharType="begin"/>
    </w:r>
    <w:r>
      <w:instrText xml:space="preserve">PAGE   \* MERGEFORMAT</w:instrText>
    </w:r>
    <w:r>
      <w:fldChar w:fldCharType="separate"/>
    </w:r>
    <w:r>
      <w:rPr>
        <w:lang w:val="zh-CN"/>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F4D8">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29</w:t>
    </w:r>
    <w:r>
      <w:fldChar w:fldCharType="end"/>
    </w:r>
  </w:p>
  <w:p w14:paraId="0BEC737D">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61331">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992A0">
    <w:pPr>
      <w:rPr>
        <w:sz w:val="18"/>
        <w:szCs w:val="18"/>
        <w:u w:val="single"/>
      </w:rPr>
    </w:pPr>
    <w:r>
      <w:rPr>
        <w:rFonts w:hint="eastAsia"/>
        <w:sz w:val="18"/>
        <w:szCs w:val="18"/>
        <w:u w:val="single"/>
      </w:rPr>
      <w:t xml:space="preserve">广西机电设备招标有限公司征集文件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4471">
    <w:pPr>
      <w:pStyle w:val="32"/>
      <w:jc w:val="left"/>
    </w:pPr>
    <w:r>
      <w:rPr>
        <w:rFonts w:hint="eastAsia"/>
      </w:rPr>
      <w:t xml:space="preserve">广西机电设备招标有限公司征集文件                                                               </w:t>
    </w:r>
  </w:p>
  <w:p w14:paraId="42E3331B">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8495">
    <w:pPr>
      <w:pStyle w:val="32"/>
      <w:jc w:val="left"/>
    </w:pPr>
    <w:r>
      <w:rPr>
        <w:rFonts w:hint="eastAsia"/>
      </w:rPr>
      <w:t xml:space="preserve">广西机电设备招标有限公司征集文件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D0BD">
    <w:pPr>
      <w:pStyle w:val="32"/>
      <w:jc w:val="left"/>
    </w:pPr>
    <w:r>
      <w:rPr>
        <w:rFonts w:hint="eastAsia"/>
      </w:rPr>
      <w:t>广西机电设备招标有限公司征集文件                                                              征集公告</w:t>
    </w:r>
  </w:p>
  <w:p w14:paraId="483A0521">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9403E">
    <w:pPr>
      <w:pStyle w:val="32"/>
      <w:jc w:val="left"/>
    </w:pPr>
    <w:r>
      <w:rPr>
        <w:rFonts w:hint="eastAsia"/>
      </w:rPr>
      <w:t xml:space="preserve">广西机电设备招标有限公司征集文件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BC24A">
    <w:pPr>
      <w:pStyle w:val="32"/>
      <w:jc w:val="left"/>
    </w:pPr>
    <w:r>
      <w:rPr>
        <w:rFonts w:hint="eastAsia"/>
      </w:rPr>
      <w:t xml:space="preserve">广西机电设备招标有限公司征集文件                                                            </w:t>
    </w:r>
  </w:p>
  <w:p w14:paraId="54AD384C">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B65C">
    <w:pPr>
      <w:pStyle w:val="32"/>
      <w:jc w:val="left"/>
    </w:pPr>
    <w:r>
      <w:rPr>
        <w:rFonts w:hint="eastAsia"/>
      </w:rPr>
      <w:t xml:space="preserve">广西机电设备招标有限公司征集文件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C94A5">
    <w:pPr>
      <w:pStyle w:val="32"/>
      <w:jc w:val="left"/>
    </w:pPr>
    <w:r>
      <w:rPr>
        <w:rFonts w:hint="eastAsia"/>
      </w:rPr>
      <w:t>广西机电设备招标有限公司征集文件                                                     评审方法及标准</w:t>
    </w:r>
  </w:p>
  <w:p w14:paraId="2E7606FB">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F58F">
    <w:pPr>
      <w:pBdr>
        <w:bottom w:val="single" w:color="auto" w:sz="6" w:space="1"/>
      </w:pBdr>
      <w:snapToGrid w:val="0"/>
      <w:ind w:left="2790" w:hanging="2790" w:hangingChars="1550"/>
      <w:jc w:val="left"/>
      <w:rPr>
        <w:rFonts w:ascii="Calibri" w:hAnsi="Calibri"/>
        <w:sz w:val="18"/>
        <w:szCs w:val="18"/>
      </w:rPr>
    </w:pPr>
    <w:r>
      <w:rPr>
        <w:rFonts w:hint="eastAsia" w:ascii="Calibri" w:hAnsi="Calibri"/>
        <w:sz w:val="18"/>
        <w:szCs w:val="18"/>
      </w:rPr>
      <w:t xml:space="preserve">广西机电设备招标有限公司征集文件  </w:t>
    </w:r>
    <w:r>
      <w:rPr>
        <w:rFonts w:ascii="Calibri" w:hAnsi="Calibri"/>
        <w:sz w:val="18"/>
        <w:szCs w:val="18"/>
      </w:rPr>
      <w:t xml:space="preserve">                                                 </w:t>
    </w:r>
    <w:r>
      <w:rPr>
        <w:rFonts w:hint="eastAsia" w:ascii="Calibri" w:hAnsi="Calibri"/>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84219"/>
    <w:multiLevelType w:val="multilevel"/>
    <w:tmpl w:val="E1884219"/>
    <w:lvl w:ilvl="0" w:tentative="0">
      <w:start w:val="1"/>
      <w:numFmt w:val="decimal"/>
      <w:lvlText w:val="%1."/>
      <w:lvlJc w:val="left"/>
      <w:pPr>
        <w:ind w:left="1890" w:hanging="420"/>
      </w:pPr>
    </w:lvl>
    <w:lvl w:ilvl="1" w:tentative="0">
      <w:start w:val="1"/>
      <w:numFmt w:val="lowerLetter"/>
      <w:lvlText w:val="%2)"/>
      <w:lvlJc w:val="left"/>
      <w:pPr>
        <w:ind w:left="2310" w:hanging="420"/>
      </w:pPr>
    </w:lvl>
    <w:lvl w:ilvl="2" w:tentative="0">
      <w:start w:val="1"/>
      <w:numFmt w:val="lowerRoman"/>
      <w:lvlText w:val="%3."/>
      <w:lvlJc w:val="right"/>
      <w:pPr>
        <w:ind w:left="2730" w:hanging="420"/>
      </w:pPr>
    </w:lvl>
    <w:lvl w:ilvl="3" w:tentative="0">
      <w:start w:val="1"/>
      <w:numFmt w:val="decimal"/>
      <w:lvlText w:val="%4."/>
      <w:lvlJc w:val="left"/>
      <w:pPr>
        <w:ind w:left="3150" w:hanging="420"/>
      </w:pPr>
    </w:lvl>
    <w:lvl w:ilvl="4" w:tentative="0">
      <w:start w:val="1"/>
      <w:numFmt w:val="lowerLetter"/>
      <w:lvlText w:val="%5)"/>
      <w:lvlJc w:val="left"/>
      <w:pPr>
        <w:ind w:left="3570" w:hanging="420"/>
      </w:pPr>
    </w:lvl>
    <w:lvl w:ilvl="5" w:tentative="0">
      <w:start w:val="1"/>
      <w:numFmt w:val="lowerRoman"/>
      <w:lvlText w:val="%6."/>
      <w:lvlJc w:val="right"/>
      <w:pPr>
        <w:ind w:left="3990" w:hanging="420"/>
      </w:pPr>
    </w:lvl>
    <w:lvl w:ilvl="6" w:tentative="0">
      <w:start w:val="1"/>
      <w:numFmt w:val="decimal"/>
      <w:lvlText w:val="%7."/>
      <w:lvlJc w:val="left"/>
      <w:pPr>
        <w:ind w:left="4410" w:hanging="420"/>
      </w:pPr>
    </w:lvl>
    <w:lvl w:ilvl="7" w:tentative="0">
      <w:start w:val="1"/>
      <w:numFmt w:val="lowerLetter"/>
      <w:lvlText w:val="%8)"/>
      <w:lvlJc w:val="left"/>
      <w:pPr>
        <w:ind w:left="4830" w:hanging="420"/>
      </w:pPr>
    </w:lvl>
    <w:lvl w:ilvl="8" w:tentative="0">
      <w:start w:val="1"/>
      <w:numFmt w:val="lowerRoman"/>
      <w:lvlText w:val="%9."/>
      <w:lvlJc w:val="right"/>
      <w:pPr>
        <w:ind w:left="5250" w:hanging="420"/>
      </w:p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BC"/>
    <w:rsid w:val="000003EF"/>
    <w:rsid w:val="000006C7"/>
    <w:rsid w:val="0000091B"/>
    <w:rsid w:val="00000D0A"/>
    <w:rsid w:val="00000D19"/>
    <w:rsid w:val="00000E1A"/>
    <w:rsid w:val="000016EB"/>
    <w:rsid w:val="000018F2"/>
    <w:rsid w:val="00001B3E"/>
    <w:rsid w:val="00001CD6"/>
    <w:rsid w:val="00001CFB"/>
    <w:rsid w:val="00002018"/>
    <w:rsid w:val="00002425"/>
    <w:rsid w:val="00002DDA"/>
    <w:rsid w:val="0000302B"/>
    <w:rsid w:val="000035FC"/>
    <w:rsid w:val="00003ACC"/>
    <w:rsid w:val="00003DAE"/>
    <w:rsid w:val="000049EF"/>
    <w:rsid w:val="000054AD"/>
    <w:rsid w:val="00005628"/>
    <w:rsid w:val="000058D7"/>
    <w:rsid w:val="00005E55"/>
    <w:rsid w:val="00005E85"/>
    <w:rsid w:val="00006E2C"/>
    <w:rsid w:val="000074B7"/>
    <w:rsid w:val="000079FF"/>
    <w:rsid w:val="00007B0D"/>
    <w:rsid w:val="00010021"/>
    <w:rsid w:val="000102A9"/>
    <w:rsid w:val="00010802"/>
    <w:rsid w:val="00010A03"/>
    <w:rsid w:val="00010ED5"/>
    <w:rsid w:val="00010F49"/>
    <w:rsid w:val="00011076"/>
    <w:rsid w:val="00011D32"/>
    <w:rsid w:val="00011D72"/>
    <w:rsid w:val="00012078"/>
    <w:rsid w:val="000125A6"/>
    <w:rsid w:val="00012CA1"/>
    <w:rsid w:val="00012E3C"/>
    <w:rsid w:val="00013322"/>
    <w:rsid w:val="00013748"/>
    <w:rsid w:val="00013D41"/>
    <w:rsid w:val="00013E4C"/>
    <w:rsid w:val="000143A3"/>
    <w:rsid w:val="00014DD6"/>
    <w:rsid w:val="00015578"/>
    <w:rsid w:val="0001598C"/>
    <w:rsid w:val="00016C31"/>
    <w:rsid w:val="00020A87"/>
    <w:rsid w:val="00020BB1"/>
    <w:rsid w:val="00020BF0"/>
    <w:rsid w:val="000215B7"/>
    <w:rsid w:val="000217BF"/>
    <w:rsid w:val="00021C98"/>
    <w:rsid w:val="00021CCD"/>
    <w:rsid w:val="00021EE3"/>
    <w:rsid w:val="0002231A"/>
    <w:rsid w:val="0002246E"/>
    <w:rsid w:val="000228AB"/>
    <w:rsid w:val="000233CA"/>
    <w:rsid w:val="00023512"/>
    <w:rsid w:val="00023652"/>
    <w:rsid w:val="00024633"/>
    <w:rsid w:val="0002491A"/>
    <w:rsid w:val="000252C0"/>
    <w:rsid w:val="0002560A"/>
    <w:rsid w:val="00025DA0"/>
    <w:rsid w:val="0002696D"/>
    <w:rsid w:val="00026C85"/>
    <w:rsid w:val="00026F96"/>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C48"/>
    <w:rsid w:val="00031D96"/>
    <w:rsid w:val="00032686"/>
    <w:rsid w:val="000326DA"/>
    <w:rsid w:val="0003274B"/>
    <w:rsid w:val="00032AD8"/>
    <w:rsid w:val="000330D8"/>
    <w:rsid w:val="000331CC"/>
    <w:rsid w:val="0003322E"/>
    <w:rsid w:val="00033422"/>
    <w:rsid w:val="00033927"/>
    <w:rsid w:val="00034C65"/>
    <w:rsid w:val="00035152"/>
    <w:rsid w:val="00035507"/>
    <w:rsid w:val="00035840"/>
    <w:rsid w:val="00035844"/>
    <w:rsid w:val="00036BAA"/>
    <w:rsid w:val="0003779D"/>
    <w:rsid w:val="00037B8B"/>
    <w:rsid w:val="00037C63"/>
    <w:rsid w:val="00037CE4"/>
    <w:rsid w:val="00037D6E"/>
    <w:rsid w:val="00040187"/>
    <w:rsid w:val="00040AC1"/>
    <w:rsid w:val="0004107E"/>
    <w:rsid w:val="00041093"/>
    <w:rsid w:val="00041731"/>
    <w:rsid w:val="000418B1"/>
    <w:rsid w:val="00042BF9"/>
    <w:rsid w:val="00042C7E"/>
    <w:rsid w:val="00043295"/>
    <w:rsid w:val="000433F1"/>
    <w:rsid w:val="00044236"/>
    <w:rsid w:val="0004461F"/>
    <w:rsid w:val="00044DE6"/>
    <w:rsid w:val="00044ED2"/>
    <w:rsid w:val="00045069"/>
    <w:rsid w:val="00045265"/>
    <w:rsid w:val="000457FE"/>
    <w:rsid w:val="00045947"/>
    <w:rsid w:val="000462A8"/>
    <w:rsid w:val="00046360"/>
    <w:rsid w:val="0004653D"/>
    <w:rsid w:val="000465AB"/>
    <w:rsid w:val="00046E59"/>
    <w:rsid w:val="00046FF5"/>
    <w:rsid w:val="000472E6"/>
    <w:rsid w:val="000479CD"/>
    <w:rsid w:val="00047E44"/>
    <w:rsid w:val="000500E6"/>
    <w:rsid w:val="000503E6"/>
    <w:rsid w:val="000504B1"/>
    <w:rsid w:val="000504FE"/>
    <w:rsid w:val="000505B5"/>
    <w:rsid w:val="00050B52"/>
    <w:rsid w:val="00050DAB"/>
    <w:rsid w:val="00051BF6"/>
    <w:rsid w:val="00052803"/>
    <w:rsid w:val="00052893"/>
    <w:rsid w:val="00053AAC"/>
    <w:rsid w:val="00053BFC"/>
    <w:rsid w:val="0005428F"/>
    <w:rsid w:val="00054701"/>
    <w:rsid w:val="00054870"/>
    <w:rsid w:val="00054ABD"/>
    <w:rsid w:val="00054F7D"/>
    <w:rsid w:val="00055230"/>
    <w:rsid w:val="00055557"/>
    <w:rsid w:val="00055A8A"/>
    <w:rsid w:val="00055BBB"/>
    <w:rsid w:val="00055E6D"/>
    <w:rsid w:val="0005625F"/>
    <w:rsid w:val="0005649E"/>
    <w:rsid w:val="0005700C"/>
    <w:rsid w:val="00057386"/>
    <w:rsid w:val="00057393"/>
    <w:rsid w:val="00057A5B"/>
    <w:rsid w:val="00057E45"/>
    <w:rsid w:val="000606B6"/>
    <w:rsid w:val="00060C02"/>
    <w:rsid w:val="00060CE9"/>
    <w:rsid w:val="00061041"/>
    <w:rsid w:val="00061299"/>
    <w:rsid w:val="00061A2C"/>
    <w:rsid w:val="00062637"/>
    <w:rsid w:val="00063143"/>
    <w:rsid w:val="000631AC"/>
    <w:rsid w:val="000631B7"/>
    <w:rsid w:val="00063365"/>
    <w:rsid w:val="0006385C"/>
    <w:rsid w:val="000639D4"/>
    <w:rsid w:val="00063E74"/>
    <w:rsid w:val="00064A48"/>
    <w:rsid w:val="00064C80"/>
    <w:rsid w:val="00065749"/>
    <w:rsid w:val="00065AB7"/>
    <w:rsid w:val="00065AF3"/>
    <w:rsid w:val="00065B00"/>
    <w:rsid w:val="00065D71"/>
    <w:rsid w:val="0006676F"/>
    <w:rsid w:val="000673D8"/>
    <w:rsid w:val="00067DE7"/>
    <w:rsid w:val="000704C0"/>
    <w:rsid w:val="000706AC"/>
    <w:rsid w:val="00070775"/>
    <w:rsid w:val="00070950"/>
    <w:rsid w:val="0007096B"/>
    <w:rsid w:val="000709D3"/>
    <w:rsid w:val="00071213"/>
    <w:rsid w:val="000712F8"/>
    <w:rsid w:val="00071A6A"/>
    <w:rsid w:val="00071A79"/>
    <w:rsid w:val="00071C95"/>
    <w:rsid w:val="00072009"/>
    <w:rsid w:val="00072600"/>
    <w:rsid w:val="000729C9"/>
    <w:rsid w:val="00072A95"/>
    <w:rsid w:val="00072B83"/>
    <w:rsid w:val="00072FB9"/>
    <w:rsid w:val="000736DF"/>
    <w:rsid w:val="00073C2B"/>
    <w:rsid w:val="0007455A"/>
    <w:rsid w:val="00074923"/>
    <w:rsid w:val="00074FCB"/>
    <w:rsid w:val="000750EA"/>
    <w:rsid w:val="00075D8E"/>
    <w:rsid w:val="00075F9E"/>
    <w:rsid w:val="0007724C"/>
    <w:rsid w:val="00077698"/>
    <w:rsid w:val="00077891"/>
    <w:rsid w:val="0007797E"/>
    <w:rsid w:val="00077B01"/>
    <w:rsid w:val="0008006F"/>
    <w:rsid w:val="0008017C"/>
    <w:rsid w:val="00080462"/>
    <w:rsid w:val="000807A9"/>
    <w:rsid w:val="00080AA6"/>
    <w:rsid w:val="00081C1C"/>
    <w:rsid w:val="00081D6D"/>
    <w:rsid w:val="000822F0"/>
    <w:rsid w:val="00082611"/>
    <w:rsid w:val="0008264F"/>
    <w:rsid w:val="00082745"/>
    <w:rsid w:val="00082AC4"/>
    <w:rsid w:val="00082BDC"/>
    <w:rsid w:val="00082DF3"/>
    <w:rsid w:val="00082E71"/>
    <w:rsid w:val="00083194"/>
    <w:rsid w:val="00083365"/>
    <w:rsid w:val="000833DC"/>
    <w:rsid w:val="0008372E"/>
    <w:rsid w:val="00083A64"/>
    <w:rsid w:val="00083B97"/>
    <w:rsid w:val="00084AFE"/>
    <w:rsid w:val="00085459"/>
    <w:rsid w:val="000854DB"/>
    <w:rsid w:val="00085CBE"/>
    <w:rsid w:val="00085F23"/>
    <w:rsid w:val="0008619C"/>
    <w:rsid w:val="000866A9"/>
    <w:rsid w:val="000867B2"/>
    <w:rsid w:val="00086EC2"/>
    <w:rsid w:val="00087218"/>
    <w:rsid w:val="00087358"/>
    <w:rsid w:val="000873F5"/>
    <w:rsid w:val="000877E2"/>
    <w:rsid w:val="00087EA5"/>
    <w:rsid w:val="000900DF"/>
    <w:rsid w:val="00090193"/>
    <w:rsid w:val="0009021F"/>
    <w:rsid w:val="000902C2"/>
    <w:rsid w:val="00091D8D"/>
    <w:rsid w:val="000920E8"/>
    <w:rsid w:val="00093126"/>
    <w:rsid w:val="00093170"/>
    <w:rsid w:val="00093836"/>
    <w:rsid w:val="00093A6C"/>
    <w:rsid w:val="00093DF8"/>
    <w:rsid w:val="00093E76"/>
    <w:rsid w:val="000941F6"/>
    <w:rsid w:val="00094460"/>
    <w:rsid w:val="00094505"/>
    <w:rsid w:val="000945C5"/>
    <w:rsid w:val="00094A83"/>
    <w:rsid w:val="00094ECF"/>
    <w:rsid w:val="00094F29"/>
    <w:rsid w:val="0009592E"/>
    <w:rsid w:val="00095B61"/>
    <w:rsid w:val="00095F4B"/>
    <w:rsid w:val="0009606A"/>
    <w:rsid w:val="000968CD"/>
    <w:rsid w:val="00096B1C"/>
    <w:rsid w:val="0009715C"/>
    <w:rsid w:val="000973D7"/>
    <w:rsid w:val="000A0434"/>
    <w:rsid w:val="000A0EBE"/>
    <w:rsid w:val="000A10DB"/>
    <w:rsid w:val="000A10DE"/>
    <w:rsid w:val="000A1245"/>
    <w:rsid w:val="000A1A21"/>
    <w:rsid w:val="000A1ECD"/>
    <w:rsid w:val="000A20D6"/>
    <w:rsid w:val="000A2968"/>
    <w:rsid w:val="000A3515"/>
    <w:rsid w:val="000A3518"/>
    <w:rsid w:val="000A44CB"/>
    <w:rsid w:val="000A4E45"/>
    <w:rsid w:val="000A563F"/>
    <w:rsid w:val="000A5ED2"/>
    <w:rsid w:val="000A6204"/>
    <w:rsid w:val="000A6BF2"/>
    <w:rsid w:val="000A6F1D"/>
    <w:rsid w:val="000A70C7"/>
    <w:rsid w:val="000A7238"/>
    <w:rsid w:val="000A791D"/>
    <w:rsid w:val="000B0504"/>
    <w:rsid w:val="000B09FE"/>
    <w:rsid w:val="000B0EA5"/>
    <w:rsid w:val="000B15EF"/>
    <w:rsid w:val="000B19F9"/>
    <w:rsid w:val="000B1B5B"/>
    <w:rsid w:val="000B214A"/>
    <w:rsid w:val="000B26D6"/>
    <w:rsid w:val="000B316D"/>
    <w:rsid w:val="000B3194"/>
    <w:rsid w:val="000B3CFE"/>
    <w:rsid w:val="000B474A"/>
    <w:rsid w:val="000B4EF3"/>
    <w:rsid w:val="000B554C"/>
    <w:rsid w:val="000B5A2B"/>
    <w:rsid w:val="000B5B3A"/>
    <w:rsid w:val="000B5D87"/>
    <w:rsid w:val="000B693E"/>
    <w:rsid w:val="000B6F18"/>
    <w:rsid w:val="000B7258"/>
    <w:rsid w:val="000B7267"/>
    <w:rsid w:val="000B7882"/>
    <w:rsid w:val="000B7ABB"/>
    <w:rsid w:val="000B7C1E"/>
    <w:rsid w:val="000B7E6D"/>
    <w:rsid w:val="000C0000"/>
    <w:rsid w:val="000C0DAB"/>
    <w:rsid w:val="000C0F92"/>
    <w:rsid w:val="000C12C9"/>
    <w:rsid w:val="000C214A"/>
    <w:rsid w:val="000C23B5"/>
    <w:rsid w:val="000C24B3"/>
    <w:rsid w:val="000C2D57"/>
    <w:rsid w:val="000C2E3D"/>
    <w:rsid w:val="000C350A"/>
    <w:rsid w:val="000C4048"/>
    <w:rsid w:val="000C42B5"/>
    <w:rsid w:val="000C4988"/>
    <w:rsid w:val="000C5331"/>
    <w:rsid w:val="000C59D1"/>
    <w:rsid w:val="000C5BD2"/>
    <w:rsid w:val="000C5F10"/>
    <w:rsid w:val="000C5F41"/>
    <w:rsid w:val="000C5F88"/>
    <w:rsid w:val="000C6F27"/>
    <w:rsid w:val="000C7045"/>
    <w:rsid w:val="000C7311"/>
    <w:rsid w:val="000C757A"/>
    <w:rsid w:val="000C7654"/>
    <w:rsid w:val="000C7D9F"/>
    <w:rsid w:val="000C7E89"/>
    <w:rsid w:val="000C7FB2"/>
    <w:rsid w:val="000D0E1E"/>
    <w:rsid w:val="000D2381"/>
    <w:rsid w:val="000D2859"/>
    <w:rsid w:val="000D3131"/>
    <w:rsid w:val="000D3C5A"/>
    <w:rsid w:val="000D3E1B"/>
    <w:rsid w:val="000D4061"/>
    <w:rsid w:val="000D421F"/>
    <w:rsid w:val="000D481F"/>
    <w:rsid w:val="000D4860"/>
    <w:rsid w:val="000D48FB"/>
    <w:rsid w:val="000D4AB8"/>
    <w:rsid w:val="000D4B4F"/>
    <w:rsid w:val="000D4C1A"/>
    <w:rsid w:val="000D4EC1"/>
    <w:rsid w:val="000D55FD"/>
    <w:rsid w:val="000D5C14"/>
    <w:rsid w:val="000D662A"/>
    <w:rsid w:val="000D6EC7"/>
    <w:rsid w:val="000D71A3"/>
    <w:rsid w:val="000D75B1"/>
    <w:rsid w:val="000E01DF"/>
    <w:rsid w:val="000E063C"/>
    <w:rsid w:val="000E0A1A"/>
    <w:rsid w:val="000E1A80"/>
    <w:rsid w:val="000E1C04"/>
    <w:rsid w:val="000E2AD1"/>
    <w:rsid w:val="000E2B0D"/>
    <w:rsid w:val="000E3215"/>
    <w:rsid w:val="000E3226"/>
    <w:rsid w:val="000E3AB0"/>
    <w:rsid w:val="000E3D2F"/>
    <w:rsid w:val="000E3FAA"/>
    <w:rsid w:val="000E4712"/>
    <w:rsid w:val="000E4E88"/>
    <w:rsid w:val="000E528E"/>
    <w:rsid w:val="000E6022"/>
    <w:rsid w:val="000E612C"/>
    <w:rsid w:val="000E6D38"/>
    <w:rsid w:val="000E7280"/>
    <w:rsid w:val="000E72E7"/>
    <w:rsid w:val="000E72F6"/>
    <w:rsid w:val="000E742B"/>
    <w:rsid w:val="000E75B3"/>
    <w:rsid w:val="000E78C4"/>
    <w:rsid w:val="000E7CC8"/>
    <w:rsid w:val="000F0575"/>
    <w:rsid w:val="000F0992"/>
    <w:rsid w:val="000F107F"/>
    <w:rsid w:val="000F1277"/>
    <w:rsid w:val="000F1B78"/>
    <w:rsid w:val="000F1F51"/>
    <w:rsid w:val="000F1FB0"/>
    <w:rsid w:val="000F2181"/>
    <w:rsid w:val="000F21CE"/>
    <w:rsid w:val="000F24AC"/>
    <w:rsid w:val="000F24D5"/>
    <w:rsid w:val="000F24E0"/>
    <w:rsid w:val="000F292F"/>
    <w:rsid w:val="000F2F60"/>
    <w:rsid w:val="000F449C"/>
    <w:rsid w:val="000F47D9"/>
    <w:rsid w:val="000F4B3A"/>
    <w:rsid w:val="000F4F71"/>
    <w:rsid w:val="000F5331"/>
    <w:rsid w:val="000F5356"/>
    <w:rsid w:val="000F55C9"/>
    <w:rsid w:val="000F59D6"/>
    <w:rsid w:val="000F5F63"/>
    <w:rsid w:val="000F6242"/>
    <w:rsid w:val="000F6F32"/>
    <w:rsid w:val="000F7276"/>
    <w:rsid w:val="000F75A8"/>
    <w:rsid w:val="000F76E0"/>
    <w:rsid w:val="000F7D76"/>
    <w:rsid w:val="0010016B"/>
    <w:rsid w:val="00100331"/>
    <w:rsid w:val="00100405"/>
    <w:rsid w:val="00101255"/>
    <w:rsid w:val="001016BB"/>
    <w:rsid w:val="00101879"/>
    <w:rsid w:val="0010251A"/>
    <w:rsid w:val="00102768"/>
    <w:rsid w:val="0010280E"/>
    <w:rsid w:val="00102BC3"/>
    <w:rsid w:val="00103193"/>
    <w:rsid w:val="00103458"/>
    <w:rsid w:val="00103F6B"/>
    <w:rsid w:val="0010425A"/>
    <w:rsid w:val="00104346"/>
    <w:rsid w:val="00104AFF"/>
    <w:rsid w:val="00104FCC"/>
    <w:rsid w:val="00105067"/>
    <w:rsid w:val="0010584D"/>
    <w:rsid w:val="00105991"/>
    <w:rsid w:val="00105A06"/>
    <w:rsid w:val="00105B1C"/>
    <w:rsid w:val="00105E0D"/>
    <w:rsid w:val="0010604F"/>
    <w:rsid w:val="00106D60"/>
    <w:rsid w:val="00106DC9"/>
    <w:rsid w:val="001073F7"/>
    <w:rsid w:val="001078F4"/>
    <w:rsid w:val="00107ED3"/>
    <w:rsid w:val="001106A7"/>
    <w:rsid w:val="00110797"/>
    <w:rsid w:val="0011096F"/>
    <w:rsid w:val="00110F60"/>
    <w:rsid w:val="00111C5D"/>
    <w:rsid w:val="00111ECD"/>
    <w:rsid w:val="001120FF"/>
    <w:rsid w:val="001121DD"/>
    <w:rsid w:val="00112DBF"/>
    <w:rsid w:val="00113123"/>
    <w:rsid w:val="00113646"/>
    <w:rsid w:val="0011384C"/>
    <w:rsid w:val="0011487E"/>
    <w:rsid w:val="00115632"/>
    <w:rsid w:val="00115ABE"/>
    <w:rsid w:val="00116258"/>
    <w:rsid w:val="0011783B"/>
    <w:rsid w:val="00120541"/>
    <w:rsid w:val="00120771"/>
    <w:rsid w:val="0012077F"/>
    <w:rsid w:val="00120813"/>
    <w:rsid w:val="0012099E"/>
    <w:rsid w:val="00120A8D"/>
    <w:rsid w:val="00120BF2"/>
    <w:rsid w:val="00120E60"/>
    <w:rsid w:val="00120FA2"/>
    <w:rsid w:val="001211D6"/>
    <w:rsid w:val="0012130E"/>
    <w:rsid w:val="001213B0"/>
    <w:rsid w:val="00121741"/>
    <w:rsid w:val="00121832"/>
    <w:rsid w:val="00121EEE"/>
    <w:rsid w:val="001221FC"/>
    <w:rsid w:val="001222CD"/>
    <w:rsid w:val="0012235C"/>
    <w:rsid w:val="00122A75"/>
    <w:rsid w:val="001241D1"/>
    <w:rsid w:val="0012455A"/>
    <w:rsid w:val="00124985"/>
    <w:rsid w:val="00124FF9"/>
    <w:rsid w:val="00125237"/>
    <w:rsid w:val="00125609"/>
    <w:rsid w:val="00125EC8"/>
    <w:rsid w:val="001262F2"/>
    <w:rsid w:val="00126655"/>
    <w:rsid w:val="00126707"/>
    <w:rsid w:val="001267D3"/>
    <w:rsid w:val="001269E0"/>
    <w:rsid w:val="00126C9D"/>
    <w:rsid w:val="00126E33"/>
    <w:rsid w:val="001271AC"/>
    <w:rsid w:val="00130F92"/>
    <w:rsid w:val="001313CE"/>
    <w:rsid w:val="0013190A"/>
    <w:rsid w:val="00131C94"/>
    <w:rsid w:val="00131DE6"/>
    <w:rsid w:val="00131E5D"/>
    <w:rsid w:val="001326DF"/>
    <w:rsid w:val="001326F3"/>
    <w:rsid w:val="00132AD8"/>
    <w:rsid w:val="00132CCE"/>
    <w:rsid w:val="00132F7B"/>
    <w:rsid w:val="00133D01"/>
    <w:rsid w:val="00134305"/>
    <w:rsid w:val="001343D3"/>
    <w:rsid w:val="00134510"/>
    <w:rsid w:val="0013484E"/>
    <w:rsid w:val="001348DB"/>
    <w:rsid w:val="00134932"/>
    <w:rsid w:val="00134EF1"/>
    <w:rsid w:val="00134F03"/>
    <w:rsid w:val="001355CB"/>
    <w:rsid w:val="00135644"/>
    <w:rsid w:val="00136073"/>
    <w:rsid w:val="001361F7"/>
    <w:rsid w:val="0013656A"/>
    <w:rsid w:val="00136606"/>
    <w:rsid w:val="00136806"/>
    <w:rsid w:val="001369A6"/>
    <w:rsid w:val="00136A8F"/>
    <w:rsid w:val="00136BD6"/>
    <w:rsid w:val="00136DBC"/>
    <w:rsid w:val="00136DDA"/>
    <w:rsid w:val="00136F77"/>
    <w:rsid w:val="00137856"/>
    <w:rsid w:val="00137BD8"/>
    <w:rsid w:val="00140291"/>
    <w:rsid w:val="00141966"/>
    <w:rsid w:val="00141A13"/>
    <w:rsid w:val="001422D4"/>
    <w:rsid w:val="001425F6"/>
    <w:rsid w:val="00142ED9"/>
    <w:rsid w:val="00143AE7"/>
    <w:rsid w:val="00143F8A"/>
    <w:rsid w:val="001442C2"/>
    <w:rsid w:val="001449E1"/>
    <w:rsid w:val="00144BC9"/>
    <w:rsid w:val="00144D5F"/>
    <w:rsid w:val="00145ABB"/>
    <w:rsid w:val="00145F5C"/>
    <w:rsid w:val="0014647C"/>
    <w:rsid w:val="00146749"/>
    <w:rsid w:val="0014694C"/>
    <w:rsid w:val="00146A95"/>
    <w:rsid w:val="00146ED7"/>
    <w:rsid w:val="00146EF9"/>
    <w:rsid w:val="001475BF"/>
    <w:rsid w:val="0014764D"/>
    <w:rsid w:val="00147916"/>
    <w:rsid w:val="0014795D"/>
    <w:rsid w:val="001479AA"/>
    <w:rsid w:val="00147F00"/>
    <w:rsid w:val="00147F94"/>
    <w:rsid w:val="00150564"/>
    <w:rsid w:val="001506A7"/>
    <w:rsid w:val="00150882"/>
    <w:rsid w:val="001509F0"/>
    <w:rsid w:val="00150A4A"/>
    <w:rsid w:val="00150C58"/>
    <w:rsid w:val="001510E2"/>
    <w:rsid w:val="001517CB"/>
    <w:rsid w:val="001518B5"/>
    <w:rsid w:val="00151BBA"/>
    <w:rsid w:val="00151C04"/>
    <w:rsid w:val="0015252D"/>
    <w:rsid w:val="00152656"/>
    <w:rsid w:val="00152C00"/>
    <w:rsid w:val="00152C2B"/>
    <w:rsid w:val="00152E98"/>
    <w:rsid w:val="00153084"/>
    <w:rsid w:val="00153DEB"/>
    <w:rsid w:val="00154304"/>
    <w:rsid w:val="0015477A"/>
    <w:rsid w:val="00154F0A"/>
    <w:rsid w:val="00155510"/>
    <w:rsid w:val="00156891"/>
    <w:rsid w:val="001568BC"/>
    <w:rsid w:val="00156BA3"/>
    <w:rsid w:val="00156FE6"/>
    <w:rsid w:val="00157060"/>
    <w:rsid w:val="001570A2"/>
    <w:rsid w:val="00157320"/>
    <w:rsid w:val="001574F5"/>
    <w:rsid w:val="001577F0"/>
    <w:rsid w:val="001579B9"/>
    <w:rsid w:val="00157C46"/>
    <w:rsid w:val="001602EB"/>
    <w:rsid w:val="00160B5E"/>
    <w:rsid w:val="00160DEA"/>
    <w:rsid w:val="00160E9E"/>
    <w:rsid w:val="001610EB"/>
    <w:rsid w:val="001614A9"/>
    <w:rsid w:val="001618B3"/>
    <w:rsid w:val="00161C1F"/>
    <w:rsid w:val="00161C2F"/>
    <w:rsid w:val="001620B6"/>
    <w:rsid w:val="0016236B"/>
    <w:rsid w:val="00162664"/>
    <w:rsid w:val="00163194"/>
    <w:rsid w:val="00163C38"/>
    <w:rsid w:val="00163DB9"/>
    <w:rsid w:val="00163DBD"/>
    <w:rsid w:val="0016463F"/>
    <w:rsid w:val="00164F8F"/>
    <w:rsid w:val="0016529F"/>
    <w:rsid w:val="001658F5"/>
    <w:rsid w:val="00165D95"/>
    <w:rsid w:val="00165E39"/>
    <w:rsid w:val="00165F38"/>
    <w:rsid w:val="001661B8"/>
    <w:rsid w:val="00166237"/>
    <w:rsid w:val="0016644D"/>
    <w:rsid w:val="00166EE6"/>
    <w:rsid w:val="001672AF"/>
    <w:rsid w:val="001677C1"/>
    <w:rsid w:val="00167F6F"/>
    <w:rsid w:val="00170045"/>
    <w:rsid w:val="0017061E"/>
    <w:rsid w:val="00170A14"/>
    <w:rsid w:val="00170B6C"/>
    <w:rsid w:val="00170B81"/>
    <w:rsid w:val="001710CE"/>
    <w:rsid w:val="0017112B"/>
    <w:rsid w:val="0017113E"/>
    <w:rsid w:val="001713A7"/>
    <w:rsid w:val="00172676"/>
    <w:rsid w:val="001726CF"/>
    <w:rsid w:val="0017293C"/>
    <w:rsid w:val="00172A27"/>
    <w:rsid w:val="00172B93"/>
    <w:rsid w:val="00172BAF"/>
    <w:rsid w:val="00172EC0"/>
    <w:rsid w:val="00173191"/>
    <w:rsid w:val="001737FE"/>
    <w:rsid w:val="0017426E"/>
    <w:rsid w:val="0017503E"/>
    <w:rsid w:val="00175053"/>
    <w:rsid w:val="00175CAF"/>
    <w:rsid w:val="001760DB"/>
    <w:rsid w:val="00176E50"/>
    <w:rsid w:val="00177106"/>
    <w:rsid w:val="0017723E"/>
    <w:rsid w:val="001772D8"/>
    <w:rsid w:val="001775DA"/>
    <w:rsid w:val="0017787E"/>
    <w:rsid w:val="00177AD0"/>
    <w:rsid w:val="00180DA3"/>
    <w:rsid w:val="00180FAA"/>
    <w:rsid w:val="00181135"/>
    <w:rsid w:val="0018181F"/>
    <w:rsid w:val="00181C0B"/>
    <w:rsid w:val="00182096"/>
    <w:rsid w:val="00182382"/>
    <w:rsid w:val="00182919"/>
    <w:rsid w:val="00182DF8"/>
    <w:rsid w:val="00183C9F"/>
    <w:rsid w:val="00184512"/>
    <w:rsid w:val="00184E21"/>
    <w:rsid w:val="00185CC7"/>
    <w:rsid w:val="00185D6F"/>
    <w:rsid w:val="00185E0C"/>
    <w:rsid w:val="0018688A"/>
    <w:rsid w:val="00186CEF"/>
    <w:rsid w:val="0018754D"/>
    <w:rsid w:val="00187892"/>
    <w:rsid w:val="00187DFB"/>
    <w:rsid w:val="00190463"/>
    <w:rsid w:val="001904CF"/>
    <w:rsid w:val="00191435"/>
    <w:rsid w:val="00192213"/>
    <w:rsid w:val="001927A2"/>
    <w:rsid w:val="00192A9D"/>
    <w:rsid w:val="001932B2"/>
    <w:rsid w:val="0019335B"/>
    <w:rsid w:val="0019423A"/>
    <w:rsid w:val="00194FA4"/>
    <w:rsid w:val="00195648"/>
    <w:rsid w:val="001959DC"/>
    <w:rsid w:val="00195F44"/>
    <w:rsid w:val="00196019"/>
    <w:rsid w:val="0019630F"/>
    <w:rsid w:val="00196772"/>
    <w:rsid w:val="00196C83"/>
    <w:rsid w:val="00196DA4"/>
    <w:rsid w:val="00196E92"/>
    <w:rsid w:val="001979A9"/>
    <w:rsid w:val="001A0112"/>
    <w:rsid w:val="001A0896"/>
    <w:rsid w:val="001A0EF1"/>
    <w:rsid w:val="001A16F6"/>
    <w:rsid w:val="001A224B"/>
    <w:rsid w:val="001A25A2"/>
    <w:rsid w:val="001A29AC"/>
    <w:rsid w:val="001A315B"/>
    <w:rsid w:val="001A35FF"/>
    <w:rsid w:val="001A3856"/>
    <w:rsid w:val="001A3F6D"/>
    <w:rsid w:val="001A4664"/>
    <w:rsid w:val="001A4953"/>
    <w:rsid w:val="001A4C94"/>
    <w:rsid w:val="001A5DA1"/>
    <w:rsid w:val="001A6848"/>
    <w:rsid w:val="001A68CE"/>
    <w:rsid w:val="001A7255"/>
    <w:rsid w:val="001A775C"/>
    <w:rsid w:val="001A7CBA"/>
    <w:rsid w:val="001A7E72"/>
    <w:rsid w:val="001B0280"/>
    <w:rsid w:val="001B069F"/>
    <w:rsid w:val="001B0ADB"/>
    <w:rsid w:val="001B1736"/>
    <w:rsid w:val="001B1AE6"/>
    <w:rsid w:val="001B1F92"/>
    <w:rsid w:val="001B21AC"/>
    <w:rsid w:val="001B2A56"/>
    <w:rsid w:val="001B2FCF"/>
    <w:rsid w:val="001B32D3"/>
    <w:rsid w:val="001B32E4"/>
    <w:rsid w:val="001B3778"/>
    <w:rsid w:val="001B3E30"/>
    <w:rsid w:val="001B4ED3"/>
    <w:rsid w:val="001B50CC"/>
    <w:rsid w:val="001B51E8"/>
    <w:rsid w:val="001B5221"/>
    <w:rsid w:val="001B5355"/>
    <w:rsid w:val="001B6049"/>
    <w:rsid w:val="001B60D4"/>
    <w:rsid w:val="001B6482"/>
    <w:rsid w:val="001B7014"/>
    <w:rsid w:val="001B7C32"/>
    <w:rsid w:val="001B7CBF"/>
    <w:rsid w:val="001C0619"/>
    <w:rsid w:val="001C0E29"/>
    <w:rsid w:val="001C1344"/>
    <w:rsid w:val="001C13D0"/>
    <w:rsid w:val="001C148A"/>
    <w:rsid w:val="001C15DB"/>
    <w:rsid w:val="001C1805"/>
    <w:rsid w:val="001C1814"/>
    <w:rsid w:val="001C1968"/>
    <w:rsid w:val="001C1DD6"/>
    <w:rsid w:val="001C2082"/>
    <w:rsid w:val="001C23DD"/>
    <w:rsid w:val="001C3A02"/>
    <w:rsid w:val="001C3B0C"/>
    <w:rsid w:val="001C3B70"/>
    <w:rsid w:val="001C3D80"/>
    <w:rsid w:val="001C4361"/>
    <w:rsid w:val="001C44FD"/>
    <w:rsid w:val="001C4DB6"/>
    <w:rsid w:val="001C5005"/>
    <w:rsid w:val="001C505B"/>
    <w:rsid w:val="001C51A3"/>
    <w:rsid w:val="001C5358"/>
    <w:rsid w:val="001C56D1"/>
    <w:rsid w:val="001C5AD3"/>
    <w:rsid w:val="001C6924"/>
    <w:rsid w:val="001C7A8C"/>
    <w:rsid w:val="001D0AA9"/>
    <w:rsid w:val="001D15D9"/>
    <w:rsid w:val="001D200C"/>
    <w:rsid w:val="001D23EF"/>
    <w:rsid w:val="001D260D"/>
    <w:rsid w:val="001D3262"/>
    <w:rsid w:val="001D3534"/>
    <w:rsid w:val="001D3E6D"/>
    <w:rsid w:val="001D537F"/>
    <w:rsid w:val="001D555B"/>
    <w:rsid w:val="001D55CA"/>
    <w:rsid w:val="001D55D2"/>
    <w:rsid w:val="001D55F2"/>
    <w:rsid w:val="001D629D"/>
    <w:rsid w:val="001D723E"/>
    <w:rsid w:val="001D75EA"/>
    <w:rsid w:val="001D7681"/>
    <w:rsid w:val="001D7892"/>
    <w:rsid w:val="001D7C7C"/>
    <w:rsid w:val="001D7DB2"/>
    <w:rsid w:val="001E09E6"/>
    <w:rsid w:val="001E0C47"/>
    <w:rsid w:val="001E131D"/>
    <w:rsid w:val="001E15A7"/>
    <w:rsid w:val="001E1AE0"/>
    <w:rsid w:val="001E1FA3"/>
    <w:rsid w:val="001E21AC"/>
    <w:rsid w:val="001E24A4"/>
    <w:rsid w:val="001E28CC"/>
    <w:rsid w:val="001E2901"/>
    <w:rsid w:val="001E2FDD"/>
    <w:rsid w:val="001E321D"/>
    <w:rsid w:val="001E3639"/>
    <w:rsid w:val="001E38B1"/>
    <w:rsid w:val="001E3AC5"/>
    <w:rsid w:val="001E478C"/>
    <w:rsid w:val="001E48FE"/>
    <w:rsid w:val="001E4C00"/>
    <w:rsid w:val="001E4D12"/>
    <w:rsid w:val="001E4D56"/>
    <w:rsid w:val="001E502C"/>
    <w:rsid w:val="001E5984"/>
    <w:rsid w:val="001E631E"/>
    <w:rsid w:val="001E6CE0"/>
    <w:rsid w:val="001E6E30"/>
    <w:rsid w:val="001E6EC8"/>
    <w:rsid w:val="001E72E0"/>
    <w:rsid w:val="001F0064"/>
    <w:rsid w:val="001F05D5"/>
    <w:rsid w:val="001F16DF"/>
    <w:rsid w:val="001F1960"/>
    <w:rsid w:val="001F220A"/>
    <w:rsid w:val="001F3264"/>
    <w:rsid w:val="001F33C7"/>
    <w:rsid w:val="001F3603"/>
    <w:rsid w:val="001F3DAE"/>
    <w:rsid w:val="001F4A98"/>
    <w:rsid w:val="001F5294"/>
    <w:rsid w:val="001F6078"/>
    <w:rsid w:val="001F613E"/>
    <w:rsid w:val="001F6159"/>
    <w:rsid w:val="001F6587"/>
    <w:rsid w:val="001F6680"/>
    <w:rsid w:val="001F6A92"/>
    <w:rsid w:val="001F6BD0"/>
    <w:rsid w:val="001F6E82"/>
    <w:rsid w:val="001F6FB6"/>
    <w:rsid w:val="001F740D"/>
    <w:rsid w:val="001F77EE"/>
    <w:rsid w:val="001F792F"/>
    <w:rsid w:val="001F7AC9"/>
    <w:rsid w:val="001F7B13"/>
    <w:rsid w:val="001F7B9E"/>
    <w:rsid w:val="001F7BE1"/>
    <w:rsid w:val="001F7C97"/>
    <w:rsid w:val="0020066E"/>
    <w:rsid w:val="00200838"/>
    <w:rsid w:val="00200A84"/>
    <w:rsid w:val="00200BED"/>
    <w:rsid w:val="00200EEC"/>
    <w:rsid w:val="002014F7"/>
    <w:rsid w:val="00201B0B"/>
    <w:rsid w:val="00201B48"/>
    <w:rsid w:val="00202576"/>
    <w:rsid w:val="00202B50"/>
    <w:rsid w:val="00202EF9"/>
    <w:rsid w:val="00202F93"/>
    <w:rsid w:val="00203204"/>
    <w:rsid w:val="00203236"/>
    <w:rsid w:val="0020361E"/>
    <w:rsid w:val="002036E8"/>
    <w:rsid w:val="00203752"/>
    <w:rsid w:val="00203B3F"/>
    <w:rsid w:val="002048AD"/>
    <w:rsid w:val="00204B5C"/>
    <w:rsid w:val="002051F7"/>
    <w:rsid w:val="0020531C"/>
    <w:rsid w:val="002067D2"/>
    <w:rsid w:val="002068BD"/>
    <w:rsid w:val="00206F81"/>
    <w:rsid w:val="0020708A"/>
    <w:rsid w:val="0020738E"/>
    <w:rsid w:val="00207642"/>
    <w:rsid w:val="0020778B"/>
    <w:rsid w:val="00207838"/>
    <w:rsid w:val="00207A4E"/>
    <w:rsid w:val="00207F6A"/>
    <w:rsid w:val="00210256"/>
    <w:rsid w:val="00210332"/>
    <w:rsid w:val="00210394"/>
    <w:rsid w:val="0021076E"/>
    <w:rsid w:val="00211180"/>
    <w:rsid w:val="00211EC3"/>
    <w:rsid w:val="00212B08"/>
    <w:rsid w:val="00213289"/>
    <w:rsid w:val="00213825"/>
    <w:rsid w:val="00214189"/>
    <w:rsid w:val="0021420E"/>
    <w:rsid w:val="002143FF"/>
    <w:rsid w:val="00214ADD"/>
    <w:rsid w:val="00214DBB"/>
    <w:rsid w:val="00214DF9"/>
    <w:rsid w:val="0021525B"/>
    <w:rsid w:val="00215D73"/>
    <w:rsid w:val="00216B19"/>
    <w:rsid w:val="00216CCC"/>
    <w:rsid w:val="00216E16"/>
    <w:rsid w:val="0021738B"/>
    <w:rsid w:val="002174F8"/>
    <w:rsid w:val="00220082"/>
    <w:rsid w:val="002203BD"/>
    <w:rsid w:val="0022059F"/>
    <w:rsid w:val="00220776"/>
    <w:rsid w:val="002207D0"/>
    <w:rsid w:val="002221C3"/>
    <w:rsid w:val="0022274B"/>
    <w:rsid w:val="0022299A"/>
    <w:rsid w:val="00222B91"/>
    <w:rsid w:val="00222D17"/>
    <w:rsid w:val="002230FD"/>
    <w:rsid w:val="002232B3"/>
    <w:rsid w:val="00224524"/>
    <w:rsid w:val="00224665"/>
    <w:rsid w:val="00224756"/>
    <w:rsid w:val="00224878"/>
    <w:rsid w:val="0022514D"/>
    <w:rsid w:val="00225CEE"/>
    <w:rsid w:val="002260F3"/>
    <w:rsid w:val="00226447"/>
    <w:rsid w:val="002266DB"/>
    <w:rsid w:val="00226894"/>
    <w:rsid w:val="002268B0"/>
    <w:rsid w:val="0022701D"/>
    <w:rsid w:val="002274D4"/>
    <w:rsid w:val="00227577"/>
    <w:rsid w:val="002277E9"/>
    <w:rsid w:val="00227D14"/>
    <w:rsid w:val="002303A6"/>
    <w:rsid w:val="00230894"/>
    <w:rsid w:val="002308E9"/>
    <w:rsid w:val="00230C61"/>
    <w:rsid w:val="00230F2A"/>
    <w:rsid w:val="00231584"/>
    <w:rsid w:val="00231A76"/>
    <w:rsid w:val="00231B36"/>
    <w:rsid w:val="00231CFD"/>
    <w:rsid w:val="00231F9E"/>
    <w:rsid w:val="0023205A"/>
    <w:rsid w:val="00232498"/>
    <w:rsid w:val="0023254E"/>
    <w:rsid w:val="00232918"/>
    <w:rsid w:val="00232B2D"/>
    <w:rsid w:val="0023350C"/>
    <w:rsid w:val="00233E70"/>
    <w:rsid w:val="00234281"/>
    <w:rsid w:val="00234695"/>
    <w:rsid w:val="00234EBC"/>
    <w:rsid w:val="00234FD3"/>
    <w:rsid w:val="00235341"/>
    <w:rsid w:val="00235B1B"/>
    <w:rsid w:val="00235BF5"/>
    <w:rsid w:val="00235D41"/>
    <w:rsid w:val="00236288"/>
    <w:rsid w:val="00236B90"/>
    <w:rsid w:val="00236C6F"/>
    <w:rsid w:val="002371BF"/>
    <w:rsid w:val="00237A87"/>
    <w:rsid w:val="00237BB9"/>
    <w:rsid w:val="00240310"/>
    <w:rsid w:val="002404C3"/>
    <w:rsid w:val="00240988"/>
    <w:rsid w:val="002409B5"/>
    <w:rsid w:val="00240EFC"/>
    <w:rsid w:val="00241129"/>
    <w:rsid w:val="00241840"/>
    <w:rsid w:val="00241C36"/>
    <w:rsid w:val="00241F9B"/>
    <w:rsid w:val="00242608"/>
    <w:rsid w:val="002426B3"/>
    <w:rsid w:val="002427A3"/>
    <w:rsid w:val="002427EB"/>
    <w:rsid w:val="002427F0"/>
    <w:rsid w:val="002428BD"/>
    <w:rsid w:val="00242BC1"/>
    <w:rsid w:val="00242E09"/>
    <w:rsid w:val="002432B7"/>
    <w:rsid w:val="002433CE"/>
    <w:rsid w:val="00243C06"/>
    <w:rsid w:val="002440B2"/>
    <w:rsid w:val="00244F66"/>
    <w:rsid w:val="0024551D"/>
    <w:rsid w:val="00245853"/>
    <w:rsid w:val="002458CE"/>
    <w:rsid w:val="00246513"/>
    <w:rsid w:val="00246B1D"/>
    <w:rsid w:val="00247BDE"/>
    <w:rsid w:val="00247EE8"/>
    <w:rsid w:val="00247F22"/>
    <w:rsid w:val="002501BD"/>
    <w:rsid w:val="00250455"/>
    <w:rsid w:val="00250B11"/>
    <w:rsid w:val="002513D4"/>
    <w:rsid w:val="00251879"/>
    <w:rsid w:val="00251C98"/>
    <w:rsid w:val="00251EB3"/>
    <w:rsid w:val="0025329B"/>
    <w:rsid w:val="00253375"/>
    <w:rsid w:val="002538BA"/>
    <w:rsid w:val="00253EC4"/>
    <w:rsid w:val="00253FBD"/>
    <w:rsid w:val="0025418A"/>
    <w:rsid w:val="00254240"/>
    <w:rsid w:val="00255327"/>
    <w:rsid w:val="002557AE"/>
    <w:rsid w:val="00255BC2"/>
    <w:rsid w:val="00256539"/>
    <w:rsid w:val="00256DEA"/>
    <w:rsid w:val="002572BD"/>
    <w:rsid w:val="002579EC"/>
    <w:rsid w:val="00257C49"/>
    <w:rsid w:val="0026072F"/>
    <w:rsid w:val="00260952"/>
    <w:rsid w:val="00261192"/>
    <w:rsid w:val="00261A11"/>
    <w:rsid w:val="00261CB5"/>
    <w:rsid w:val="00261F7A"/>
    <w:rsid w:val="002625F2"/>
    <w:rsid w:val="00262890"/>
    <w:rsid w:val="00262AAB"/>
    <w:rsid w:val="00263413"/>
    <w:rsid w:val="0026431A"/>
    <w:rsid w:val="002644A4"/>
    <w:rsid w:val="00264C76"/>
    <w:rsid w:val="00264FA8"/>
    <w:rsid w:val="00265066"/>
    <w:rsid w:val="0026529A"/>
    <w:rsid w:val="00265599"/>
    <w:rsid w:val="0026585B"/>
    <w:rsid w:val="00265C93"/>
    <w:rsid w:val="00266300"/>
    <w:rsid w:val="00266C88"/>
    <w:rsid w:val="00266CE5"/>
    <w:rsid w:val="0027098E"/>
    <w:rsid w:val="00271150"/>
    <w:rsid w:val="00271328"/>
    <w:rsid w:val="00271977"/>
    <w:rsid w:val="00272F76"/>
    <w:rsid w:val="00274075"/>
    <w:rsid w:val="002746DB"/>
    <w:rsid w:val="002747CC"/>
    <w:rsid w:val="00274830"/>
    <w:rsid w:val="00274DF9"/>
    <w:rsid w:val="00275170"/>
    <w:rsid w:val="002751CA"/>
    <w:rsid w:val="00275580"/>
    <w:rsid w:val="00275B36"/>
    <w:rsid w:val="00275D77"/>
    <w:rsid w:val="00275F0A"/>
    <w:rsid w:val="00276AA0"/>
    <w:rsid w:val="002778F2"/>
    <w:rsid w:val="00277AC9"/>
    <w:rsid w:val="00277E4E"/>
    <w:rsid w:val="00277EA0"/>
    <w:rsid w:val="00277F0D"/>
    <w:rsid w:val="00277F52"/>
    <w:rsid w:val="002809A3"/>
    <w:rsid w:val="00280BF2"/>
    <w:rsid w:val="00281780"/>
    <w:rsid w:val="00281979"/>
    <w:rsid w:val="00281E85"/>
    <w:rsid w:val="0028333E"/>
    <w:rsid w:val="002837F8"/>
    <w:rsid w:val="00283844"/>
    <w:rsid w:val="002838FA"/>
    <w:rsid w:val="002839DE"/>
    <w:rsid w:val="00283ACF"/>
    <w:rsid w:val="00283C99"/>
    <w:rsid w:val="00283EE6"/>
    <w:rsid w:val="0028473D"/>
    <w:rsid w:val="00284788"/>
    <w:rsid w:val="00284824"/>
    <w:rsid w:val="00284850"/>
    <w:rsid w:val="00284D22"/>
    <w:rsid w:val="00285326"/>
    <w:rsid w:val="002854BE"/>
    <w:rsid w:val="00285DE8"/>
    <w:rsid w:val="00285F07"/>
    <w:rsid w:val="002863F2"/>
    <w:rsid w:val="00286608"/>
    <w:rsid w:val="00286A00"/>
    <w:rsid w:val="00286F15"/>
    <w:rsid w:val="0028735F"/>
    <w:rsid w:val="00287B87"/>
    <w:rsid w:val="00290283"/>
    <w:rsid w:val="002902BD"/>
    <w:rsid w:val="0029038C"/>
    <w:rsid w:val="00290891"/>
    <w:rsid w:val="00291326"/>
    <w:rsid w:val="0029166A"/>
    <w:rsid w:val="00291DA9"/>
    <w:rsid w:val="00292582"/>
    <w:rsid w:val="00292773"/>
    <w:rsid w:val="002927AC"/>
    <w:rsid w:val="002927F9"/>
    <w:rsid w:val="002935E8"/>
    <w:rsid w:val="0029469F"/>
    <w:rsid w:val="002946E9"/>
    <w:rsid w:val="00294A07"/>
    <w:rsid w:val="0029523D"/>
    <w:rsid w:val="002952DE"/>
    <w:rsid w:val="00295405"/>
    <w:rsid w:val="002954FB"/>
    <w:rsid w:val="002955AC"/>
    <w:rsid w:val="002955F0"/>
    <w:rsid w:val="0029618D"/>
    <w:rsid w:val="002962DC"/>
    <w:rsid w:val="002963FB"/>
    <w:rsid w:val="002965BA"/>
    <w:rsid w:val="00296814"/>
    <w:rsid w:val="002969CD"/>
    <w:rsid w:val="0029716C"/>
    <w:rsid w:val="00297CC2"/>
    <w:rsid w:val="002A00F4"/>
    <w:rsid w:val="002A08D0"/>
    <w:rsid w:val="002A0DD4"/>
    <w:rsid w:val="002A1D02"/>
    <w:rsid w:val="002A1E21"/>
    <w:rsid w:val="002A20B3"/>
    <w:rsid w:val="002A2537"/>
    <w:rsid w:val="002A2610"/>
    <w:rsid w:val="002A2AB8"/>
    <w:rsid w:val="002A2B8E"/>
    <w:rsid w:val="002A2E08"/>
    <w:rsid w:val="002A335A"/>
    <w:rsid w:val="002A3DAC"/>
    <w:rsid w:val="002A43F4"/>
    <w:rsid w:val="002A5126"/>
    <w:rsid w:val="002A53C9"/>
    <w:rsid w:val="002A5948"/>
    <w:rsid w:val="002A64F2"/>
    <w:rsid w:val="002A6590"/>
    <w:rsid w:val="002A6AEB"/>
    <w:rsid w:val="002A7136"/>
    <w:rsid w:val="002A7478"/>
    <w:rsid w:val="002A7AEB"/>
    <w:rsid w:val="002A7B26"/>
    <w:rsid w:val="002B01AD"/>
    <w:rsid w:val="002B0254"/>
    <w:rsid w:val="002B047F"/>
    <w:rsid w:val="002B07F2"/>
    <w:rsid w:val="002B1248"/>
    <w:rsid w:val="002B24B7"/>
    <w:rsid w:val="002B2849"/>
    <w:rsid w:val="002B28C2"/>
    <w:rsid w:val="002B2D78"/>
    <w:rsid w:val="002B32B5"/>
    <w:rsid w:val="002B32C9"/>
    <w:rsid w:val="002B3736"/>
    <w:rsid w:val="002B38F8"/>
    <w:rsid w:val="002B3C0E"/>
    <w:rsid w:val="002B4054"/>
    <w:rsid w:val="002B41B4"/>
    <w:rsid w:val="002B45A5"/>
    <w:rsid w:val="002B46FF"/>
    <w:rsid w:val="002B497D"/>
    <w:rsid w:val="002B4D0E"/>
    <w:rsid w:val="002B51E2"/>
    <w:rsid w:val="002B542A"/>
    <w:rsid w:val="002B5495"/>
    <w:rsid w:val="002B54C5"/>
    <w:rsid w:val="002B5567"/>
    <w:rsid w:val="002B55E5"/>
    <w:rsid w:val="002B5AB7"/>
    <w:rsid w:val="002B653E"/>
    <w:rsid w:val="002B6703"/>
    <w:rsid w:val="002B6A46"/>
    <w:rsid w:val="002B6D69"/>
    <w:rsid w:val="002B6F67"/>
    <w:rsid w:val="002B7411"/>
    <w:rsid w:val="002B7C01"/>
    <w:rsid w:val="002B7F1B"/>
    <w:rsid w:val="002C0083"/>
    <w:rsid w:val="002C032E"/>
    <w:rsid w:val="002C081A"/>
    <w:rsid w:val="002C0EDF"/>
    <w:rsid w:val="002C108A"/>
    <w:rsid w:val="002C1446"/>
    <w:rsid w:val="002C1553"/>
    <w:rsid w:val="002C2324"/>
    <w:rsid w:val="002C2B35"/>
    <w:rsid w:val="002C2CCD"/>
    <w:rsid w:val="002C2F7F"/>
    <w:rsid w:val="002C2FB4"/>
    <w:rsid w:val="002C2FD3"/>
    <w:rsid w:val="002C3683"/>
    <w:rsid w:val="002C4177"/>
    <w:rsid w:val="002C433A"/>
    <w:rsid w:val="002C517F"/>
    <w:rsid w:val="002C5526"/>
    <w:rsid w:val="002C5AF3"/>
    <w:rsid w:val="002C682C"/>
    <w:rsid w:val="002C6DC2"/>
    <w:rsid w:val="002C6DDA"/>
    <w:rsid w:val="002C713E"/>
    <w:rsid w:val="002D04C8"/>
    <w:rsid w:val="002D053D"/>
    <w:rsid w:val="002D0B99"/>
    <w:rsid w:val="002D0F9E"/>
    <w:rsid w:val="002D1936"/>
    <w:rsid w:val="002D1CE8"/>
    <w:rsid w:val="002D2129"/>
    <w:rsid w:val="002D2FB2"/>
    <w:rsid w:val="002D308F"/>
    <w:rsid w:val="002D30BC"/>
    <w:rsid w:val="002D3575"/>
    <w:rsid w:val="002D3782"/>
    <w:rsid w:val="002D4896"/>
    <w:rsid w:val="002D48E6"/>
    <w:rsid w:val="002D4BFC"/>
    <w:rsid w:val="002D50F6"/>
    <w:rsid w:val="002D53A7"/>
    <w:rsid w:val="002D5B16"/>
    <w:rsid w:val="002D6086"/>
    <w:rsid w:val="002D62AF"/>
    <w:rsid w:val="002D63F9"/>
    <w:rsid w:val="002D769A"/>
    <w:rsid w:val="002D7789"/>
    <w:rsid w:val="002D77B7"/>
    <w:rsid w:val="002D7CC4"/>
    <w:rsid w:val="002D7DBC"/>
    <w:rsid w:val="002E0241"/>
    <w:rsid w:val="002E02B6"/>
    <w:rsid w:val="002E09F5"/>
    <w:rsid w:val="002E0C21"/>
    <w:rsid w:val="002E1812"/>
    <w:rsid w:val="002E192A"/>
    <w:rsid w:val="002E2378"/>
    <w:rsid w:val="002E2471"/>
    <w:rsid w:val="002E2A80"/>
    <w:rsid w:val="002E2AF3"/>
    <w:rsid w:val="002E2B84"/>
    <w:rsid w:val="002E2BC6"/>
    <w:rsid w:val="002E2DC8"/>
    <w:rsid w:val="002E300A"/>
    <w:rsid w:val="002E3543"/>
    <w:rsid w:val="002E3B82"/>
    <w:rsid w:val="002E3C95"/>
    <w:rsid w:val="002E40D7"/>
    <w:rsid w:val="002E48E1"/>
    <w:rsid w:val="002E4CCE"/>
    <w:rsid w:val="002E4E64"/>
    <w:rsid w:val="002E5554"/>
    <w:rsid w:val="002E58D2"/>
    <w:rsid w:val="002E5E11"/>
    <w:rsid w:val="002E5F0D"/>
    <w:rsid w:val="002E6262"/>
    <w:rsid w:val="002E6EE7"/>
    <w:rsid w:val="002E6F83"/>
    <w:rsid w:val="002F0C24"/>
    <w:rsid w:val="002F0C6B"/>
    <w:rsid w:val="002F0F9E"/>
    <w:rsid w:val="002F1CD0"/>
    <w:rsid w:val="002F1D5C"/>
    <w:rsid w:val="002F207F"/>
    <w:rsid w:val="002F24AF"/>
    <w:rsid w:val="002F2902"/>
    <w:rsid w:val="002F2D3F"/>
    <w:rsid w:val="002F32ED"/>
    <w:rsid w:val="002F3799"/>
    <w:rsid w:val="002F3FF3"/>
    <w:rsid w:val="002F43B6"/>
    <w:rsid w:val="002F43B7"/>
    <w:rsid w:val="002F4531"/>
    <w:rsid w:val="002F45B2"/>
    <w:rsid w:val="002F4803"/>
    <w:rsid w:val="002F49F9"/>
    <w:rsid w:val="002F515D"/>
    <w:rsid w:val="002F537A"/>
    <w:rsid w:val="002F5C27"/>
    <w:rsid w:val="002F5C6A"/>
    <w:rsid w:val="002F5ED6"/>
    <w:rsid w:val="002F5FEE"/>
    <w:rsid w:val="002F6058"/>
    <w:rsid w:val="002F6673"/>
    <w:rsid w:val="002F66DB"/>
    <w:rsid w:val="002F6CCF"/>
    <w:rsid w:val="002F760C"/>
    <w:rsid w:val="002F7EB8"/>
    <w:rsid w:val="0030086D"/>
    <w:rsid w:val="00300D86"/>
    <w:rsid w:val="003017E1"/>
    <w:rsid w:val="0030255F"/>
    <w:rsid w:val="00302891"/>
    <w:rsid w:val="00302F6A"/>
    <w:rsid w:val="00303A54"/>
    <w:rsid w:val="00303AEB"/>
    <w:rsid w:val="003040C0"/>
    <w:rsid w:val="003048B5"/>
    <w:rsid w:val="0030492C"/>
    <w:rsid w:val="0030497A"/>
    <w:rsid w:val="00304C53"/>
    <w:rsid w:val="00304DAF"/>
    <w:rsid w:val="00305989"/>
    <w:rsid w:val="00305A7A"/>
    <w:rsid w:val="00305CC7"/>
    <w:rsid w:val="00305F62"/>
    <w:rsid w:val="0030670E"/>
    <w:rsid w:val="0030688B"/>
    <w:rsid w:val="00306B1E"/>
    <w:rsid w:val="003074FD"/>
    <w:rsid w:val="00307807"/>
    <w:rsid w:val="00307A2D"/>
    <w:rsid w:val="00310204"/>
    <w:rsid w:val="00310272"/>
    <w:rsid w:val="0031041F"/>
    <w:rsid w:val="00310991"/>
    <w:rsid w:val="00310D86"/>
    <w:rsid w:val="00310F34"/>
    <w:rsid w:val="003111D7"/>
    <w:rsid w:val="00312912"/>
    <w:rsid w:val="00312AF6"/>
    <w:rsid w:val="00312CB7"/>
    <w:rsid w:val="00312E68"/>
    <w:rsid w:val="003132A7"/>
    <w:rsid w:val="0031351A"/>
    <w:rsid w:val="00313C43"/>
    <w:rsid w:val="0031432D"/>
    <w:rsid w:val="00314AFF"/>
    <w:rsid w:val="00315A7B"/>
    <w:rsid w:val="00315BD4"/>
    <w:rsid w:val="00315C2A"/>
    <w:rsid w:val="003161E5"/>
    <w:rsid w:val="00316A37"/>
    <w:rsid w:val="00316C18"/>
    <w:rsid w:val="00316EDC"/>
    <w:rsid w:val="00317071"/>
    <w:rsid w:val="003170F2"/>
    <w:rsid w:val="0031725E"/>
    <w:rsid w:val="00320168"/>
    <w:rsid w:val="003204DA"/>
    <w:rsid w:val="00320582"/>
    <w:rsid w:val="00321282"/>
    <w:rsid w:val="0032130E"/>
    <w:rsid w:val="00321449"/>
    <w:rsid w:val="0032187E"/>
    <w:rsid w:val="003218EA"/>
    <w:rsid w:val="00321F93"/>
    <w:rsid w:val="00322489"/>
    <w:rsid w:val="0032278A"/>
    <w:rsid w:val="0032279E"/>
    <w:rsid w:val="00322A25"/>
    <w:rsid w:val="00322C47"/>
    <w:rsid w:val="0032318E"/>
    <w:rsid w:val="00323A57"/>
    <w:rsid w:val="003241B8"/>
    <w:rsid w:val="00324289"/>
    <w:rsid w:val="00324A14"/>
    <w:rsid w:val="00324CDB"/>
    <w:rsid w:val="00325668"/>
    <w:rsid w:val="00325AC3"/>
    <w:rsid w:val="003262AB"/>
    <w:rsid w:val="0032659C"/>
    <w:rsid w:val="003271D5"/>
    <w:rsid w:val="00327292"/>
    <w:rsid w:val="003272FD"/>
    <w:rsid w:val="0032744E"/>
    <w:rsid w:val="00327480"/>
    <w:rsid w:val="003275C7"/>
    <w:rsid w:val="00327C92"/>
    <w:rsid w:val="003307FF"/>
    <w:rsid w:val="00330A37"/>
    <w:rsid w:val="00330B81"/>
    <w:rsid w:val="00331424"/>
    <w:rsid w:val="003318D1"/>
    <w:rsid w:val="00333471"/>
    <w:rsid w:val="00333483"/>
    <w:rsid w:val="003334DE"/>
    <w:rsid w:val="00333A15"/>
    <w:rsid w:val="00333A6D"/>
    <w:rsid w:val="00333F1D"/>
    <w:rsid w:val="00334C6A"/>
    <w:rsid w:val="0033545E"/>
    <w:rsid w:val="003355EA"/>
    <w:rsid w:val="00335687"/>
    <w:rsid w:val="00335776"/>
    <w:rsid w:val="00335E25"/>
    <w:rsid w:val="00336075"/>
    <w:rsid w:val="003361D9"/>
    <w:rsid w:val="00336520"/>
    <w:rsid w:val="003369C0"/>
    <w:rsid w:val="003374B9"/>
    <w:rsid w:val="003375AB"/>
    <w:rsid w:val="003378B1"/>
    <w:rsid w:val="003408E2"/>
    <w:rsid w:val="003415A2"/>
    <w:rsid w:val="00341999"/>
    <w:rsid w:val="00341C6F"/>
    <w:rsid w:val="0034203D"/>
    <w:rsid w:val="00342CB4"/>
    <w:rsid w:val="0034312D"/>
    <w:rsid w:val="0034330F"/>
    <w:rsid w:val="00343669"/>
    <w:rsid w:val="00343732"/>
    <w:rsid w:val="003438E5"/>
    <w:rsid w:val="00343972"/>
    <w:rsid w:val="00343C67"/>
    <w:rsid w:val="00343E03"/>
    <w:rsid w:val="0034410B"/>
    <w:rsid w:val="0034413A"/>
    <w:rsid w:val="00344465"/>
    <w:rsid w:val="00344BA3"/>
    <w:rsid w:val="00344BDC"/>
    <w:rsid w:val="00344D5E"/>
    <w:rsid w:val="003451C1"/>
    <w:rsid w:val="00345475"/>
    <w:rsid w:val="00345C8B"/>
    <w:rsid w:val="00346455"/>
    <w:rsid w:val="00346481"/>
    <w:rsid w:val="00346AE5"/>
    <w:rsid w:val="00346C56"/>
    <w:rsid w:val="00347782"/>
    <w:rsid w:val="00347D51"/>
    <w:rsid w:val="00347E11"/>
    <w:rsid w:val="00347F69"/>
    <w:rsid w:val="00350268"/>
    <w:rsid w:val="00350594"/>
    <w:rsid w:val="00350864"/>
    <w:rsid w:val="003514B4"/>
    <w:rsid w:val="003518DC"/>
    <w:rsid w:val="003518FE"/>
    <w:rsid w:val="00351A25"/>
    <w:rsid w:val="00352542"/>
    <w:rsid w:val="003527CE"/>
    <w:rsid w:val="0035326A"/>
    <w:rsid w:val="0035327A"/>
    <w:rsid w:val="003534CB"/>
    <w:rsid w:val="00353FC5"/>
    <w:rsid w:val="003542EB"/>
    <w:rsid w:val="00354407"/>
    <w:rsid w:val="00354730"/>
    <w:rsid w:val="00354B35"/>
    <w:rsid w:val="00354C00"/>
    <w:rsid w:val="00354CC2"/>
    <w:rsid w:val="00354E45"/>
    <w:rsid w:val="003555CF"/>
    <w:rsid w:val="0035570E"/>
    <w:rsid w:val="0035576F"/>
    <w:rsid w:val="00355B59"/>
    <w:rsid w:val="00356164"/>
    <w:rsid w:val="00356200"/>
    <w:rsid w:val="0035620E"/>
    <w:rsid w:val="00356219"/>
    <w:rsid w:val="003564B6"/>
    <w:rsid w:val="0035669E"/>
    <w:rsid w:val="0035672B"/>
    <w:rsid w:val="00356991"/>
    <w:rsid w:val="003571AF"/>
    <w:rsid w:val="003574FA"/>
    <w:rsid w:val="00357C05"/>
    <w:rsid w:val="00357DE5"/>
    <w:rsid w:val="0036071E"/>
    <w:rsid w:val="00360737"/>
    <w:rsid w:val="0036093B"/>
    <w:rsid w:val="00360BA3"/>
    <w:rsid w:val="00361038"/>
    <w:rsid w:val="00362445"/>
    <w:rsid w:val="0036258B"/>
    <w:rsid w:val="003638CF"/>
    <w:rsid w:val="00363B12"/>
    <w:rsid w:val="00363CA5"/>
    <w:rsid w:val="00363CCB"/>
    <w:rsid w:val="00363DA1"/>
    <w:rsid w:val="00363E38"/>
    <w:rsid w:val="00364206"/>
    <w:rsid w:val="0036423C"/>
    <w:rsid w:val="003644E3"/>
    <w:rsid w:val="003648BB"/>
    <w:rsid w:val="00364D59"/>
    <w:rsid w:val="00365244"/>
    <w:rsid w:val="003654BE"/>
    <w:rsid w:val="003654DD"/>
    <w:rsid w:val="00365572"/>
    <w:rsid w:val="00365D2E"/>
    <w:rsid w:val="00365DBB"/>
    <w:rsid w:val="0036631D"/>
    <w:rsid w:val="00366CA0"/>
    <w:rsid w:val="003672E3"/>
    <w:rsid w:val="003673E6"/>
    <w:rsid w:val="003675F0"/>
    <w:rsid w:val="003679F1"/>
    <w:rsid w:val="00367A90"/>
    <w:rsid w:val="00367E42"/>
    <w:rsid w:val="0037006D"/>
    <w:rsid w:val="00370115"/>
    <w:rsid w:val="003703EC"/>
    <w:rsid w:val="00370963"/>
    <w:rsid w:val="00371009"/>
    <w:rsid w:val="003714BA"/>
    <w:rsid w:val="00371BC4"/>
    <w:rsid w:val="003722E8"/>
    <w:rsid w:val="003723F1"/>
    <w:rsid w:val="003725FF"/>
    <w:rsid w:val="0037264D"/>
    <w:rsid w:val="00372733"/>
    <w:rsid w:val="0037280D"/>
    <w:rsid w:val="003728E1"/>
    <w:rsid w:val="00372C4C"/>
    <w:rsid w:val="00373B31"/>
    <w:rsid w:val="00373B8C"/>
    <w:rsid w:val="00373B9D"/>
    <w:rsid w:val="00373F9A"/>
    <w:rsid w:val="00374294"/>
    <w:rsid w:val="003745D0"/>
    <w:rsid w:val="00374A6C"/>
    <w:rsid w:val="0037521B"/>
    <w:rsid w:val="003759CE"/>
    <w:rsid w:val="00375B8A"/>
    <w:rsid w:val="00375D31"/>
    <w:rsid w:val="00375E04"/>
    <w:rsid w:val="003760E4"/>
    <w:rsid w:val="0037617A"/>
    <w:rsid w:val="0037642E"/>
    <w:rsid w:val="0037730A"/>
    <w:rsid w:val="003777F9"/>
    <w:rsid w:val="00377BF4"/>
    <w:rsid w:val="00377D45"/>
    <w:rsid w:val="00377DC3"/>
    <w:rsid w:val="003801DC"/>
    <w:rsid w:val="00380CF1"/>
    <w:rsid w:val="00380E15"/>
    <w:rsid w:val="00380F51"/>
    <w:rsid w:val="00381993"/>
    <w:rsid w:val="00381B3A"/>
    <w:rsid w:val="00381D4A"/>
    <w:rsid w:val="00381F38"/>
    <w:rsid w:val="00381F75"/>
    <w:rsid w:val="0038248C"/>
    <w:rsid w:val="003827F2"/>
    <w:rsid w:val="00383A0C"/>
    <w:rsid w:val="00383E24"/>
    <w:rsid w:val="0038445B"/>
    <w:rsid w:val="00384602"/>
    <w:rsid w:val="00384837"/>
    <w:rsid w:val="00384976"/>
    <w:rsid w:val="00384B03"/>
    <w:rsid w:val="00384B51"/>
    <w:rsid w:val="00385105"/>
    <w:rsid w:val="003856C6"/>
    <w:rsid w:val="003859B2"/>
    <w:rsid w:val="00385E50"/>
    <w:rsid w:val="003866CC"/>
    <w:rsid w:val="0038685F"/>
    <w:rsid w:val="00386B43"/>
    <w:rsid w:val="00386CBA"/>
    <w:rsid w:val="00386E1D"/>
    <w:rsid w:val="00386FC4"/>
    <w:rsid w:val="0038778A"/>
    <w:rsid w:val="00387B59"/>
    <w:rsid w:val="00387D0E"/>
    <w:rsid w:val="00390AA4"/>
    <w:rsid w:val="00390B45"/>
    <w:rsid w:val="00390E6E"/>
    <w:rsid w:val="003910D0"/>
    <w:rsid w:val="0039127E"/>
    <w:rsid w:val="003912E4"/>
    <w:rsid w:val="00391901"/>
    <w:rsid w:val="0039192C"/>
    <w:rsid w:val="0039195C"/>
    <w:rsid w:val="00391AC1"/>
    <w:rsid w:val="00391B2B"/>
    <w:rsid w:val="00391BBB"/>
    <w:rsid w:val="00391DF1"/>
    <w:rsid w:val="003922C6"/>
    <w:rsid w:val="00392361"/>
    <w:rsid w:val="003923E6"/>
    <w:rsid w:val="003925CB"/>
    <w:rsid w:val="00393129"/>
    <w:rsid w:val="00393813"/>
    <w:rsid w:val="00393FE9"/>
    <w:rsid w:val="003941B4"/>
    <w:rsid w:val="003943FE"/>
    <w:rsid w:val="0039476B"/>
    <w:rsid w:val="00394B5E"/>
    <w:rsid w:val="00394F4C"/>
    <w:rsid w:val="00395056"/>
    <w:rsid w:val="00395B79"/>
    <w:rsid w:val="00395BDA"/>
    <w:rsid w:val="00396113"/>
    <w:rsid w:val="00396744"/>
    <w:rsid w:val="0039686E"/>
    <w:rsid w:val="00396BF6"/>
    <w:rsid w:val="00396F26"/>
    <w:rsid w:val="003973FD"/>
    <w:rsid w:val="00397413"/>
    <w:rsid w:val="00397418"/>
    <w:rsid w:val="003976E4"/>
    <w:rsid w:val="00397E21"/>
    <w:rsid w:val="00397EDE"/>
    <w:rsid w:val="00397FDC"/>
    <w:rsid w:val="003A04AE"/>
    <w:rsid w:val="003A0667"/>
    <w:rsid w:val="003A0D2C"/>
    <w:rsid w:val="003A17BB"/>
    <w:rsid w:val="003A19D6"/>
    <w:rsid w:val="003A1CC3"/>
    <w:rsid w:val="003A2D4E"/>
    <w:rsid w:val="003A2E19"/>
    <w:rsid w:val="003A2E4A"/>
    <w:rsid w:val="003A2E89"/>
    <w:rsid w:val="003A33A7"/>
    <w:rsid w:val="003A3999"/>
    <w:rsid w:val="003A429F"/>
    <w:rsid w:val="003A441F"/>
    <w:rsid w:val="003A4462"/>
    <w:rsid w:val="003A4663"/>
    <w:rsid w:val="003A49AA"/>
    <w:rsid w:val="003A4BFF"/>
    <w:rsid w:val="003A4F4E"/>
    <w:rsid w:val="003A5A7C"/>
    <w:rsid w:val="003A5A8D"/>
    <w:rsid w:val="003A5D90"/>
    <w:rsid w:val="003A604C"/>
    <w:rsid w:val="003A62DA"/>
    <w:rsid w:val="003A6E26"/>
    <w:rsid w:val="003A6F24"/>
    <w:rsid w:val="003A7B14"/>
    <w:rsid w:val="003A7B7B"/>
    <w:rsid w:val="003A7B8C"/>
    <w:rsid w:val="003A7D2A"/>
    <w:rsid w:val="003A7D38"/>
    <w:rsid w:val="003B031E"/>
    <w:rsid w:val="003B05D3"/>
    <w:rsid w:val="003B08CD"/>
    <w:rsid w:val="003B0A4E"/>
    <w:rsid w:val="003B14FD"/>
    <w:rsid w:val="003B20FF"/>
    <w:rsid w:val="003B2427"/>
    <w:rsid w:val="003B2D7D"/>
    <w:rsid w:val="003B2EAE"/>
    <w:rsid w:val="003B352D"/>
    <w:rsid w:val="003B3E12"/>
    <w:rsid w:val="003B4279"/>
    <w:rsid w:val="003B4696"/>
    <w:rsid w:val="003B473D"/>
    <w:rsid w:val="003B489E"/>
    <w:rsid w:val="003B4E65"/>
    <w:rsid w:val="003B4EB6"/>
    <w:rsid w:val="003B51E6"/>
    <w:rsid w:val="003B5FAA"/>
    <w:rsid w:val="003B6031"/>
    <w:rsid w:val="003B6CDA"/>
    <w:rsid w:val="003B6E81"/>
    <w:rsid w:val="003B6FA1"/>
    <w:rsid w:val="003B707F"/>
    <w:rsid w:val="003B74B1"/>
    <w:rsid w:val="003B7821"/>
    <w:rsid w:val="003B7E05"/>
    <w:rsid w:val="003C052A"/>
    <w:rsid w:val="003C131E"/>
    <w:rsid w:val="003C19A5"/>
    <w:rsid w:val="003C19F3"/>
    <w:rsid w:val="003C1BE5"/>
    <w:rsid w:val="003C1C85"/>
    <w:rsid w:val="003C1D19"/>
    <w:rsid w:val="003C1F69"/>
    <w:rsid w:val="003C2736"/>
    <w:rsid w:val="003C2A17"/>
    <w:rsid w:val="003C2A5C"/>
    <w:rsid w:val="003C314B"/>
    <w:rsid w:val="003C321F"/>
    <w:rsid w:val="003C3419"/>
    <w:rsid w:val="003C344B"/>
    <w:rsid w:val="003C3A2A"/>
    <w:rsid w:val="003C3E7F"/>
    <w:rsid w:val="003C4482"/>
    <w:rsid w:val="003C4AB1"/>
    <w:rsid w:val="003C5260"/>
    <w:rsid w:val="003C53C5"/>
    <w:rsid w:val="003C5471"/>
    <w:rsid w:val="003C5CB8"/>
    <w:rsid w:val="003C5CC9"/>
    <w:rsid w:val="003C5EA1"/>
    <w:rsid w:val="003C612F"/>
    <w:rsid w:val="003C6468"/>
    <w:rsid w:val="003C67F4"/>
    <w:rsid w:val="003D0246"/>
    <w:rsid w:val="003D0AF6"/>
    <w:rsid w:val="003D0BFD"/>
    <w:rsid w:val="003D11D9"/>
    <w:rsid w:val="003D190F"/>
    <w:rsid w:val="003D1E5A"/>
    <w:rsid w:val="003D2D74"/>
    <w:rsid w:val="003D3990"/>
    <w:rsid w:val="003D39CC"/>
    <w:rsid w:val="003D42CB"/>
    <w:rsid w:val="003D43E2"/>
    <w:rsid w:val="003D4B62"/>
    <w:rsid w:val="003D4E9A"/>
    <w:rsid w:val="003D51F4"/>
    <w:rsid w:val="003D5811"/>
    <w:rsid w:val="003D58C5"/>
    <w:rsid w:val="003D5AD2"/>
    <w:rsid w:val="003D5D30"/>
    <w:rsid w:val="003D6638"/>
    <w:rsid w:val="003D66ED"/>
    <w:rsid w:val="003D67D4"/>
    <w:rsid w:val="003D7786"/>
    <w:rsid w:val="003D7FA3"/>
    <w:rsid w:val="003D7FC4"/>
    <w:rsid w:val="003E0354"/>
    <w:rsid w:val="003E079C"/>
    <w:rsid w:val="003E08DC"/>
    <w:rsid w:val="003E184A"/>
    <w:rsid w:val="003E1887"/>
    <w:rsid w:val="003E18C9"/>
    <w:rsid w:val="003E19E2"/>
    <w:rsid w:val="003E2014"/>
    <w:rsid w:val="003E23B9"/>
    <w:rsid w:val="003E2538"/>
    <w:rsid w:val="003E278F"/>
    <w:rsid w:val="003E2E55"/>
    <w:rsid w:val="003E3CB1"/>
    <w:rsid w:val="003E4296"/>
    <w:rsid w:val="003E43C8"/>
    <w:rsid w:val="003E4918"/>
    <w:rsid w:val="003E4A5E"/>
    <w:rsid w:val="003E4B5F"/>
    <w:rsid w:val="003E4EA9"/>
    <w:rsid w:val="003E530F"/>
    <w:rsid w:val="003E5568"/>
    <w:rsid w:val="003E5A33"/>
    <w:rsid w:val="003E5A92"/>
    <w:rsid w:val="003E5E89"/>
    <w:rsid w:val="003E6457"/>
    <w:rsid w:val="003E65FD"/>
    <w:rsid w:val="003E69CF"/>
    <w:rsid w:val="003E6BEE"/>
    <w:rsid w:val="003E6BEF"/>
    <w:rsid w:val="003E6D9A"/>
    <w:rsid w:val="003E6DA0"/>
    <w:rsid w:val="003E72DA"/>
    <w:rsid w:val="003F031C"/>
    <w:rsid w:val="003F0815"/>
    <w:rsid w:val="003F1622"/>
    <w:rsid w:val="003F1AA3"/>
    <w:rsid w:val="003F25EF"/>
    <w:rsid w:val="003F3000"/>
    <w:rsid w:val="003F3277"/>
    <w:rsid w:val="003F3A1A"/>
    <w:rsid w:val="003F3CEA"/>
    <w:rsid w:val="003F4387"/>
    <w:rsid w:val="003F43D1"/>
    <w:rsid w:val="003F4C79"/>
    <w:rsid w:val="003F4C9A"/>
    <w:rsid w:val="003F4E06"/>
    <w:rsid w:val="003F4FBD"/>
    <w:rsid w:val="003F52F0"/>
    <w:rsid w:val="003F5322"/>
    <w:rsid w:val="003F5590"/>
    <w:rsid w:val="003F58E4"/>
    <w:rsid w:val="003F5E3F"/>
    <w:rsid w:val="003F5EB7"/>
    <w:rsid w:val="003F6496"/>
    <w:rsid w:val="003F66DB"/>
    <w:rsid w:val="003F67CB"/>
    <w:rsid w:val="003F6C4E"/>
    <w:rsid w:val="003F6EE8"/>
    <w:rsid w:val="003F74C1"/>
    <w:rsid w:val="003F759C"/>
    <w:rsid w:val="003F7666"/>
    <w:rsid w:val="00400595"/>
    <w:rsid w:val="00401ABA"/>
    <w:rsid w:val="00401CD0"/>
    <w:rsid w:val="004023AF"/>
    <w:rsid w:val="00402608"/>
    <w:rsid w:val="00402E6B"/>
    <w:rsid w:val="00403542"/>
    <w:rsid w:val="00403A15"/>
    <w:rsid w:val="00403FA5"/>
    <w:rsid w:val="004053C3"/>
    <w:rsid w:val="00405408"/>
    <w:rsid w:val="0040544F"/>
    <w:rsid w:val="00405461"/>
    <w:rsid w:val="00405477"/>
    <w:rsid w:val="0040566B"/>
    <w:rsid w:val="004057B2"/>
    <w:rsid w:val="00405C18"/>
    <w:rsid w:val="0040662F"/>
    <w:rsid w:val="004067F1"/>
    <w:rsid w:val="00406945"/>
    <w:rsid w:val="00406A14"/>
    <w:rsid w:val="00406C6B"/>
    <w:rsid w:val="00406C91"/>
    <w:rsid w:val="00406ECC"/>
    <w:rsid w:val="00407A85"/>
    <w:rsid w:val="00407C11"/>
    <w:rsid w:val="00407F34"/>
    <w:rsid w:val="004103EB"/>
    <w:rsid w:val="00410441"/>
    <w:rsid w:val="0041078F"/>
    <w:rsid w:val="00410B02"/>
    <w:rsid w:val="00410B78"/>
    <w:rsid w:val="0041102C"/>
    <w:rsid w:val="00411154"/>
    <w:rsid w:val="00411468"/>
    <w:rsid w:val="00411711"/>
    <w:rsid w:val="00412A74"/>
    <w:rsid w:val="00412BDE"/>
    <w:rsid w:val="00413289"/>
    <w:rsid w:val="004143AE"/>
    <w:rsid w:val="004146E5"/>
    <w:rsid w:val="00414937"/>
    <w:rsid w:val="00414DE0"/>
    <w:rsid w:val="004150FE"/>
    <w:rsid w:val="004158A0"/>
    <w:rsid w:val="00415D69"/>
    <w:rsid w:val="00415FAD"/>
    <w:rsid w:val="0041619C"/>
    <w:rsid w:val="0041747C"/>
    <w:rsid w:val="004174AE"/>
    <w:rsid w:val="00417701"/>
    <w:rsid w:val="00417988"/>
    <w:rsid w:val="00417C68"/>
    <w:rsid w:val="00417D7A"/>
    <w:rsid w:val="004203AA"/>
    <w:rsid w:val="004208E2"/>
    <w:rsid w:val="00420BA6"/>
    <w:rsid w:val="00420F4B"/>
    <w:rsid w:val="0042121D"/>
    <w:rsid w:val="0042181C"/>
    <w:rsid w:val="00422030"/>
    <w:rsid w:val="00422388"/>
    <w:rsid w:val="00422508"/>
    <w:rsid w:val="0042267A"/>
    <w:rsid w:val="00422C59"/>
    <w:rsid w:val="00422CFC"/>
    <w:rsid w:val="0042412E"/>
    <w:rsid w:val="0042472D"/>
    <w:rsid w:val="00424ABD"/>
    <w:rsid w:val="00424F53"/>
    <w:rsid w:val="0042505E"/>
    <w:rsid w:val="004257A7"/>
    <w:rsid w:val="004258AB"/>
    <w:rsid w:val="00425EF9"/>
    <w:rsid w:val="00426254"/>
    <w:rsid w:val="0042680F"/>
    <w:rsid w:val="00427725"/>
    <w:rsid w:val="00427765"/>
    <w:rsid w:val="00427E18"/>
    <w:rsid w:val="00427FEE"/>
    <w:rsid w:val="0043011A"/>
    <w:rsid w:val="0043040E"/>
    <w:rsid w:val="004305C5"/>
    <w:rsid w:val="004307C0"/>
    <w:rsid w:val="00430892"/>
    <w:rsid w:val="00430A57"/>
    <w:rsid w:val="00430C70"/>
    <w:rsid w:val="004313DB"/>
    <w:rsid w:val="004318F9"/>
    <w:rsid w:val="00431E28"/>
    <w:rsid w:val="00431EF9"/>
    <w:rsid w:val="0043295B"/>
    <w:rsid w:val="00432A81"/>
    <w:rsid w:val="00432B9E"/>
    <w:rsid w:val="004338AC"/>
    <w:rsid w:val="00433A31"/>
    <w:rsid w:val="00434374"/>
    <w:rsid w:val="004345A9"/>
    <w:rsid w:val="00435012"/>
    <w:rsid w:val="00435197"/>
    <w:rsid w:val="0043678E"/>
    <w:rsid w:val="00437068"/>
    <w:rsid w:val="004377D6"/>
    <w:rsid w:val="00437B57"/>
    <w:rsid w:val="00440AFD"/>
    <w:rsid w:val="00440FD6"/>
    <w:rsid w:val="004410BC"/>
    <w:rsid w:val="00441164"/>
    <w:rsid w:val="004414D3"/>
    <w:rsid w:val="00441A6C"/>
    <w:rsid w:val="00442049"/>
    <w:rsid w:val="004420F9"/>
    <w:rsid w:val="00442CCD"/>
    <w:rsid w:val="00442DC9"/>
    <w:rsid w:val="004435D7"/>
    <w:rsid w:val="00443B9C"/>
    <w:rsid w:val="00443E2F"/>
    <w:rsid w:val="00444188"/>
    <w:rsid w:val="00444473"/>
    <w:rsid w:val="0044482D"/>
    <w:rsid w:val="00444927"/>
    <w:rsid w:val="00444FEA"/>
    <w:rsid w:val="004458AB"/>
    <w:rsid w:val="00445A3C"/>
    <w:rsid w:val="00445C66"/>
    <w:rsid w:val="00445C9F"/>
    <w:rsid w:val="00446D64"/>
    <w:rsid w:val="00446D8E"/>
    <w:rsid w:val="00446E05"/>
    <w:rsid w:val="004475D5"/>
    <w:rsid w:val="00450347"/>
    <w:rsid w:val="004503A1"/>
    <w:rsid w:val="00450674"/>
    <w:rsid w:val="00451846"/>
    <w:rsid w:val="00451E7F"/>
    <w:rsid w:val="0045201A"/>
    <w:rsid w:val="0045229F"/>
    <w:rsid w:val="00452A66"/>
    <w:rsid w:val="0045317A"/>
    <w:rsid w:val="004536EF"/>
    <w:rsid w:val="00453DB3"/>
    <w:rsid w:val="00453DCC"/>
    <w:rsid w:val="00453FFE"/>
    <w:rsid w:val="00454800"/>
    <w:rsid w:val="00454858"/>
    <w:rsid w:val="00454B8F"/>
    <w:rsid w:val="00454C20"/>
    <w:rsid w:val="00454CB4"/>
    <w:rsid w:val="00454F7D"/>
    <w:rsid w:val="004557BD"/>
    <w:rsid w:val="004558FA"/>
    <w:rsid w:val="00455CAE"/>
    <w:rsid w:val="00455E9B"/>
    <w:rsid w:val="00455EA7"/>
    <w:rsid w:val="004566DC"/>
    <w:rsid w:val="00456D15"/>
    <w:rsid w:val="00457005"/>
    <w:rsid w:val="004572EB"/>
    <w:rsid w:val="004573D0"/>
    <w:rsid w:val="004578E3"/>
    <w:rsid w:val="00457DFE"/>
    <w:rsid w:val="00460181"/>
    <w:rsid w:val="004602D4"/>
    <w:rsid w:val="00460321"/>
    <w:rsid w:val="004607F1"/>
    <w:rsid w:val="00460A4B"/>
    <w:rsid w:val="00461252"/>
    <w:rsid w:val="004613B8"/>
    <w:rsid w:val="0046159B"/>
    <w:rsid w:val="00461A84"/>
    <w:rsid w:val="00461A87"/>
    <w:rsid w:val="004620F4"/>
    <w:rsid w:val="0046215E"/>
    <w:rsid w:val="00462286"/>
    <w:rsid w:val="00462519"/>
    <w:rsid w:val="00462A92"/>
    <w:rsid w:val="00462F25"/>
    <w:rsid w:val="004631A1"/>
    <w:rsid w:val="0046330C"/>
    <w:rsid w:val="00463717"/>
    <w:rsid w:val="00463754"/>
    <w:rsid w:val="004637CD"/>
    <w:rsid w:val="0046405D"/>
    <w:rsid w:val="0046427F"/>
    <w:rsid w:val="00465381"/>
    <w:rsid w:val="004653AD"/>
    <w:rsid w:val="00465498"/>
    <w:rsid w:val="00465A3C"/>
    <w:rsid w:val="00465D94"/>
    <w:rsid w:val="00465F55"/>
    <w:rsid w:val="0046615C"/>
    <w:rsid w:val="004665C7"/>
    <w:rsid w:val="00466742"/>
    <w:rsid w:val="00466AE4"/>
    <w:rsid w:val="004673E5"/>
    <w:rsid w:val="0046756D"/>
    <w:rsid w:val="00467B68"/>
    <w:rsid w:val="004704B5"/>
    <w:rsid w:val="00470883"/>
    <w:rsid w:val="004708D2"/>
    <w:rsid w:val="00470A80"/>
    <w:rsid w:val="00470F9C"/>
    <w:rsid w:val="00471361"/>
    <w:rsid w:val="0047140D"/>
    <w:rsid w:val="00472834"/>
    <w:rsid w:val="00472ADA"/>
    <w:rsid w:val="00472AF9"/>
    <w:rsid w:val="00472E87"/>
    <w:rsid w:val="00472FD2"/>
    <w:rsid w:val="00473332"/>
    <w:rsid w:val="00473CDF"/>
    <w:rsid w:val="00473F72"/>
    <w:rsid w:val="00474322"/>
    <w:rsid w:val="0047451B"/>
    <w:rsid w:val="00474620"/>
    <w:rsid w:val="004746DF"/>
    <w:rsid w:val="00474827"/>
    <w:rsid w:val="004751F6"/>
    <w:rsid w:val="0047548C"/>
    <w:rsid w:val="00475DC2"/>
    <w:rsid w:val="00476446"/>
    <w:rsid w:val="0047691F"/>
    <w:rsid w:val="00476C19"/>
    <w:rsid w:val="004778F1"/>
    <w:rsid w:val="004779AB"/>
    <w:rsid w:val="004779B9"/>
    <w:rsid w:val="00477FA2"/>
    <w:rsid w:val="004801BA"/>
    <w:rsid w:val="0048028B"/>
    <w:rsid w:val="00480388"/>
    <w:rsid w:val="0048098C"/>
    <w:rsid w:val="00481C87"/>
    <w:rsid w:val="004828B4"/>
    <w:rsid w:val="00482B8F"/>
    <w:rsid w:val="00482F94"/>
    <w:rsid w:val="004836EF"/>
    <w:rsid w:val="004840B7"/>
    <w:rsid w:val="00484F5A"/>
    <w:rsid w:val="00485352"/>
    <w:rsid w:val="0048639E"/>
    <w:rsid w:val="004876C2"/>
    <w:rsid w:val="004878B6"/>
    <w:rsid w:val="00490151"/>
    <w:rsid w:val="00490831"/>
    <w:rsid w:val="00491095"/>
    <w:rsid w:val="00491142"/>
    <w:rsid w:val="00491231"/>
    <w:rsid w:val="004918B1"/>
    <w:rsid w:val="00491A2E"/>
    <w:rsid w:val="00491AA2"/>
    <w:rsid w:val="00492C56"/>
    <w:rsid w:val="00492E49"/>
    <w:rsid w:val="00492F1A"/>
    <w:rsid w:val="00493419"/>
    <w:rsid w:val="00493782"/>
    <w:rsid w:val="00493CF5"/>
    <w:rsid w:val="00493E2D"/>
    <w:rsid w:val="004948FD"/>
    <w:rsid w:val="00494AD0"/>
    <w:rsid w:val="00494B2E"/>
    <w:rsid w:val="00495178"/>
    <w:rsid w:val="004952A2"/>
    <w:rsid w:val="004953CF"/>
    <w:rsid w:val="0049590C"/>
    <w:rsid w:val="00495D9A"/>
    <w:rsid w:val="00496562"/>
    <w:rsid w:val="004966E0"/>
    <w:rsid w:val="00496B70"/>
    <w:rsid w:val="00496D4F"/>
    <w:rsid w:val="00497775"/>
    <w:rsid w:val="00497ED9"/>
    <w:rsid w:val="004A0ECC"/>
    <w:rsid w:val="004A103A"/>
    <w:rsid w:val="004A1246"/>
    <w:rsid w:val="004A17D3"/>
    <w:rsid w:val="004A17FA"/>
    <w:rsid w:val="004A25D9"/>
    <w:rsid w:val="004A295A"/>
    <w:rsid w:val="004A3761"/>
    <w:rsid w:val="004A37BC"/>
    <w:rsid w:val="004A3DFC"/>
    <w:rsid w:val="004A3F18"/>
    <w:rsid w:val="004A41A5"/>
    <w:rsid w:val="004A43C8"/>
    <w:rsid w:val="004A4C54"/>
    <w:rsid w:val="004A4D06"/>
    <w:rsid w:val="004A4FC8"/>
    <w:rsid w:val="004A5232"/>
    <w:rsid w:val="004A556C"/>
    <w:rsid w:val="004A5729"/>
    <w:rsid w:val="004A6D5E"/>
    <w:rsid w:val="004A76F0"/>
    <w:rsid w:val="004B000C"/>
    <w:rsid w:val="004B0A5F"/>
    <w:rsid w:val="004B11AD"/>
    <w:rsid w:val="004B11E3"/>
    <w:rsid w:val="004B157C"/>
    <w:rsid w:val="004B15CE"/>
    <w:rsid w:val="004B1791"/>
    <w:rsid w:val="004B214B"/>
    <w:rsid w:val="004B25FF"/>
    <w:rsid w:val="004B2630"/>
    <w:rsid w:val="004B342B"/>
    <w:rsid w:val="004B37DF"/>
    <w:rsid w:val="004B4986"/>
    <w:rsid w:val="004B4A7F"/>
    <w:rsid w:val="004B4C88"/>
    <w:rsid w:val="004B51A3"/>
    <w:rsid w:val="004B534E"/>
    <w:rsid w:val="004B59CB"/>
    <w:rsid w:val="004B5AA3"/>
    <w:rsid w:val="004B6621"/>
    <w:rsid w:val="004B6901"/>
    <w:rsid w:val="004B6F05"/>
    <w:rsid w:val="004C0712"/>
    <w:rsid w:val="004C0F0D"/>
    <w:rsid w:val="004C1062"/>
    <w:rsid w:val="004C1208"/>
    <w:rsid w:val="004C1838"/>
    <w:rsid w:val="004C1C11"/>
    <w:rsid w:val="004C1CE3"/>
    <w:rsid w:val="004C1E63"/>
    <w:rsid w:val="004C2626"/>
    <w:rsid w:val="004C26E3"/>
    <w:rsid w:val="004C2D28"/>
    <w:rsid w:val="004C3037"/>
    <w:rsid w:val="004C34C7"/>
    <w:rsid w:val="004C3FD7"/>
    <w:rsid w:val="004C49A0"/>
    <w:rsid w:val="004C4F85"/>
    <w:rsid w:val="004C5164"/>
    <w:rsid w:val="004C5AA1"/>
    <w:rsid w:val="004C5CC8"/>
    <w:rsid w:val="004C600D"/>
    <w:rsid w:val="004C6374"/>
    <w:rsid w:val="004C64D0"/>
    <w:rsid w:val="004C683A"/>
    <w:rsid w:val="004C6979"/>
    <w:rsid w:val="004C6B4F"/>
    <w:rsid w:val="004C6D63"/>
    <w:rsid w:val="004C6DF5"/>
    <w:rsid w:val="004C7209"/>
    <w:rsid w:val="004C79D9"/>
    <w:rsid w:val="004C7D11"/>
    <w:rsid w:val="004D00CF"/>
    <w:rsid w:val="004D1865"/>
    <w:rsid w:val="004D25E2"/>
    <w:rsid w:val="004D29DA"/>
    <w:rsid w:val="004D3217"/>
    <w:rsid w:val="004D3892"/>
    <w:rsid w:val="004D394A"/>
    <w:rsid w:val="004D3A17"/>
    <w:rsid w:val="004D3D10"/>
    <w:rsid w:val="004D4256"/>
    <w:rsid w:val="004D439A"/>
    <w:rsid w:val="004D4685"/>
    <w:rsid w:val="004D483A"/>
    <w:rsid w:val="004D4AC2"/>
    <w:rsid w:val="004D5038"/>
    <w:rsid w:val="004D566B"/>
    <w:rsid w:val="004D5C26"/>
    <w:rsid w:val="004D5D0B"/>
    <w:rsid w:val="004D5EBD"/>
    <w:rsid w:val="004D61E5"/>
    <w:rsid w:val="004D6314"/>
    <w:rsid w:val="004D676F"/>
    <w:rsid w:val="004D6A67"/>
    <w:rsid w:val="004D6D81"/>
    <w:rsid w:val="004D7312"/>
    <w:rsid w:val="004D7420"/>
    <w:rsid w:val="004D75A3"/>
    <w:rsid w:val="004D76A6"/>
    <w:rsid w:val="004E001F"/>
    <w:rsid w:val="004E054D"/>
    <w:rsid w:val="004E0655"/>
    <w:rsid w:val="004E07DA"/>
    <w:rsid w:val="004E1454"/>
    <w:rsid w:val="004E1D12"/>
    <w:rsid w:val="004E2921"/>
    <w:rsid w:val="004E2BC5"/>
    <w:rsid w:val="004E2D25"/>
    <w:rsid w:val="004E305F"/>
    <w:rsid w:val="004E325F"/>
    <w:rsid w:val="004E3860"/>
    <w:rsid w:val="004E3C85"/>
    <w:rsid w:val="004E3FB6"/>
    <w:rsid w:val="004E41AF"/>
    <w:rsid w:val="004E4277"/>
    <w:rsid w:val="004E4F95"/>
    <w:rsid w:val="004E52A0"/>
    <w:rsid w:val="004E53FC"/>
    <w:rsid w:val="004E578F"/>
    <w:rsid w:val="004E5CF5"/>
    <w:rsid w:val="004E5FB5"/>
    <w:rsid w:val="004E62BD"/>
    <w:rsid w:val="004E692A"/>
    <w:rsid w:val="004E7540"/>
    <w:rsid w:val="004E7A4B"/>
    <w:rsid w:val="004E7FC0"/>
    <w:rsid w:val="004F00FE"/>
    <w:rsid w:val="004F05B8"/>
    <w:rsid w:val="004F0657"/>
    <w:rsid w:val="004F0917"/>
    <w:rsid w:val="004F1A7E"/>
    <w:rsid w:val="004F23CA"/>
    <w:rsid w:val="004F25C8"/>
    <w:rsid w:val="004F25DD"/>
    <w:rsid w:val="004F2F35"/>
    <w:rsid w:val="004F3786"/>
    <w:rsid w:val="004F3943"/>
    <w:rsid w:val="004F3B81"/>
    <w:rsid w:val="004F3BE6"/>
    <w:rsid w:val="004F3C52"/>
    <w:rsid w:val="004F3D20"/>
    <w:rsid w:val="004F4864"/>
    <w:rsid w:val="004F4978"/>
    <w:rsid w:val="004F4C30"/>
    <w:rsid w:val="004F4CE3"/>
    <w:rsid w:val="004F4ED1"/>
    <w:rsid w:val="004F4F47"/>
    <w:rsid w:val="004F56ED"/>
    <w:rsid w:val="004F5D56"/>
    <w:rsid w:val="004F5FA0"/>
    <w:rsid w:val="004F6045"/>
    <w:rsid w:val="004F6147"/>
    <w:rsid w:val="004F614F"/>
    <w:rsid w:val="004F675B"/>
    <w:rsid w:val="004F6933"/>
    <w:rsid w:val="004F69FE"/>
    <w:rsid w:val="004F725B"/>
    <w:rsid w:val="004F752A"/>
    <w:rsid w:val="004F781C"/>
    <w:rsid w:val="004F7907"/>
    <w:rsid w:val="004F7918"/>
    <w:rsid w:val="004F7E4D"/>
    <w:rsid w:val="004F7FD0"/>
    <w:rsid w:val="0050098F"/>
    <w:rsid w:val="00500AE6"/>
    <w:rsid w:val="00500B30"/>
    <w:rsid w:val="00500CC6"/>
    <w:rsid w:val="00500F4D"/>
    <w:rsid w:val="005014B2"/>
    <w:rsid w:val="0050229E"/>
    <w:rsid w:val="005034B7"/>
    <w:rsid w:val="00503797"/>
    <w:rsid w:val="0050398F"/>
    <w:rsid w:val="00503F6D"/>
    <w:rsid w:val="00504A08"/>
    <w:rsid w:val="00505B35"/>
    <w:rsid w:val="005067EB"/>
    <w:rsid w:val="00506A6F"/>
    <w:rsid w:val="00506B64"/>
    <w:rsid w:val="005079A3"/>
    <w:rsid w:val="00510460"/>
    <w:rsid w:val="005107AD"/>
    <w:rsid w:val="00510AC7"/>
    <w:rsid w:val="005110DB"/>
    <w:rsid w:val="005111E1"/>
    <w:rsid w:val="00511308"/>
    <w:rsid w:val="0051135D"/>
    <w:rsid w:val="00511882"/>
    <w:rsid w:val="00511D96"/>
    <w:rsid w:val="0051227C"/>
    <w:rsid w:val="0051254F"/>
    <w:rsid w:val="00512990"/>
    <w:rsid w:val="005130A1"/>
    <w:rsid w:val="00513515"/>
    <w:rsid w:val="00513BE9"/>
    <w:rsid w:val="00513C1F"/>
    <w:rsid w:val="00513E25"/>
    <w:rsid w:val="0051430B"/>
    <w:rsid w:val="005144B5"/>
    <w:rsid w:val="00514710"/>
    <w:rsid w:val="00514D27"/>
    <w:rsid w:val="00514D9B"/>
    <w:rsid w:val="0051538D"/>
    <w:rsid w:val="005162F1"/>
    <w:rsid w:val="00516603"/>
    <w:rsid w:val="0051788F"/>
    <w:rsid w:val="005219BF"/>
    <w:rsid w:val="005219D0"/>
    <w:rsid w:val="00522B77"/>
    <w:rsid w:val="005234BC"/>
    <w:rsid w:val="00523A99"/>
    <w:rsid w:val="00523D53"/>
    <w:rsid w:val="00523EA5"/>
    <w:rsid w:val="00523F12"/>
    <w:rsid w:val="00523FCF"/>
    <w:rsid w:val="0052453B"/>
    <w:rsid w:val="00524DB0"/>
    <w:rsid w:val="00525285"/>
    <w:rsid w:val="0052553B"/>
    <w:rsid w:val="00525960"/>
    <w:rsid w:val="00525BBB"/>
    <w:rsid w:val="00525FD2"/>
    <w:rsid w:val="00526118"/>
    <w:rsid w:val="005263EB"/>
    <w:rsid w:val="005264E7"/>
    <w:rsid w:val="0052699C"/>
    <w:rsid w:val="00526EAF"/>
    <w:rsid w:val="00526F84"/>
    <w:rsid w:val="0052700A"/>
    <w:rsid w:val="00527282"/>
    <w:rsid w:val="00527A3A"/>
    <w:rsid w:val="00527A5E"/>
    <w:rsid w:val="00527BA9"/>
    <w:rsid w:val="00527E75"/>
    <w:rsid w:val="00527FDE"/>
    <w:rsid w:val="00530166"/>
    <w:rsid w:val="0053028F"/>
    <w:rsid w:val="00530771"/>
    <w:rsid w:val="00530783"/>
    <w:rsid w:val="00530833"/>
    <w:rsid w:val="00530DE9"/>
    <w:rsid w:val="00530F0B"/>
    <w:rsid w:val="00531A58"/>
    <w:rsid w:val="005320EA"/>
    <w:rsid w:val="005327DB"/>
    <w:rsid w:val="00533038"/>
    <w:rsid w:val="00534939"/>
    <w:rsid w:val="005349F7"/>
    <w:rsid w:val="0053516D"/>
    <w:rsid w:val="005359C4"/>
    <w:rsid w:val="0053625D"/>
    <w:rsid w:val="0053663A"/>
    <w:rsid w:val="005367E4"/>
    <w:rsid w:val="0053686A"/>
    <w:rsid w:val="00536895"/>
    <w:rsid w:val="005369A2"/>
    <w:rsid w:val="00536F59"/>
    <w:rsid w:val="00537507"/>
    <w:rsid w:val="00537A32"/>
    <w:rsid w:val="00537D1F"/>
    <w:rsid w:val="00537D7C"/>
    <w:rsid w:val="005406B0"/>
    <w:rsid w:val="00540749"/>
    <w:rsid w:val="0054077E"/>
    <w:rsid w:val="00540889"/>
    <w:rsid w:val="00540997"/>
    <w:rsid w:val="00540FAC"/>
    <w:rsid w:val="005412F3"/>
    <w:rsid w:val="00541413"/>
    <w:rsid w:val="00542264"/>
    <w:rsid w:val="00542BA4"/>
    <w:rsid w:val="00542EA1"/>
    <w:rsid w:val="005431F0"/>
    <w:rsid w:val="005431FC"/>
    <w:rsid w:val="005432D7"/>
    <w:rsid w:val="005434FF"/>
    <w:rsid w:val="00543C23"/>
    <w:rsid w:val="00543D2C"/>
    <w:rsid w:val="00544329"/>
    <w:rsid w:val="00544453"/>
    <w:rsid w:val="005446AA"/>
    <w:rsid w:val="00545125"/>
    <w:rsid w:val="005454D3"/>
    <w:rsid w:val="00545C3B"/>
    <w:rsid w:val="00545DC1"/>
    <w:rsid w:val="00546FA9"/>
    <w:rsid w:val="005472F5"/>
    <w:rsid w:val="0054766B"/>
    <w:rsid w:val="005477A8"/>
    <w:rsid w:val="00547AFA"/>
    <w:rsid w:val="00547D87"/>
    <w:rsid w:val="00547F4B"/>
    <w:rsid w:val="005503D4"/>
    <w:rsid w:val="00550AA6"/>
    <w:rsid w:val="005516BD"/>
    <w:rsid w:val="00552061"/>
    <w:rsid w:val="00552A9A"/>
    <w:rsid w:val="0055304F"/>
    <w:rsid w:val="005530E3"/>
    <w:rsid w:val="00553112"/>
    <w:rsid w:val="00553457"/>
    <w:rsid w:val="005539EC"/>
    <w:rsid w:val="00553A0B"/>
    <w:rsid w:val="00554607"/>
    <w:rsid w:val="00554627"/>
    <w:rsid w:val="005547FF"/>
    <w:rsid w:val="00554C99"/>
    <w:rsid w:val="005555CA"/>
    <w:rsid w:val="0055582F"/>
    <w:rsid w:val="00555E12"/>
    <w:rsid w:val="005560BF"/>
    <w:rsid w:val="005563C9"/>
    <w:rsid w:val="005571A6"/>
    <w:rsid w:val="005571BF"/>
    <w:rsid w:val="005574F9"/>
    <w:rsid w:val="0055764E"/>
    <w:rsid w:val="00557914"/>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1F93"/>
    <w:rsid w:val="0056276F"/>
    <w:rsid w:val="005629D3"/>
    <w:rsid w:val="00562E3D"/>
    <w:rsid w:val="00563ADB"/>
    <w:rsid w:val="00563F4C"/>
    <w:rsid w:val="00563F75"/>
    <w:rsid w:val="005640C6"/>
    <w:rsid w:val="005640EB"/>
    <w:rsid w:val="00564129"/>
    <w:rsid w:val="00564671"/>
    <w:rsid w:val="00564985"/>
    <w:rsid w:val="00565514"/>
    <w:rsid w:val="00566803"/>
    <w:rsid w:val="00566845"/>
    <w:rsid w:val="00566EF4"/>
    <w:rsid w:val="005679B2"/>
    <w:rsid w:val="00567EC7"/>
    <w:rsid w:val="00570499"/>
    <w:rsid w:val="00570584"/>
    <w:rsid w:val="00570B66"/>
    <w:rsid w:val="005712D6"/>
    <w:rsid w:val="00571812"/>
    <w:rsid w:val="00571DCD"/>
    <w:rsid w:val="0057218C"/>
    <w:rsid w:val="00572247"/>
    <w:rsid w:val="0057272D"/>
    <w:rsid w:val="005728B8"/>
    <w:rsid w:val="00572A64"/>
    <w:rsid w:val="00572C81"/>
    <w:rsid w:val="00572E70"/>
    <w:rsid w:val="00573369"/>
    <w:rsid w:val="00573814"/>
    <w:rsid w:val="00573C20"/>
    <w:rsid w:val="00573DD9"/>
    <w:rsid w:val="00574120"/>
    <w:rsid w:val="0057418A"/>
    <w:rsid w:val="00574208"/>
    <w:rsid w:val="00574923"/>
    <w:rsid w:val="00574D59"/>
    <w:rsid w:val="00575C24"/>
    <w:rsid w:val="00576226"/>
    <w:rsid w:val="00576249"/>
    <w:rsid w:val="005762EA"/>
    <w:rsid w:val="005767AE"/>
    <w:rsid w:val="00576B97"/>
    <w:rsid w:val="00576FDE"/>
    <w:rsid w:val="00577673"/>
    <w:rsid w:val="00577A7B"/>
    <w:rsid w:val="00580390"/>
    <w:rsid w:val="005817B2"/>
    <w:rsid w:val="005819F7"/>
    <w:rsid w:val="00581AC7"/>
    <w:rsid w:val="00581C35"/>
    <w:rsid w:val="00582004"/>
    <w:rsid w:val="005824C6"/>
    <w:rsid w:val="00582674"/>
    <w:rsid w:val="0058271E"/>
    <w:rsid w:val="0058283F"/>
    <w:rsid w:val="005829C1"/>
    <w:rsid w:val="00582CE5"/>
    <w:rsid w:val="00583930"/>
    <w:rsid w:val="00583BAF"/>
    <w:rsid w:val="00583BFE"/>
    <w:rsid w:val="00583CC8"/>
    <w:rsid w:val="00583D8A"/>
    <w:rsid w:val="00583EFD"/>
    <w:rsid w:val="005840EF"/>
    <w:rsid w:val="00584272"/>
    <w:rsid w:val="00584356"/>
    <w:rsid w:val="005845A3"/>
    <w:rsid w:val="005848F8"/>
    <w:rsid w:val="00584D14"/>
    <w:rsid w:val="00584E2F"/>
    <w:rsid w:val="00585151"/>
    <w:rsid w:val="0058525B"/>
    <w:rsid w:val="00585AF4"/>
    <w:rsid w:val="00585C03"/>
    <w:rsid w:val="00585D14"/>
    <w:rsid w:val="00586637"/>
    <w:rsid w:val="00586C2A"/>
    <w:rsid w:val="00587A2A"/>
    <w:rsid w:val="00587C46"/>
    <w:rsid w:val="00587E07"/>
    <w:rsid w:val="00587F56"/>
    <w:rsid w:val="00587FD9"/>
    <w:rsid w:val="005906A9"/>
    <w:rsid w:val="005908B9"/>
    <w:rsid w:val="00591265"/>
    <w:rsid w:val="00591283"/>
    <w:rsid w:val="005915A4"/>
    <w:rsid w:val="005922D3"/>
    <w:rsid w:val="005924D3"/>
    <w:rsid w:val="005924F1"/>
    <w:rsid w:val="005925E3"/>
    <w:rsid w:val="00592BEC"/>
    <w:rsid w:val="0059304D"/>
    <w:rsid w:val="005933AE"/>
    <w:rsid w:val="00593431"/>
    <w:rsid w:val="0059369F"/>
    <w:rsid w:val="00593D8F"/>
    <w:rsid w:val="00594318"/>
    <w:rsid w:val="00594710"/>
    <w:rsid w:val="00594CD1"/>
    <w:rsid w:val="00595156"/>
    <w:rsid w:val="0059541A"/>
    <w:rsid w:val="00595A58"/>
    <w:rsid w:val="00595CE4"/>
    <w:rsid w:val="00596832"/>
    <w:rsid w:val="00596CCB"/>
    <w:rsid w:val="00596DB6"/>
    <w:rsid w:val="00596FD6"/>
    <w:rsid w:val="00597753"/>
    <w:rsid w:val="00597817"/>
    <w:rsid w:val="00597858"/>
    <w:rsid w:val="00597E1A"/>
    <w:rsid w:val="00597E6F"/>
    <w:rsid w:val="005A01D5"/>
    <w:rsid w:val="005A0203"/>
    <w:rsid w:val="005A052F"/>
    <w:rsid w:val="005A0EFC"/>
    <w:rsid w:val="005A1018"/>
    <w:rsid w:val="005A1099"/>
    <w:rsid w:val="005A12EF"/>
    <w:rsid w:val="005A1980"/>
    <w:rsid w:val="005A1A26"/>
    <w:rsid w:val="005A1C37"/>
    <w:rsid w:val="005A1CEC"/>
    <w:rsid w:val="005A1F74"/>
    <w:rsid w:val="005A2130"/>
    <w:rsid w:val="005A2526"/>
    <w:rsid w:val="005A2593"/>
    <w:rsid w:val="005A27E6"/>
    <w:rsid w:val="005A3196"/>
    <w:rsid w:val="005A339E"/>
    <w:rsid w:val="005A3CA4"/>
    <w:rsid w:val="005A408B"/>
    <w:rsid w:val="005A4F9C"/>
    <w:rsid w:val="005A505E"/>
    <w:rsid w:val="005A5908"/>
    <w:rsid w:val="005A6A7C"/>
    <w:rsid w:val="005A6F80"/>
    <w:rsid w:val="005A71F2"/>
    <w:rsid w:val="005A7215"/>
    <w:rsid w:val="005A726F"/>
    <w:rsid w:val="005A782E"/>
    <w:rsid w:val="005A793B"/>
    <w:rsid w:val="005A79AE"/>
    <w:rsid w:val="005B0084"/>
    <w:rsid w:val="005B1394"/>
    <w:rsid w:val="005B1592"/>
    <w:rsid w:val="005B1644"/>
    <w:rsid w:val="005B18D6"/>
    <w:rsid w:val="005B2054"/>
    <w:rsid w:val="005B2607"/>
    <w:rsid w:val="005B26FD"/>
    <w:rsid w:val="005B274E"/>
    <w:rsid w:val="005B2CFA"/>
    <w:rsid w:val="005B2D07"/>
    <w:rsid w:val="005B2DE2"/>
    <w:rsid w:val="005B3109"/>
    <w:rsid w:val="005B31CD"/>
    <w:rsid w:val="005B34B3"/>
    <w:rsid w:val="005B429E"/>
    <w:rsid w:val="005B43EE"/>
    <w:rsid w:val="005B44D0"/>
    <w:rsid w:val="005B4B13"/>
    <w:rsid w:val="005B4CD8"/>
    <w:rsid w:val="005B5B11"/>
    <w:rsid w:val="005B60BD"/>
    <w:rsid w:val="005B6837"/>
    <w:rsid w:val="005B7448"/>
    <w:rsid w:val="005C0607"/>
    <w:rsid w:val="005C0A76"/>
    <w:rsid w:val="005C0F51"/>
    <w:rsid w:val="005C11E6"/>
    <w:rsid w:val="005C1228"/>
    <w:rsid w:val="005C13DF"/>
    <w:rsid w:val="005C13FB"/>
    <w:rsid w:val="005C1F3B"/>
    <w:rsid w:val="005C208C"/>
    <w:rsid w:val="005C2E67"/>
    <w:rsid w:val="005C35ED"/>
    <w:rsid w:val="005C35FA"/>
    <w:rsid w:val="005C3D66"/>
    <w:rsid w:val="005C47AB"/>
    <w:rsid w:val="005C4CB7"/>
    <w:rsid w:val="005C4D24"/>
    <w:rsid w:val="005C4DD7"/>
    <w:rsid w:val="005C539A"/>
    <w:rsid w:val="005C5D65"/>
    <w:rsid w:val="005C60BE"/>
    <w:rsid w:val="005C641A"/>
    <w:rsid w:val="005C778A"/>
    <w:rsid w:val="005C784B"/>
    <w:rsid w:val="005C794A"/>
    <w:rsid w:val="005C7990"/>
    <w:rsid w:val="005C7B1F"/>
    <w:rsid w:val="005C7CEE"/>
    <w:rsid w:val="005C7F78"/>
    <w:rsid w:val="005D12BF"/>
    <w:rsid w:val="005D130E"/>
    <w:rsid w:val="005D14E9"/>
    <w:rsid w:val="005D1947"/>
    <w:rsid w:val="005D1B75"/>
    <w:rsid w:val="005D1C71"/>
    <w:rsid w:val="005D1D4F"/>
    <w:rsid w:val="005D21A6"/>
    <w:rsid w:val="005D29D5"/>
    <w:rsid w:val="005D2E58"/>
    <w:rsid w:val="005D37A5"/>
    <w:rsid w:val="005D3CD9"/>
    <w:rsid w:val="005D3E97"/>
    <w:rsid w:val="005D3F76"/>
    <w:rsid w:val="005D4095"/>
    <w:rsid w:val="005D4641"/>
    <w:rsid w:val="005D49FF"/>
    <w:rsid w:val="005D4D0A"/>
    <w:rsid w:val="005D52E7"/>
    <w:rsid w:val="005D55E9"/>
    <w:rsid w:val="005D5695"/>
    <w:rsid w:val="005D63D6"/>
    <w:rsid w:val="005D76D8"/>
    <w:rsid w:val="005D7ED3"/>
    <w:rsid w:val="005E0862"/>
    <w:rsid w:val="005E0AE1"/>
    <w:rsid w:val="005E1375"/>
    <w:rsid w:val="005E147F"/>
    <w:rsid w:val="005E1CEB"/>
    <w:rsid w:val="005E1F21"/>
    <w:rsid w:val="005E2A30"/>
    <w:rsid w:val="005E2EAC"/>
    <w:rsid w:val="005E2FF1"/>
    <w:rsid w:val="005E31FA"/>
    <w:rsid w:val="005E357E"/>
    <w:rsid w:val="005E3850"/>
    <w:rsid w:val="005E3B2B"/>
    <w:rsid w:val="005E3DEF"/>
    <w:rsid w:val="005E4418"/>
    <w:rsid w:val="005E489E"/>
    <w:rsid w:val="005E4B98"/>
    <w:rsid w:val="005E4D30"/>
    <w:rsid w:val="005E4E97"/>
    <w:rsid w:val="005E5006"/>
    <w:rsid w:val="005E5156"/>
    <w:rsid w:val="005E5C65"/>
    <w:rsid w:val="005E5D8D"/>
    <w:rsid w:val="005E5DFA"/>
    <w:rsid w:val="005E6782"/>
    <w:rsid w:val="005E682E"/>
    <w:rsid w:val="005E6F86"/>
    <w:rsid w:val="005E7479"/>
    <w:rsid w:val="005E7892"/>
    <w:rsid w:val="005E7DE8"/>
    <w:rsid w:val="005F01CD"/>
    <w:rsid w:val="005F0245"/>
    <w:rsid w:val="005F0652"/>
    <w:rsid w:val="005F0719"/>
    <w:rsid w:val="005F07BE"/>
    <w:rsid w:val="005F0F5F"/>
    <w:rsid w:val="005F1146"/>
    <w:rsid w:val="005F1333"/>
    <w:rsid w:val="005F2E56"/>
    <w:rsid w:val="005F34FD"/>
    <w:rsid w:val="005F3534"/>
    <w:rsid w:val="005F37A6"/>
    <w:rsid w:val="005F3CEA"/>
    <w:rsid w:val="005F4065"/>
    <w:rsid w:val="005F43D6"/>
    <w:rsid w:val="005F448F"/>
    <w:rsid w:val="005F46E8"/>
    <w:rsid w:val="005F4A97"/>
    <w:rsid w:val="005F4E85"/>
    <w:rsid w:val="005F4F56"/>
    <w:rsid w:val="005F537C"/>
    <w:rsid w:val="005F53AD"/>
    <w:rsid w:val="005F546F"/>
    <w:rsid w:val="005F5479"/>
    <w:rsid w:val="005F586D"/>
    <w:rsid w:val="005F5B32"/>
    <w:rsid w:val="005F5DDB"/>
    <w:rsid w:val="005F5E0E"/>
    <w:rsid w:val="005F65D5"/>
    <w:rsid w:val="005F66DC"/>
    <w:rsid w:val="005F6754"/>
    <w:rsid w:val="005F6E00"/>
    <w:rsid w:val="005F711C"/>
    <w:rsid w:val="005F731B"/>
    <w:rsid w:val="005F790D"/>
    <w:rsid w:val="0060066C"/>
    <w:rsid w:val="00600A39"/>
    <w:rsid w:val="00601229"/>
    <w:rsid w:val="006012B7"/>
    <w:rsid w:val="006013FB"/>
    <w:rsid w:val="0060162F"/>
    <w:rsid w:val="00601C0A"/>
    <w:rsid w:val="00601CF8"/>
    <w:rsid w:val="00601EB8"/>
    <w:rsid w:val="00601F1A"/>
    <w:rsid w:val="00602191"/>
    <w:rsid w:val="00602746"/>
    <w:rsid w:val="0060294C"/>
    <w:rsid w:val="00603073"/>
    <w:rsid w:val="0060307F"/>
    <w:rsid w:val="00603128"/>
    <w:rsid w:val="006033B0"/>
    <w:rsid w:val="006036E2"/>
    <w:rsid w:val="006037C5"/>
    <w:rsid w:val="006043F7"/>
    <w:rsid w:val="00604BB9"/>
    <w:rsid w:val="00604F87"/>
    <w:rsid w:val="006052B9"/>
    <w:rsid w:val="00605607"/>
    <w:rsid w:val="00605E4D"/>
    <w:rsid w:val="00606458"/>
    <w:rsid w:val="00606B63"/>
    <w:rsid w:val="00606CC5"/>
    <w:rsid w:val="006070F5"/>
    <w:rsid w:val="00607141"/>
    <w:rsid w:val="00607232"/>
    <w:rsid w:val="00607B23"/>
    <w:rsid w:val="00607C47"/>
    <w:rsid w:val="00610448"/>
    <w:rsid w:val="006108D3"/>
    <w:rsid w:val="00610B97"/>
    <w:rsid w:val="006110A5"/>
    <w:rsid w:val="00611189"/>
    <w:rsid w:val="0061156C"/>
    <w:rsid w:val="006125C5"/>
    <w:rsid w:val="0061278B"/>
    <w:rsid w:val="006127C7"/>
    <w:rsid w:val="00612DF6"/>
    <w:rsid w:val="0061302F"/>
    <w:rsid w:val="0061371C"/>
    <w:rsid w:val="006139FC"/>
    <w:rsid w:val="006144BB"/>
    <w:rsid w:val="00615BB1"/>
    <w:rsid w:val="00615E03"/>
    <w:rsid w:val="00616900"/>
    <w:rsid w:val="00616ACC"/>
    <w:rsid w:val="00616B2A"/>
    <w:rsid w:val="00616C2F"/>
    <w:rsid w:val="00616EF3"/>
    <w:rsid w:val="006172C6"/>
    <w:rsid w:val="00617376"/>
    <w:rsid w:val="0061744E"/>
    <w:rsid w:val="006176AA"/>
    <w:rsid w:val="0061799E"/>
    <w:rsid w:val="00617CDA"/>
    <w:rsid w:val="00617D13"/>
    <w:rsid w:val="0062014C"/>
    <w:rsid w:val="006204D9"/>
    <w:rsid w:val="006205AD"/>
    <w:rsid w:val="00620B83"/>
    <w:rsid w:val="00620F8E"/>
    <w:rsid w:val="00621934"/>
    <w:rsid w:val="00622007"/>
    <w:rsid w:val="006220CD"/>
    <w:rsid w:val="0062222F"/>
    <w:rsid w:val="00623248"/>
    <w:rsid w:val="006237D2"/>
    <w:rsid w:val="00623A9C"/>
    <w:rsid w:val="00623D1E"/>
    <w:rsid w:val="00623D94"/>
    <w:rsid w:val="00623F1D"/>
    <w:rsid w:val="00624174"/>
    <w:rsid w:val="00624564"/>
    <w:rsid w:val="00624D93"/>
    <w:rsid w:val="00624E9E"/>
    <w:rsid w:val="00625248"/>
    <w:rsid w:val="006254B1"/>
    <w:rsid w:val="00625577"/>
    <w:rsid w:val="006270EC"/>
    <w:rsid w:val="00630007"/>
    <w:rsid w:val="006300AB"/>
    <w:rsid w:val="006305AE"/>
    <w:rsid w:val="0063063C"/>
    <w:rsid w:val="00630909"/>
    <w:rsid w:val="00630940"/>
    <w:rsid w:val="00630B6A"/>
    <w:rsid w:val="00630D27"/>
    <w:rsid w:val="0063111C"/>
    <w:rsid w:val="006312F7"/>
    <w:rsid w:val="00631B41"/>
    <w:rsid w:val="00631B51"/>
    <w:rsid w:val="006320CB"/>
    <w:rsid w:val="00632656"/>
    <w:rsid w:val="006326D0"/>
    <w:rsid w:val="00632996"/>
    <w:rsid w:val="00632F67"/>
    <w:rsid w:val="00634182"/>
    <w:rsid w:val="006345ED"/>
    <w:rsid w:val="006345EE"/>
    <w:rsid w:val="006346B6"/>
    <w:rsid w:val="00635744"/>
    <w:rsid w:val="00635BD2"/>
    <w:rsid w:val="00637329"/>
    <w:rsid w:val="00637998"/>
    <w:rsid w:val="00637F8D"/>
    <w:rsid w:val="00640005"/>
    <w:rsid w:val="0064043A"/>
    <w:rsid w:val="0064099A"/>
    <w:rsid w:val="00640D51"/>
    <w:rsid w:val="006415DF"/>
    <w:rsid w:val="00641758"/>
    <w:rsid w:val="0064199F"/>
    <w:rsid w:val="00641AFD"/>
    <w:rsid w:val="00641B2C"/>
    <w:rsid w:val="00641DF1"/>
    <w:rsid w:val="00642B83"/>
    <w:rsid w:val="0064341D"/>
    <w:rsid w:val="0064406E"/>
    <w:rsid w:val="00644143"/>
    <w:rsid w:val="00644462"/>
    <w:rsid w:val="00644C00"/>
    <w:rsid w:val="00645164"/>
    <w:rsid w:val="006456E3"/>
    <w:rsid w:val="00645969"/>
    <w:rsid w:val="00646006"/>
    <w:rsid w:val="00646600"/>
    <w:rsid w:val="0064695C"/>
    <w:rsid w:val="006469A2"/>
    <w:rsid w:val="00646AB8"/>
    <w:rsid w:val="00646D0D"/>
    <w:rsid w:val="006471F9"/>
    <w:rsid w:val="0064782E"/>
    <w:rsid w:val="00650606"/>
    <w:rsid w:val="006507E9"/>
    <w:rsid w:val="00650822"/>
    <w:rsid w:val="006509BC"/>
    <w:rsid w:val="00650A98"/>
    <w:rsid w:val="00650B5B"/>
    <w:rsid w:val="00651164"/>
    <w:rsid w:val="00652229"/>
    <w:rsid w:val="006522C3"/>
    <w:rsid w:val="006523EE"/>
    <w:rsid w:val="00652863"/>
    <w:rsid w:val="0065290E"/>
    <w:rsid w:val="00652921"/>
    <w:rsid w:val="00653631"/>
    <w:rsid w:val="006539BF"/>
    <w:rsid w:val="00653C4B"/>
    <w:rsid w:val="00653D6D"/>
    <w:rsid w:val="00654978"/>
    <w:rsid w:val="0065520B"/>
    <w:rsid w:val="00655EB2"/>
    <w:rsid w:val="006560A2"/>
    <w:rsid w:val="00656401"/>
    <w:rsid w:val="0065683B"/>
    <w:rsid w:val="00656989"/>
    <w:rsid w:val="006572C7"/>
    <w:rsid w:val="006578FA"/>
    <w:rsid w:val="00657AFD"/>
    <w:rsid w:val="00657C7D"/>
    <w:rsid w:val="00657D38"/>
    <w:rsid w:val="0066011E"/>
    <w:rsid w:val="0066025F"/>
    <w:rsid w:val="00660296"/>
    <w:rsid w:val="0066047B"/>
    <w:rsid w:val="00660CA0"/>
    <w:rsid w:val="00660E13"/>
    <w:rsid w:val="0066141F"/>
    <w:rsid w:val="00661B9D"/>
    <w:rsid w:val="00661EA7"/>
    <w:rsid w:val="00662356"/>
    <w:rsid w:val="0066240F"/>
    <w:rsid w:val="00662E8A"/>
    <w:rsid w:val="0066303D"/>
    <w:rsid w:val="00663040"/>
    <w:rsid w:val="00663136"/>
    <w:rsid w:val="00663BB8"/>
    <w:rsid w:val="00663CFC"/>
    <w:rsid w:val="0066419D"/>
    <w:rsid w:val="0066434A"/>
    <w:rsid w:val="0066495F"/>
    <w:rsid w:val="00664F27"/>
    <w:rsid w:val="006655C3"/>
    <w:rsid w:val="006658A7"/>
    <w:rsid w:val="00665AEC"/>
    <w:rsid w:val="006661AE"/>
    <w:rsid w:val="006661E7"/>
    <w:rsid w:val="00666ECC"/>
    <w:rsid w:val="0066711D"/>
    <w:rsid w:val="006674AF"/>
    <w:rsid w:val="00667861"/>
    <w:rsid w:val="00667EF3"/>
    <w:rsid w:val="00667FEE"/>
    <w:rsid w:val="006701A1"/>
    <w:rsid w:val="006707CC"/>
    <w:rsid w:val="00670A93"/>
    <w:rsid w:val="00670E7B"/>
    <w:rsid w:val="00670ECD"/>
    <w:rsid w:val="00671A8F"/>
    <w:rsid w:val="00671E17"/>
    <w:rsid w:val="00673173"/>
    <w:rsid w:val="006735DF"/>
    <w:rsid w:val="006738F4"/>
    <w:rsid w:val="00673BEE"/>
    <w:rsid w:val="006740EF"/>
    <w:rsid w:val="006741A4"/>
    <w:rsid w:val="00674669"/>
    <w:rsid w:val="006746D0"/>
    <w:rsid w:val="00674F04"/>
    <w:rsid w:val="00675115"/>
    <w:rsid w:val="006755CC"/>
    <w:rsid w:val="006756AB"/>
    <w:rsid w:val="006759B7"/>
    <w:rsid w:val="00675FA0"/>
    <w:rsid w:val="006773C2"/>
    <w:rsid w:val="00677B79"/>
    <w:rsid w:val="00677FAC"/>
    <w:rsid w:val="0068036D"/>
    <w:rsid w:val="00680B1F"/>
    <w:rsid w:val="00680E20"/>
    <w:rsid w:val="00680E60"/>
    <w:rsid w:val="00681D97"/>
    <w:rsid w:val="00681F24"/>
    <w:rsid w:val="006826D6"/>
    <w:rsid w:val="00682E7A"/>
    <w:rsid w:val="00682F49"/>
    <w:rsid w:val="006831B5"/>
    <w:rsid w:val="006838FF"/>
    <w:rsid w:val="00683C2E"/>
    <w:rsid w:val="00683FCA"/>
    <w:rsid w:val="006840C7"/>
    <w:rsid w:val="0068441B"/>
    <w:rsid w:val="0068476F"/>
    <w:rsid w:val="00684923"/>
    <w:rsid w:val="00684C89"/>
    <w:rsid w:val="00684FB5"/>
    <w:rsid w:val="0068553C"/>
    <w:rsid w:val="00685850"/>
    <w:rsid w:val="006865B6"/>
    <w:rsid w:val="00686A01"/>
    <w:rsid w:val="00686F5A"/>
    <w:rsid w:val="00686F72"/>
    <w:rsid w:val="0068744E"/>
    <w:rsid w:val="00687644"/>
    <w:rsid w:val="00687772"/>
    <w:rsid w:val="00687A58"/>
    <w:rsid w:val="00687CF6"/>
    <w:rsid w:val="00687D00"/>
    <w:rsid w:val="0069090F"/>
    <w:rsid w:val="0069098B"/>
    <w:rsid w:val="006909D5"/>
    <w:rsid w:val="00690AFF"/>
    <w:rsid w:val="006914F0"/>
    <w:rsid w:val="006914F5"/>
    <w:rsid w:val="00691C8C"/>
    <w:rsid w:val="00691D6A"/>
    <w:rsid w:val="00692264"/>
    <w:rsid w:val="00692725"/>
    <w:rsid w:val="00692A40"/>
    <w:rsid w:val="00692D39"/>
    <w:rsid w:val="006930F8"/>
    <w:rsid w:val="006937B2"/>
    <w:rsid w:val="00693912"/>
    <w:rsid w:val="00693BDB"/>
    <w:rsid w:val="00693E70"/>
    <w:rsid w:val="006940D3"/>
    <w:rsid w:val="006940F0"/>
    <w:rsid w:val="00694113"/>
    <w:rsid w:val="00694339"/>
    <w:rsid w:val="00694776"/>
    <w:rsid w:val="006949CD"/>
    <w:rsid w:val="00694A5E"/>
    <w:rsid w:val="00694EC2"/>
    <w:rsid w:val="006951E2"/>
    <w:rsid w:val="00695443"/>
    <w:rsid w:val="00695C9D"/>
    <w:rsid w:val="006966DF"/>
    <w:rsid w:val="00696EBA"/>
    <w:rsid w:val="00697663"/>
    <w:rsid w:val="006A04A4"/>
    <w:rsid w:val="006A0747"/>
    <w:rsid w:val="006A0978"/>
    <w:rsid w:val="006A0A42"/>
    <w:rsid w:val="006A0FF4"/>
    <w:rsid w:val="006A168E"/>
    <w:rsid w:val="006A16F0"/>
    <w:rsid w:val="006A18E6"/>
    <w:rsid w:val="006A1DBF"/>
    <w:rsid w:val="006A24C2"/>
    <w:rsid w:val="006A29F8"/>
    <w:rsid w:val="006A2C0D"/>
    <w:rsid w:val="006A2E50"/>
    <w:rsid w:val="006A4265"/>
    <w:rsid w:val="006A4C31"/>
    <w:rsid w:val="006A5495"/>
    <w:rsid w:val="006A55B0"/>
    <w:rsid w:val="006A5810"/>
    <w:rsid w:val="006A62E7"/>
    <w:rsid w:val="006A642B"/>
    <w:rsid w:val="006A6554"/>
    <w:rsid w:val="006A6C1F"/>
    <w:rsid w:val="006A7621"/>
    <w:rsid w:val="006A77AB"/>
    <w:rsid w:val="006A7C59"/>
    <w:rsid w:val="006A7D09"/>
    <w:rsid w:val="006B03E3"/>
    <w:rsid w:val="006B05BB"/>
    <w:rsid w:val="006B0723"/>
    <w:rsid w:val="006B0794"/>
    <w:rsid w:val="006B0890"/>
    <w:rsid w:val="006B1436"/>
    <w:rsid w:val="006B14B4"/>
    <w:rsid w:val="006B1692"/>
    <w:rsid w:val="006B18C1"/>
    <w:rsid w:val="006B1BDE"/>
    <w:rsid w:val="006B1E35"/>
    <w:rsid w:val="006B2071"/>
    <w:rsid w:val="006B25B8"/>
    <w:rsid w:val="006B279B"/>
    <w:rsid w:val="006B2F8C"/>
    <w:rsid w:val="006B316F"/>
    <w:rsid w:val="006B3598"/>
    <w:rsid w:val="006B37CB"/>
    <w:rsid w:val="006B38DF"/>
    <w:rsid w:val="006B3A35"/>
    <w:rsid w:val="006B3B20"/>
    <w:rsid w:val="006B3E1A"/>
    <w:rsid w:val="006B3F37"/>
    <w:rsid w:val="006B51B9"/>
    <w:rsid w:val="006B5584"/>
    <w:rsid w:val="006B5BA4"/>
    <w:rsid w:val="006B5F9A"/>
    <w:rsid w:val="006B75B6"/>
    <w:rsid w:val="006B7772"/>
    <w:rsid w:val="006C007B"/>
    <w:rsid w:val="006C0484"/>
    <w:rsid w:val="006C05A9"/>
    <w:rsid w:val="006C081C"/>
    <w:rsid w:val="006C09CC"/>
    <w:rsid w:val="006C148B"/>
    <w:rsid w:val="006C179E"/>
    <w:rsid w:val="006C1850"/>
    <w:rsid w:val="006C198A"/>
    <w:rsid w:val="006C2E1A"/>
    <w:rsid w:val="006C3991"/>
    <w:rsid w:val="006C3AB5"/>
    <w:rsid w:val="006C3AEA"/>
    <w:rsid w:val="006C562C"/>
    <w:rsid w:val="006C61A8"/>
    <w:rsid w:val="006C65A0"/>
    <w:rsid w:val="006C6E7A"/>
    <w:rsid w:val="006C76C7"/>
    <w:rsid w:val="006C7EC3"/>
    <w:rsid w:val="006D02CB"/>
    <w:rsid w:val="006D0793"/>
    <w:rsid w:val="006D0AAD"/>
    <w:rsid w:val="006D0F97"/>
    <w:rsid w:val="006D1AFD"/>
    <w:rsid w:val="006D1DBE"/>
    <w:rsid w:val="006D2352"/>
    <w:rsid w:val="006D2384"/>
    <w:rsid w:val="006D25D6"/>
    <w:rsid w:val="006D2889"/>
    <w:rsid w:val="006D2B84"/>
    <w:rsid w:val="006D348B"/>
    <w:rsid w:val="006D3522"/>
    <w:rsid w:val="006D3530"/>
    <w:rsid w:val="006D369B"/>
    <w:rsid w:val="006D3751"/>
    <w:rsid w:val="006D4415"/>
    <w:rsid w:val="006D47F4"/>
    <w:rsid w:val="006D4CB5"/>
    <w:rsid w:val="006D4E6C"/>
    <w:rsid w:val="006D50BB"/>
    <w:rsid w:val="006D5683"/>
    <w:rsid w:val="006D5BAA"/>
    <w:rsid w:val="006D5F98"/>
    <w:rsid w:val="006D5FA0"/>
    <w:rsid w:val="006D60C9"/>
    <w:rsid w:val="006D6203"/>
    <w:rsid w:val="006D7CC4"/>
    <w:rsid w:val="006D7EAC"/>
    <w:rsid w:val="006E01A1"/>
    <w:rsid w:val="006E17E8"/>
    <w:rsid w:val="006E1A47"/>
    <w:rsid w:val="006E2087"/>
    <w:rsid w:val="006E257E"/>
    <w:rsid w:val="006E35DB"/>
    <w:rsid w:val="006E3984"/>
    <w:rsid w:val="006E566E"/>
    <w:rsid w:val="006E5E9D"/>
    <w:rsid w:val="006E604D"/>
    <w:rsid w:val="006E6A54"/>
    <w:rsid w:val="006E737E"/>
    <w:rsid w:val="006E7A3D"/>
    <w:rsid w:val="006E7C9A"/>
    <w:rsid w:val="006E7CBD"/>
    <w:rsid w:val="006F003B"/>
    <w:rsid w:val="006F2128"/>
    <w:rsid w:val="006F215D"/>
    <w:rsid w:val="006F2633"/>
    <w:rsid w:val="006F267E"/>
    <w:rsid w:val="006F27E3"/>
    <w:rsid w:val="006F28FB"/>
    <w:rsid w:val="006F316D"/>
    <w:rsid w:val="006F39CD"/>
    <w:rsid w:val="006F3D06"/>
    <w:rsid w:val="006F3DAA"/>
    <w:rsid w:val="006F3E73"/>
    <w:rsid w:val="006F4017"/>
    <w:rsid w:val="006F45CA"/>
    <w:rsid w:val="006F4BCC"/>
    <w:rsid w:val="006F4C1E"/>
    <w:rsid w:val="006F4D03"/>
    <w:rsid w:val="006F597C"/>
    <w:rsid w:val="006F7C97"/>
    <w:rsid w:val="006F7DDF"/>
    <w:rsid w:val="006F7FA6"/>
    <w:rsid w:val="00700123"/>
    <w:rsid w:val="00700446"/>
    <w:rsid w:val="007004A0"/>
    <w:rsid w:val="007004BE"/>
    <w:rsid w:val="00700583"/>
    <w:rsid w:val="0070074E"/>
    <w:rsid w:val="00700C50"/>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1A9"/>
    <w:rsid w:val="00705495"/>
    <w:rsid w:val="007055DE"/>
    <w:rsid w:val="007056E8"/>
    <w:rsid w:val="007068B3"/>
    <w:rsid w:val="0070698D"/>
    <w:rsid w:val="00706F45"/>
    <w:rsid w:val="00706FCE"/>
    <w:rsid w:val="0070742B"/>
    <w:rsid w:val="00707892"/>
    <w:rsid w:val="00707BBD"/>
    <w:rsid w:val="007104DD"/>
    <w:rsid w:val="0071050D"/>
    <w:rsid w:val="0071089D"/>
    <w:rsid w:val="00710ED1"/>
    <w:rsid w:val="00711057"/>
    <w:rsid w:val="00711196"/>
    <w:rsid w:val="0071131E"/>
    <w:rsid w:val="00711B3F"/>
    <w:rsid w:val="007121B4"/>
    <w:rsid w:val="00712886"/>
    <w:rsid w:val="0071337F"/>
    <w:rsid w:val="00714306"/>
    <w:rsid w:val="00714553"/>
    <w:rsid w:val="007150D4"/>
    <w:rsid w:val="007161A2"/>
    <w:rsid w:val="00717942"/>
    <w:rsid w:val="00717B75"/>
    <w:rsid w:val="00717ECB"/>
    <w:rsid w:val="00717FE8"/>
    <w:rsid w:val="007203E3"/>
    <w:rsid w:val="00720812"/>
    <w:rsid w:val="00720BFB"/>
    <w:rsid w:val="00720C72"/>
    <w:rsid w:val="00720E07"/>
    <w:rsid w:val="00720E30"/>
    <w:rsid w:val="0072133A"/>
    <w:rsid w:val="007213E4"/>
    <w:rsid w:val="0072163E"/>
    <w:rsid w:val="00721FB2"/>
    <w:rsid w:val="0072200A"/>
    <w:rsid w:val="00722F33"/>
    <w:rsid w:val="00723F70"/>
    <w:rsid w:val="00723F99"/>
    <w:rsid w:val="0072578A"/>
    <w:rsid w:val="00725F43"/>
    <w:rsid w:val="00726117"/>
    <w:rsid w:val="0072662E"/>
    <w:rsid w:val="007270B2"/>
    <w:rsid w:val="007273C8"/>
    <w:rsid w:val="00727D35"/>
    <w:rsid w:val="00727DE6"/>
    <w:rsid w:val="00730355"/>
    <w:rsid w:val="00730A84"/>
    <w:rsid w:val="0073114A"/>
    <w:rsid w:val="0073158E"/>
    <w:rsid w:val="0073172A"/>
    <w:rsid w:val="0073213C"/>
    <w:rsid w:val="00732773"/>
    <w:rsid w:val="00732E04"/>
    <w:rsid w:val="00732EBC"/>
    <w:rsid w:val="00733555"/>
    <w:rsid w:val="007335D9"/>
    <w:rsid w:val="00733672"/>
    <w:rsid w:val="0073379C"/>
    <w:rsid w:val="00733892"/>
    <w:rsid w:val="00733FFC"/>
    <w:rsid w:val="0073414D"/>
    <w:rsid w:val="00734289"/>
    <w:rsid w:val="007345C7"/>
    <w:rsid w:val="00734FA0"/>
    <w:rsid w:val="007351CE"/>
    <w:rsid w:val="00735231"/>
    <w:rsid w:val="00735263"/>
    <w:rsid w:val="00735626"/>
    <w:rsid w:val="00735944"/>
    <w:rsid w:val="00735C2D"/>
    <w:rsid w:val="00735FD5"/>
    <w:rsid w:val="00736137"/>
    <w:rsid w:val="00736507"/>
    <w:rsid w:val="00736733"/>
    <w:rsid w:val="007369A5"/>
    <w:rsid w:val="00736BB2"/>
    <w:rsid w:val="00736E4A"/>
    <w:rsid w:val="007371A6"/>
    <w:rsid w:val="00737221"/>
    <w:rsid w:val="00737264"/>
    <w:rsid w:val="007375D8"/>
    <w:rsid w:val="0073782C"/>
    <w:rsid w:val="007378B7"/>
    <w:rsid w:val="00737BA6"/>
    <w:rsid w:val="00740265"/>
    <w:rsid w:val="0074044B"/>
    <w:rsid w:val="00740908"/>
    <w:rsid w:val="007409B2"/>
    <w:rsid w:val="00741510"/>
    <w:rsid w:val="0074279D"/>
    <w:rsid w:val="00742935"/>
    <w:rsid w:val="007431AD"/>
    <w:rsid w:val="00743871"/>
    <w:rsid w:val="00743A4F"/>
    <w:rsid w:val="00743ADC"/>
    <w:rsid w:val="00743EB0"/>
    <w:rsid w:val="00744265"/>
    <w:rsid w:val="007442D2"/>
    <w:rsid w:val="00744416"/>
    <w:rsid w:val="0074446F"/>
    <w:rsid w:val="00744493"/>
    <w:rsid w:val="00744C97"/>
    <w:rsid w:val="00745849"/>
    <w:rsid w:val="00745907"/>
    <w:rsid w:val="00745B70"/>
    <w:rsid w:val="007462EC"/>
    <w:rsid w:val="00746589"/>
    <w:rsid w:val="0074663B"/>
    <w:rsid w:val="007466C6"/>
    <w:rsid w:val="00746FCF"/>
    <w:rsid w:val="00747547"/>
    <w:rsid w:val="0075090A"/>
    <w:rsid w:val="00750B94"/>
    <w:rsid w:val="00751195"/>
    <w:rsid w:val="0075156B"/>
    <w:rsid w:val="00751770"/>
    <w:rsid w:val="007522AF"/>
    <w:rsid w:val="00752B81"/>
    <w:rsid w:val="00753177"/>
    <w:rsid w:val="0075320A"/>
    <w:rsid w:val="007533C9"/>
    <w:rsid w:val="007539CB"/>
    <w:rsid w:val="007544A9"/>
    <w:rsid w:val="0075484C"/>
    <w:rsid w:val="00754A8C"/>
    <w:rsid w:val="007550AB"/>
    <w:rsid w:val="007551C6"/>
    <w:rsid w:val="007554CA"/>
    <w:rsid w:val="0075578B"/>
    <w:rsid w:val="00755855"/>
    <w:rsid w:val="00755D9A"/>
    <w:rsid w:val="00756934"/>
    <w:rsid w:val="00756B31"/>
    <w:rsid w:val="00757425"/>
    <w:rsid w:val="00760417"/>
    <w:rsid w:val="007606FF"/>
    <w:rsid w:val="0076089E"/>
    <w:rsid w:val="00761147"/>
    <w:rsid w:val="007613A5"/>
    <w:rsid w:val="0076148D"/>
    <w:rsid w:val="007619B5"/>
    <w:rsid w:val="00761AC8"/>
    <w:rsid w:val="0076206F"/>
    <w:rsid w:val="00762546"/>
    <w:rsid w:val="00762CF0"/>
    <w:rsid w:val="007630AA"/>
    <w:rsid w:val="007632E0"/>
    <w:rsid w:val="00763587"/>
    <w:rsid w:val="00764453"/>
    <w:rsid w:val="00764801"/>
    <w:rsid w:val="00764926"/>
    <w:rsid w:val="00764C4A"/>
    <w:rsid w:val="00764DCD"/>
    <w:rsid w:val="00764FFA"/>
    <w:rsid w:val="0076515D"/>
    <w:rsid w:val="0076519D"/>
    <w:rsid w:val="007655FA"/>
    <w:rsid w:val="007658E5"/>
    <w:rsid w:val="00765AA7"/>
    <w:rsid w:val="007662F0"/>
    <w:rsid w:val="00766FC0"/>
    <w:rsid w:val="00767298"/>
    <w:rsid w:val="00767458"/>
    <w:rsid w:val="007679EB"/>
    <w:rsid w:val="0077029E"/>
    <w:rsid w:val="00770D94"/>
    <w:rsid w:val="00771631"/>
    <w:rsid w:val="00771D33"/>
    <w:rsid w:val="00771F9B"/>
    <w:rsid w:val="00772053"/>
    <w:rsid w:val="0077261D"/>
    <w:rsid w:val="0077271B"/>
    <w:rsid w:val="00772791"/>
    <w:rsid w:val="007728E9"/>
    <w:rsid w:val="00772ADE"/>
    <w:rsid w:val="007734B9"/>
    <w:rsid w:val="00773934"/>
    <w:rsid w:val="0077393E"/>
    <w:rsid w:val="00773E57"/>
    <w:rsid w:val="00774761"/>
    <w:rsid w:val="00774B06"/>
    <w:rsid w:val="00774C2B"/>
    <w:rsid w:val="00774D28"/>
    <w:rsid w:val="007757BD"/>
    <w:rsid w:val="00775DBF"/>
    <w:rsid w:val="0077604F"/>
    <w:rsid w:val="007762CD"/>
    <w:rsid w:val="0077645A"/>
    <w:rsid w:val="00777290"/>
    <w:rsid w:val="007774E8"/>
    <w:rsid w:val="007775B5"/>
    <w:rsid w:val="00777F8B"/>
    <w:rsid w:val="00780273"/>
    <w:rsid w:val="007802DF"/>
    <w:rsid w:val="00780482"/>
    <w:rsid w:val="007808C2"/>
    <w:rsid w:val="00780956"/>
    <w:rsid w:val="007809D2"/>
    <w:rsid w:val="00780A25"/>
    <w:rsid w:val="00780C46"/>
    <w:rsid w:val="00780D18"/>
    <w:rsid w:val="00781645"/>
    <w:rsid w:val="007820D4"/>
    <w:rsid w:val="0078233F"/>
    <w:rsid w:val="00782D8F"/>
    <w:rsid w:val="00782F00"/>
    <w:rsid w:val="00782F37"/>
    <w:rsid w:val="00782FC5"/>
    <w:rsid w:val="00783485"/>
    <w:rsid w:val="00783533"/>
    <w:rsid w:val="0078357E"/>
    <w:rsid w:val="0078385A"/>
    <w:rsid w:val="007839E7"/>
    <w:rsid w:val="00783A81"/>
    <w:rsid w:val="00783C90"/>
    <w:rsid w:val="00783C9A"/>
    <w:rsid w:val="007841FF"/>
    <w:rsid w:val="00785009"/>
    <w:rsid w:val="00785E26"/>
    <w:rsid w:val="00785EFF"/>
    <w:rsid w:val="00786302"/>
    <w:rsid w:val="00786824"/>
    <w:rsid w:val="0078724C"/>
    <w:rsid w:val="00787A3F"/>
    <w:rsid w:val="00787C9D"/>
    <w:rsid w:val="007906CA"/>
    <w:rsid w:val="00791503"/>
    <w:rsid w:val="0079172F"/>
    <w:rsid w:val="0079226C"/>
    <w:rsid w:val="0079255B"/>
    <w:rsid w:val="007934D4"/>
    <w:rsid w:val="007939BD"/>
    <w:rsid w:val="00793C16"/>
    <w:rsid w:val="00793FBD"/>
    <w:rsid w:val="0079482C"/>
    <w:rsid w:val="007948B9"/>
    <w:rsid w:val="00795610"/>
    <w:rsid w:val="00795792"/>
    <w:rsid w:val="00795B14"/>
    <w:rsid w:val="00796448"/>
    <w:rsid w:val="0079648F"/>
    <w:rsid w:val="00796619"/>
    <w:rsid w:val="00796985"/>
    <w:rsid w:val="00796AC3"/>
    <w:rsid w:val="00796C5E"/>
    <w:rsid w:val="0079775B"/>
    <w:rsid w:val="007978DA"/>
    <w:rsid w:val="00797960"/>
    <w:rsid w:val="007A0692"/>
    <w:rsid w:val="007A0B62"/>
    <w:rsid w:val="007A11B0"/>
    <w:rsid w:val="007A1236"/>
    <w:rsid w:val="007A1813"/>
    <w:rsid w:val="007A1A9E"/>
    <w:rsid w:val="007A1D32"/>
    <w:rsid w:val="007A1FF1"/>
    <w:rsid w:val="007A21A0"/>
    <w:rsid w:val="007A2445"/>
    <w:rsid w:val="007A2A69"/>
    <w:rsid w:val="007A2A6F"/>
    <w:rsid w:val="007A3827"/>
    <w:rsid w:val="007A39D3"/>
    <w:rsid w:val="007A3BDD"/>
    <w:rsid w:val="007A3E4D"/>
    <w:rsid w:val="007A40B0"/>
    <w:rsid w:val="007A42E0"/>
    <w:rsid w:val="007A4436"/>
    <w:rsid w:val="007A4506"/>
    <w:rsid w:val="007A4A78"/>
    <w:rsid w:val="007A4F19"/>
    <w:rsid w:val="007A57AE"/>
    <w:rsid w:val="007A66E6"/>
    <w:rsid w:val="007A6E20"/>
    <w:rsid w:val="007A73DA"/>
    <w:rsid w:val="007A74B2"/>
    <w:rsid w:val="007A7625"/>
    <w:rsid w:val="007A76FB"/>
    <w:rsid w:val="007A7777"/>
    <w:rsid w:val="007A7941"/>
    <w:rsid w:val="007A7E06"/>
    <w:rsid w:val="007B07C4"/>
    <w:rsid w:val="007B0B94"/>
    <w:rsid w:val="007B11EC"/>
    <w:rsid w:val="007B1F57"/>
    <w:rsid w:val="007B1FE7"/>
    <w:rsid w:val="007B3766"/>
    <w:rsid w:val="007B3C3F"/>
    <w:rsid w:val="007B4597"/>
    <w:rsid w:val="007B4619"/>
    <w:rsid w:val="007B47A0"/>
    <w:rsid w:val="007B5174"/>
    <w:rsid w:val="007B52AC"/>
    <w:rsid w:val="007B5336"/>
    <w:rsid w:val="007B55C5"/>
    <w:rsid w:val="007B57D2"/>
    <w:rsid w:val="007B5854"/>
    <w:rsid w:val="007B5912"/>
    <w:rsid w:val="007B5E43"/>
    <w:rsid w:val="007B5FD9"/>
    <w:rsid w:val="007B61F9"/>
    <w:rsid w:val="007B6369"/>
    <w:rsid w:val="007B63DD"/>
    <w:rsid w:val="007B6F00"/>
    <w:rsid w:val="007B70FB"/>
    <w:rsid w:val="007B74DB"/>
    <w:rsid w:val="007B75D7"/>
    <w:rsid w:val="007B79F4"/>
    <w:rsid w:val="007B7E22"/>
    <w:rsid w:val="007C0482"/>
    <w:rsid w:val="007C04F3"/>
    <w:rsid w:val="007C06F6"/>
    <w:rsid w:val="007C123C"/>
    <w:rsid w:val="007C12F9"/>
    <w:rsid w:val="007C1DC9"/>
    <w:rsid w:val="007C20FE"/>
    <w:rsid w:val="007C2678"/>
    <w:rsid w:val="007C270B"/>
    <w:rsid w:val="007C2A9A"/>
    <w:rsid w:val="007C3052"/>
    <w:rsid w:val="007C30DE"/>
    <w:rsid w:val="007C3435"/>
    <w:rsid w:val="007C35BC"/>
    <w:rsid w:val="007C3654"/>
    <w:rsid w:val="007C376A"/>
    <w:rsid w:val="007C3C85"/>
    <w:rsid w:val="007C46AF"/>
    <w:rsid w:val="007C4A77"/>
    <w:rsid w:val="007C55BE"/>
    <w:rsid w:val="007C5AB5"/>
    <w:rsid w:val="007C5E9B"/>
    <w:rsid w:val="007C766F"/>
    <w:rsid w:val="007C7AD6"/>
    <w:rsid w:val="007C7C59"/>
    <w:rsid w:val="007C7DC7"/>
    <w:rsid w:val="007D0D0A"/>
    <w:rsid w:val="007D14F9"/>
    <w:rsid w:val="007D1667"/>
    <w:rsid w:val="007D1767"/>
    <w:rsid w:val="007D1AAA"/>
    <w:rsid w:val="007D1F9B"/>
    <w:rsid w:val="007D39AD"/>
    <w:rsid w:val="007D3F77"/>
    <w:rsid w:val="007D40F5"/>
    <w:rsid w:val="007D44D6"/>
    <w:rsid w:val="007D45BD"/>
    <w:rsid w:val="007D46D8"/>
    <w:rsid w:val="007D4892"/>
    <w:rsid w:val="007D48E9"/>
    <w:rsid w:val="007D4FFB"/>
    <w:rsid w:val="007D53CB"/>
    <w:rsid w:val="007D577D"/>
    <w:rsid w:val="007D5857"/>
    <w:rsid w:val="007D603C"/>
    <w:rsid w:val="007D6D95"/>
    <w:rsid w:val="007D6F86"/>
    <w:rsid w:val="007D72EB"/>
    <w:rsid w:val="007D75DD"/>
    <w:rsid w:val="007D7FC2"/>
    <w:rsid w:val="007E013C"/>
    <w:rsid w:val="007E03B3"/>
    <w:rsid w:val="007E0BDB"/>
    <w:rsid w:val="007E0F8F"/>
    <w:rsid w:val="007E192F"/>
    <w:rsid w:val="007E1DA4"/>
    <w:rsid w:val="007E24D0"/>
    <w:rsid w:val="007E25FC"/>
    <w:rsid w:val="007E2608"/>
    <w:rsid w:val="007E28D6"/>
    <w:rsid w:val="007E317C"/>
    <w:rsid w:val="007E340C"/>
    <w:rsid w:val="007E381B"/>
    <w:rsid w:val="007E3E82"/>
    <w:rsid w:val="007E4101"/>
    <w:rsid w:val="007E4435"/>
    <w:rsid w:val="007E44F9"/>
    <w:rsid w:val="007E4860"/>
    <w:rsid w:val="007E5BB4"/>
    <w:rsid w:val="007E5E71"/>
    <w:rsid w:val="007E5ED9"/>
    <w:rsid w:val="007E5EDC"/>
    <w:rsid w:val="007E642C"/>
    <w:rsid w:val="007E6646"/>
    <w:rsid w:val="007E6A26"/>
    <w:rsid w:val="007E6B40"/>
    <w:rsid w:val="007E6B67"/>
    <w:rsid w:val="007E6C51"/>
    <w:rsid w:val="007E7232"/>
    <w:rsid w:val="007E72AB"/>
    <w:rsid w:val="007E7A7D"/>
    <w:rsid w:val="007F0378"/>
    <w:rsid w:val="007F0684"/>
    <w:rsid w:val="007F06B6"/>
    <w:rsid w:val="007F06E8"/>
    <w:rsid w:val="007F0AF8"/>
    <w:rsid w:val="007F0F86"/>
    <w:rsid w:val="007F1C60"/>
    <w:rsid w:val="007F219A"/>
    <w:rsid w:val="007F235F"/>
    <w:rsid w:val="007F3015"/>
    <w:rsid w:val="007F31BC"/>
    <w:rsid w:val="007F3F16"/>
    <w:rsid w:val="007F4981"/>
    <w:rsid w:val="007F556F"/>
    <w:rsid w:val="007F5FE0"/>
    <w:rsid w:val="007F65DB"/>
    <w:rsid w:val="007F6761"/>
    <w:rsid w:val="007F6BC4"/>
    <w:rsid w:val="007F6D1D"/>
    <w:rsid w:val="007F7023"/>
    <w:rsid w:val="007F7095"/>
    <w:rsid w:val="007F70D4"/>
    <w:rsid w:val="007F7695"/>
    <w:rsid w:val="007F76B6"/>
    <w:rsid w:val="007F78F7"/>
    <w:rsid w:val="007F79F3"/>
    <w:rsid w:val="0080030C"/>
    <w:rsid w:val="00800686"/>
    <w:rsid w:val="0080073F"/>
    <w:rsid w:val="00801CB1"/>
    <w:rsid w:val="008025D9"/>
    <w:rsid w:val="00802AA7"/>
    <w:rsid w:val="00802B6F"/>
    <w:rsid w:val="00802C00"/>
    <w:rsid w:val="00802DDE"/>
    <w:rsid w:val="00802F94"/>
    <w:rsid w:val="008038FF"/>
    <w:rsid w:val="00803ACE"/>
    <w:rsid w:val="00803B37"/>
    <w:rsid w:val="00803B8E"/>
    <w:rsid w:val="00804185"/>
    <w:rsid w:val="008053A6"/>
    <w:rsid w:val="00805B99"/>
    <w:rsid w:val="008062B2"/>
    <w:rsid w:val="00806430"/>
    <w:rsid w:val="00806592"/>
    <w:rsid w:val="00806659"/>
    <w:rsid w:val="00806E16"/>
    <w:rsid w:val="00806E9B"/>
    <w:rsid w:val="00807090"/>
    <w:rsid w:val="00807926"/>
    <w:rsid w:val="00807A15"/>
    <w:rsid w:val="00807AB5"/>
    <w:rsid w:val="00807C32"/>
    <w:rsid w:val="008100A2"/>
    <w:rsid w:val="00810357"/>
    <w:rsid w:val="008107F5"/>
    <w:rsid w:val="00810A78"/>
    <w:rsid w:val="00810E30"/>
    <w:rsid w:val="00810ED7"/>
    <w:rsid w:val="00811973"/>
    <w:rsid w:val="008129D1"/>
    <w:rsid w:val="008136F7"/>
    <w:rsid w:val="00813A3D"/>
    <w:rsid w:val="00813AEB"/>
    <w:rsid w:val="00814CAD"/>
    <w:rsid w:val="00815467"/>
    <w:rsid w:val="0081580A"/>
    <w:rsid w:val="008166DC"/>
    <w:rsid w:val="00816B9F"/>
    <w:rsid w:val="00816FBA"/>
    <w:rsid w:val="0081756E"/>
    <w:rsid w:val="00817D96"/>
    <w:rsid w:val="00817F9A"/>
    <w:rsid w:val="00820524"/>
    <w:rsid w:val="008227FA"/>
    <w:rsid w:val="008229A2"/>
    <w:rsid w:val="00822B56"/>
    <w:rsid w:val="00823BBB"/>
    <w:rsid w:val="00824237"/>
    <w:rsid w:val="008243B8"/>
    <w:rsid w:val="0082443D"/>
    <w:rsid w:val="008247B0"/>
    <w:rsid w:val="00824A9E"/>
    <w:rsid w:val="00825A66"/>
    <w:rsid w:val="00825F58"/>
    <w:rsid w:val="008268CF"/>
    <w:rsid w:val="008270EE"/>
    <w:rsid w:val="008273E4"/>
    <w:rsid w:val="00827497"/>
    <w:rsid w:val="00827615"/>
    <w:rsid w:val="0083026B"/>
    <w:rsid w:val="00830387"/>
    <w:rsid w:val="00830C1A"/>
    <w:rsid w:val="00831472"/>
    <w:rsid w:val="008329FF"/>
    <w:rsid w:val="00832ECB"/>
    <w:rsid w:val="0083351E"/>
    <w:rsid w:val="00833526"/>
    <w:rsid w:val="00833AA3"/>
    <w:rsid w:val="00833D24"/>
    <w:rsid w:val="00833E29"/>
    <w:rsid w:val="008340EC"/>
    <w:rsid w:val="008343FF"/>
    <w:rsid w:val="00834A85"/>
    <w:rsid w:val="00834B47"/>
    <w:rsid w:val="00835364"/>
    <w:rsid w:val="008353FA"/>
    <w:rsid w:val="00835459"/>
    <w:rsid w:val="0083553C"/>
    <w:rsid w:val="00836A63"/>
    <w:rsid w:val="00836C86"/>
    <w:rsid w:val="008374E1"/>
    <w:rsid w:val="0083781A"/>
    <w:rsid w:val="00837BE1"/>
    <w:rsid w:val="00837C92"/>
    <w:rsid w:val="00837F0F"/>
    <w:rsid w:val="00837FA4"/>
    <w:rsid w:val="008414CC"/>
    <w:rsid w:val="008415D8"/>
    <w:rsid w:val="0084160C"/>
    <w:rsid w:val="008416E5"/>
    <w:rsid w:val="0084188C"/>
    <w:rsid w:val="0084210C"/>
    <w:rsid w:val="00842300"/>
    <w:rsid w:val="008423BD"/>
    <w:rsid w:val="00842BBA"/>
    <w:rsid w:val="00842D41"/>
    <w:rsid w:val="00843029"/>
    <w:rsid w:val="00843420"/>
    <w:rsid w:val="00843B5D"/>
    <w:rsid w:val="008447D4"/>
    <w:rsid w:val="0084506C"/>
    <w:rsid w:val="008454BD"/>
    <w:rsid w:val="00845A22"/>
    <w:rsid w:val="00845A8C"/>
    <w:rsid w:val="00845A8E"/>
    <w:rsid w:val="00845ED3"/>
    <w:rsid w:val="008463F3"/>
    <w:rsid w:val="008469FE"/>
    <w:rsid w:val="00846D76"/>
    <w:rsid w:val="008473E8"/>
    <w:rsid w:val="0085005F"/>
    <w:rsid w:val="0085062F"/>
    <w:rsid w:val="008506E9"/>
    <w:rsid w:val="0085112A"/>
    <w:rsid w:val="00851307"/>
    <w:rsid w:val="008515B1"/>
    <w:rsid w:val="008519D0"/>
    <w:rsid w:val="0085201C"/>
    <w:rsid w:val="00852508"/>
    <w:rsid w:val="00852E5B"/>
    <w:rsid w:val="00853010"/>
    <w:rsid w:val="00853677"/>
    <w:rsid w:val="00853ACD"/>
    <w:rsid w:val="00853ACF"/>
    <w:rsid w:val="00853F1F"/>
    <w:rsid w:val="008544D3"/>
    <w:rsid w:val="0085457E"/>
    <w:rsid w:val="008551C1"/>
    <w:rsid w:val="00855295"/>
    <w:rsid w:val="00855461"/>
    <w:rsid w:val="008558A1"/>
    <w:rsid w:val="00855F90"/>
    <w:rsid w:val="00855FCF"/>
    <w:rsid w:val="0085642F"/>
    <w:rsid w:val="00856CE4"/>
    <w:rsid w:val="00857076"/>
    <w:rsid w:val="00857199"/>
    <w:rsid w:val="008573AF"/>
    <w:rsid w:val="00857645"/>
    <w:rsid w:val="00857D80"/>
    <w:rsid w:val="008602FC"/>
    <w:rsid w:val="008605B9"/>
    <w:rsid w:val="00860989"/>
    <w:rsid w:val="00860C69"/>
    <w:rsid w:val="00860CF9"/>
    <w:rsid w:val="00860D3D"/>
    <w:rsid w:val="00860DF0"/>
    <w:rsid w:val="00860E53"/>
    <w:rsid w:val="00862156"/>
    <w:rsid w:val="008622D3"/>
    <w:rsid w:val="0086268A"/>
    <w:rsid w:val="0086375F"/>
    <w:rsid w:val="008639A2"/>
    <w:rsid w:val="00863BBB"/>
    <w:rsid w:val="008640FD"/>
    <w:rsid w:val="0086426C"/>
    <w:rsid w:val="008652E9"/>
    <w:rsid w:val="008653D4"/>
    <w:rsid w:val="0086564F"/>
    <w:rsid w:val="00865681"/>
    <w:rsid w:val="00866618"/>
    <w:rsid w:val="0086709E"/>
    <w:rsid w:val="008672AC"/>
    <w:rsid w:val="008675FF"/>
    <w:rsid w:val="00867B6B"/>
    <w:rsid w:val="00867CDA"/>
    <w:rsid w:val="00870A79"/>
    <w:rsid w:val="00870AFC"/>
    <w:rsid w:val="008712D2"/>
    <w:rsid w:val="008715CC"/>
    <w:rsid w:val="00872589"/>
    <w:rsid w:val="00872770"/>
    <w:rsid w:val="00872813"/>
    <w:rsid w:val="00873410"/>
    <w:rsid w:val="008736AF"/>
    <w:rsid w:val="00873754"/>
    <w:rsid w:val="00874394"/>
    <w:rsid w:val="0087446F"/>
    <w:rsid w:val="008752FC"/>
    <w:rsid w:val="00875FA4"/>
    <w:rsid w:val="008763B9"/>
    <w:rsid w:val="008763C8"/>
    <w:rsid w:val="0087669F"/>
    <w:rsid w:val="008766C0"/>
    <w:rsid w:val="00876AEA"/>
    <w:rsid w:val="00877492"/>
    <w:rsid w:val="00877512"/>
    <w:rsid w:val="00877774"/>
    <w:rsid w:val="00877D6E"/>
    <w:rsid w:val="00877E35"/>
    <w:rsid w:val="0088014E"/>
    <w:rsid w:val="00880344"/>
    <w:rsid w:val="00880BAB"/>
    <w:rsid w:val="0088143E"/>
    <w:rsid w:val="00881769"/>
    <w:rsid w:val="008817FF"/>
    <w:rsid w:val="00881C39"/>
    <w:rsid w:val="00881D9C"/>
    <w:rsid w:val="0088239C"/>
    <w:rsid w:val="00882745"/>
    <w:rsid w:val="008828F7"/>
    <w:rsid w:val="00882A65"/>
    <w:rsid w:val="00882E58"/>
    <w:rsid w:val="00882F8E"/>
    <w:rsid w:val="0088323D"/>
    <w:rsid w:val="008835B1"/>
    <w:rsid w:val="00883B3F"/>
    <w:rsid w:val="00884158"/>
    <w:rsid w:val="00884491"/>
    <w:rsid w:val="00884939"/>
    <w:rsid w:val="00884DE2"/>
    <w:rsid w:val="008851BE"/>
    <w:rsid w:val="00885538"/>
    <w:rsid w:val="008856F6"/>
    <w:rsid w:val="00885D3C"/>
    <w:rsid w:val="00885D91"/>
    <w:rsid w:val="00886188"/>
    <w:rsid w:val="00886C33"/>
    <w:rsid w:val="00886F6F"/>
    <w:rsid w:val="00887063"/>
    <w:rsid w:val="00887E89"/>
    <w:rsid w:val="00887F1B"/>
    <w:rsid w:val="00887FAA"/>
    <w:rsid w:val="008900CF"/>
    <w:rsid w:val="00890764"/>
    <w:rsid w:val="00890E19"/>
    <w:rsid w:val="00890FA6"/>
    <w:rsid w:val="00891229"/>
    <w:rsid w:val="008912F3"/>
    <w:rsid w:val="00891A88"/>
    <w:rsid w:val="00891C0B"/>
    <w:rsid w:val="00892153"/>
    <w:rsid w:val="008922CF"/>
    <w:rsid w:val="008922E1"/>
    <w:rsid w:val="008923D1"/>
    <w:rsid w:val="008925B9"/>
    <w:rsid w:val="00892AC4"/>
    <w:rsid w:val="00892C63"/>
    <w:rsid w:val="008937CB"/>
    <w:rsid w:val="00893E2E"/>
    <w:rsid w:val="0089427B"/>
    <w:rsid w:val="00894386"/>
    <w:rsid w:val="00894669"/>
    <w:rsid w:val="0089483C"/>
    <w:rsid w:val="00894A6B"/>
    <w:rsid w:val="00894A7F"/>
    <w:rsid w:val="00894EEF"/>
    <w:rsid w:val="008954B1"/>
    <w:rsid w:val="00895573"/>
    <w:rsid w:val="00895E5A"/>
    <w:rsid w:val="00896FBF"/>
    <w:rsid w:val="00897013"/>
    <w:rsid w:val="00897344"/>
    <w:rsid w:val="00897502"/>
    <w:rsid w:val="00897855"/>
    <w:rsid w:val="008A0E63"/>
    <w:rsid w:val="008A1088"/>
    <w:rsid w:val="008A1438"/>
    <w:rsid w:val="008A173F"/>
    <w:rsid w:val="008A1EED"/>
    <w:rsid w:val="008A1EFD"/>
    <w:rsid w:val="008A2087"/>
    <w:rsid w:val="008A25C3"/>
    <w:rsid w:val="008A26FC"/>
    <w:rsid w:val="008A2790"/>
    <w:rsid w:val="008A2C5D"/>
    <w:rsid w:val="008A3C32"/>
    <w:rsid w:val="008A4F57"/>
    <w:rsid w:val="008A52CE"/>
    <w:rsid w:val="008A574C"/>
    <w:rsid w:val="008A5B73"/>
    <w:rsid w:val="008A68A0"/>
    <w:rsid w:val="008A6A25"/>
    <w:rsid w:val="008A6C26"/>
    <w:rsid w:val="008A6CE6"/>
    <w:rsid w:val="008A6D28"/>
    <w:rsid w:val="008A6F57"/>
    <w:rsid w:val="008A6FA7"/>
    <w:rsid w:val="008B0663"/>
    <w:rsid w:val="008B069A"/>
    <w:rsid w:val="008B0707"/>
    <w:rsid w:val="008B07AF"/>
    <w:rsid w:val="008B091D"/>
    <w:rsid w:val="008B0AED"/>
    <w:rsid w:val="008B0BA7"/>
    <w:rsid w:val="008B0D52"/>
    <w:rsid w:val="008B0EAB"/>
    <w:rsid w:val="008B1459"/>
    <w:rsid w:val="008B1DF8"/>
    <w:rsid w:val="008B1E06"/>
    <w:rsid w:val="008B20A4"/>
    <w:rsid w:val="008B2BD9"/>
    <w:rsid w:val="008B2DE5"/>
    <w:rsid w:val="008B2F1A"/>
    <w:rsid w:val="008B31AD"/>
    <w:rsid w:val="008B32E4"/>
    <w:rsid w:val="008B331F"/>
    <w:rsid w:val="008B3A87"/>
    <w:rsid w:val="008B3C1F"/>
    <w:rsid w:val="008B3D67"/>
    <w:rsid w:val="008B4238"/>
    <w:rsid w:val="008B4243"/>
    <w:rsid w:val="008B4953"/>
    <w:rsid w:val="008B4E19"/>
    <w:rsid w:val="008B4F72"/>
    <w:rsid w:val="008B50DC"/>
    <w:rsid w:val="008B5F58"/>
    <w:rsid w:val="008B6367"/>
    <w:rsid w:val="008B63AD"/>
    <w:rsid w:val="008B6BC4"/>
    <w:rsid w:val="008B6E1E"/>
    <w:rsid w:val="008B7546"/>
    <w:rsid w:val="008C0557"/>
    <w:rsid w:val="008C0771"/>
    <w:rsid w:val="008C0845"/>
    <w:rsid w:val="008C111C"/>
    <w:rsid w:val="008C1779"/>
    <w:rsid w:val="008C1DC1"/>
    <w:rsid w:val="008C1F65"/>
    <w:rsid w:val="008C28B3"/>
    <w:rsid w:val="008C3591"/>
    <w:rsid w:val="008C35DB"/>
    <w:rsid w:val="008C3A88"/>
    <w:rsid w:val="008C3AC1"/>
    <w:rsid w:val="008C4964"/>
    <w:rsid w:val="008C4A17"/>
    <w:rsid w:val="008C4B69"/>
    <w:rsid w:val="008C4EB8"/>
    <w:rsid w:val="008C5A05"/>
    <w:rsid w:val="008C60E1"/>
    <w:rsid w:val="008C61B0"/>
    <w:rsid w:val="008C6BB1"/>
    <w:rsid w:val="008C6D54"/>
    <w:rsid w:val="008C6FD3"/>
    <w:rsid w:val="008C70EB"/>
    <w:rsid w:val="008C755A"/>
    <w:rsid w:val="008C7757"/>
    <w:rsid w:val="008C77AC"/>
    <w:rsid w:val="008C7BEB"/>
    <w:rsid w:val="008C7EFC"/>
    <w:rsid w:val="008C7FA7"/>
    <w:rsid w:val="008D04B6"/>
    <w:rsid w:val="008D057C"/>
    <w:rsid w:val="008D13F7"/>
    <w:rsid w:val="008D1545"/>
    <w:rsid w:val="008D155D"/>
    <w:rsid w:val="008D15E6"/>
    <w:rsid w:val="008D1A55"/>
    <w:rsid w:val="008D1AED"/>
    <w:rsid w:val="008D1C9A"/>
    <w:rsid w:val="008D229E"/>
    <w:rsid w:val="008D24C5"/>
    <w:rsid w:val="008D27F1"/>
    <w:rsid w:val="008D35A9"/>
    <w:rsid w:val="008D36D2"/>
    <w:rsid w:val="008D3FE4"/>
    <w:rsid w:val="008D415F"/>
    <w:rsid w:val="008D4606"/>
    <w:rsid w:val="008D5506"/>
    <w:rsid w:val="008D5B6F"/>
    <w:rsid w:val="008D5DAB"/>
    <w:rsid w:val="008D6641"/>
    <w:rsid w:val="008D6847"/>
    <w:rsid w:val="008D6968"/>
    <w:rsid w:val="008D6C68"/>
    <w:rsid w:val="008D6F45"/>
    <w:rsid w:val="008D70F4"/>
    <w:rsid w:val="008D71F3"/>
    <w:rsid w:val="008D7AFD"/>
    <w:rsid w:val="008D7E3E"/>
    <w:rsid w:val="008D7EA6"/>
    <w:rsid w:val="008E0029"/>
    <w:rsid w:val="008E0041"/>
    <w:rsid w:val="008E01BA"/>
    <w:rsid w:val="008E0219"/>
    <w:rsid w:val="008E0DE2"/>
    <w:rsid w:val="008E1568"/>
    <w:rsid w:val="008E1CA4"/>
    <w:rsid w:val="008E2301"/>
    <w:rsid w:val="008E2BCC"/>
    <w:rsid w:val="008E3959"/>
    <w:rsid w:val="008E39DD"/>
    <w:rsid w:val="008E3AAA"/>
    <w:rsid w:val="008E3F1C"/>
    <w:rsid w:val="008E4648"/>
    <w:rsid w:val="008E46B7"/>
    <w:rsid w:val="008E4B95"/>
    <w:rsid w:val="008E4D65"/>
    <w:rsid w:val="008E57E3"/>
    <w:rsid w:val="008E5A4E"/>
    <w:rsid w:val="008E5E7E"/>
    <w:rsid w:val="008E6D37"/>
    <w:rsid w:val="008E6F6B"/>
    <w:rsid w:val="008E7155"/>
    <w:rsid w:val="008E71FB"/>
    <w:rsid w:val="008E7365"/>
    <w:rsid w:val="008E7AF1"/>
    <w:rsid w:val="008E7B40"/>
    <w:rsid w:val="008F0248"/>
    <w:rsid w:val="008F07B8"/>
    <w:rsid w:val="008F0932"/>
    <w:rsid w:val="008F0AAF"/>
    <w:rsid w:val="008F0EF5"/>
    <w:rsid w:val="008F1238"/>
    <w:rsid w:val="008F1522"/>
    <w:rsid w:val="008F1F94"/>
    <w:rsid w:val="008F257A"/>
    <w:rsid w:val="008F28D8"/>
    <w:rsid w:val="008F2A1F"/>
    <w:rsid w:val="008F2CD4"/>
    <w:rsid w:val="008F301E"/>
    <w:rsid w:val="008F30E1"/>
    <w:rsid w:val="008F31C8"/>
    <w:rsid w:val="008F3225"/>
    <w:rsid w:val="008F35D9"/>
    <w:rsid w:val="008F3793"/>
    <w:rsid w:val="008F438C"/>
    <w:rsid w:val="008F4606"/>
    <w:rsid w:val="008F4CB8"/>
    <w:rsid w:val="008F525C"/>
    <w:rsid w:val="008F533A"/>
    <w:rsid w:val="008F540C"/>
    <w:rsid w:val="008F5C2A"/>
    <w:rsid w:val="008F5C74"/>
    <w:rsid w:val="008F6060"/>
    <w:rsid w:val="008F6426"/>
    <w:rsid w:val="008F64E1"/>
    <w:rsid w:val="008F6B8B"/>
    <w:rsid w:val="008F744C"/>
    <w:rsid w:val="008F752E"/>
    <w:rsid w:val="0090146E"/>
    <w:rsid w:val="00901724"/>
    <w:rsid w:val="00901A3E"/>
    <w:rsid w:val="00901E4D"/>
    <w:rsid w:val="009020DE"/>
    <w:rsid w:val="009025D5"/>
    <w:rsid w:val="00902FDC"/>
    <w:rsid w:val="009031C5"/>
    <w:rsid w:val="00903424"/>
    <w:rsid w:val="00903587"/>
    <w:rsid w:val="00903E12"/>
    <w:rsid w:val="00904010"/>
    <w:rsid w:val="00904206"/>
    <w:rsid w:val="0090468B"/>
    <w:rsid w:val="00905456"/>
    <w:rsid w:val="009055C2"/>
    <w:rsid w:val="0090621C"/>
    <w:rsid w:val="00906618"/>
    <w:rsid w:val="009067B6"/>
    <w:rsid w:val="00906835"/>
    <w:rsid w:val="00906C4A"/>
    <w:rsid w:val="0090736C"/>
    <w:rsid w:val="00907976"/>
    <w:rsid w:val="00910400"/>
    <w:rsid w:val="00910451"/>
    <w:rsid w:val="00910629"/>
    <w:rsid w:val="0091071F"/>
    <w:rsid w:val="00910866"/>
    <w:rsid w:val="009110AD"/>
    <w:rsid w:val="009111CC"/>
    <w:rsid w:val="00911313"/>
    <w:rsid w:val="009114FF"/>
    <w:rsid w:val="00911A79"/>
    <w:rsid w:val="00911C55"/>
    <w:rsid w:val="00911D8B"/>
    <w:rsid w:val="00912025"/>
    <w:rsid w:val="0091227B"/>
    <w:rsid w:val="00912622"/>
    <w:rsid w:val="009127CC"/>
    <w:rsid w:val="00912CBF"/>
    <w:rsid w:val="00913279"/>
    <w:rsid w:val="00913EBD"/>
    <w:rsid w:val="00914316"/>
    <w:rsid w:val="00914573"/>
    <w:rsid w:val="0091478A"/>
    <w:rsid w:val="00914B78"/>
    <w:rsid w:val="009158B9"/>
    <w:rsid w:val="00915B61"/>
    <w:rsid w:val="00915DC8"/>
    <w:rsid w:val="0091620A"/>
    <w:rsid w:val="00916863"/>
    <w:rsid w:val="009168F0"/>
    <w:rsid w:val="009168FC"/>
    <w:rsid w:val="00916F5A"/>
    <w:rsid w:val="009172A6"/>
    <w:rsid w:val="00917458"/>
    <w:rsid w:val="00917A98"/>
    <w:rsid w:val="00920225"/>
    <w:rsid w:val="009204F2"/>
    <w:rsid w:val="0092096D"/>
    <w:rsid w:val="00920CB1"/>
    <w:rsid w:val="0092108E"/>
    <w:rsid w:val="00921721"/>
    <w:rsid w:val="00921E56"/>
    <w:rsid w:val="00922166"/>
    <w:rsid w:val="009221ED"/>
    <w:rsid w:val="009224CB"/>
    <w:rsid w:val="0092259C"/>
    <w:rsid w:val="00922AAE"/>
    <w:rsid w:val="00922C63"/>
    <w:rsid w:val="0092301E"/>
    <w:rsid w:val="00923201"/>
    <w:rsid w:val="0092434C"/>
    <w:rsid w:val="00925018"/>
    <w:rsid w:val="00925620"/>
    <w:rsid w:val="0092569B"/>
    <w:rsid w:val="00925B80"/>
    <w:rsid w:val="00926F09"/>
    <w:rsid w:val="00926F12"/>
    <w:rsid w:val="00927DE3"/>
    <w:rsid w:val="009301E0"/>
    <w:rsid w:val="00930372"/>
    <w:rsid w:val="00930591"/>
    <w:rsid w:val="00930609"/>
    <w:rsid w:val="00930615"/>
    <w:rsid w:val="00930B72"/>
    <w:rsid w:val="0093196E"/>
    <w:rsid w:val="00931A58"/>
    <w:rsid w:val="00932113"/>
    <w:rsid w:val="009324E6"/>
    <w:rsid w:val="00932AD7"/>
    <w:rsid w:val="00932E71"/>
    <w:rsid w:val="00932ED3"/>
    <w:rsid w:val="0093312B"/>
    <w:rsid w:val="009340F5"/>
    <w:rsid w:val="009341B7"/>
    <w:rsid w:val="00934C07"/>
    <w:rsid w:val="009350DC"/>
    <w:rsid w:val="009352C5"/>
    <w:rsid w:val="00935534"/>
    <w:rsid w:val="0093562F"/>
    <w:rsid w:val="00935F61"/>
    <w:rsid w:val="009360BB"/>
    <w:rsid w:val="009364F8"/>
    <w:rsid w:val="00936772"/>
    <w:rsid w:val="00936B1F"/>
    <w:rsid w:val="00936BB9"/>
    <w:rsid w:val="009370A4"/>
    <w:rsid w:val="009378CF"/>
    <w:rsid w:val="009379F0"/>
    <w:rsid w:val="00937A67"/>
    <w:rsid w:val="00940193"/>
    <w:rsid w:val="00940820"/>
    <w:rsid w:val="00940CAF"/>
    <w:rsid w:val="009415BC"/>
    <w:rsid w:val="00941946"/>
    <w:rsid w:val="009425E7"/>
    <w:rsid w:val="00942B2E"/>
    <w:rsid w:val="009431A8"/>
    <w:rsid w:val="00943238"/>
    <w:rsid w:val="00943843"/>
    <w:rsid w:val="009438B3"/>
    <w:rsid w:val="00943ADB"/>
    <w:rsid w:val="00943C15"/>
    <w:rsid w:val="00943CFE"/>
    <w:rsid w:val="00943F96"/>
    <w:rsid w:val="00943FA2"/>
    <w:rsid w:val="00944115"/>
    <w:rsid w:val="0094494D"/>
    <w:rsid w:val="00944E59"/>
    <w:rsid w:val="00944E95"/>
    <w:rsid w:val="00945401"/>
    <w:rsid w:val="00945648"/>
    <w:rsid w:val="009459F4"/>
    <w:rsid w:val="00945ABE"/>
    <w:rsid w:val="00945DE7"/>
    <w:rsid w:val="00945E58"/>
    <w:rsid w:val="00946127"/>
    <w:rsid w:val="009462A4"/>
    <w:rsid w:val="00946427"/>
    <w:rsid w:val="00946907"/>
    <w:rsid w:val="00946DB0"/>
    <w:rsid w:val="009477C7"/>
    <w:rsid w:val="00950CAE"/>
    <w:rsid w:val="009512EC"/>
    <w:rsid w:val="009523F9"/>
    <w:rsid w:val="009526CD"/>
    <w:rsid w:val="009527BA"/>
    <w:rsid w:val="0095315A"/>
    <w:rsid w:val="009534DD"/>
    <w:rsid w:val="009535C2"/>
    <w:rsid w:val="00953A73"/>
    <w:rsid w:val="00953D0E"/>
    <w:rsid w:val="00954D5A"/>
    <w:rsid w:val="009551A8"/>
    <w:rsid w:val="009552E3"/>
    <w:rsid w:val="0095604D"/>
    <w:rsid w:val="00956B6C"/>
    <w:rsid w:val="0095714C"/>
    <w:rsid w:val="009572FA"/>
    <w:rsid w:val="00957383"/>
    <w:rsid w:val="009573EA"/>
    <w:rsid w:val="00957B5B"/>
    <w:rsid w:val="00957E69"/>
    <w:rsid w:val="00957F1F"/>
    <w:rsid w:val="009601CB"/>
    <w:rsid w:val="0096059A"/>
    <w:rsid w:val="0096081E"/>
    <w:rsid w:val="00960D39"/>
    <w:rsid w:val="00960F7E"/>
    <w:rsid w:val="009611A5"/>
    <w:rsid w:val="009612D0"/>
    <w:rsid w:val="0096193B"/>
    <w:rsid w:val="00961C02"/>
    <w:rsid w:val="00963188"/>
    <w:rsid w:val="00963240"/>
    <w:rsid w:val="009634FC"/>
    <w:rsid w:val="00963A0E"/>
    <w:rsid w:val="00963ADA"/>
    <w:rsid w:val="00963AFA"/>
    <w:rsid w:val="00963B82"/>
    <w:rsid w:val="00964475"/>
    <w:rsid w:val="00964A6E"/>
    <w:rsid w:val="00964FB4"/>
    <w:rsid w:val="00965327"/>
    <w:rsid w:val="00965C61"/>
    <w:rsid w:val="009666BD"/>
    <w:rsid w:val="00966BE4"/>
    <w:rsid w:val="00966BFB"/>
    <w:rsid w:val="009675F0"/>
    <w:rsid w:val="00967CDA"/>
    <w:rsid w:val="00970048"/>
    <w:rsid w:val="009706E3"/>
    <w:rsid w:val="00970960"/>
    <w:rsid w:val="00970A77"/>
    <w:rsid w:val="00970E59"/>
    <w:rsid w:val="00970EF9"/>
    <w:rsid w:val="00971145"/>
    <w:rsid w:val="00971831"/>
    <w:rsid w:val="00971940"/>
    <w:rsid w:val="00971B93"/>
    <w:rsid w:val="00971EBA"/>
    <w:rsid w:val="00972113"/>
    <w:rsid w:val="0097216D"/>
    <w:rsid w:val="009726BA"/>
    <w:rsid w:val="00972945"/>
    <w:rsid w:val="00972A64"/>
    <w:rsid w:val="00972B02"/>
    <w:rsid w:val="00972CB8"/>
    <w:rsid w:val="00972D8F"/>
    <w:rsid w:val="00973299"/>
    <w:rsid w:val="00973C2B"/>
    <w:rsid w:val="0097437B"/>
    <w:rsid w:val="0097441E"/>
    <w:rsid w:val="009745A2"/>
    <w:rsid w:val="00974751"/>
    <w:rsid w:val="00975394"/>
    <w:rsid w:val="00975E7D"/>
    <w:rsid w:val="00975F87"/>
    <w:rsid w:val="00975FB0"/>
    <w:rsid w:val="00976242"/>
    <w:rsid w:val="009762C7"/>
    <w:rsid w:val="009766CB"/>
    <w:rsid w:val="0097670F"/>
    <w:rsid w:val="00976C32"/>
    <w:rsid w:val="00976C61"/>
    <w:rsid w:val="009803EC"/>
    <w:rsid w:val="00980BF4"/>
    <w:rsid w:val="00981215"/>
    <w:rsid w:val="009812FC"/>
    <w:rsid w:val="009813BF"/>
    <w:rsid w:val="009819CD"/>
    <w:rsid w:val="00981B60"/>
    <w:rsid w:val="00981DEB"/>
    <w:rsid w:val="00981E3F"/>
    <w:rsid w:val="00982582"/>
    <w:rsid w:val="0098284A"/>
    <w:rsid w:val="00982C0D"/>
    <w:rsid w:val="00983C71"/>
    <w:rsid w:val="00983D86"/>
    <w:rsid w:val="00983D98"/>
    <w:rsid w:val="009841D6"/>
    <w:rsid w:val="00984367"/>
    <w:rsid w:val="009844B4"/>
    <w:rsid w:val="0098453B"/>
    <w:rsid w:val="0098487D"/>
    <w:rsid w:val="00984D82"/>
    <w:rsid w:val="00984EC5"/>
    <w:rsid w:val="0098552E"/>
    <w:rsid w:val="0098572B"/>
    <w:rsid w:val="00985CDA"/>
    <w:rsid w:val="00985DE6"/>
    <w:rsid w:val="00985E82"/>
    <w:rsid w:val="0098603A"/>
    <w:rsid w:val="00986137"/>
    <w:rsid w:val="00986339"/>
    <w:rsid w:val="00986B96"/>
    <w:rsid w:val="00987125"/>
    <w:rsid w:val="00987351"/>
    <w:rsid w:val="0098740B"/>
    <w:rsid w:val="00987C6F"/>
    <w:rsid w:val="0099018C"/>
    <w:rsid w:val="00990708"/>
    <w:rsid w:val="0099076F"/>
    <w:rsid w:val="00990AA8"/>
    <w:rsid w:val="00990C3D"/>
    <w:rsid w:val="00991088"/>
    <w:rsid w:val="0099199D"/>
    <w:rsid w:val="00991B9A"/>
    <w:rsid w:val="00991BF9"/>
    <w:rsid w:val="0099214E"/>
    <w:rsid w:val="009923C3"/>
    <w:rsid w:val="00993499"/>
    <w:rsid w:val="009934DB"/>
    <w:rsid w:val="009939C7"/>
    <w:rsid w:val="009939CB"/>
    <w:rsid w:val="00993D95"/>
    <w:rsid w:val="009948FE"/>
    <w:rsid w:val="00994984"/>
    <w:rsid w:val="009956DE"/>
    <w:rsid w:val="00995756"/>
    <w:rsid w:val="00996876"/>
    <w:rsid w:val="00997125"/>
    <w:rsid w:val="0099726D"/>
    <w:rsid w:val="00997960"/>
    <w:rsid w:val="009979C6"/>
    <w:rsid w:val="009A002D"/>
    <w:rsid w:val="009A01EB"/>
    <w:rsid w:val="009A0208"/>
    <w:rsid w:val="009A0B05"/>
    <w:rsid w:val="009A11A6"/>
    <w:rsid w:val="009A1B80"/>
    <w:rsid w:val="009A21EE"/>
    <w:rsid w:val="009A253B"/>
    <w:rsid w:val="009A2F2E"/>
    <w:rsid w:val="009A3C6E"/>
    <w:rsid w:val="009A3F83"/>
    <w:rsid w:val="009A42AB"/>
    <w:rsid w:val="009A4472"/>
    <w:rsid w:val="009A552D"/>
    <w:rsid w:val="009A5566"/>
    <w:rsid w:val="009A5696"/>
    <w:rsid w:val="009A63C5"/>
    <w:rsid w:val="009A640C"/>
    <w:rsid w:val="009A6722"/>
    <w:rsid w:val="009A6A04"/>
    <w:rsid w:val="009A6A34"/>
    <w:rsid w:val="009A6F26"/>
    <w:rsid w:val="009A7042"/>
    <w:rsid w:val="009A7846"/>
    <w:rsid w:val="009A78A6"/>
    <w:rsid w:val="009B01AE"/>
    <w:rsid w:val="009B04F2"/>
    <w:rsid w:val="009B0763"/>
    <w:rsid w:val="009B076D"/>
    <w:rsid w:val="009B0A43"/>
    <w:rsid w:val="009B0A66"/>
    <w:rsid w:val="009B0AA4"/>
    <w:rsid w:val="009B123D"/>
    <w:rsid w:val="009B1C1B"/>
    <w:rsid w:val="009B1E55"/>
    <w:rsid w:val="009B30DC"/>
    <w:rsid w:val="009B3178"/>
    <w:rsid w:val="009B35BF"/>
    <w:rsid w:val="009B4194"/>
    <w:rsid w:val="009B472A"/>
    <w:rsid w:val="009B4C04"/>
    <w:rsid w:val="009B4C3E"/>
    <w:rsid w:val="009B4D2F"/>
    <w:rsid w:val="009B5038"/>
    <w:rsid w:val="009B508C"/>
    <w:rsid w:val="009B5121"/>
    <w:rsid w:val="009B55B6"/>
    <w:rsid w:val="009B56BE"/>
    <w:rsid w:val="009B573C"/>
    <w:rsid w:val="009B5A2F"/>
    <w:rsid w:val="009B5B0B"/>
    <w:rsid w:val="009B6816"/>
    <w:rsid w:val="009B6E08"/>
    <w:rsid w:val="009B6E0F"/>
    <w:rsid w:val="009B7356"/>
    <w:rsid w:val="009B7A8A"/>
    <w:rsid w:val="009C0156"/>
    <w:rsid w:val="009C0463"/>
    <w:rsid w:val="009C04D2"/>
    <w:rsid w:val="009C04DE"/>
    <w:rsid w:val="009C099B"/>
    <w:rsid w:val="009C0B86"/>
    <w:rsid w:val="009C1056"/>
    <w:rsid w:val="009C1219"/>
    <w:rsid w:val="009C1470"/>
    <w:rsid w:val="009C19F1"/>
    <w:rsid w:val="009C1ADB"/>
    <w:rsid w:val="009C1BF2"/>
    <w:rsid w:val="009C2E83"/>
    <w:rsid w:val="009C309B"/>
    <w:rsid w:val="009C33AD"/>
    <w:rsid w:val="009C350A"/>
    <w:rsid w:val="009C37BF"/>
    <w:rsid w:val="009C398A"/>
    <w:rsid w:val="009C3DDC"/>
    <w:rsid w:val="009C40BF"/>
    <w:rsid w:val="009C4676"/>
    <w:rsid w:val="009C5755"/>
    <w:rsid w:val="009C5C27"/>
    <w:rsid w:val="009C5FC3"/>
    <w:rsid w:val="009C60E9"/>
    <w:rsid w:val="009C61F4"/>
    <w:rsid w:val="009C6572"/>
    <w:rsid w:val="009C6629"/>
    <w:rsid w:val="009C7896"/>
    <w:rsid w:val="009C796F"/>
    <w:rsid w:val="009C7D0B"/>
    <w:rsid w:val="009D010B"/>
    <w:rsid w:val="009D0530"/>
    <w:rsid w:val="009D056C"/>
    <w:rsid w:val="009D0596"/>
    <w:rsid w:val="009D0C23"/>
    <w:rsid w:val="009D0CF4"/>
    <w:rsid w:val="009D0D52"/>
    <w:rsid w:val="009D140A"/>
    <w:rsid w:val="009D1A74"/>
    <w:rsid w:val="009D1ADF"/>
    <w:rsid w:val="009D24C1"/>
    <w:rsid w:val="009D2B26"/>
    <w:rsid w:val="009D2B87"/>
    <w:rsid w:val="009D2BE6"/>
    <w:rsid w:val="009D2F55"/>
    <w:rsid w:val="009D36C8"/>
    <w:rsid w:val="009D39E1"/>
    <w:rsid w:val="009D3B6A"/>
    <w:rsid w:val="009D3D90"/>
    <w:rsid w:val="009D43C4"/>
    <w:rsid w:val="009D44A1"/>
    <w:rsid w:val="009D4BCE"/>
    <w:rsid w:val="009D4C5D"/>
    <w:rsid w:val="009D5B6D"/>
    <w:rsid w:val="009D6019"/>
    <w:rsid w:val="009D645F"/>
    <w:rsid w:val="009D64A7"/>
    <w:rsid w:val="009D6D3F"/>
    <w:rsid w:val="009D6F87"/>
    <w:rsid w:val="009D7067"/>
    <w:rsid w:val="009D70A2"/>
    <w:rsid w:val="009D7203"/>
    <w:rsid w:val="009D7312"/>
    <w:rsid w:val="009D7410"/>
    <w:rsid w:val="009D7601"/>
    <w:rsid w:val="009D7622"/>
    <w:rsid w:val="009E05A2"/>
    <w:rsid w:val="009E074C"/>
    <w:rsid w:val="009E1377"/>
    <w:rsid w:val="009E1908"/>
    <w:rsid w:val="009E2463"/>
    <w:rsid w:val="009E2B4C"/>
    <w:rsid w:val="009E2C55"/>
    <w:rsid w:val="009E2D07"/>
    <w:rsid w:val="009E2E3F"/>
    <w:rsid w:val="009E2FAC"/>
    <w:rsid w:val="009E37B0"/>
    <w:rsid w:val="009E3971"/>
    <w:rsid w:val="009E39F0"/>
    <w:rsid w:val="009E3F94"/>
    <w:rsid w:val="009E44A4"/>
    <w:rsid w:val="009E4661"/>
    <w:rsid w:val="009E486C"/>
    <w:rsid w:val="009E4A34"/>
    <w:rsid w:val="009E4A5F"/>
    <w:rsid w:val="009E4E3B"/>
    <w:rsid w:val="009E59F4"/>
    <w:rsid w:val="009E61B0"/>
    <w:rsid w:val="009E63F0"/>
    <w:rsid w:val="009E675A"/>
    <w:rsid w:val="009E73B1"/>
    <w:rsid w:val="009E7BCD"/>
    <w:rsid w:val="009F012F"/>
    <w:rsid w:val="009F046E"/>
    <w:rsid w:val="009F05AC"/>
    <w:rsid w:val="009F086C"/>
    <w:rsid w:val="009F0971"/>
    <w:rsid w:val="009F09F5"/>
    <w:rsid w:val="009F09FB"/>
    <w:rsid w:val="009F0F11"/>
    <w:rsid w:val="009F1443"/>
    <w:rsid w:val="009F1778"/>
    <w:rsid w:val="009F1EEE"/>
    <w:rsid w:val="009F2229"/>
    <w:rsid w:val="009F236B"/>
    <w:rsid w:val="009F239C"/>
    <w:rsid w:val="009F290A"/>
    <w:rsid w:val="009F2B35"/>
    <w:rsid w:val="009F2E88"/>
    <w:rsid w:val="009F376C"/>
    <w:rsid w:val="009F3ED0"/>
    <w:rsid w:val="009F4220"/>
    <w:rsid w:val="009F429E"/>
    <w:rsid w:val="009F4825"/>
    <w:rsid w:val="009F4921"/>
    <w:rsid w:val="009F49FF"/>
    <w:rsid w:val="009F52E0"/>
    <w:rsid w:val="009F5CE6"/>
    <w:rsid w:val="009F5D65"/>
    <w:rsid w:val="009F60E0"/>
    <w:rsid w:val="009F68A3"/>
    <w:rsid w:val="009F6B75"/>
    <w:rsid w:val="009F6FA5"/>
    <w:rsid w:val="009F7007"/>
    <w:rsid w:val="009F74DB"/>
    <w:rsid w:val="009F77DF"/>
    <w:rsid w:val="009F7813"/>
    <w:rsid w:val="009F7932"/>
    <w:rsid w:val="00A00221"/>
    <w:rsid w:val="00A00437"/>
    <w:rsid w:val="00A00BE9"/>
    <w:rsid w:val="00A00DDA"/>
    <w:rsid w:val="00A01385"/>
    <w:rsid w:val="00A01B9D"/>
    <w:rsid w:val="00A02C0A"/>
    <w:rsid w:val="00A02ECC"/>
    <w:rsid w:val="00A031CE"/>
    <w:rsid w:val="00A03652"/>
    <w:rsid w:val="00A03A2A"/>
    <w:rsid w:val="00A03CB1"/>
    <w:rsid w:val="00A047FA"/>
    <w:rsid w:val="00A0480E"/>
    <w:rsid w:val="00A04844"/>
    <w:rsid w:val="00A06ED8"/>
    <w:rsid w:val="00A07570"/>
    <w:rsid w:val="00A07E5B"/>
    <w:rsid w:val="00A10103"/>
    <w:rsid w:val="00A10D64"/>
    <w:rsid w:val="00A11137"/>
    <w:rsid w:val="00A111EA"/>
    <w:rsid w:val="00A1135E"/>
    <w:rsid w:val="00A11447"/>
    <w:rsid w:val="00A11B67"/>
    <w:rsid w:val="00A11DEE"/>
    <w:rsid w:val="00A11DF8"/>
    <w:rsid w:val="00A12195"/>
    <w:rsid w:val="00A123D5"/>
    <w:rsid w:val="00A12B28"/>
    <w:rsid w:val="00A135AE"/>
    <w:rsid w:val="00A13A38"/>
    <w:rsid w:val="00A13D2F"/>
    <w:rsid w:val="00A13EAB"/>
    <w:rsid w:val="00A1423C"/>
    <w:rsid w:val="00A14BC6"/>
    <w:rsid w:val="00A1538B"/>
    <w:rsid w:val="00A15693"/>
    <w:rsid w:val="00A15AB8"/>
    <w:rsid w:val="00A162DF"/>
    <w:rsid w:val="00A16324"/>
    <w:rsid w:val="00A16DCB"/>
    <w:rsid w:val="00A17013"/>
    <w:rsid w:val="00A17526"/>
    <w:rsid w:val="00A176A3"/>
    <w:rsid w:val="00A17AF1"/>
    <w:rsid w:val="00A17B4D"/>
    <w:rsid w:val="00A17B91"/>
    <w:rsid w:val="00A20220"/>
    <w:rsid w:val="00A20CAE"/>
    <w:rsid w:val="00A210C0"/>
    <w:rsid w:val="00A21A7C"/>
    <w:rsid w:val="00A21C7C"/>
    <w:rsid w:val="00A21DE7"/>
    <w:rsid w:val="00A21E5B"/>
    <w:rsid w:val="00A21E7F"/>
    <w:rsid w:val="00A21EBF"/>
    <w:rsid w:val="00A222FD"/>
    <w:rsid w:val="00A22C23"/>
    <w:rsid w:val="00A23269"/>
    <w:rsid w:val="00A23BFA"/>
    <w:rsid w:val="00A23EC7"/>
    <w:rsid w:val="00A23F95"/>
    <w:rsid w:val="00A24C5B"/>
    <w:rsid w:val="00A254AA"/>
    <w:rsid w:val="00A25DFB"/>
    <w:rsid w:val="00A25E6E"/>
    <w:rsid w:val="00A2610D"/>
    <w:rsid w:val="00A26312"/>
    <w:rsid w:val="00A26462"/>
    <w:rsid w:val="00A26700"/>
    <w:rsid w:val="00A26A0F"/>
    <w:rsid w:val="00A26B21"/>
    <w:rsid w:val="00A274E2"/>
    <w:rsid w:val="00A27727"/>
    <w:rsid w:val="00A27F30"/>
    <w:rsid w:val="00A30562"/>
    <w:rsid w:val="00A30786"/>
    <w:rsid w:val="00A307DF"/>
    <w:rsid w:val="00A30B97"/>
    <w:rsid w:val="00A31193"/>
    <w:rsid w:val="00A312AD"/>
    <w:rsid w:val="00A312FC"/>
    <w:rsid w:val="00A316FF"/>
    <w:rsid w:val="00A31909"/>
    <w:rsid w:val="00A31A9F"/>
    <w:rsid w:val="00A31F9A"/>
    <w:rsid w:val="00A32038"/>
    <w:rsid w:val="00A32237"/>
    <w:rsid w:val="00A3288D"/>
    <w:rsid w:val="00A32A9B"/>
    <w:rsid w:val="00A32E54"/>
    <w:rsid w:val="00A3307A"/>
    <w:rsid w:val="00A3497B"/>
    <w:rsid w:val="00A34BDA"/>
    <w:rsid w:val="00A358DC"/>
    <w:rsid w:val="00A362FE"/>
    <w:rsid w:val="00A36969"/>
    <w:rsid w:val="00A36979"/>
    <w:rsid w:val="00A36BED"/>
    <w:rsid w:val="00A37640"/>
    <w:rsid w:val="00A37789"/>
    <w:rsid w:val="00A377EC"/>
    <w:rsid w:val="00A3799F"/>
    <w:rsid w:val="00A37B75"/>
    <w:rsid w:val="00A37E2E"/>
    <w:rsid w:val="00A40079"/>
    <w:rsid w:val="00A40C15"/>
    <w:rsid w:val="00A414A5"/>
    <w:rsid w:val="00A4164A"/>
    <w:rsid w:val="00A41C3D"/>
    <w:rsid w:val="00A41F2E"/>
    <w:rsid w:val="00A427FE"/>
    <w:rsid w:val="00A42822"/>
    <w:rsid w:val="00A42BB2"/>
    <w:rsid w:val="00A42BF6"/>
    <w:rsid w:val="00A432A0"/>
    <w:rsid w:val="00A4354B"/>
    <w:rsid w:val="00A43BFD"/>
    <w:rsid w:val="00A43F0A"/>
    <w:rsid w:val="00A43FF9"/>
    <w:rsid w:val="00A44220"/>
    <w:rsid w:val="00A443AA"/>
    <w:rsid w:val="00A44B28"/>
    <w:rsid w:val="00A452DB"/>
    <w:rsid w:val="00A45500"/>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3CF6"/>
    <w:rsid w:val="00A5508D"/>
    <w:rsid w:val="00A550F7"/>
    <w:rsid w:val="00A55474"/>
    <w:rsid w:val="00A557AA"/>
    <w:rsid w:val="00A558B3"/>
    <w:rsid w:val="00A562BE"/>
    <w:rsid w:val="00A56A4F"/>
    <w:rsid w:val="00A56B72"/>
    <w:rsid w:val="00A56DDE"/>
    <w:rsid w:val="00A56FEE"/>
    <w:rsid w:val="00A5777D"/>
    <w:rsid w:val="00A5787F"/>
    <w:rsid w:val="00A57E73"/>
    <w:rsid w:val="00A60436"/>
    <w:rsid w:val="00A607D9"/>
    <w:rsid w:val="00A60A8B"/>
    <w:rsid w:val="00A60C3A"/>
    <w:rsid w:val="00A6124D"/>
    <w:rsid w:val="00A6198C"/>
    <w:rsid w:val="00A6203D"/>
    <w:rsid w:val="00A62199"/>
    <w:rsid w:val="00A621B7"/>
    <w:rsid w:val="00A63037"/>
    <w:rsid w:val="00A6323E"/>
    <w:rsid w:val="00A63315"/>
    <w:rsid w:val="00A63575"/>
    <w:rsid w:val="00A63AF3"/>
    <w:rsid w:val="00A6419E"/>
    <w:rsid w:val="00A64A06"/>
    <w:rsid w:val="00A64E8C"/>
    <w:rsid w:val="00A64EF8"/>
    <w:rsid w:val="00A65016"/>
    <w:rsid w:val="00A65A63"/>
    <w:rsid w:val="00A65B00"/>
    <w:rsid w:val="00A65CC9"/>
    <w:rsid w:val="00A65E01"/>
    <w:rsid w:val="00A66413"/>
    <w:rsid w:val="00A664B6"/>
    <w:rsid w:val="00A6677B"/>
    <w:rsid w:val="00A67A3C"/>
    <w:rsid w:val="00A67D1C"/>
    <w:rsid w:val="00A67D72"/>
    <w:rsid w:val="00A7089D"/>
    <w:rsid w:val="00A710AC"/>
    <w:rsid w:val="00A7126B"/>
    <w:rsid w:val="00A717AD"/>
    <w:rsid w:val="00A7186E"/>
    <w:rsid w:val="00A719E2"/>
    <w:rsid w:val="00A71B1D"/>
    <w:rsid w:val="00A71FC9"/>
    <w:rsid w:val="00A7220A"/>
    <w:rsid w:val="00A725DB"/>
    <w:rsid w:val="00A72751"/>
    <w:rsid w:val="00A7337F"/>
    <w:rsid w:val="00A73655"/>
    <w:rsid w:val="00A73667"/>
    <w:rsid w:val="00A73738"/>
    <w:rsid w:val="00A73CB7"/>
    <w:rsid w:val="00A73D7C"/>
    <w:rsid w:val="00A73E8F"/>
    <w:rsid w:val="00A747DC"/>
    <w:rsid w:val="00A74D4E"/>
    <w:rsid w:val="00A753BD"/>
    <w:rsid w:val="00A7616A"/>
    <w:rsid w:val="00A761EE"/>
    <w:rsid w:val="00A762FD"/>
    <w:rsid w:val="00A76818"/>
    <w:rsid w:val="00A769BA"/>
    <w:rsid w:val="00A76B33"/>
    <w:rsid w:val="00A77933"/>
    <w:rsid w:val="00A77F98"/>
    <w:rsid w:val="00A80813"/>
    <w:rsid w:val="00A80C47"/>
    <w:rsid w:val="00A80EA4"/>
    <w:rsid w:val="00A81275"/>
    <w:rsid w:val="00A8162A"/>
    <w:rsid w:val="00A816E3"/>
    <w:rsid w:val="00A819DD"/>
    <w:rsid w:val="00A81B62"/>
    <w:rsid w:val="00A81C95"/>
    <w:rsid w:val="00A82527"/>
    <w:rsid w:val="00A8316D"/>
    <w:rsid w:val="00A833BF"/>
    <w:rsid w:val="00A83509"/>
    <w:rsid w:val="00A83903"/>
    <w:rsid w:val="00A83A16"/>
    <w:rsid w:val="00A83CA5"/>
    <w:rsid w:val="00A84336"/>
    <w:rsid w:val="00A84863"/>
    <w:rsid w:val="00A84AB6"/>
    <w:rsid w:val="00A84EBD"/>
    <w:rsid w:val="00A84EDD"/>
    <w:rsid w:val="00A84F34"/>
    <w:rsid w:val="00A84FAC"/>
    <w:rsid w:val="00A854BC"/>
    <w:rsid w:val="00A85B89"/>
    <w:rsid w:val="00A8620E"/>
    <w:rsid w:val="00A864E9"/>
    <w:rsid w:val="00A86CC9"/>
    <w:rsid w:val="00A87600"/>
    <w:rsid w:val="00A87906"/>
    <w:rsid w:val="00A87958"/>
    <w:rsid w:val="00A87CD3"/>
    <w:rsid w:val="00A87E9E"/>
    <w:rsid w:val="00A901BE"/>
    <w:rsid w:val="00A904E2"/>
    <w:rsid w:val="00A908FF"/>
    <w:rsid w:val="00A90AD4"/>
    <w:rsid w:val="00A90D2E"/>
    <w:rsid w:val="00A90DCE"/>
    <w:rsid w:val="00A90F25"/>
    <w:rsid w:val="00A912E7"/>
    <w:rsid w:val="00A91A2C"/>
    <w:rsid w:val="00A91E97"/>
    <w:rsid w:val="00A9260E"/>
    <w:rsid w:val="00A92BCF"/>
    <w:rsid w:val="00A93095"/>
    <w:rsid w:val="00A93A32"/>
    <w:rsid w:val="00A93E6F"/>
    <w:rsid w:val="00A940DB"/>
    <w:rsid w:val="00A941B0"/>
    <w:rsid w:val="00A941D7"/>
    <w:rsid w:val="00A94511"/>
    <w:rsid w:val="00A94FE5"/>
    <w:rsid w:val="00A96085"/>
    <w:rsid w:val="00A9628F"/>
    <w:rsid w:val="00A96424"/>
    <w:rsid w:val="00A969D8"/>
    <w:rsid w:val="00A96BEA"/>
    <w:rsid w:val="00A9745B"/>
    <w:rsid w:val="00AA19A6"/>
    <w:rsid w:val="00AA1AED"/>
    <w:rsid w:val="00AA20B1"/>
    <w:rsid w:val="00AA262E"/>
    <w:rsid w:val="00AA2BC1"/>
    <w:rsid w:val="00AA2C89"/>
    <w:rsid w:val="00AA3451"/>
    <w:rsid w:val="00AA38F8"/>
    <w:rsid w:val="00AA3906"/>
    <w:rsid w:val="00AA4312"/>
    <w:rsid w:val="00AA43BD"/>
    <w:rsid w:val="00AA46E6"/>
    <w:rsid w:val="00AA47DB"/>
    <w:rsid w:val="00AA48C1"/>
    <w:rsid w:val="00AA4945"/>
    <w:rsid w:val="00AA4B2F"/>
    <w:rsid w:val="00AA4FC0"/>
    <w:rsid w:val="00AA564B"/>
    <w:rsid w:val="00AA5889"/>
    <w:rsid w:val="00AA5915"/>
    <w:rsid w:val="00AA5CE3"/>
    <w:rsid w:val="00AA60A4"/>
    <w:rsid w:val="00AA64DE"/>
    <w:rsid w:val="00AA6D8A"/>
    <w:rsid w:val="00AA73A8"/>
    <w:rsid w:val="00AB006F"/>
    <w:rsid w:val="00AB00E8"/>
    <w:rsid w:val="00AB106B"/>
    <w:rsid w:val="00AB114C"/>
    <w:rsid w:val="00AB153D"/>
    <w:rsid w:val="00AB156D"/>
    <w:rsid w:val="00AB1685"/>
    <w:rsid w:val="00AB17B3"/>
    <w:rsid w:val="00AB1A9F"/>
    <w:rsid w:val="00AB2A38"/>
    <w:rsid w:val="00AB2A74"/>
    <w:rsid w:val="00AB2E0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6DA7"/>
    <w:rsid w:val="00AB7024"/>
    <w:rsid w:val="00AB7213"/>
    <w:rsid w:val="00AB73F4"/>
    <w:rsid w:val="00AB7442"/>
    <w:rsid w:val="00AB759E"/>
    <w:rsid w:val="00AB7A55"/>
    <w:rsid w:val="00AB7CB4"/>
    <w:rsid w:val="00AB7D0B"/>
    <w:rsid w:val="00AB7D4B"/>
    <w:rsid w:val="00AB7D75"/>
    <w:rsid w:val="00AB7FA0"/>
    <w:rsid w:val="00AC03EA"/>
    <w:rsid w:val="00AC0478"/>
    <w:rsid w:val="00AC105F"/>
    <w:rsid w:val="00AC1226"/>
    <w:rsid w:val="00AC14E0"/>
    <w:rsid w:val="00AC1686"/>
    <w:rsid w:val="00AC179A"/>
    <w:rsid w:val="00AC2121"/>
    <w:rsid w:val="00AC2218"/>
    <w:rsid w:val="00AC2385"/>
    <w:rsid w:val="00AC24F6"/>
    <w:rsid w:val="00AC26DC"/>
    <w:rsid w:val="00AC2837"/>
    <w:rsid w:val="00AC299E"/>
    <w:rsid w:val="00AC3375"/>
    <w:rsid w:val="00AC3834"/>
    <w:rsid w:val="00AC5774"/>
    <w:rsid w:val="00AC5C6A"/>
    <w:rsid w:val="00AC5EA2"/>
    <w:rsid w:val="00AC5F59"/>
    <w:rsid w:val="00AC60DA"/>
    <w:rsid w:val="00AC65AF"/>
    <w:rsid w:val="00AC6A61"/>
    <w:rsid w:val="00AC6DA9"/>
    <w:rsid w:val="00AC7052"/>
    <w:rsid w:val="00AC739C"/>
    <w:rsid w:val="00AC7672"/>
    <w:rsid w:val="00AC7703"/>
    <w:rsid w:val="00AC7D7E"/>
    <w:rsid w:val="00AC7E57"/>
    <w:rsid w:val="00AD0558"/>
    <w:rsid w:val="00AD0C0E"/>
    <w:rsid w:val="00AD0DD7"/>
    <w:rsid w:val="00AD0FBD"/>
    <w:rsid w:val="00AD10E5"/>
    <w:rsid w:val="00AD1165"/>
    <w:rsid w:val="00AD13DF"/>
    <w:rsid w:val="00AD150C"/>
    <w:rsid w:val="00AD1F44"/>
    <w:rsid w:val="00AD1FF4"/>
    <w:rsid w:val="00AD2362"/>
    <w:rsid w:val="00AD23CC"/>
    <w:rsid w:val="00AD2741"/>
    <w:rsid w:val="00AD31EC"/>
    <w:rsid w:val="00AD3373"/>
    <w:rsid w:val="00AD35A4"/>
    <w:rsid w:val="00AD35C0"/>
    <w:rsid w:val="00AD37F0"/>
    <w:rsid w:val="00AD3C2A"/>
    <w:rsid w:val="00AD3DAA"/>
    <w:rsid w:val="00AD3E6B"/>
    <w:rsid w:val="00AD4379"/>
    <w:rsid w:val="00AD52BE"/>
    <w:rsid w:val="00AD5D9A"/>
    <w:rsid w:val="00AD6676"/>
    <w:rsid w:val="00AD6769"/>
    <w:rsid w:val="00AD6833"/>
    <w:rsid w:val="00AD715B"/>
    <w:rsid w:val="00AD77FA"/>
    <w:rsid w:val="00AD7A80"/>
    <w:rsid w:val="00AE0B3D"/>
    <w:rsid w:val="00AE0D94"/>
    <w:rsid w:val="00AE156A"/>
    <w:rsid w:val="00AE1923"/>
    <w:rsid w:val="00AE1A43"/>
    <w:rsid w:val="00AE1C81"/>
    <w:rsid w:val="00AE1D4C"/>
    <w:rsid w:val="00AE252A"/>
    <w:rsid w:val="00AE2F4E"/>
    <w:rsid w:val="00AE35BF"/>
    <w:rsid w:val="00AE39A6"/>
    <w:rsid w:val="00AE4199"/>
    <w:rsid w:val="00AE4207"/>
    <w:rsid w:val="00AE486A"/>
    <w:rsid w:val="00AE48A4"/>
    <w:rsid w:val="00AE4C70"/>
    <w:rsid w:val="00AE4F38"/>
    <w:rsid w:val="00AE507F"/>
    <w:rsid w:val="00AE5C73"/>
    <w:rsid w:val="00AE6873"/>
    <w:rsid w:val="00AE6D21"/>
    <w:rsid w:val="00AE78CF"/>
    <w:rsid w:val="00AE7F9B"/>
    <w:rsid w:val="00AF0016"/>
    <w:rsid w:val="00AF0A0B"/>
    <w:rsid w:val="00AF0D03"/>
    <w:rsid w:val="00AF0F7F"/>
    <w:rsid w:val="00AF1618"/>
    <w:rsid w:val="00AF1771"/>
    <w:rsid w:val="00AF1DE2"/>
    <w:rsid w:val="00AF24F2"/>
    <w:rsid w:val="00AF2806"/>
    <w:rsid w:val="00AF2F7F"/>
    <w:rsid w:val="00AF31F6"/>
    <w:rsid w:val="00AF3AE3"/>
    <w:rsid w:val="00AF3BDB"/>
    <w:rsid w:val="00AF406C"/>
    <w:rsid w:val="00AF40E0"/>
    <w:rsid w:val="00AF41B6"/>
    <w:rsid w:val="00AF428A"/>
    <w:rsid w:val="00AF4336"/>
    <w:rsid w:val="00AF45AF"/>
    <w:rsid w:val="00AF498E"/>
    <w:rsid w:val="00AF4AF0"/>
    <w:rsid w:val="00AF4E90"/>
    <w:rsid w:val="00AF52DD"/>
    <w:rsid w:val="00AF535F"/>
    <w:rsid w:val="00AF5912"/>
    <w:rsid w:val="00AF5D8B"/>
    <w:rsid w:val="00AF6220"/>
    <w:rsid w:val="00AF6DFF"/>
    <w:rsid w:val="00AF72AA"/>
    <w:rsid w:val="00AF7341"/>
    <w:rsid w:val="00AF7BAB"/>
    <w:rsid w:val="00B0063B"/>
    <w:rsid w:val="00B00D2D"/>
    <w:rsid w:val="00B00F17"/>
    <w:rsid w:val="00B01C0B"/>
    <w:rsid w:val="00B01DB9"/>
    <w:rsid w:val="00B01E36"/>
    <w:rsid w:val="00B01F90"/>
    <w:rsid w:val="00B03388"/>
    <w:rsid w:val="00B03DEF"/>
    <w:rsid w:val="00B043FA"/>
    <w:rsid w:val="00B04C10"/>
    <w:rsid w:val="00B05579"/>
    <w:rsid w:val="00B0575B"/>
    <w:rsid w:val="00B0581C"/>
    <w:rsid w:val="00B0588C"/>
    <w:rsid w:val="00B05D0B"/>
    <w:rsid w:val="00B05E04"/>
    <w:rsid w:val="00B06249"/>
    <w:rsid w:val="00B06576"/>
    <w:rsid w:val="00B068E4"/>
    <w:rsid w:val="00B068FF"/>
    <w:rsid w:val="00B10C0C"/>
    <w:rsid w:val="00B1114A"/>
    <w:rsid w:val="00B115ED"/>
    <w:rsid w:val="00B117CB"/>
    <w:rsid w:val="00B117D7"/>
    <w:rsid w:val="00B11A1C"/>
    <w:rsid w:val="00B12425"/>
    <w:rsid w:val="00B12732"/>
    <w:rsid w:val="00B13785"/>
    <w:rsid w:val="00B13A62"/>
    <w:rsid w:val="00B13B8E"/>
    <w:rsid w:val="00B13F9C"/>
    <w:rsid w:val="00B142E0"/>
    <w:rsid w:val="00B15237"/>
    <w:rsid w:val="00B16610"/>
    <w:rsid w:val="00B166A6"/>
    <w:rsid w:val="00B166AB"/>
    <w:rsid w:val="00B16817"/>
    <w:rsid w:val="00B20497"/>
    <w:rsid w:val="00B2128C"/>
    <w:rsid w:val="00B21406"/>
    <w:rsid w:val="00B2238D"/>
    <w:rsid w:val="00B229A1"/>
    <w:rsid w:val="00B23034"/>
    <w:rsid w:val="00B2308E"/>
    <w:rsid w:val="00B231BC"/>
    <w:rsid w:val="00B23573"/>
    <w:rsid w:val="00B23ABE"/>
    <w:rsid w:val="00B23B67"/>
    <w:rsid w:val="00B24B78"/>
    <w:rsid w:val="00B24C03"/>
    <w:rsid w:val="00B25E29"/>
    <w:rsid w:val="00B266F1"/>
    <w:rsid w:val="00B2674D"/>
    <w:rsid w:val="00B26797"/>
    <w:rsid w:val="00B26C98"/>
    <w:rsid w:val="00B26E4F"/>
    <w:rsid w:val="00B271E8"/>
    <w:rsid w:val="00B27548"/>
    <w:rsid w:val="00B275D8"/>
    <w:rsid w:val="00B27C62"/>
    <w:rsid w:val="00B30166"/>
    <w:rsid w:val="00B3101D"/>
    <w:rsid w:val="00B313F6"/>
    <w:rsid w:val="00B318E3"/>
    <w:rsid w:val="00B32506"/>
    <w:rsid w:val="00B32F66"/>
    <w:rsid w:val="00B33345"/>
    <w:rsid w:val="00B33678"/>
    <w:rsid w:val="00B33850"/>
    <w:rsid w:val="00B338BA"/>
    <w:rsid w:val="00B33F6F"/>
    <w:rsid w:val="00B33FD6"/>
    <w:rsid w:val="00B34AFD"/>
    <w:rsid w:val="00B3512D"/>
    <w:rsid w:val="00B354E2"/>
    <w:rsid w:val="00B358C1"/>
    <w:rsid w:val="00B35CB1"/>
    <w:rsid w:val="00B3634F"/>
    <w:rsid w:val="00B36705"/>
    <w:rsid w:val="00B36A7A"/>
    <w:rsid w:val="00B37073"/>
    <w:rsid w:val="00B37C50"/>
    <w:rsid w:val="00B40037"/>
    <w:rsid w:val="00B4055F"/>
    <w:rsid w:val="00B40572"/>
    <w:rsid w:val="00B4108E"/>
    <w:rsid w:val="00B4111C"/>
    <w:rsid w:val="00B4120D"/>
    <w:rsid w:val="00B41314"/>
    <w:rsid w:val="00B413D2"/>
    <w:rsid w:val="00B41861"/>
    <w:rsid w:val="00B41A1A"/>
    <w:rsid w:val="00B420A2"/>
    <w:rsid w:val="00B42107"/>
    <w:rsid w:val="00B425D2"/>
    <w:rsid w:val="00B42F63"/>
    <w:rsid w:val="00B431AD"/>
    <w:rsid w:val="00B4365C"/>
    <w:rsid w:val="00B436E2"/>
    <w:rsid w:val="00B438A8"/>
    <w:rsid w:val="00B439B0"/>
    <w:rsid w:val="00B439E5"/>
    <w:rsid w:val="00B440D1"/>
    <w:rsid w:val="00B44412"/>
    <w:rsid w:val="00B44A28"/>
    <w:rsid w:val="00B453BC"/>
    <w:rsid w:val="00B457F9"/>
    <w:rsid w:val="00B45BBA"/>
    <w:rsid w:val="00B45FDC"/>
    <w:rsid w:val="00B462D8"/>
    <w:rsid w:val="00B46347"/>
    <w:rsid w:val="00B46444"/>
    <w:rsid w:val="00B472E3"/>
    <w:rsid w:val="00B4762E"/>
    <w:rsid w:val="00B479CF"/>
    <w:rsid w:val="00B47BCD"/>
    <w:rsid w:val="00B507E3"/>
    <w:rsid w:val="00B512C2"/>
    <w:rsid w:val="00B5139C"/>
    <w:rsid w:val="00B51B92"/>
    <w:rsid w:val="00B51D8B"/>
    <w:rsid w:val="00B52EAD"/>
    <w:rsid w:val="00B52F36"/>
    <w:rsid w:val="00B52FD8"/>
    <w:rsid w:val="00B533DB"/>
    <w:rsid w:val="00B535DF"/>
    <w:rsid w:val="00B536F9"/>
    <w:rsid w:val="00B53ABB"/>
    <w:rsid w:val="00B5463E"/>
    <w:rsid w:val="00B5474A"/>
    <w:rsid w:val="00B54B97"/>
    <w:rsid w:val="00B5505C"/>
    <w:rsid w:val="00B55825"/>
    <w:rsid w:val="00B55E9E"/>
    <w:rsid w:val="00B55FAE"/>
    <w:rsid w:val="00B56101"/>
    <w:rsid w:val="00B5628A"/>
    <w:rsid w:val="00B57320"/>
    <w:rsid w:val="00B574FC"/>
    <w:rsid w:val="00B57639"/>
    <w:rsid w:val="00B57D8B"/>
    <w:rsid w:val="00B6019F"/>
    <w:rsid w:val="00B60E24"/>
    <w:rsid w:val="00B61068"/>
    <w:rsid w:val="00B6118D"/>
    <w:rsid w:val="00B629F8"/>
    <w:rsid w:val="00B62AB3"/>
    <w:rsid w:val="00B62AF2"/>
    <w:rsid w:val="00B6300B"/>
    <w:rsid w:val="00B636B2"/>
    <w:rsid w:val="00B638BD"/>
    <w:rsid w:val="00B63B4B"/>
    <w:rsid w:val="00B649C3"/>
    <w:rsid w:val="00B656D5"/>
    <w:rsid w:val="00B65EAD"/>
    <w:rsid w:val="00B66449"/>
    <w:rsid w:val="00B66F41"/>
    <w:rsid w:val="00B674BE"/>
    <w:rsid w:val="00B67A5D"/>
    <w:rsid w:val="00B67BF5"/>
    <w:rsid w:val="00B70240"/>
    <w:rsid w:val="00B706E0"/>
    <w:rsid w:val="00B70E68"/>
    <w:rsid w:val="00B7115C"/>
    <w:rsid w:val="00B71267"/>
    <w:rsid w:val="00B717A4"/>
    <w:rsid w:val="00B71802"/>
    <w:rsid w:val="00B71BEA"/>
    <w:rsid w:val="00B71D0E"/>
    <w:rsid w:val="00B71D57"/>
    <w:rsid w:val="00B71F1E"/>
    <w:rsid w:val="00B72616"/>
    <w:rsid w:val="00B727C3"/>
    <w:rsid w:val="00B727F5"/>
    <w:rsid w:val="00B7296F"/>
    <w:rsid w:val="00B732CD"/>
    <w:rsid w:val="00B7351F"/>
    <w:rsid w:val="00B73A8A"/>
    <w:rsid w:val="00B743DF"/>
    <w:rsid w:val="00B7465C"/>
    <w:rsid w:val="00B74B6F"/>
    <w:rsid w:val="00B74BD5"/>
    <w:rsid w:val="00B752A3"/>
    <w:rsid w:val="00B75471"/>
    <w:rsid w:val="00B75640"/>
    <w:rsid w:val="00B75690"/>
    <w:rsid w:val="00B75853"/>
    <w:rsid w:val="00B75BF1"/>
    <w:rsid w:val="00B76A80"/>
    <w:rsid w:val="00B76B8C"/>
    <w:rsid w:val="00B76E86"/>
    <w:rsid w:val="00B77355"/>
    <w:rsid w:val="00B773D3"/>
    <w:rsid w:val="00B779BE"/>
    <w:rsid w:val="00B77E94"/>
    <w:rsid w:val="00B77EC0"/>
    <w:rsid w:val="00B802C8"/>
    <w:rsid w:val="00B80321"/>
    <w:rsid w:val="00B80F6B"/>
    <w:rsid w:val="00B81895"/>
    <w:rsid w:val="00B820BD"/>
    <w:rsid w:val="00B82A43"/>
    <w:rsid w:val="00B83B02"/>
    <w:rsid w:val="00B843CE"/>
    <w:rsid w:val="00B8562C"/>
    <w:rsid w:val="00B862C2"/>
    <w:rsid w:val="00B862F5"/>
    <w:rsid w:val="00B863E7"/>
    <w:rsid w:val="00B8669E"/>
    <w:rsid w:val="00B875FA"/>
    <w:rsid w:val="00B8778B"/>
    <w:rsid w:val="00B87A0E"/>
    <w:rsid w:val="00B90076"/>
    <w:rsid w:val="00B9021A"/>
    <w:rsid w:val="00B9029E"/>
    <w:rsid w:val="00B9031C"/>
    <w:rsid w:val="00B90653"/>
    <w:rsid w:val="00B90BB1"/>
    <w:rsid w:val="00B9112C"/>
    <w:rsid w:val="00B9114D"/>
    <w:rsid w:val="00B925DB"/>
    <w:rsid w:val="00B92B1F"/>
    <w:rsid w:val="00B92BCA"/>
    <w:rsid w:val="00B92CDD"/>
    <w:rsid w:val="00B92F57"/>
    <w:rsid w:val="00B9333B"/>
    <w:rsid w:val="00B938E4"/>
    <w:rsid w:val="00B93EB5"/>
    <w:rsid w:val="00B93EBE"/>
    <w:rsid w:val="00B94237"/>
    <w:rsid w:val="00B947BF"/>
    <w:rsid w:val="00B9490A"/>
    <w:rsid w:val="00B94E55"/>
    <w:rsid w:val="00B94F87"/>
    <w:rsid w:val="00B951C1"/>
    <w:rsid w:val="00B9550F"/>
    <w:rsid w:val="00B9556E"/>
    <w:rsid w:val="00B95AB0"/>
    <w:rsid w:val="00B95D3A"/>
    <w:rsid w:val="00B95DC7"/>
    <w:rsid w:val="00B95FFF"/>
    <w:rsid w:val="00B9691F"/>
    <w:rsid w:val="00B96960"/>
    <w:rsid w:val="00B96C53"/>
    <w:rsid w:val="00B975CF"/>
    <w:rsid w:val="00BA0056"/>
    <w:rsid w:val="00BA0218"/>
    <w:rsid w:val="00BA0280"/>
    <w:rsid w:val="00BA07B1"/>
    <w:rsid w:val="00BA0F89"/>
    <w:rsid w:val="00BA1049"/>
    <w:rsid w:val="00BA179D"/>
    <w:rsid w:val="00BA1AFD"/>
    <w:rsid w:val="00BA1FE9"/>
    <w:rsid w:val="00BA217B"/>
    <w:rsid w:val="00BA2898"/>
    <w:rsid w:val="00BA2A85"/>
    <w:rsid w:val="00BA2C58"/>
    <w:rsid w:val="00BA2CA1"/>
    <w:rsid w:val="00BA2D16"/>
    <w:rsid w:val="00BA31C3"/>
    <w:rsid w:val="00BA399C"/>
    <w:rsid w:val="00BA4312"/>
    <w:rsid w:val="00BA4525"/>
    <w:rsid w:val="00BA4BFB"/>
    <w:rsid w:val="00BA4FBA"/>
    <w:rsid w:val="00BA51F6"/>
    <w:rsid w:val="00BA5B47"/>
    <w:rsid w:val="00BA5D22"/>
    <w:rsid w:val="00BA5ED6"/>
    <w:rsid w:val="00BA5FEB"/>
    <w:rsid w:val="00BA648B"/>
    <w:rsid w:val="00BA65B4"/>
    <w:rsid w:val="00BA6818"/>
    <w:rsid w:val="00BA6DEA"/>
    <w:rsid w:val="00BA6F75"/>
    <w:rsid w:val="00BA77DE"/>
    <w:rsid w:val="00BA782E"/>
    <w:rsid w:val="00BA7A25"/>
    <w:rsid w:val="00BA7AFF"/>
    <w:rsid w:val="00BB04EB"/>
    <w:rsid w:val="00BB05F4"/>
    <w:rsid w:val="00BB0630"/>
    <w:rsid w:val="00BB12F6"/>
    <w:rsid w:val="00BB13AC"/>
    <w:rsid w:val="00BB155B"/>
    <w:rsid w:val="00BB26B7"/>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3A7"/>
    <w:rsid w:val="00BB772D"/>
    <w:rsid w:val="00BB7FFA"/>
    <w:rsid w:val="00BC091B"/>
    <w:rsid w:val="00BC0BA0"/>
    <w:rsid w:val="00BC0D36"/>
    <w:rsid w:val="00BC13E1"/>
    <w:rsid w:val="00BC23C0"/>
    <w:rsid w:val="00BC265E"/>
    <w:rsid w:val="00BC2978"/>
    <w:rsid w:val="00BC2AFC"/>
    <w:rsid w:val="00BC2C40"/>
    <w:rsid w:val="00BC2C7A"/>
    <w:rsid w:val="00BC3288"/>
    <w:rsid w:val="00BC3563"/>
    <w:rsid w:val="00BC3677"/>
    <w:rsid w:val="00BC3839"/>
    <w:rsid w:val="00BC3C2D"/>
    <w:rsid w:val="00BC3F6B"/>
    <w:rsid w:val="00BC4B99"/>
    <w:rsid w:val="00BC4BE7"/>
    <w:rsid w:val="00BC55AC"/>
    <w:rsid w:val="00BC6794"/>
    <w:rsid w:val="00BC6A2A"/>
    <w:rsid w:val="00BC6ABA"/>
    <w:rsid w:val="00BC700B"/>
    <w:rsid w:val="00BC730B"/>
    <w:rsid w:val="00BC7AB1"/>
    <w:rsid w:val="00BC7C23"/>
    <w:rsid w:val="00BD0507"/>
    <w:rsid w:val="00BD053A"/>
    <w:rsid w:val="00BD0750"/>
    <w:rsid w:val="00BD0CA0"/>
    <w:rsid w:val="00BD0E33"/>
    <w:rsid w:val="00BD1A6E"/>
    <w:rsid w:val="00BD1B1A"/>
    <w:rsid w:val="00BD1D83"/>
    <w:rsid w:val="00BD1F79"/>
    <w:rsid w:val="00BD2379"/>
    <w:rsid w:val="00BD29E2"/>
    <w:rsid w:val="00BD35A5"/>
    <w:rsid w:val="00BD35F1"/>
    <w:rsid w:val="00BD361E"/>
    <w:rsid w:val="00BD37BA"/>
    <w:rsid w:val="00BD383C"/>
    <w:rsid w:val="00BD3AE8"/>
    <w:rsid w:val="00BD42A4"/>
    <w:rsid w:val="00BD4780"/>
    <w:rsid w:val="00BD4CCC"/>
    <w:rsid w:val="00BD4CF5"/>
    <w:rsid w:val="00BD5509"/>
    <w:rsid w:val="00BD5BA6"/>
    <w:rsid w:val="00BD5EB2"/>
    <w:rsid w:val="00BD601C"/>
    <w:rsid w:val="00BD609B"/>
    <w:rsid w:val="00BD68FA"/>
    <w:rsid w:val="00BD6B3D"/>
    <w:rsid w:val="00BD70AE"/>
    <w:rsid w:val="00BD72D4"/>
    <w:rsid w:val="00BD734C"/>
    <w:rsid w:val="00BE0C0C"/>
    <w:rsid w:val="00BE0DCB"/>
    <w:rsid w:val="00BE1227"/>
    <w:rsid w:val="00BE16C4"/>
    <w:rsid w:val="00BE1859"/>
    <w:rsid w:val="00BE1A96"/>
    <w:rsid w:val="00BE213C"/>
    <w:rsid w:val="00BE241E"/>
    <w:rsid w:val="00BE24E9"/>
    <w:rsid w:val="00BE28C7"/>
    <w:rsid w:val="00BE2D0C"/>
    <w:rsid w:val="00BE2F05"/>
    <w:rsid w:val="00BE35F6"/>
    <w:rsid w:val="00BE396B"/>
    <w:rsid w:val="00BE4180"/>
    <w:rsid w:val="00BE4695"/>
    <w:rsid w:val="00BE499A"/>
    <w:rsid w:val="00BE4A14"/>
    <w:rsid w:val="00BE538C"/>
    <w:rsid w:val="00BE63D8"/>
    <w:rsid w:val="00BE6738"/>
    <w:rsid w:val="00BE6876"/>
    <w:rsid w:val="00BE6ED1"/>
    <w:rsid w:val="00BE756C"/>
    <w:rsid w:val="00BE7822"/>
    <w:rsid w:val="00BE7934"/>
    <w:rsid w:val="00BE7AC2"/>
    <w:rsid w:val="00BE7C29"/>
    <w:rsid w:val="00BF01F1"/>
    <w:rsid w:val="00BF024B"/>
    <w:rsid w:val="00BF0319"/>
    <w:rsid w:val="00BF04AD"/>
    <w:rsid w:val="00BF07D6"/>
    <w:rsid w:val="00BF0D2C"/>
    <w:rsid w:val="00BF1740"/>
    <w:rsid w:val="00BF175C"/>
    <w:rsid w:val="00BF1BFC"/>
    <w:rsid w:val="00BF1F0F"/>
    <w:rsid w:val="00BF20AE"/>
    <w:rsid w:val="00BF2184"/>
    <w:rsid w:val="00BF2BE3"/>
    <w:rsid w:val="00BF2F85"/>
    <w:rsid w:val="00BF35E4"/>
    <w:rsid w:val="00BF3683"/>
    <w:rsid w:val="00BF381C"/>
    <w:rsid w:val="00BF3B26"/>
    <w:rsid w:val="00BF3D2B"/>
    <w:rsid w:val="00BF3E13"/>
    <w:rsid w:val="00BF41D3"/>
    <w:rsid w:val="00BF4419"/>
    <w:rsid w:val="00BF4733"/>
    <w:rsid w:val="00BF498B"/>
    <w:rsid w:val="00BF4E26"/>
    <w:rsid w:val="00BF4EB8"/>
    <w:rsid w:val="00BF5D42"/>
    <w:rsid w:val="00BF5F2E"/>
    <w:rsid w:val="00BF60DA"/>
    <w:rsid w:val="00BF6690"/>
    <w:rsid w:val="00BF75F5"/>
    <w:rsid w:val="00BF7E98"/>
    <w:rsid w:val="00BF7E99"/>
    <w:rsid w:val="00C002F0"/>
    <w:rsid w:val="00C00469"/>
    <w:rsid w:val="00C0047B"/>
    <w:rsid w:val="00C010FA"/>
    <w:rsid w:val="00C016D5"/>
    <w:rsid w:val="00C01B24"/>
    <w:rsid w:val="00C01BB0"/>
    <w:rsid w:val="00C0290F"/>
    <w:rsid w:val="00C03FC3"/>
    <w:rsid w:val="00C042FB"/>
    <w:rsid w:val="00C05075"/>
    <w:rsid w:val="00C05422"/>
    <w:rsid w:val="00C05438"/>
    <w:rsid w:val="00C05541"/>
    <w:rsid w:val="00C055C0"/>
    <w:rsid w:val="00C0591B"/>
    <w:rsid w:val="00C06406"/>
    <w:rsid w:val="00C0643E"/>
    <w:rsid w:val="00C06515"/>
    <w:rsid w:val="00C06FD8"/>
    <w:rsid w:val="00C076A5"/>
    <w:rsid w:val="00C07AE4"/>
    <w:rsid w:val="00C10107"/>
    <w:rsid w:val="00C107DD"/>
    <w:rsid w:val="00C10E4A"/>
    <w:rsid w:val="00C10F84"/>
    <w:rsid w:val="00C11958"/>
    <w:rsid w:val="00C11D58"/>
    <w:rsid w:val="00C11D80"/>
    <w:rsid w:val="00C11E76"/>
    <w:rsid w:val="00C12776"/>
    <w:rsid w:val="00C129C1"/>
    <w:rsid w:val="00C12AB0"/>
    <w:rsid w:val="00C13527"/>
    <w:rsid w:val="00C13704"/>
    <w:rsid w:val="00C13EC6"/>
    <w:rsid w:val="00C1404C"/>
    <w:rsid w:val="00C14145"/>
    <w:rsid w:val="00C1428D"/>
    <w:rsid w:val="00C146BA"/>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B0"/>
    <w:rsid w:val="00C224D0"/>
    <w:rsid w:val="00C22E4B"/>
    <w:rsid w:val="00C22EF9"/>
    <w:rsid w:val="00C22FC9"/>
    <w:rsid w:val="00C23BA3"/>
    <w:rsid w:val="00C23BC5"/>
    <w:rsid w:val="00C23E65"/>
    <w:rsid w:val="00C23FA5"/>
    <w:rsid w:val="00C240D2"/>
    <w:rsid w:val="00C24149"/>
    <w:rsid w:val="00C24886"/>
    <w:rsid w:val="00C24960"/>
    <w:rsid w:val="00C24A19"/>
    <w:rsid w:val="00C24A20"/>
    <w:rsid w:val="00C24CE5"/>
    <w:rsid w:val="00C25770"/>
    <w:rsid w:val="00C2607D"/>
    <w:rsid w:val="00C2636E"/>
    <w:rsid w:val="00C268C6"/>
    <w:rsid w:val="00C2787C"/>
    <w:rsid w:val="00C27F83"/>
    <w:rsid w:val="00C3055A"/>
    <w:rsid w:val="00C3074B"/>
    <w:rsid w:val="00C30904"/>
    <w:rsid w:val="00C3121C"/>
    <w:rsid w:val="00C3156C"/>
    <w:rsid w:val="00C317BF"/>
    <w:rsid w:val="00C3188A"/>
    <w:rsid w:val="00C318AF"/>
    <w:rsid w:val="00C321FC"/>
    <w:rsid w:val="00C324F0"/>
    <w:rsid w:val="00C3267E"/>
    <w:rsid w:val="00C327BC"/>
    <w:rsid w:val="00C33824"/>
    <w:rsid w:val="00C3385B"/>
    <w:rsid w:val="00C34156"/>
    <w:rsid w:val="00C34193"/>
    <w:rsid w:val="00C35323"/>
    <w:rsid w:val="00C353D0"/>
    <w:rsid w:val="00C35747"/>
    <w:rsid w:val="00C35A2D"/>
    <w:rsid w:val="00C3671C"/>
    <w:rsid w:val="00C368B2"/>
    <w:rsid w:val="00C36FB7"/>
    <w:rsid w:val="00C370F9"/>
    <w:rsid w:val="00C37102"/>
    <w:rsid w:val="00C3718D"/>
    <w:rsid w:val="00C37A49"/>
    <w:rsid w:val="00C37ABA"/>
    <w:rsid w:val="00C40D09"/>
    <w:rsid w:val="00C418AB"/>
    <w:rsid w:val="00C41DFB"/>
    <w:rsid w:val="00C41E7E"/>
    <w:rsid w:val="00C4227F"/>
    <w:rsid w:val="00C42FB1"/>
    <w:rsid w:val="00C43770"/>
    <w:rsid w:val="00C43AD5"/>
    <w:rsid w:val="00C43B4C"/>
    <w:rsid w:val="00C43DB2"/>
    <w:rsid w:val="00C43F3C"/>
    <w:rsid w:val="00C44B2F"/>
    <w:rsid w:val="00C44D96"/>
    <w:rsid w:val="00C4508E"/>
    <w:rsid w:val="00C45EA1"/>
    <w:rsid w:val="00C46905"/>
    <w:rsid w:val="00C470BF"/>
    <w:rsid w:val="00C4786D"/>
    <w:rsid w:val="00C47DE2"/>
    <w:rsid w:val="00C50543"/>
    <w:rsid w:val="00C505BA"/>
    <w:rsid w:val="00C510AE"/>
    <w:rsid w:val="00C5157D"/>
    <w:rsid w:val="00C52CEE"/>
    <w:rsid w:val="00C52F9A"/>
    <w:rsid w:val="00C530B7"/>
    <w:rsid w:val="00C53131"/>
    <w:rsid w:val="00C5383A"/>
    <w:rsid w:val="00C53C97"/>
    <w:rsid w:val="00C54C3C"/>
    <w:rsid w:val="00C54F0B"/>
    <w:rsid w:val="00C55C52"/>
    <w:rsid w:val="00C56DA7"/>
    <w:rsid w:val="00C56EA1"/>
    <w:rsid w:val="00C57016"/>
    <w:rsid w:val="00C57439"/>
    <w:rsid w:val="00C5752E"/>
    <w:rsid w:val="00C57A01"/>
    <w:rsid w:val="00C57A60"/>
    <w:rsid w:val="00C57C31"/>
    <w:rsid w:val="00C60065"/>
    <w:rsid w:val="00C61102"/>
    <w:rsid w:val="00C61EB8"/>
    <w:rsid w:val="00C620C3"/>
    <w:rsid w:val="00C622B7"/>
    <w:rsid w:val="00C624A9"/>
    <w:rsid w:val="00C6290A"/>
    <w:rsid w:val="00C62B22"/>
    <w:rsid w:val="00C62F1F"/>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AA3"/>
    <w:rsid w:val="00C71AA9"/>
    <w:rsid w:val="00C71C06"/>
    <w:rsid w:val="00C71DE5"/>
    <w:rsid w:val="00C71F25"/>
    <w:rsid w:val="00C72540"/>
    <w:rsid w:val="00C72823"/>
    <w:rsid w:val="00C72E13"/>
    <w:rsid w:val="00C7346A"/>
    <w:rsid w:val="00C736A6"/>
    <w:rsid w:val="00C737D4"/>
    <w:rsid w:val="00C73BEB"/>
    <w:rsid w:val="00C73F09"/>
    <w:rsid w:val="00C73F28"/>
    <w:rsid w:val="00C74808"/>
    <w:rsid w:val="00C7480B"/>
    <w:rsid w:val="00C74947"/>
    <w:rsid w:val="00C74BE6"/>
    <w:rsid w:val="00C7524C"/>
    <w:rsid w:val="00C757B7"/>
    <w:rsid w:val="00C75D57"/>
    <w:rsid w:val="00C766FC"/>
    <w:rsid w:val="00C76C34"/>
    <w:rsid w:val="00C76D6D"/>
    <w:rsid w:val="00C7708B"/>
    <w:rsid w:val="00C771A9"/>
    <w:rsid w:val="00C7724A"/>
    <w:rsid w:val="00C776FD"/>
    <w:rsid w:val="00C77B54"/>
    <w:rsid w:val="00C80033"/>
    <w:rsid w:val="00C8020F"/>
    <w:rsid w:val="00C804E2"/>
    <w:rsid w:val="00C8050C"/>
    <w:rsid w:val="00C8057B"/>
    <w:rsid w:val="00C811C0"/>
    <w:rsid w:val="00C81406"/>
    <w:rsid w:val="00C81555"/>
    <w:rsid w:val="00C81842"/>
    <w:rsid w:val="00C81F82"/>
    <w:rsid w:val="00C8225E"/>
    <w:rsid w:val="00C82E09"/>
    <w:rsid w:val="00C8340A"/>
    <w:rsid w:val="00C8345E"/>
    <w:rsid w:val="00C83948"/>
    <w:rsid w:val="00C83FC0"/>
    <w:rsid w:val="00C84351"/>
    <w:rsid w:val="00C845DF"/>
    <w:rsid w:val="00C848BA"/>
    <w:rsid w:val="00C84F98"/>
    <w:rsid w:val="00C852CD"/>
    <w:rsid w:val="00C85392"/>
    <w:rsid w:val="00C85810"/>
    <w:rsid w:val="00C85A6D"/>
    <w:rsid w:val="00C85C14"/>
    <w:rsid w:val="00C85DB5"/>
    <w:rsid w:val="00C863E3"/>
    <w:rsid w:val="00C86576"/>
    <w:rsid w:val="00C867A0"/>
    <w:rsid w:val="00C86A07"/>
    <w:rsid w:val="00C871C2"/>
    <w:rsid w:val="00C8750E"/>
    <w:rsid w:val="00C8799A"/>
    <w:rsid w:val="00C903B9"/>
    <w:rsid w:val="00C9086C"/>
    <w:rsid w:val="00C90B3F"/>
    <w:rsid w:val="00C90D16"/>
    <w:rsid w:val="00C91B89"/>
    <w:rsid w:val="00C91C46"/>
    <w:rsid w:val="00C91EB2"/>
    <w:rsid w:val="00C92387"/>
    <w:rsid w:val="00C923C0"/>
    <w:rsid w:val="00C925B9"/>
    <w:rsid w:val="00C929F3"/>
    <w:rsid w:val="00C92D02"/>
    <w:rsid w:val="00C93087"/>
    <w:rsid w:val="00C93944"/>
    <w:rsid w:val="00C9424C"/>
    <w:rsid w:val="00C94660"/>
    <w:rsid w:val="00C94796"/>
    <w:rsid w:val="00C94C8D"/>
    <w:rsid w:val="00C95281"/>
    <w:rsid w:val="00C955D7"/>
    <w:rsid w:val="00C95C45"/>
    <w:rsid w:val="00C95DD8"/>
    <w:rsid w:val="00C95F4E"/>
    <w:rsid w:val="00C960F1"/>
    <w:rsid w:val="00C9623E"/>
    <w:rsid w:val="00C96502"/>
    <w:rsid w:val="00C971AB"/>
    <w:rsid w:val="00C9724C"/>
    <w:rsid w:val="00C97AD3"/>
    <w:rsid w:val="00C97CB1"/>
    <w:rsid w:val="00CA043B"/>
    <w:rsid w:val="00CA062B"/>
    <w:rsid w:val="00CA0CFC"/>
    <w:rsid w:val="00CA1396"/>
    <w:rsid w:val="00CA1D40"/>
    <w:rsid w:val="00CA2076"/>
    <w:rsid w:val="00CA209D"/>
    <w:rsid w:val="00CA2E6A"/>
    <w:rsid w:val="00CA301A"/>
    <w:rsid w:val="00CA3219"/>
    <w:rsid w:val="00CA3970"/>
    <w:rsid w:val="00CA3981"/>
    <w:rsid w:val="00CA3BBD"/>
    <w:rsid w:val="00CA46A4"/>
    <w:rsid w:val="00CA476E"/>
    <w:rsid w:val="00CA4B8E"/>
    <w:rsid w:val="00CA4CB1"/>
    <w:rsid w:val="00CA4D0A"/>
    <w:rsid w:val="00CA5A78"/>
    <w:rsid w:val="00CA5CE9"/>
    <w:rsid w:val="00CA689A"/>
    <w:rsid w:val="00CA68D4"/>
    <w:rsid w:val="00CA7B07"/>
    <w:rsid w:val="00CB0479"/>
    <w:rsid w:val="00CB08BD"/>
    <w:rsid w:val="00CB092C"/>
    <w:rsid w:val="00CB0A16"/>
    <w:rsid w:val="00CB0C19"/>
    <w:rsid w:val="00CB0C31"/>
    <w:rsid w:val="00CB1696"/>
    <w:rsid w:val="00CB1852"/>
    <w:rsid w:val="00CB1DCD"/>
    <w:rsid w:val="00CB22FC"/>
    <w:rsid w:val="00CB2603"/>
    <w:rsid w:val="00CB2774"/>
    <w:rsid w:val="00CB29FE"/>
    <w:rsid w:val="00CB2A32"/>
    <w:rsid w:val="00CB2F96"/>
    <w:rsid w:val="00CB32CE"/>
    <w:rsid w:val="00CB356C"/>
    <w:rsid w:val="00CB38EE"/>
    <w:rsid w:val="00CB3AE4"/>
    <w:rsid w:val="00CB4562"/>
    <w:rsid w:val="00CB478A"/>
    <w:rsid w:val="00CB47F9"/>
    <w:rsid w:val="00CB4CD7"/>
    <w:rsid w:val="00CB4FE5"/>
    <w:rsid w:val="00CB5417"/>
    <w:rsid w:val="00CB5679"/>
    <w:rsid w:val="00CB5713"/>
    <w:rsid w:val="00CB60AD"/>
    <w:rsid w:val="00CB68A2"/>
    <w:rsid w:val="00CB731B"/>
    <w:rsid w:val="00CB749B"/>
    <w:rsid w:val="00CB75D1"/>
    <w:rsid w:val="00CB77D5"/>
    <w:rsid w:val="00CB7B06"/>
    <w:rsid w:val="00CB7F3B"/>
    <w:rsid w:val="00CC01EB"/>
    <w:rsid w:val="00CC02A5"/>
    <w:rsid w:val="00CC03BF"/>
    <w:rsid w:val="00CC0A7F"/>
    <w:rsid w:val="00CC150E"/>
    <w:rsid w:val="00CC25FD"/>
    <w:rsid w:val="00CC2CA2"/>
    <w:rsid w:val="00CC327F"/>
    <w:rsid w:val="00CC474A"/>
    <w:rsid w:val="00CC4785"/>
    <w:rsid w:val="00CC4C03"/>
    <w:rsid w:val="00CC4E6E"/>
    <w:rsid w:val="00CC4FB3"/>
    <w:rsid w:val="00CC5B01"/>
    <w:rsid w:val="00CC61AA"/>
    <w:rsid w:val="00CC71A0"/>
    <w:rsid w:val="00CC71F3"/>
    <w:rsid w:val="00CC7385"/>
    <w:rsid w:val="00CC75C2"/>
    <w:rsid w:val="00CC778A"/>
    <w:rsid w:val="00CC7F2A"/>
    <w:rsid w:val="00CC7F41"/>
    <w:rsid w:val="00CD0246"/>
    <w:rsid w:val="00CD06B1"/>
    <w:rsid w:val="00CD0842"/>
    <w:rsid w:val="00CD0D42"/>
    <w:rsid w:val="00CD111B"/>
    <w:rsid w:val="00CD157B"/>
    <w:rsid w:val="00CD1836"/>
    <w:rsid w:val="00CD1952"/>
    <w:rsid w:val="00CD1DC8"/>
    <w:rsid w:val="00CD20D5"/>
    <w:rsid w:val="00CD23D6"/>
    <w:rsid w:val="00CD2421"/>
    <w:rsid w:val="00CD2656"/>
    <w:rsid w:val="00CD2DCD"/>
    <w:rsid w:val="00CD2E5F"/>
    <w:rsid w:val="00CD31A5"/>
    <w:rsid w:val="00CD365A"/>
    <w:rsid w:val="00CD3667"/>
    <w:rsid w:val="00CD3BBC"/>
    <w:rsid w:val="00CD3F18"/>
    <w:rsid w:val="00CD45E3"/>
    <w:rsid w:val="00CD4B8D"/>
    <w:rsid w:val="00CD4ECA"/>
    <w:rsid w:val="00CD51D2"/>
    <w:rsid w:val="00CD5857"/>
    <w:rsid w:val="00CD5FFD"/>
    <w:rsid w:val="00CD688F"/>
    <w:rsid w:val="00CD7B0A"/>
    <w:rsid w:val="00CD7CC3"/>
    <w:rsid w:val="00CE02E6"/>
    <w:rsid w:val="00CE0B5B"/>
    <w:rsid w:val="00CE1043"/>
    <w:rsid w:val="00CE1AC9"/>
    <w:rsid w:val="00CE1F54"/>
    <w:rsid w:val="00CE30AE"/>
    <w:rsid w:val="00CE31E5"/>
    <w:rsid w:val="00CE3214"/>
    <w:rsid w:val="00CE3284"/>
    <w:rsid w:val="00CE3564"/>
    <w:rsid w:val="00CE35A0"/>
    <w:rsid w:val="00CE40E5"/>
    <w:rsid w:val="00CE42A1"/>
    <w:rsid w:val="00CE44A7"/>
    <w:rsid w:val="00CE4E08"/>
    <w:rsid w:val="00CE528E"/>
    <w:rsid w:val="00CE52ED"/>
    <w:rsid w:val="00CE569D"/>
    <w:rsid w:val="00CE6528"/>
    <w:rsid w:val="00CE6B16"/>
    <w:rsid w:val="00CE6BB0"/>
    <w:rsid w:val="00CE6F27"/>
    <w:rsid w:val="00CE786A"/>
    <w:rsid w:val="00CE79FE"/>
    <w:rsid w:val="00CE7E16"/>
    <w:rsid w:val="00CF010F"/>
    <w:rsid w:val="00CF027F"/>
    <w:rsid w:val="00CF029A"/>
    <w:rsid w:val="00CF072B"/>
    <w:rsid w:val="00CF0ADD"/>
    <w:rsid w:val="00CF0AFE"/>
    <w:rsid w:val="00CF0D20"/>
    <w:rsid w:val="00CF0DE7"/>
    <w:rsid w:val="00CF192F"/>
    <w:rsid w:val="00CF1E4F"/>
    <w:rsid w:val="00CF2234"/>
    <w:rsid w:val="00CF28EE"/>
    <w:rsid w:val="00CF2991"/>
    <w:rsid w:val="00CF2C40"/>
    <w:rsid w:val="00CF3159"/>
    <w:rsid w:val="00CF340B"/>
    <w:rsid w:val="00CF3488"/>
    <w:rsid w:val="00CF35D6"/>
    <w:rsid w:val="00CF402D"/>
    <w:rsid w:val="00CF431B"/>
    <w:rsid w:val="00CF49E3"/>
    <w:rsid w:val="00CF49FA"/>
    <w:rsid w:val="00CF4CD4"/>
    <w:rsid w:val="00CF5577"/>
    <w:rsid w:val="00CF5765"/>
    <w:rsid w:val="00CF5BF6"/>
    <w:rsid w:val="00CF62A8"/>
    <w:rsid w:val="00CF6DF4"/>
    <w:rsid w:val="00CF6EA7"/>
    <w:rsid w:val="00CF7684"/>
    <w:rsid w:val="00CF782A"/>
    <w:rsid w:val="00CF7B31"/>
    <w:rsid w:val="00D0078A"/>
    <w:rsid w:val="00D0093A"/>
    <w:rsid w:val="00D011F0"/>
    <w:rsid w:val="00D0130C"/>
    <w:rsid w:val="00D01731"/>
    <w:rsid w:val="00D0212E"/>
    <w:rsid w:val="00D0241E"/>
    <w:rsid w:val="00D04F7B"/>
    <w:rsid w:val="00D0512C"/>
    <w:rsid w:val="00D058AF"/>
    <w:rsid w:val="00D05E53"/>
    <w:rsid w:val="00D06211"/>
    <w:rsid w:val="00D0698A"/>
    <w:rsid w:val="00D06E9F"/>
    <w:rsid w:val="00D06FFF"/>
    <w:rsid w:val="00D078A4"/>
    <w:rsid w:val="00D0795F"/>
    <w:rsid w:val="00D07B7D"/>
    <w:rsid w:val="00D07CAD"/>
    <w:rsid w:val="00D07D59"/>
    <w:rsid w:val="00D10487"/>
    <w:rsid w:val="00D10BDB"/>
    <w:rsid w:val="00D10FDD"/>
    <w:rsid w:val="00D113E7"/>
    <w:rsid w:val="00D1163D"/>
    <w:rsid w:val="00D116F0"/>
    <w:rsid w:val="00D119B8"/>
    <w:rsid w:val="00D11A1D"/>
    <w:rsid w:val="00D11B26"/>
    <w:rsid w:val="00D11E6A"/>
    <w:rsid w:val="00D122BD"/>
    <w:rsid w:val="00D12A77"/>
    <w:rsid w:val="00D12E24"/>
    <w:rsid w:val="00D1347B"/>
    <w:rsid w:val="00D13CD4"/>
    <w:rsid w:val="00D13DB1"/>
    <w:rsid w:val="00D14191"/>
    <w:rsid w:val="00D14332"/>
    <w:rsid w:val="00D148FB"/>
    <w:rsid w:val="00D15178"/>
    <w:rsid w:val="00D15711"/>
    <w:rsid w:val="00D157D3"/>
    <w:rsid w:val="00D15B0C"/>
    <w:rsid w:val="00D167E6"/>
    <w:rsid w:val="00D169DA"/>
    <w:rsid w:val="00D16F9B"/>
    <w:rsid w:val="00D172C2"/>
    <w:rsid w:val="00D17611"/>
    <w:rsid w:val="00D17E36"/>
    <w:rsid w:val="00D2021E"/>
    <w:rsid w:val="00D20D13"/>
    <w:rsid w:val="00D20E60"/>
    <w:rsid w:val="00D21A5A"/>
    <w:rsid w:val="00D21E4C"/>
    <w:rsid w:val="00D22137"/>
    <w:rsid w:val="00D22534"/>
    <w:rsid w:val="00D22863"/>
    <w:rsid w:val="00D22A36"/>
    <w:rsid w:val="00D22BF5"/>
    <w:rsid w:val="00D23502"/>
    <w:rsid w:val="00D2374B"/>
    <w:rsid w:val="00D2419F"/>
    <w:rsid w:val="00D24778"/>
    <w:rsid w:val="00D24D4F"/>
    <w:rsid w:val="00D2528E"/>
    <w:rsid w:val="00D25419"/>
    <w:rsid w:val="00D2567E"/>
    <w:rsid w:val="00D25ADF"/>
    <w:rsid w:val="00D25BE6"/>
    <w:rsid w:val="00D25C2E"/>
    <w:rsid w:val="00D25FFA"/>
    <w:rsid w:val="00D264A4"/>
    <w:rsid w:val="00D26727"/>
    <w:rsid w:val="00D268A9"/>
    <w:rsid w:val="00D26E87"/>
    <w:rsid w:val="00D27086"/>
    <w:rsid w:val="00D27231"/>
    <w:rsid w:val="00D274DD"/>
    <w:rsid w:val="00D27AE9"/>
    <w:rsid w:val="00D27CDB"/>
    <w:rsid w:val="00D3012A"/>
    <w:rsid w:val="00D30458"/>
    <w:rsid w:val="00D30B67"/>
    <w:rsid w:val="00D30D2F"/>
    <w:rsid w:val="00D30D54"/>
    <w:rsid w:val="00D31529"/>
    <w:rsid w:val="00D31750"/>
    <w:rsid w:val="00D3190D"/>
    <w:rsid w:val="00D31A06"/>
    <w:rsid w:val="00D31B78"/>
    <w:rsid w:val="00D331F3"/>
    <w:rsid w:val="00D3345B"/>
    <w:rsid w:val="00D33974"/>
    <w:rsid w:val="00D34220"/>
    <w:rsid w:val="00D346EB"/>
    <w:rsid w:val="00D3493E"/>
    <w:rsid w:val="00D34974"/>
    <w:rsid w:val="00D353DC"/>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985"/>
    <w:rsid w:val="00D41BB5"/>
    <w:rsid w:val="00D41BD7"/>
    <w:rsid w:val="00D41C9A"/>
    <w:rsid w:val="00D41E32"/>
    <w:rsid w:val="00D42078"/>
    <w:rsid w:val="00D4227E"/>
    <w:rsid w:val="00D42CC1"/>
    <w:rsid w:val="00D42F6C"/>
    <w:rsid w:val="00D438D1"/>
    <w:rsid w:val="00D43A1F"/>
    <w:rsid w:val="00D43E29"/>
    <w:rsid w:val="00D440C0"/>
    <w:rsid w:val="00D44755"/>
    <w:rsid w:val="00D452CD"/>
    <w:rsid w:val="00D45461"/>
    <w:rsid w:val="00D45EDA"/>
    <w:rsid w:val="00D46126"/>
    <w:rsid w:val="00D464AF"/>
    <w:rsid w:val="00D47E26"/>
    <w:rsid w:val="00D5020B"/>
    <w:rsid w:val="00D50BB5"/>
    <w:rsid w:val="00D50DFF"/>
    <w:rsid w:val="00D512A4"/>
    <w:rsid w:val="00D5138A"/>
    <w:rsid w:val="00D514CB"/>
    <w:rsid w:val="00D51A7A"/>
    <w:rsid w:val="00D521C2"/>
    <w:rsid w:val="00D52CA1"/>
    <w:rsid w:val="00D53401"/>
    <w:rsid w:val="00D535DF"/>
    <w:rsid w:val="00D5370C"/>
    <w:rsid w:val="00D538D5"/>
    <w:rsid w:val="00D53A72"/>
    <w:rsid w:val="00D53E15"/>
    <w:rsid w:val="00D54213"/>
    <w:rsid w:val="00D54510"/>
    <w:rsid w:val="00D54E5C"/>
    <w:rsid w:val="00D54F96"/>
    <w:rsid w:val="00D5509A"/>
    <w:rsid w:val="00D55302"/>
    <w:rsid w:val="00D55F36"/>
    <w:rsid w:val="00D561B5"/>
    <w:rsid w:val="00D56846"/>
    <w:rsid w:val="00D57027"/>
    <w:rsid w:val="00D578C2"/>
    <w:rsid w:val="00D578DF"/>
    <w:rsid w:val="00D579C3"/>
    <w:rsid w:val="00D57DB4"/>
    <w:rsid w:val="00D60147"/>
    <w:rsid w:val="00D60DEF"/>
    <w:rsid w:val="00D6114F"/>
    <w:rsid w:val="00D6142F"/>
    <w:rsid w:val="00D614D6"/>
    <w:rsid w:val="00D61BBD"/>
    <w:rsid w:val="00D61D9D"/>
    <w:rsid w:val="00D62056"/>
    <w:rsid w:val="00D6217D"/>
    <w:rsid w:val="00D6231B"/>
    <w:rsid w:val="00D62367"/>
    <w:rsid w:val="00D62D22"/>
    <w:rsid w:val="00D62DFA"/>
    <w:rsid w:val="00D63142"/>
    <w:rsid w:val="00D6319F"/>
    <w:rsid w:val="00D63ACC"/>
    <w:rsid w:val="00D64AE6"/>
    <w:rsid w:val="00D64E39"/>
    <w:rsid w:val="00D654E1"/>
    <w:rsid w:val="00D65603"/>
    <w:rsid w:val="00D66949"/>
    <w:rsid w:val="00D67077"/>
    <w:rsid w:val="00D67217"/>
    <w:rsid w:val="00D67A60"/>
    <w:rsid w:val="00D67B5B"/>
    <w:rsid w:val="00D67D54"/>
    <w:rsid w:val="00D70016"/>
    <w:rsid w:val="00D70178"/>
    <w:rsid w:val="00D701D4"/>
    <w:rsid w:val="00D7100B"/>
    <w:rsid w:val="00D7105D"/>
    <w:rsid w:val="00D71336"/>
    <w:rsid w:val="00D71461"/>
    <w:rsid w:val="00D71471"/>
    <w:rsid w:val="00D71C56"/>
    <w:rsid w:val="00D722AF"/>
    <w:rsid w:val="00D7357E"/>
    <w:rsid w:val="00D73865"/>
    <w:rsid w:val="00D73C72"/>
    <w:rsid w:val="00D73DDB"/>
    <w:rsid w:val="00D7519D"/>
    <w:rsid w:val="00D75281"/>
    <w:rsid w:val="00D75B25"/>
    <w:rsid w:val="00D7657C"/>
    <w:rsid w:val="00D76BAD"/>
    <w:rsid w:val="00D76E8B"/>
    <w:rsid w:val="00D7706C"/>
    <w:rsid w:val="00D770EA"/>
    <w:rsid w:val="00D77433"/>
    <w:rsid w:val="00D77966"/>
    <w:rsid w:val="00D77CC3"/>
    <w:rsid w:val="00D80155"/>
    <w:rsid w:val="00D80347"/>
    <w:rsid w:val="00D80517"/>
    <w:rsid w:val="00D80F0E"/>
    <w:rsid w:val="00D810BB"/>
    <w:rsid w:val="00D81349"/>
    <w:rsid w:val="00D81801"/>
    <w:rsid w:val="00D819BD"/>
    <w:rsid w:val="00D8205D"/>
    <w:rsid w:val="00D82131"/>
    <w:rsid w:val="00D82276"/>
    <w:rsid w:val="00D82798"/>
    <w:rsid w:val="00D82A69"/>
    <w:rsid w:val="00D82D1E"/>
    <w:rsid w:val="00D82D66"/>
    <w:rsid w:val="00D83023"/>
    <w:rsid w:val="00D83237"/>
    <w:rsid w:val="00D83868"/>
    <w:rsid w:val="00D839FC"/>
    <w:rsid w:val="00D844C1"/>
    <w:rsid w:val="00D845C6"/>
    <w:rsid w:val="00D846FB"/>
    <w:rsid w:val="00D84E58"/>
    <w:rsid w:val="00D8567A"/>
    <w:rsid w:val="00D85FD1"/>
    <w:rsid w:val="00D86512"/>
    <w:rsid w:val="00D86695"/>
    <w:rsid w:val="00D867A8"/>
    <w:rsid w:val="00D86A06"/>
    <w:rsid w:val="00D86ABB"/>
    <w:rsid w:val="00D86AD8"/>
    <w:rsid w:val="00D86C54"/>
    <w:rsid w:val="00D87080"/>
    <w:rsid w:val="00D87110"/>
    <w:rsid w:val="00D87115"/>
    <w:rsid w:val="00D879AF"/>
    <w:rsid w:val="00D879C1"/>
    <w:rsid w:val="00D90803"/>
    <w:rsid w:val="00D90A77"/>
    <w:rsid w:val="00D90BA1"/>
    <w:rsid w:val="00D91911"/>
    <w:rsid w:val="00D91B8A"/>
    <w:rsid w:val="00D921F7"/>
    <w:rsid w:val="00D9234C"/>
    <w:rsid w:val="00D92633"/>
    <w:rsid w:val="00D9376B"/>
    <w:rsid w:val="00D93E53"/>
    <w:rsid w:val="00D93F89"/>
    <w:rsid w:val="00D9449B"/>
    <w:rsid w:val="00D94887"/>
    <w:rsid w:val="00D94A33"/>
    <w:rsid w:val="00D9537D"/>
    <w:rsid w:val="00D9543D"/>
    <w:rsid w:val="00D958D0"/>
    <w:rsid w:val="00D95BC4"/>
    <w:rsid w:val="00D96760"/>
    <w:rsid w:val="00D96B53"/>
    <w:rsid w:val="00D96F70"/>
    <w:rsid w:val="00D97110"/>
    <w:rsid w:val="00D974B9"/>
    <w:rsid w:val="00D97CB3"/>
    <w:rsid w:val="00DA0132"/>
    <w:rsid w:val="00DA022B"/>
    <w:rsid w:val="00DA037D"/>
    <w:rsid w:val="00DA0742"/>
    <w:rsid w:val="00DA182E"/>
    <w:rsid w:val="00DA1D15"/>
    <w:rsid w:val="00DA1E23"/>
    <w:rsid w:val="00DA2F88"/>
    <w:rsid w:val="00DA30ED"/>
    <w:rsid w:val="00DA32AF"/>
    <w:rsid w:val="00DA33EF"/>
    <w:rsid w:val="00DA35AD"/>
    <w:rsid w:val="00DA3EAD"/>
    <w:rsid w:val="00DA4370"/>
    <w:rsid w:val="00DA477A"/>
    <w:rsid w:val="00DA4973"/>
    <w:rsid w:val="00DA4BF3"/>
    <w:rsid w:val="00DA5172"/>
    <w:rsid w:val="00DA5259"/>
    <w:rsid w:val="00DA545B"/>
    <w:rsid w:val="00DA64F1"/>
    <w:rsid w:val="00DA67B4"/>
    <w:rsid w:val="00DA6B61"/>
    <w:rsid w:val="00DA6CF4"/>
    <w:rsid w:val="00DA70E8"/>
    <w:rsid w:val="00DA73AF"/>
    <w:rsid w:val="00DA79AE"/>
    <w:rsid w:val="00DA7CFE"/>
    <w:rsid w:val="00DB0056"/>
    <w:rsid w:val="00DB016D"/>
    <w:rsid w:val="00DB0DD9"/>
    <w:rsid w:val="00DB1050"/>
    <w:rsid w:val="00DB1368"/>
    <w:rsid w:val="00DB14EF"/>
    <w:rsid w:val="00DB152B"/>
    <w:rsid w:val="00DB2058"/>
    <w:rsid w:val="00DB30F4"/>
    <w:rsid w:val="00DB37C9"/>
    <w:rsid w:val="00DB3A12"/>
    <w:rsid w:val="00DB3D95"/>
    <w:rsid w:val="00DB40C6"/>
    <w:rsid w:val="00DB49CD"/>
    <w:rsid w:val="00DB5833"/>
    <w:rsid w:val="00DB59FC"/>
    <w:rsid w:val="00DB6332"/>
    <w:rsid w:val="00DB6E07"/>
    <w:rsid w:val="00DB7113"/>
    <w:rsid w:val="00DB73D7"/>
    <w:rsid w:val="00DB7ED2"/>
    <w:rsid w:val="00DC0138"/>
    <w:rsid w:val="00DC07F7"/>
    <w:rsid w:val="00DC0D2B"/>
    <w:rsid w:val="00DC11BA"/>
    <w:rsid w:val="00DC1926"/>
    <w:rsid w:val="00DC1937"/>
    <w:rsid w:val="00DC1A8F"/>
    <w:rsid w:val="00DC1C01"/>
    <w:rsid w:val="00DC1DA9"/>
    <w:rsid w:val="00DC1E36"/>
    <w:rsid w:val="00DC1FFA"/>
    <w:rsid w:val="00DC2886"/>
    <w:rsid w:val="00DC2B34"/>
    <w:rsid w:val="00DC2BBB"/>
    <w:rsid w:val="00DC3012"/>
    <w:rsid w:val="00DC390F"/>
    <w:rsid w:val="00DC3A85"/>
    <w:rsid w:val="00DC4904"/>
    <w:rsid w:val="00DC4BC8"/>
    <w:rsid w:val="00DC55EF"/>
    <w:rsid w:val="00DC5D3B"/>
    <w:rsid w:val="00DC5DB6"/>
    <w:rsid w:val="00DC6C74"/>
    <w:rsid w:val="00DC6D7E"/>
    <w:rsid w:val="00DC7C4E"/>
    <w:rsid w:val="00DC7C54"/>
    <w:rsid w:val="00DD102A"/>
    <w:rsid w:val="00DD160F"/>
    <w:rsid w:val="00DD19BB"/>
    <w:rsid w:val="00DD2301"/>
    <w:rsid w:val="00DD2520"/>
    <w:rsid w:val="00DD26EB"/>
    <w:rsid w:val="00DD2863"/>
    <w:rsid w:val="00DD28FB"/>
    <w:rsid w:val="00DD30CB"/>
    <w:rsid w:val="00DD31DE"/>
    <w:rsid w:val="00DD3791"/>
    <w:rsid w:val="00DD3A1E"/>
    <w:rsid w:val="00DD4752"/>
    <w:rsid w:val="00DD488F"/>
    <w:rsid w:val="00DD4D46"/>
    <w:rsid w:val="00DD4DAF"/>
    <w:rsid w:val="00DD5948"/>
    <w:rsid w:val="00DD6294"/>
    <w:rsid w:val="00DD62BC"/>
    <w:rsid w:val="00DD67E5"/>
    <w:rsid w:val="00DD695B"/>
    <w:rsid w:val="00DD6A57"/>
    <w:rsid w:val="00DD6DE4"/>
    <w:rsid w:val="00DD733A"/>
    <w:rsid w:val="00DD7750"/>
    <w:rsid w:val="00DD7848"/>
    <w:rsid w:val="00DD7EAF"/>
    <w:rsid w:val="00DD7F81"/>
    <w:rsid w:val="00DE0FBE"/>
    <w:rsid w:val="00DE0FC3"/>
    <w:rsid w:val="00DE1164"/>
    <w:rsid w:val="00DE1343"/>
    <w:rsid w:val="00DE1A30"/>
    <w:rsid w:val="00DE1B18"/>
    <w:rsid w:val="00DE1D5F"/>
    <w:rsid w:val="00DE1DCD"/>
    <w:rsid w:val="00DE1FAB"/>
    <w:rsid w:val="00DE2010"/>
    <w:rsid w:val="00DE20F1"/>
    <w:rsid w:val="00DE21F5"/>
    <w:rsid w:val="00DE2445"/>
    <w:rsid w:val="00DE2608"/>
    <w:rsid w:val="00DE268A"/>
    <w:rsid w:val="00DE2755"/>
    <w:rsid w:val="00DE2792"/>
    <w:rsid w:val="00DE284F"/>
    <w:rsid w:val="00DE2EB4"/>
    <w:rsid w:val="00DE34E7"/>
    <w:rsid w:val="00DE3567"/>
    <w:rsid w:val="00DE357C"/>
    <w:rsid w:val="00DE377D"/>
    <w:rsid w:val="00DE37A4"/>
    <w:rsid w:val="00DE38E9"/>
    <w:rsid w:val="00DE3A21"/>
    <w:rsid w:val="00DE3CE5"/>
    <w:rsid w:val="00DE3F60"/>
    <w:rsid w:val="00DE4063"/>
    <w:rsid w:val="00DE408F"/>
    <w:rsid w:val="00DE43C1"/>
    <w:rsid w:val="00DE472C"/>
    <w:rsid w:val="00DE5F1B"/>
    <w:rsid w:val="00DE6D7A"/>
    <w:rsid w:val="00DE6EB9"/>
    <w:rsid w:val="00DE76E1"/>
    <w:rsid w:val="00DE7B6E"/>
    <w:rsid w:val="00DE7F64"/>
    <w:rsid w:val="00DF074F"/>
    <w:rsid w:val="00DF0BAD"/>
    <w:rsid w:val="00DF12B3"/>
    <w:rsid w:val="00DF15B6"/>
    <w:rsid w:val="00DF1613"/>
    <w:rsid w:val="00DF1A16"/>
    <w:rsid w:val="00DF1C08"/>
    <w:rsid w:val="00DF21F4"/>
    <w:rsid w:val="00DF2583"/>
    <w:rsid w:val="00DF26B1"/>
    <w:rsid w:val="00DF2AF3"/>
    <w:rsid w:val="00DF2CE5"/>
    <w:rsid w:val="00DF2DDB"/>
    <w:rsid w:val="00DF2E7F"/>
    <w:rsid w:val="00DF3158"/>
    <w:rsid w:val="00DF3219"/>
    <w:rsid w:val="00DF34BA"/>
    <w:rsid w:val="00DF390D"/>
    <w:rsid w:val="00DF3CC5"/>
    <w:rsid w:val="00DF3DA5"/>
    <w:rsid w:val="00DF4420"/>
    <w:rsid w:val="00DF4506"/>
    <w:rsid w:val="00DF4FB9"/>
    <w:rsid w:val="00DF6037"/>
    <w:rsid w:val="00DF681C"/>
    <w:rsid w:val="00DF6B4D"/>
    <w:rsid w:val="00DF6EB2"/>
    <w:rsid w:val="00DF72B0"/>
    <w:rsid w:val="00DF75FE"/>
    <w:rsid w:val="00DF781D"/>
    <w:rsid w:val="00DF7E8C"/>
    <w:rsid w:val="00E004C3"/>
    <w:rsid w:val="00E0085F"/>
    <w:rsid w:val="00E00C25"/>
    <w:rsid w:val="00E016A7"/>
    <w:rsid w:val="00E01A40"/>
    <w:rsid w:val="00E01CA7"/>
    <w:rsid w:val="00E0208A"/>
    <w:rsid w:val="00E0286D"/>
    <w:rsid w:val="00E029D7"/>
    <w:rsid w:val="00E02E95"/>
    <w:rsid w:val="00E033BA"/>
    <w:rsid w:val="00E03692"/>
    <w:rsid w:val="00E0382F"/>
    <w:rsid w:val="00E03980"/>
    <w:rsid w:val="00E041EC"/>
    <w:rsid w:val="00E04226"/>
    <w:rsid w:val="00E047AD"/>
    <w:rsid w:val="00E04DE8"/>
    <w:rsid w:val="00E05696"/>
    <w:rsid w:val="00E058EE"/>
    <w:rsid w:val="00E06676"/>
    <w:rsid w:val="00E06A0D"/>
    <w:rsid w:val="00E075BD"/>
    <w:rsid w:val="00E075DE"/>
    <w:rsid w:val="00E07761"/>
    <w:rsid w:val="00E07AA3"/>
    <w:rsid w:val="00E07AB5"/>
    <w:rsid w:val="00E10F2D"/>
    <w:rsid w:val="00E118F5"/>
    <w:rsid w:val="00E11BF2"/>
    <w:rsid w:val="00E11DB0"/>
    <w:rsid w:val="00E11F70"/>
    <w:rsid w:val="00E1213E"/>
    <w:rsid w:val="00E1260C"/>
    <w:rsid w:val="00E12CBB"/>
    <w:rsid w:val="00E12CC4"/>
    <w:rsid w:val="00E12D6C"/>
    <w:rsid w:val="00E12EDF"/>
    <w:rsid w:val="00E13509"/>
    <w:rsid w:val="00E1448C"/>
    <w:rsid w:val="00E14610"/>
    <w:rsid w:val="00E147DD"/>
    <w:rsid w:val="00E14B7B"/>
    <w:rsid w:val="00E14D04"/>
    <w:rsid w:val="00E15B76"/>
    <w:rsid w:val="00E16067"/>
    <w:rsid w:val="00E164F4"/>
    <w:rsid w:val="00E16B28"/>
    <w:rsid w:val="00E16D2F"/>
    <w:rsid w:val="00E16F51"/>
    <w:rsid w:val="00E175FA"/>
    <w:rsid w:val="00E17B40"/>
    <w:rsid w:val="00E17D6E"/>
    <w:rsid w:val="00E17F71"/>
    <w:rsid w:val="00E21224"/>
    <w:rsid w:val="00E21351"/>
    <w:rsid w:val="00E21A79"/>
    <w:rsid w:val="00E229FE"/>
    <w:rsid w:val="00E22E57"/>
    <w:rsid w:val="00E22E87"/>
    <w:rsid w:val="00E2360B"/>
    <w:rsid w:val="00E2361F"/>
    <w:rsid w:val="00E2374E"/>
    <w:rsid w:val="00E23C52"/>
    <w:rsid w:val="00E23C67"/>
    <w:rsid w:val="00E23CEF"/>
    <w:rsid w:val="00E23D0D"/>
    <w:rsid w:val="00E25459"/>
    <w:rsid w:val="00E25948"/>
    <w:rsid w:val="00E25A89"/>
    <w:rsid w:val="00E2631F"/>
    <w:rsid w:val="00E26A6B"/>
    <w:rsid w:val="00E26C49"/>
    <w:rsid w:val="00E27665"/>
    <w:rsid w:val="00E278AC"/>
    <w:rsid w:val="00E27BEE"/>
    <w:rsid w:val="00E27D5D"/>
    <w:rsid w:val="00E27DF8"/>
    <w:rsid w:val="00E30324"/>
    <w:rsid w:val="00E303AB"/>
    <w:rsid w:val="00E3046D"/>
    <w:rsid w:val="00E3052B"/>
    <w:rsid w:val="00E30544"/>
    <w:rsid w:val="00E305F5"/>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40D"/>
    <w:rsid w:val="00E3750A"/>
    <w:rsid w:val="00E37667"/>
    <w:rsid w:val="00E378C0"/>
    <w:rsid w:val="00E37F05"/>
    <w:rsid w:val="00E406DA"/>
    <w:rsid w:val="00E40ADA"/>
    <w:rsid w:val="00E415FC"/>
    <w:rsid w:val="00E4170E"/>
    <w:rsid w:val="00E423B1"/>
    <w:rsid w:val="00E43398"/>
    <w:rsid w:val="00E43665"/>
    <w:rsid w:val="00E43C15"/>
    <w:rsid w:val="00E43C5A"/>
    <w:rsid w:val="00E43FB8"/>
    <w:rsid w:val="00E44028"/>
    <w:rsid w:val="00E44214"/>
    <w:rsid w:val="00E44594"/>
    <w:rsid w:val="00E44A83"/>
    <w:rsid w:val="00E44B43"/>
    <w:rsid w:val="00E44BFF"/>
    <w:rsid w:val="00E44C59"/>
    <w:rsid w:val="00E44EBC"/>
    <w:rsid w:val="00E45109"/>
    <w:rsid w:val="00E4549D"/>
    <w:rsid w:val="00E45634"/>
    <w:rsid w:val="00E45BF2"/>
    <w:rsid w:val="00E45DEA"/>
    <w:rsid w:val="00E46020"/>
    <w:rsid w:val="00E47409"/>
    <w:rsid w:val="00E47684"/>
    <w:rsid w:val="00E50035"/>
    <w:rsid w:val="00E50C4C"/>
    <w:rsid w:val="00E513CB"/>
    <w:rsid w:val="00E51829"/>
    <w:rsid w:val="00E526A3"/>
    <w:rsid w:val="00E52926"/>
    <w:rsid w:val="00E52D09"/>
    <w:rsid w:val="00E5350C"/>
    <w:rsid w:val="00E54291"/>
    <w:rsid w:val="00E5459C"/>
    <w:rsid w:val="00E549C2"/>
    <w:rsid w:val="00E54C6D"/>
    <w:rsid w:val="00E557B5"/>
    <w:rsid w:val="00E55C12"/>
    <w:rsid w:val="00E55CAB"/>
    <w:rsid w:val="00E56BD8"/>
    <w:rsid w:val="00E56F3C"/>
    <w:rsid w:val="00E57379"/>
    <w:rsid w:val="00E57B6A"/>
    <w:rsid w:val="00E60295"/>
    <w:rsid w:val="00E60468"/>
    <w:rsid w:val="00E60952"/>
    <w:rsid w:val="00E60A48"/>
    <w:rsid w:val="00E61098"/>
    <w:rsid w:val="00E61857"/>
    <w:rsid w:val="00E61AA0"/>
    <w:rsid w:val="00E61E23"/>
    <w:rsid w:val="00E620A6"/>
    <w:rsid w:val="00E6210D"/>
    <w:rsid w:val="00E62171"/>
    <w:rsid w:val="00E6226E"/>
    <w:rsid w:val="00E62768"/>
    <w:rsid w:val="00E629C4"/>
    <w:rsid w:val="00E632F9"/>
    <w:rsid w:val="00E6369F"/>
    <w:rsid w:val="00E63786"/>
    <w:rsid w:val="00E64233"/>
    <w:rsid w:val="00E6462C"/>
    <w:rsid w:val="00E64F0F"/>
    <w:rsid w:val="00E659A0"/>
    <w:rsid w:val="00E65BCA"/>
    <w:rsid w:val="00E66308"/>
    <w:rsid w:val="00E66365"/>
    <w:rsid w:val="00E667BF"/>
    <w:rsid w:val="00E668A0"/>
    <w:rsid w:val="00E67DF8"/>
    <w:rsid w:val="00E67DFC"/>
    <w:rsid w:val="00E7054F"/>
    <w:rsid w:val="00E70BF0"/>
    <w:rsid w:val="00E70D4D"/>
    <w:rsid w:val="00E71702"/>
    <w:rsid w:val="00E7174E"/>
    <w:rsid w:val="00E719D3"/>
    <w:rsid w:val="00E71C36"/>
    <w:rsid w:val="00E720D0"/>
    <w:rsid w:val="00E720FE"/>
    <w:rsid w:val="00E72A86"/>
    <w:rsid w:val="00E72C29"/>
    <w:rsid w:val="00E730E8"/>
    <w:rsid w:val="00E73583"/>
    <w:rsid w:val="00E74C89"/>
    <w:rsid w:val="00E74EE7"/>
    <w:rsid w:val="00E75137"/>
    <w:rsid w:val="00E76782"/>
    <w:rsid w:val="00E7691A"/>
    <w:rsid w:val="00E76956"/>
    <w:rsid w:val="00E76FD7"/>
    <w:rsid w:val="00E77030"/>
    <w:rsid w:val="00E77653"/>
    <w:rsid w:val="00E779CB"/>
    <w:rsid w:val="00E80193"/>
    <w:rsid w:val="00E802E8"/>
    <w:rsid w:val="00E80B80"/>
    <w:rsid w:val="00E80F03"/>
    <w:rsid w:val="00E814BC"/>
    <w:rsid w:val="00E81603"/>
    <w:rsid w:val="00E817DF"/>
    <w:rsid w:val="00E81A4E"/>
    <w:rsid w:val="00E83366"/>
    <w:rsid w:val="00E83D1B"/>
    <w:rsid w:val="00E84AB4"/>
    <w:rsid w:val="00E84B48"/>
    <w:rsid w:val="00E84EBF"/>
    <w:rsid w:val="00E856F6"/>
    <w:rsid w:val="00E8590A"/>
    <w:rsid w:val="00E85BB3"/>
    <w:rsid w:val="00E85F38"/>
    <w:rsid w:val="00E861A8"/>
    <w:rsid w:val="00E862F6"/>
    <w:rsid w:val="00E86DC3"/>
    <w:rsid w:val="00E86ED2"/>
    <w:rsid w:val="00E87100"/>
    <w:rsid w:val="00E87629"/>
    <w:rsid w:val="00E87846"/>
    <w:rsid w:val="00E87853"/>
    <w:rsid w:val="00E8787C"/>
    <w:rsid w:val="00E879CD"/>
    <w:rsid w:val="00E90423"/>
    <w:rsid w:val="00E9047F"/>
    <w:rsid w:val="00E90602"/>
    <w:rsid w:val="00E90630"/>
    <w:rsid w:val="00E90938"/>
    <w:rsid w:val="00E911F0"/>
    <w:rsid w:val="00E91273"/>
    <w:rsid w:val="00E91621"/>
    <w:rsid w:val="00E91C47"/>
    <w:rsid w:val="00E91D47"/>
    <w:rsid w:val="00E92935"/>
    <w:rsid w:val="00E92D6D"/>
    <w:rsid w:val="00E94323"/>
    <w:rsid w:val="00E949D3"/>
    <w:rsid w:val="00E950B7"/>
    <w:rsid w:val="00E96473"/>
    <w:rsid w:val="00E9686D"/>
    <w:rsid w:val="00E96A08"/>
    <w:rsid w:val="00E96E5F"/>
    <w:rsid w:val="00E97928"/>
    <w:rsid w:val="00E97A5E"/>
    <w:rsid w:val="00E97B27"/>
    <w:rsid w:val="00EA01C2"/>
    <w:rsid w:val="00EA060C"/>
    <w:rsid w:val="00EA0894"/>
    <w:rsid w:val="00EA0D57"/>
    <w:rsid w:val="00EA0E45"/>
    <w:rsid w:val="00EA1B8B"/>
    <w:rsid w:val="00EA1E87"/>
    <w:rsid w:val="00EA1EAD"/>
    <w:rsid w:val="00EA2035"/>
    <w:rsid w:val="00EA205B"/>
    <w:rsid w:val="00EA20FA"/>
    <w:rsid w:val="00EA25B6"/>
    <w:rsid w:val="00EA3D47"/>
    <w:rsid w:val="00EA4907"/>
    <w:rsid w:val="00EA4974"/>
    <w:rsid w:val="00EA4A2E"/>
    <w:rsid w:val="00EA5618"/>
    <w:rsid w:val="00EA56B3"/>
    <w:rsid w:val="00EA6303"/>
    <w:rsid w:val="00EA66CD"/>
    <w:rsid w:val="00EA6872"/>
    <w:rsid w:val="00EA6B90"/>
    <w:rsid w:val="00EA6EA1"/>
    <w:rsid w:val="00EA72B6"/>
    <w:rsid w:val="00EA7403"/>
    <w:rsid w:val="00EA7A0F"/>
    <w:rsid w:val="00EB04B5"/>
    <w:rsid w:val="00EB0F0D"/>
    <w:rsid w:val="00EB1073"/>
    <w:rsid w:val="00EB199B"/>
    <w:rsid w:val="00EB1B46"/>
    <w:rsid w:val="00EB1BD3"/>
    <w:rsid w:val="00EB210B"/>
    <w:rsid w:val="00EB269D"/>
    <w:rsid w:val="00EB28AE"/>
    <w:rsid w:val="00EB2979"/>
    <w:rsid w:val="00EB306B"/>
    <w:rsid w:val="00EB39F9"/>
    <w:rsid w:val="00EB3BCE"/>
    <w:rsid w:val="00EB3C82"/>
    <w:rsid w:val="00EB3E3A"/>
    <w:rsid w:val="00EB4093"/>
    <w:rsid w:val="00EB47E5"/>
    <w:rsid w:val="00EB537C"/>
    <w:rsid w:val="00EB53A3"/>
    <w:rsid w:val="00EB5877"/>
    <w:rsid w:val="00EB5BA4"/>
    <w:rsid w:val="00EB5CAD"/>
    <w:rsid w:val="00EB621E"/>
    <w:rsid w:val="00EB65A1"/>
    <w:rsid w:val="00EB6633"/>
    <w:rsid w:val="00EB67A1"/>
    <w:rsid w:val="00EB684B"/>
    <w:rsid w:val="00EB6AA5"/>
    <w:rsid w:val="00EB7175"/>
    <w:rsid w:val="00EB73C0"/>
    <w:rsid w:val="00EB7939"/>
    <w:rsid w:val="00EB7C89"/>
    <w:rsid w:val="00EC0768"/>
    <w:rsid w:val="00EC0CD1"/>
    <w:rsid w:val="00EC0DD2"/>
    <w:rsid w:val="00EC0E73"/>
    <w:rsid w:val="00EC0F63"/>
    <w:rsid w:val="00EC1104"/>
    <w:rsid w:val="00EC1543"/>
    <w:rsid w:val="00EC225A"/>
    <w:rsid w:val="00EC23B5"/>
    <w:rsid w:val="00EC2B6C"/>
    <w:rsid w:val="00EC2C2F"/>
    <w:rsid w:val="00EC2CF2"/>
    <w:rsid w:val="00EC2F71"/>
    <w:rsid w:val="00EC3159"/>
    <w:rsid w:val="00EC323A"/>
    <w:rsid w:val="00EC34E3"/>
    <w:rsid w:val="00EC3D4A"/>
    <w:rsid w:val="00EC4820"/>
    <w:rsid w:val="00EC5335"/>
    <w:rsid w:val="00EC5470"/>
    <w:rsid w:val="00EC5DD1"/>
    <w:rsid w:val="00EC6830"/>
    <w:rsid w:val="00EC6BEC"/>
    <w:rsid w:val="00EC70F7"/>
    <w:rsid w:val="00EC7C78"/>
    <w:rsid w:val="00EC7EB7"/>
    <w:rsid w:val="00ED0078"/>
    <w:rsid w:val="00ED053F"/>
    <w:rsid w:val="00ED0D4B"/>
    <w:rsid w:val="00ED0DE8"/>
    <w:rsid w:val="00ED104C"/>
    <w:rsid w:val="00ED1925"/>
    <w:rsid w:val="00ED1A2D"/>
    <w:rsid w:val="00ED1EF8"/>
    <w:rsid w:val="00ED241C"/>
    <w:rsid w:val="00ED2867"/>
    <w:rsid w:val="00ED28D4"/>
    <w:rsid w:val="00ED2F2E"/>
    <w:rsid w:val="00ED2F32"/>
    <w:rsid w:val="00ED3319"/>
    <w:rsid w:val="00ED38A1"/>
    <w:rsid w:val="00ED3A50"/>
    <w:rsid w:val="00ED3CFE"/>
    <w:rsid w:val="00ED3E46"/>
    <w:rsid w:val="00ED4488"/>
    <w:rsid w:val="00ED456E"/>
    <w:rsid w:val="00ED46D7"/>
    <w:rsid w:val="00ED4E9D"/>
    <w:rsid w:val="00ED542F"/>
    <w:rsid w:val="00ED54B3"/>
    <w:rsid w:val="00ED56F2"/>
    <w:rsid w:val="00ED6A8D"/>
    <w:rsid w:val="00ED6B2E"/>
    <w:rsid w:val="00ED710B"/>
    <w:rsid w:val="00ED7133"/>
    <w:rsid w:val="00ED7924"/>
    <w:rsid w:val="00ED794A"/>
    <w:rsid w:val="00EE0989"/>
    <w:rsid w:val="00EE11F8"/>
    <w:rsid w:val="00EE1427"/>
    <w:rsid w:val="00EE224B"/>
    <w:rsid w:val="00EE2696"/>
    <w:rsid w:val="00EE27E2"/>
    <w:rsid w:val="00EE2819"/>
    <w:rsid w:val="00EE2A4B"/>
    <w:rsid w:val="00EE2C81"/>
    <w:rsid w:val="00EE2EC4"/>
    <w:rsid w:val="00EE38B4"/>
    <w:rsid w:val="00EE392A"/>
    <w:rsid w:val="00EE3F23"/>
    <w:rsid w:val="00EE5921"/>
    <w:rsid w:val="00EE59ED"/>
    <w:rsid w:val="00EE6168"/>
    <w:rsid w:val="00EE664E"/>
    <w:rsid w:val="00EE6853"/>
    <w:rsid w:val="00EE6B3C"/>
    <w:rsid w:val="00EE6BD8"/>
    <w:rsid w:val="00EE6C9F"/>
    <w:rsid w:val="00EE7E5F"/>
    <w:rsid w:val="00EF00D9"/>
    <w:rsid w:val="00EF02B0"/>
    <w:rsid w:val="00EF04B9"/>
    <w:rsid w:val="00EF067D"/>
    <w:rsid w:val="00EF0F24"/>
    <w:rsid w:val="00EF105D"/>
    <w:rsid w:val="00EF16C3"/>
    <w:rsid w:val="00EF1824"/>
    <w:rsid w:val="00EF201C"/>
    <w:rsid w:val="00EF2474"/>
    <w:rsid w:val="00EF24F5"/>
    <w:rsid w:val="00EF251D"/>
    <w:rsid w:val="00EF2565"/>
    <w:rsid w:val="00EF27D0"/>
    <w:rsid w:val="00EF28B1"/>
    <w:rsid w:val="00EF2DE8"/>
    <w:rsid w:val="00EF32F6"/>
    <w:rsid w:val="00EF4580"/>
    <w:rsid w:val="00EF4674"/>
    <w:rsid w:val="00EF49D6"/>
    <w:rsid w:val="00EF4D4E"/>
    <w:rsid w:val="00EF539F"/>
    <w:rsid w:val="00EF587B"/>
    <w:rsid w:val="00EF5C32"/>
    <w:rsid w:val="00EF6280"/>
    <w:rsid w:val="00EF629C"/>
    <w:rsid w:val="00EF6600"/>
    <w:rsid w:val="00EF662C"/>
    <w:rsid w:val="00EF6928"/>
    <w:rsid w:val="00EF7AE2"/>
    <w:rsid w:val="00EF7C29"/>
    <w:rsid w:val="00F016E4"/>
    <w:rsid w:val="00F01B75"/>
    <w:rsid w:val="00F0245D"/>
    <w:rsid w:val="00F02475"/>
    <w:rsid w:val="00F0268A"/>
    <w:rsid w:val="00F02E29"/>
    <w:rsid w:val="00F03170"/>
    <w:rsid w:val="00F03B3C"/>
    <w:rsid w:val="00F03C06"/>
    <w:rsid w:val="00F04097"/>
    <w:rsid w:val="00F045E2"/>
    <w:rsid w:val="00F04BCE"/>
    <w:rsid w:val="00F04F4F"/>
    <w:rsid w:val="00F05409"/>
    <w:rsid w:val="00F059B9"/>
    <w:rsid w:val="00F06448"/>
    <w:rsid w:val="00F064BD"/>
    <w:rsid w:val="00F0689B"/>
    <w:rsid w:val="00F06C5A"/>
    <w:rsid w:val="00F06E52"/>
    <w:rsid w:val="00F06F62"/>
    <w:rsid w:val="00F07EC3"/>
    <w:rsid w:val="00F100E0"/>
    <w:rsid w:val="00F10625"/>
    <w:rsid w:val="00F1079D"/>
    <w:rsid w:val="00F10BE4"/>
    <w:rsid w:val="00F11209"/>
    <w:rsid w:val="00F11C39"/>
    <w:rsid w:val="00F11CEB"/>
    <w:rsid w:val="00F1248F"/>
    <w:rsid w:val="00F1264C"/>
    <w:rsid w:val="00F1327D"/>
    <w:rsid w:val="00F13573"/>
    <w:rsid w:val="00F13B7A"/>
    <w:rsid w:val="00F14060"/>
    <w:rsid w:val="00F14621"/>
    <w:rsid w:val="00F14673"/>
    <w:rsid w:val="00F1469A"/>
    <w:rsid w:val="00F1480E"/>
    <w:rsid w:val="00F149A3"/>
    <w:rsid w:val="00F14D6A"/>
    <w:rsid w:val="00F15443"/>
    <w:rsid w:val="00F155D2"/>
    <w:rsid w:val="00F1575F"/>
    <w:rsid w:val="00F15BD1"/>
    <w:rsid w:val="00F161F9"/>
    <w:rsid w:val="00F16772"/>
    <w:rsid w:val="00F1677E"/>
    <w:rsid w:val="00F16E3E"/>
    <w:rsid w:val="00F16E82"/>
    <w:rsid w:val="00F1767B"/>
    <w:rsid w:val="00F1784C"/>
    <w:rsid w:val="00F1788E"/>
    <w:rsid w:val="00F17CF5"/>
    <w:rsid w:val="00F200EA"/>
    <w:rsid w:val="00F20E6E"/>
    <w:rsid w:val="00F211C1"/>
    <w:rsid w:val="00F21C7E"/>
    <w:rsid w:val="00F21EEB"/>
    <w:rsid w:val="00F21F25"/>
    <w:rsid w:val="00F2227D"/>
    <w:rsid w:val="00F22A44"/>
    <w:rsid w:val="00F23077"/>
    <w:rsid w:val="00F234F2"/>
    <w:rsid w:val="00F23C99"/>
    <w:rsid w:val="00F25592"/>
    <w:rsid w:val="00F255A4"/>
    <w:rsid w:val="00F25F15"/>
    <w:rsid w:val="00F26877"/>
    <w:rsid w:val="00F2738D"/>
    <w:rsid w:val="00F27A88"/>
    <w:rsid w:val="00F27BD9"/>
    <w:rsid w:val="00F30013"/>
    <w:rsid w:val="00F30562"/>
    <w:rsid w:val="00F30CB3"/>
    <w:rsid w:val="00F30E40"/>
    <w:rsid w:val="00F31254"/>
    <w:rsid w:val="00F3163A"/>
    <w:rsid w:val="00F31A97"/>
    <w:rsid w:val="00F320EB"/>
    <w:rsid w:val="00F3231E"/>
    <w:rsid w:val="00F32530"/>
    <w:rsid w:val="00F32876"/>
    <w:rsid w:val="00F32E30"/>
    <w:rsid w:val="00F3312F"/>
    <w:rsid w:val="00F333D1"/>
    <w:rsid w:val="00F33438"/>
    <w:rsid w:val="00F3344A"/>
    <w:rsid w:val="00F335B5"/>
    <w:rsid w:val="00F3372C"/>
    <w:rsid w:val="00F33B1F"/>
    <w:rsid w:val="00F33FEC"/>
    <w:rsid w:val="00F345BB"/>
    <w:rsid w:val="00F35842"/>
    <w:rsid w:val="00F36501"/>
    <w:rsid w:val="00F3664B"/>
    <w:rsid w:val="00F36694"/>
    <w:rsid w:val="00F36B00"/>
    <w:rsid w:val="00F36CD4"/>
    <w:rsid w:val="00F3767D"/>
    <w:rsid w:val="00F40360"/>
    <w:rsid w:val="00F4093E"/>
    <w:rsid w:val="00F40C63"/>
    <w:rsid w:val="00F40C8A"/>
    <w:rsid w:val="00F4170C"/>
    <w:rsid w:val="00F41879"/>
    <w:rsid w:val="00F419B1"/>
    <w:rsid w:val="00F41CFF"/>
    <w:rsid w:val="00F41DCB"/>
    <w:rsid w:val="00F42010"/>
    <w:rsid w:val="00F42116"/>
    <w:rsid w:val="00F4243B"/>
    <w:rsid w:val="00F42646"/>
    <w:rsid w:val="00F42A87"/>
    <w:rsid w:val="00F42EA6"/>
    <w:rsid w:val="00F43598"/>
    <w:rsid w:val="00F43A0D"/>
    <w:rsid w:val="00F43F68"/>
    <w:rsid w:val="00F44038"/>
    <w:rsid w:val="00F45A58"/>
    <w:rsid w:val="00F45BBF"/>
    <w:rsid w:val="00F46342"/>
    <w:rsid w:val="00F4667C"/>
    <w:rsid w:val="00F46963"/>
    <w:rsid w:val="00F46F74"/>
    <w:rsid w:val="00F47047"/>
    <w:rsid w:val="00F471C5"/>
    <w:rsid w:val="00F47DE3"/>
    <w:rsid w:val="00F50392"/>
    <w:rsid w:val="00F50828"/>
    <w:rsid w:val="00F50906"/>
    <w:rsid w:val="00F50AA7"/>
    <w:rsid w:val="00F50C91"/>
    <w:rsid w:val="00F522A2"/>
    <w:rsid w:val="00F53002"/>
    <w:rsid w:val="00F53B92"/>
    <w:rsid w:val="00F53C02"/>
    <w:rsid w:val="00F54646"/>
    <w:rsid w:val="00F54714"/>
    <w:rsid w:val="00F54B54"/>
    <w:rsid w:val="00F54B91"/>
    <w:rsid w:val="00F54BA2"/>
    <w:rsid w:val="00F55175"/>
    <w:rsid w:val="00F55659"/>
    <w:rsid w:val="00F558D4"/>
    <w:rsid w:val="00F55AEA"/>
    <w:rsid w:val="00F55FFC"/>
    <w:rsid w:val="00F562F1"/>
    <w:rsid w:val="00F563E4"/>
    <w:rsid w:val="00F56730"/>
    <w:rsid w:val="00F56F60"/>
    <w:rsid w:val="00F571B8"/>
    <w:rsid w:val="00F5722C"/>
    <w:rsid w:val="00F577C6"/>
    <w:rsid w:val="00F57800"/>
    <w:rsid w:val="00F603F5"/>
    <w:rsid w:val="00F60F76"/>
    <w:rsid w:val="00F6185D"/>
    <w:rsid w:val="00F61E12"/>
    <w:rsid w:val="00F620E4"/>
    <w:rsid w:val="00F62238"/>
    <w:rsid w:val="00F622E7"/>
    <w:rsid w:val="00F62391"/>
    <w:rsid w:val="00F629C3"/>
    <w:rsid w:val="00F62A2D"/>
    <w:rsid w:val="00F6313E"/>
    <w:rsid w:val="00F63A0E"/>
    <w:rsid w:val="00F642E8"/>
    <w:rsid w:val="00F6463A"/>
    <w:rsid w:val="00F64883"/>
    <w:rsid w:val="00F64954"/>
    <w:rsid w:val="00F64B72"/>
    <w:rsid w:val="00F64FC3"/>
    <w:rsid w:val="00F65A96"/>
    <w:rsid w:val="00F65B4B"/>
    <w:rsid w:val="00F66F43"/>
    <w:rsid w:val="00F66F81"/>
    <w:rsid w:val="00F67608"/>
    <w:rsid w:val="00F67700"/>
    <w:rsid w:val="00F705E9"/>
    <w:rsid w:val="00F709A0"/>
    <w:rsid w:val="00F70C84"/>
    <w:rsid w:val="00F7113A"/>
    <w:rsid w:val="00F7132A"/>
    <w:rsid w:val="00F71F37"/>
    <w:rsid w:val="00F721EA"/>
    <w:rsid w:val="00F72B0E"/>
    <w:rsid w:val="00F72BEC"/>
    <w:rsid w:val="00F72BF8"/>
    <w:rsid w:val="00F72D40"/>
    <w:rsid w:val="00F72F42"/>
    <w:rsid w:val="00F731D2"/>
    <w:rsid w:val="00F736AF"/>
    <w:rsid w:val="00F736F8"/>
    <w:rsid w:val="00F73A5D"/>
    <w:rsid w:val="00F73C9D"/>
    <w:rsid w:val="00F73E80"/>
    <w:rsid w:val="00F73E94"/>
    <w:rsid w:val="00F742A7"/>
    <w:rsid w:val="00F74D09"/>
    <w:rsid w:val="00F74F88"/>
    <w:rsid w:val="00F74FA0"/>
    <w:rsid w:val="00F75320"/>
    <w:rsid w:val="00F756F1"/>
    <w:rsid w:val="00F757DF"/>
    <w:rsid w:val="00F75913"/>
    <w:rsid w:val="00F75BD3"/>
    <w:rsid w:val="00F75E22"/>
    <w:rsid w:val="00F76030"/>
    <w:rsid w:val="00F76222"/>
    <w:rsid w:val="00F763FB"/>
    <w:rsid w:val="00F7696B"/>
    <w:rsid w:val="00F76D63"/>
    <w:rsid w:val="00F77748"/>
    <w:rsid w:val="00F77E2A"/>
    <w:rsid w:val="00F8050A"/>
    <w:rsid w:val="00F80C8A"/>
    <w:rsid w:val="00F81169"/>
    <w:rsid w:val="00F814B5"/>
    <w:rsid w:val="00F81852"/>
    <w:rsid w:val="00F819D7"/>
    <w:rsid w:val="00F81FBA"/>
    <w:rsid w:val="00F82251"/>
    <w:rsid w:val="00F82257"/>
    <w:rsid w:val="00F82588"/>
    <w:rsid w:val="00F83339"/>
    <w:rsid w:val="00F83651"/>
    <w:rsid w:val="00F83660"/>
    <w:rsid w:val="00F84128"/>
    <w:rsid w:val="00F847D1"/>
    <w:rsid w:val="00F84CA9"/>
    <w:rsid w:val="00F853B0"/>
    <w:rsid w:val="00F85A8A"/>
    <w:rsid w:val="00F85E5F"/>
    <w:rsid w:val="00F8681C"/>
    <w:rsid w:val="00F8690B"/>
    <w:rsid w:val="00F86C07"/>
    <w:rsid w:val="00F8714E"/>
    <w:rsid w:val="00F87671"/>
    <w:rsid w:val="00F87A7C"/>
    <w:rsid w:val="00F90A06"/>
    <w:rsid w:val="00F912FF"/>
    <w:rsid w:val="00F92589"/>
    <w:rsid w:val="00F929DD"/>
    <w:rsid w:val="00F92A39"/>
    <w:rsid w:val="00F92E4A"/>
    <w:rsid w:val="00F937BF"/>
    <w:rsid w:val="00F93C2D"/>
    <w:rsid w:val="00F9431A"/>
    <w:rsid w:val="00F94CF3"/>
    <w:rsid w:val="00F957C9"/>
    <w:rsid w:val="00F95A74"/>
    <w:rsid w:val="00F96182"/>
    <w:rsid w:val="00F963DA"/>
    <w:rsid w:val="00F9643D"/>
    <w:rsid w:val="00F9658B"/>
    <w:rsid w:val="00F967F7"/>
    <w:rsid w:val="00F97418"/>
    <w:rsid w:val="00FA0D6C"/>
    <w:rsid w:val="00FA106A"/>
    <w:rsid w:val="00FA1B45"/>
    <w:rsid w:val="00FA1BA9"/>
    <w:rsid w:val="00FA1F78"/>
    <w:rsid w:val="00FA2038"/>
    <w:rsid w:val="00FA205F"/>
    <w:rsid w:val="00FA20B1"/>
    <w:rsid w:val="00FA2240"/>
    <w:rsid w:val="00FA2668"/>
    <w:rsid w:val="00FA27B3"/>
    <w:rsid w:val="00FA27E5"/>
    <w:rsid w:val="00FA2C2B"/>
    <w:rsid w:val="00FA2E11"/>
    <w:rsid w:val="00FA2EA4"/>
    <w:rsid w:val="00FA3243"/>
    <w:rsid w:val="00FA343C"/>
    <w:rsid w:val="00FA4434"/>
    <w:rsid w:val="00FA5186"/>
    <w:rsid w:val="00FA5B44"/>
    <w:rsid w:val="00FA6220"/>
    <w:rsid w:val="00FA64DB"/>
    <w:rsid w:val="00FA68B5"/>
    <w:rsid w:val="00FA6E3B"/>
    <w:rsid w:val="00FA7753"/>
    <w:rsid w:val="00FA77BD"/>
    <w:rsid w:val="00FA78FC"/>
    <w:rsid w:val="00FA7D8F"/>
    <w:rsid w:val="00FB06B8"/>
    <w:rsid w:val="00FB0D75"/>
    <w:rsid w:val="00FB13CA"/>
    <w:rsid w:val="00FB188E"/>
    <w:rsid w:val="00FB20FB"/>
    <w:rsid w:val="00FB21C9"/>
    <w:rsid w:val="00FB240E"/>
    <w:rsid w:val="00FB280F"/>
    <w:rsid w:val="00FB3415"/>
    <w:rsid w:val="00FB34EE"/>
    <w:rsid w:val="00FB35FD"/>
    <w:rsid w:val="00FB44B4"/>
    <w:rsid w:val="00FB574C"/>
    <w:rsid w:val="00FB5AF6"/>
    <w:rsid w:val="00FB5C73"/>
    <w:rsid w:val="00FB5D49"/>
    <w:rsid w:val="00FB5E5B"/>
    <w:rsid w:val="00FB5F69"/>
    <w:rsid w:val="00FB6060"/>
    <w:rsid w:val="00FB6359"/>
    <w:rsid w:val="00FB674F"/>
    <w:rsid w:val="00FB6D59"/>
    <w:rsid w:val="00FB7435"/>
    <w:rsid w:val="00FB791F"/>
    <w:rsid w:val="00FB7943"/>
    <w:rsid w:val="00FB7C6D"/>
    <w:rsid w:val="00FB7F47"/>
    <w:rsid w:val="00FC0B55"/>
    <w:rsid w:val="00FC0EC5"/>
    <w:rsid w:val="00FC197D"/>
    <w:rsid w:val="00FC1A59"/>
    <w:rsid w:val="00FC1B2C"/>
    <w:rsid w:val="00FC2034"/>
    <w:rsid w:val="00FC2186"/>
    <w:rsid w:val="00FC247E"/>
    <w:rsid w:val="00FC2DF9"/>
    <w:rsid w:val="00FC2FD2"/>
    <w:rsid w:val="00FC317E"/>
    <w:rsid w:val="00FC3EEA"/>
    <w:rsid w:val="00FC3FA0"/>
    <w:rsid w:val="00FC43EC"/>
    <w:rsid w:val="00FC49E2"/>
    <w:rsid w:val="00FC503A"/>
    <w:rsid w:val="00FC54F5"/>
    <w:rsid w:val="00FC58F4"/>
    <w:rsid w:val="00FC630C"/>
    <w:rsid w:val="00FC6452"/>
    <w:rsid w:val="00FC6D9B"/>
    <w:rsid w:val="00FC6FB3"/>
    <w:rsid w:val="00FC7517"/>
    <w:rsid w:val="00FC7661"/>
    <w:rsid w:val="00FC77EA"/>
    <w:rsid w:val="00FC799F"/>
    <w:rsid w:val="00FC7C04"/>
    <w:rsid w:val="00FC7CA3"/>
    <w:rsid w:val="00FC7DED"/>
    <w:rsid w:val="00FD0020"/>
    <w:rsid w:val="00FD11D9"/>
    <w:rsid w:val="00FD11F8"/>
    <w:rsid w:val="00FD121A"/>
    <w:rsid w:val="00FD1225"/>
    <w:rsid w:val="00FD1613"/>
    <w:rsid w:val="00FD16AB"/>
    <w:rsid w:val="00FD221F"/>
    <w:rsid w:val="00FD2229"/>
    <w:rsid w:val="00FD2812"/>
    <w:rsid w:val="00FD2D27"/>
    <w:rsid w:val="00FD36F8"/>
    <w:rsid w:val="00FD4326"/>
    <w:rsid w:val="00FD4BC6"/>
    <w:rsid w:val="00FD4CBE"/>
    <w:rsid w:val="00FD5C7D"/>
    <w:rsid w:val="00FD6A99"/>
    <w:rsid w:val="00FD71D4"/>
    <w:rsid w:val="00FD733E"/>
    <w:rsid w:val="00FD741B"/>
    <w:rsid w:val="00FD76FD"/>
    <w:rsid w:val="00FD798A"/>
    <w:rsid w:val="00FE098C"/>
    <w:rsid w:val="00FE0AF5"/>
    <w:rsid w:val="00FE0D21"/>
    <w:rsid w:val="00FE162B"/>
    <w:rsid w:val="00FE2194"/>
    <w:rsid w:val="00FE21E9"/>
    <w:rsid w:val="00FE25D9"/>
    <w:rsid w:val="00FE2952"/>
    <w:rsid w:val="00FE2D16"/>
    <w:rsid w:val="00FE2F77"/>
    <w:rsid w:val="00FE31B2"/>
    <w:rsid w:val="00FE3480"/>
    <w:rsid w:val="00FE3716"/>
    <w:rsid w:val="00FE3ABE"/>
    <w:rsid w:val="00FE3BFE"/>
    <w:rsid w:val="00FE3E4F"/>
    <w:rsid w:val="00FE4384"/>
    <w:rsid w:val="00FE43E1"/>
    <w:rsid w:val="00FE47E6"/>
    <w:rsid w:val="00FE4D74"/>
    <w:rsid w:val="00FE4D95"/>
    <w:rsid w:val="00FE559F"/>
    <w:rsid w:val="00FE5CD6"/>
    <w:rsid w:val="00FE706C"/>
    <w:rsid w:val="00FE7446"/>
    <w:rsid w:val="00FE7473"/>
    <w:rsid w:val="00FE76A6"/>
    <w:rsid w:val="00FE779B"/>
    <w:rsid w:val="00FE7C2E"/>
    <w:rsid w:val="00FF0CD1"/>
    <w:rsid w:val="00FF14A6"/>
    <w:rsid w:val="00FF33A9"/>
    <w:rsid w:val="00FF3582"/>
    <w:rsid w:val="00FF380B"/>
    <w:rsid w:val="00FF3907"/>
    <w:rsid w:val="00FF3B92"/>
    <w:rsid w:val="00FF3BC9"/>
    <w:rsid w:val="00FF4385"/>
    <w:rsid w:val="00FF4A61"/>
    <w:rsid w:val="00FF4F68"/>
    <w:rsid w:val="00FF5044"/>
    <w:rsid w:val="00FF52A9"/>
    <w:rsid w:val="00FF52DE"/>
    <w:rsid w:val="00FF565C"/>
    <w:rsid w:val="00FF58A0"/>
    <w:rsid w:val="00FF5CB1"/>
    <w:rsid w:val="00FF5F0C"/>
    <w:rsid w:val="00FF601C"/>
    <w:rsid w:val="00FF646D"/>
    <w:rsid w:val="00FF64BE"/>
    <w:rsid w:val="00FF6E2B"/>
    <w:rsid w:val="00FF70B5"/>
    <w:rsid w:val="00FF7189"/>
    <w:rsid w:val="00FF7721"/>
    <w:rsid w:val="00FF7F30"/>
    <w:rsid w:val="011A11A4"/>
    <w:rsid w:val="014B5B44"/>
    <w:rsid w:val="018C5F7F"/>
    <w:rsid w:val="01BE4069"/>
    <w:rsid w:val="01BE5800"/>
    <w:rsid w:val="01E46F65"/>
    <w:rsid w:val="02E536DD"/>
    <w:rsid w:val="0386778E"/>
    <w:rsid w:val="03F06C42"/>
    <w:rsid w:val="041B3357"/>
    <w:rsid w:val="04846E0C"/>
    <w:rsid w:val="04C34346"/>
    <w:rsid w:val="04E30437"/>
    <w:rsid w:val="050F05C1"/>
    <w:rsid w:val="0596483F"/>
    <w:rsid w:val="05F41FAA"/>
    <w:rsid w:val="063B78DC"/>
    <w:rsid w:val="070F5773"/>
    <w:rsid w:val="076E0F6D"/>
    <w:rsid w:val="07E84F31"/>
    <w:rsid w:val="0839529D"/>
    <w:rsid w:val="09974C33"/>
    <w:rsid w:val="09B82947"/>
    <w:rsid w:val="0A0A2F02"/>
    <w:rsid w:val="0A283ED3"/>
    <w:rsid w:val="0BDD2C71"/>
    <w:rsid w:val="0BF958C7"/>
    <w:rsid w:val="0C3F3332"/>
    <w:rsid w:val="0C5A09A9"/>
    <w:rsid w:val="0CDA6453"/>
    <w:rsid w:val="0CDB719E"/>
    <w:rsid w:val="0E0812B7"/>
    <w:rsid w:val="0EAB6A73"/>
    <w:rsid w:val="0F4D0707"/>
    <w:rsid w:val="0FBA2A45"/>
    <w:rsid w:val="0FC41654"/>
    <w:rsid w:val="0FDE7285"/>
    <w:rsid w:val="11001AA9"/>
    <w:rsid w:val="118C2ED5"/>
    <w:rsid w:val="11B83D31"/>
    <w:rsid w:val="12243AF9"/>
    <w:rsid w:val="12795B29"/>
    <w:rsid w:val="12F62B63"/>
    <w:rsid w:val="13394155"/>
    <w:rsid w:val="13696837"/>
    <w:rsid w:val="13B31AEC"/>
    <w:rsid w:val="13E975CC"/>
    <w:rsid w:val="13FE3FBA"/>
    <w:rsid w:val="140E1568"/>
    <w:rsid w:val="14404369"/>
    <w:rsid w:val="158847C9"/>
    <w:rsid w:val="15F1393F"/>
    <w:rsid w:val="16AB43FB"/>
    <w:rsid w:val="175D674F"/>
    <w:rsid w:val="17CD2550"/>
    <w:rsid w:val="18114189"/>
    <w:rsid w:val="186E6F48"/>
    <w:rsid w:val="18784728"/>
    <w:rsid w:val="18E21469"/>
    <w:rsid w:val="18F06F2D"/>
    <w:rsid w:val="191775ED"/>
    <w:rsid w:val="19AD7F51"/>
    <w:rsid w:val="1A75606A"/>
    <w:rsid w:val="1BA50D14"/>
    <w:rsid w:val="1BA677E7"/>
    <w:rsid w:val="1BA86B8C"/>
    <w:rsid w:val="1C071B9A"/>
    <w:rsid w:val="1C0748A3"/>
    <w:rsid w:val="1C0F5E7D"/>
    <w:rsid w:val="1C625D30"/>
    <w:rsid w:val="1C7671E3"/>
    <w:rsid w:val="1C777601"/>
    <w:rsid w:val="1C8A493E"/>
    <w:rsid w:val="1CCB6998"/>
    <w:rsid w:val="1CD6623F"/>
    <w:rsid w:val="1CDD4BE7"/>
    <w:rsid w:val="1CF90898"/>
    <w:rsid w:val="1CFA0FE7"/>
    <w:rsid w:val="1D3B1207"/>
    <w:rsid w:val="1D8C69C4"/>
    <w:rsid w:val="1E1C7C6C"/>
    <w:rsid w:val="1E786F00"/>
    <w:rsid w:val="1EBB34DD"/>
    <w:rsid w:val="1F1F65F5"/>
    <w:rsid w:val="1F343C02"/>
    <w:rsid w:val="1FAC7E53"/>
    <w:rsid w:val="20517FE3"/>
    <w:rsid w:val="20C46077"/>
    <w:rsid w:val="20CE2C18"/>
    <w:rsid w:val="20E06E5E"/>
    <w:rsid w:val="217C1DAF"/>
    <w:rsid w:val="218220DE"/>
    <w:rsid w:val="222121F0"/>
    <w:rsid w:val="222C76C6"/>
    <w:rsid w:val="22466CF3"/>
    <w:rsid w:val="22574EFE"/>
    <w:rsid w:val="22A344E7"/>
    <w:rsid w:val="22DE3197"/>
    <w:rsid w:val="230E0741"/>
    <w:rsid w:val="23B1331B"/>
    <w:rsid w:val="23F63E16"/>
    <w:rsid w:val="24016243"/>
    <w:rsid w:val="243A32C2"/>
    <w:rsid w:val="24B90983"/>
    <w:rsid w:val="25093A3B"/>
    <w:rsid w:val="25236D0D"/>
    <w:rsid w:val="252F645D"/>
    <w:rsid w:val="255F47F5"/>
    <w:rsid w:val="258858A9"/>
    <w:rsid w:val="259C1C77"/>
    <w:rsid w:val="26757E2C"/>
    <w:rsid w:val="26790701"/>
    <w:rsid w:val="26EA00EF"/>
    <w:rsid w:val="26FD567B"/>
    <w:rsid w:val="273508EE"/>
    <w:rsid w:val="27483692"/>
    <w:rsid w:val="276F6E45"/>
    <w:rsid w:val="278066D7"/>
    <w:rsid w:val="27827B0F"/>
    <w:rsid w:val="27886287"/>
    <w:rsid w:val="27B528F8"/>
    <w:rsid w:val="27F53526"/>
    <w:rsid w:val="27FA5E76"/>
    <w:rsid w:val="28690FE5"/>
    <w:rsid w:val="288E2BD2"/>
    <w:rsid w:val="28911B25"/>
    <w:rsid w:val="28CF2F29"/>
    <w:rsid w:val="28DC50AB"/>
    <w:rsid w:val="28E55271"/>
    <w:rsid w:val="2923374B"/>
    <w:rsid w:val="296C2B2B"/>
    <w:rsid w:val="29773F81"/>
    <w:rsid w:val="29BD796F"/>
    <w:rsid w:val="2A2D69E0"/>
    <w:rsid w:val="2A516587"/>
    <w:rsid w:val="2AAC3644"/>
    <w:rsid w:val="2B2646C8"/>
    <w:rsid w:val="2B4A04F8"/>
    <w:rsid w:val="2B8946FF"/>
    <w:rsid w:val="2C0A4741"/>
    <w:rsid w:val="2CE77A69"/>
    <w:rsid w:val="2CF86E08"/>
    <w:rsid w:val="2D9B15EF"/>
    <w:rsid w:val="2E304308"/>
    <w:rsid w:val="2EB26D79"/>
    <w:rsid w:val="2F1403FE"/>
    <w:rsid w:val="2F576681"/>
    <w:rsid w:val="2F7145F4"/>
    <w:rsid w:val="30466CDD"/>
    <w:rsid w:val="30580298"/>
    <w:rsid w:val="30646F90"/>
    <w:rsid w:val="30C147E4"/>
    <w:rsid w:val="30CB0402"/>
    <w:rsid w:val="31DB3085"/>
    <w:rsid w:val="324D2681"/>
    <w:rsid w:val="32E367A8"/>
    <w:rsid w:val="34457450"/>
    <w:rsid w:val="34EE43EC"/>
    <w:rsid w:val="35373F98"/>
    <w:rsid w:val="363B7932"/>
    <w:rsid w:val="36B771B9"/>
    <w:rsid w:val="36D15C2A"/>
    <w:rsid w:val="36FA4BBC"/>
    <w:rsid w:val="371D61FE"/>
    <w:rsid w:val="374B5AC3"/>
    <w:rsid w:val="377F7586"/>
    <w:rsid w:val="37A74C40"/>
    <w:rsid w:val="37EB4622"/>
    <w:rsid w:val="38187E4F"/>
    <w:rsid w:val="3820445B"/>
    <w:rsid w:val="38210467"/>
    <w:rsid w:val="38401B73"/>
    <w:rsid w:val="384B1D2A"/>
    <w:rsid w:val="39780BBB"/>
    <w:rsid w:val="39D617F2"/>
    <w:rsid w:val="3A7D3DC4"/>
    <w:rsid w:val="3B731AB5"/>
    <w:rsid w:val="3B833738"/>
    <w:rsid w:val="3B874762"/>
    <w:rsid w:val="3C2527C5"/>
    <w:rsid w:val="3D421B01"/>
    <w:rsid w:val="3D6F75C9"/>
    <w:rsid w:val="3DE90F01"/>
    <w:rsid w:val="3E266E35"/>
    <w:rsid w:val="3E393064"/>
    <w:rsid w:val="3E9426DD"/>
    <w:rsid w:val="3F7F04D5"/>
    <w:rsid w:val="40A005F0"/>
    <w:rsid w:val="412D0CD7"/>
    <w:rsid w:val="417E1386"/>
    <w:rsid w:val="422B6BF4"/>
    <w:rsid w:val="42347713"/>
    <w:rsid w:val="43B00A8F"/>
    <w:rsid w:val="442619BB"/>
    <w:rsid w:val="45511B47"/>
    <w:rsid w:val="459E4A6E"/>
    <w:rsid w:val="45A15DDB"/>
    <w:rsid w:val="45B22926"/>
    <w:rsid w:val="4681712C"/>
    <w:rsid w:val="468B6718"/>
    <w:rsid w:val="46FF5567"/>
    <w:rsid w:val="473B23EB"/>
    <w:rsid w:val="476C53A1"/>
    <w:rsid w:val="47B32EAB"/>
    <w:rsid w:val="47C40E8C"/>
    <w:rsid w:val="48B1218F"/>
    <w:rsid w:val="48B14AB0"/>
    <w:rsid w:val="48D6123C"/>
    <w:rsid w:val="49150F51"/>
    <w:rsid w:val="49333231"/>
    <w:rsid w:val="49480BD4"/>
    <w:rsid w:val="49956188"/>
    <w:rsid w:val="499F04DF"/>
    <w:rsid w:val="49CB3BFF"/>
    <w:rsid w:val="4A56432B"/>
    <w:rsid w:val="4AA4619B"/>
    <w:rsid w:val="4B240160"/>
    <w:rsid w:val="4B284D77"/>
    <w:rsid w:val="4BEC1507"/>
    <w:rsid w:val="4C7E06ED"/>
    <w:rsid w:val="4CD363C9"/>
    <w:rsid w:val="4D7F6702"/>
    <w:rsid w:val="4F123950"/>
    <w:rsid w:val="4F134C73"/>
    <w:rsid w:val="4FBA1A62"/>
    <w:rsid w:val="500D7D9D"/>
    <w:rsid w:val="507519D9"/>
    <w:rsid w:val="50DA7C50"/>
    <w:rsid w:val="50EC442B"/>
    <w:rsid w:val="52127D7D"/>
    <w:rsid w:val="52412A63"/>
    <w:rsid w:val="52A24E2C"/>
    <w:rsid w:val="531154A6"/>
    <w:rsid w:val="53763D4D"/>
    <w:rsid w:val="54135280"/>
    <w:rsid w:val="54532EC8"/>
    <w:rsid w:val="5526139C"/>
    <w:rsid w:val="552B2D26"/>
    <w:rsid w:val="554E1470"/>
    <w:rsid w:val="55986D51"/>
    <w:rsid w:val="55A12FCB"/>
    <w:rsid w:val="55D42624"/>
    <w:rsid w:val="56133CA0"/>
    <w:rsid w:val="56DD4ABD"/>
    <w:rsid w:val="5703231E"/>
    <w:rsid w:val="57116442"/>
    <w:rsid w:val="574C27FB"/>
    <w:rsid w:val="578D3493"/>
    <w:rsid w:val="586A7A45"/>
    <w:rsid w:val="58914C8B"/>
    <w:rsid w:val="58E3423E"/>
    <w:rsid w:val="58F23ED5"/>
    <w:rsid w:val="5956205C"/>
    <w:rsid w:val="599E6CB8"/>
    <w:rsid w:val="59E031E2"/>
    <w:rsid w:val="5AA974E8"/>
    <w:rsid w:val="5B703490"/>
    <w:rsid w:val="5B8340E7"/>
    <w:rsid w:val="5B8D0599"/>
    <w:rsid w:val="5B937814"/>
    <w:rsid w:val="5BA627EA"/>
    <w:rsid w:val="5BAA125C"/>
    <w:rsid w:val="5C6E79F1"/>
    <w:rsid w:val="5C8657B1"/>
    <w:rsid w:val="5CA73484"/>
    <w:rsid w:val="5CE5499C"/>
    <w:rsid w:val="5D77243C"/>
    <w:rsid w:val="5DA6474A"/>
    <w:rsid w:val="5E0105E4"/>
    <w:rsid w:val="5E0B450A"/>
    <w:rsid w:val="5E2F13E4"/>
    <w:rsid w:val="5EC546B7"/>
    <w:rsid w:val="5EE01513"/>
    <w:rsid w:val="5F524F52"/>
    <w:rsid w:val="5F61759D"/>
    <w:rsid w:val="5FA9036D"/>
    <w:rsid w:val="5FE20A6A"/>
    <w:rsid w:val="5FE80DF1"/>
    <w:rsid w:val="60394F33"/>
    <w:rsid w:val="607A028C"/>
    <w:rsid w:val="60A9073B"/>
    <w:rsid w:val="61014FB8"/>
    <w:rsid w:val="61904268"/>
    <w:rsid w:val="61922827"/>
    <w:rsid w:val="61985AAE"/>
    <w:rsid w:val="619B21A0"/>
    <w:rsid w:val="61A6252D"/>
    <w:rsid w:val="61C95215"/>
    <w:rsid w:val="620863D2"/>
    <w:rsid w:val="626058BD"/>
    <w:rsid w:val="6283443A"/>
    <w:rsid w:val="62D638A3"/>
    <w:rsid w:val="62D70238"/>
    <w:rsid w:val="634E5810"/>
    <w:rsid w:val="637A3FCD"/>
    <w:rsid w:val="639A2C3A"/>
    <w:rsid w:val="63A81226"/>
    <w:rsid w:val="650A079C"/>
    <w:rsid w:val="65442AE4"/>
    <w:rsid w:val="65E5355A"/>
    <w:rsid w:val="668B029F"/>
    <w:rsid w:val="66CD3247"/>
    <w:rsid w:val="674A3D4F"/>
    <w:rsid w:val="679006E0"/>
    <w:rsid w:val="6864772D"/>
    <w:rsid w:val="68A779A6"/>
    <w:rsid w:val="68BC6A3B"/>
    <w:rsid w:val="68DD7469"/>
    <w:rsid w:val="68F41FE7"/>
    <w:rsid w:val="69553066"/>
    <w:rsid w:val="6A121AD7"/>
    <w:rsid w:val="6A3C248C"/>
    <w:rsid w:val="6A7E5E1C"/>
    <w:rsid w:val="6ACB30D3"/>
    <w:rsid w:val="6AD23B35"/>
    <w:rsid w:val="6B125161"/>
    <w:rsid w:val="6C3226C6"/>
    <w:rsid w:val="6C545FF5"/>
    <w:rsid w:val="6C591BE2"/>
    <w:rsid w:val="6CB93DB8"/>
    <w:rsid w:val="6D361953"/>
    <w:rsid w:val="6E0A4A26"/>
    <w:rsid w:val="6E5E1B6C"/>
    <w:rsid w:val="6EB0460A"/>
    <w:rsid w:val="6EEF71D1"/>
    <w:rsid w:val="6F021A16"/>
    <w:rsid w:val="6F1D40CE"/>
    <w:rsid w:val="7051517A"/>
    <w:rsid w:val="70D85BD1"/>
    <w:rsid w:val="715B338A"/>
    <w:rsid w:val="716A7ADC"/>
    <w:rsid w:val="71DE2E53"/>
    <w:rsid w:val="721F39FF"/>
    <w:rsid w:val="7283785C"/>
    <w:rsid w:val="729E121E"/>
    <w:rsid w:val="72AE5A41"/>
    <w:rsid w:val="72B069AF"/>
    <w:rsid w:val="72E23A7A"/>
    <w:rsid w:val="72F6179B"/>
    <w:rsid w:val="736355BB"/>
    <w:rsid w:val="738003CA"/>
    <w:rsid w:val="73C56EED"/>
    <w:rsid w:val="73ED4347"/>
    <w:rsid w:val="74406B6D"/>
    <w:rsid w:val="758D4AB4"/>
    <w:rsid w:val="75D12961"/>
    <w:rsid w:val="765941C5"/>
    <w:rsid w:val="76A47B96"/>
    <w:rsid w:val="773B6CD4"/>
    <w:rsid w:val="77D61CCD"/>
    <w:rsid w:val="77E30949"/>
    <w:rsid w:val="77F16A53"/>
    <w:rsid w:val="783525A0"/>
    <w:rsid w:val="786F12BD"/>
    <w:rsid w:val="786F1AA9"/>
    <w:rsid w:val="7872551D"/>
    <w:rsid w:val="78E958A0"/>
    <w:rsid w:val="7920071D"/>
    <w:rsid w:val="79554FB7"/>
    <w:rsid w:val="796C4FF5"/>
    <w:rsid w:val="79C52BC7"/>
    <w:rsid w:val="79C747F6"/>
    <w:rsid w:val="7A36659D"/>
    <w:rsid w:val="7A6027C1"/>
    <w:rsid w:val="7A831561"/>
    <w:rsid w:val="7A854A12"/>
    <w:rsid w:val="7B0A4093"/>
    <w:rsid w:val="7B237820"/>
    <w:rsid w:val="7B974622"/>
    <w:rsid w:val="7D4E72F0"/>
    <w:rsid w:val="7D6B63CB"/>
    <w:rsid w:val="7D893268"/>
    <w:rsid w:val="7E9219F9"/>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3" w:lineRule="auto"/>
      <w:outlineLvl w:val="2"/>
    </w:pPr>
    <w:rPr>
      <w:b/>
      <w:bCs/>
      <w:sz w:val="32"/>
      <w:szCs w:val="32"/>
    </w:rPr>
  </w:style>
  <w:style w:type="paragraph" w:styleId="5">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link w:val="2"/>
    <w:qFormat/>
    <w:uiPriority w:val="9"/>
    <w:rPr>
      <w:rFonts w:eastAsia="宋体"/>
      <w:b/>
      <w:bCs/>
      <w:kern w:val="44"/>
      <w:sz w:val="44"/>
      <w:szCs w:val="44"/>
      <w:lang w:val="en-US" w:eastAsia="zh-CN" w:bidi="ar-SA"/>
    </w:rPr>
  </w:style>
  <w:style w:type="character" w:customStyle="1" w:styleId="60">
    <w:name w:val="标题 2 字符"/>
    <w:link w:val="3"/>
    <w:qFormat/>
    <w:uiPriority w:val="0"/>
    <w:rPr>
      <w:rFonts w:ascii="Arial" w:hAnsi="Arial" w:eastAsia="黑体"/>
      <w:b/>
      <w:bCs/>
      <w:kern w:val="2"/>
      <w:sz w:val="32"/>
      <w:szCs w:val="32"/>
    </w:rPr>
  </w:style>
  <w:style w:type="character" w:customStyle="1" w:styleId="61">
    <w:name w:val="标题 3 字符"/>
    <w:link w:val="4"/>
    <w:qFormat/>
    <w:uiPriority w:val="0"/>
    <w:rPr>
      <w:b/>
      <w:bCs/>
      <w:kern w:val="2"/>
      <w:sz w:val="32"/>
      <w:szCs w:val="32"/>
    </w:rPr>
  </w:style>
  <w:style w:type="character" w:customStyle="1" w:styleId="62">
    <w:name w:val="标题 4 字符"/>
    <w:link w:val="5"/>
    <w:qFormat/>
    <w:uiPriority w:val="0"/>
    <w:rPr>
      <w:rFonts w:ascii="Arial" w:hAnsi="Arial" w:eastAsia="黑体"/>
      <w:sz w:val="28"/>
    </w:rPr>
  </w:style>
  <w:style w:type="character" w:customStyle="1" w:styleId="63">
    <w:name w:val="标题 5 字符"/>
    <w:link w:val="6"/>
    <w:qFormat/>
    <w:uiPriority w:val="0"/>
    <w:rPr>
      <w:b/>
      <w:kern w:val="2"/>
      <w:sz w:val="28"/>
      <w:szCs w:val="24"/>
    </w:rPr>
  </w:style>
  <w:style w:type="character" w:customStyle="1" w:styleId="64">
    <w:name w:val="标题 6 字符"/>
    <w:link w:val="8"/>
    <w:qFormat/>
    <w:uiPriority w:val="0"/>
    <w:rPr>
      <w:rFonts w:ascii="Arial" w:hAnsi="Arial" w:eastAsia="黑体"/>
      <w:b/>
      <w:kern w:val="2"/>
      <w:sz w:val="24"/>
      <w:szCs w:val="24"/>
    </w:rPr>
  </w:style>
  <w:style w:type="character" w:customStyle="1" w:styleId="65">
    <w:name w:val="标题 7 字符"/>
    <w:link w:val="9"/>
    <w:qFormat/>
    <w:uiPriority w:val="0"/>
    <w:rPr>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6"/>
    <w:qFormat/>
    <w:uiPriority w:val="0"/>
    <w:rPr>
      <w:sz w:val="21"/>
      <w:shd w:val="clear" w:color="auto" w:fill="000080"/>
    </w:rPr>
  </w:style>
  <w:style w:type="character" w:customStyle="1" w:styleId="69">
    <w:name w:val="批注文字 字符2"/>
    <w:link w:val="17"/>
    <w:qFormat/>
    <w:uiPriority w:val="0"/>
    <w:rPr>
      <w:kern w:val="2"/>
      <w:sz w:val="21"/>
      <w:szCs w:val="24"/>
    </w:rPr>
  </w:style>
  <w:style w:type="character" w:customStyle="1" w:styleId="70">
    <w:name w:val="正文文本 3 字符"/>
    <w:link w:val="18"/>
    <w:qFormat/>
    <w:uiPriority w:val="0"/>
    <w:rPr>
      <w:b/>
      <w:bCs/>
      <w:kern w:val="2"/>
      <w:sz w:val="24"/>
      <w:szCs w:val="24"/>
    </w:rPr>
  </w:style>
  <w:style w:type="character" w:customStyle="1" w:styleId="71">
    <w:name w:val="正文文本 字符"/>
    <w:link w:val="19"/>
    <w:qFormat/>
    <w:uiPriority w:val="99"/>
    <w:rPr>
      <w:kern w:val="2"/>
      <w:sz w:val="24"/>
      <w:szCs w:val="24"/>
    </w:rPr>
  </w:style>
  <w:style w:type="character" w:customStyle="1" w:styleId="72">
    <w:name w:val="正文文本缩进 字符"/>
    <w:link w:val="20"/>
    <w:qFormat/>
    <w:uiPriority w:val="99"/>
    <w:rPr>
      <w:rFonts w:ascii="仿宋_GB2312" w:eastAsia="仿宋_GB2312"/>
      <w:kern w:val="2"/>
      <w:sz w:val="32"/>
    </w:rPr>
  </w:style>
  <w:style w:type="character" w:customStyle="1" w:styleId="73">
    <w:name w:val="纯文本 字符2"/>
    <w:link w:val="26"/>
    <w:qFormat/>
    <w:uiPriority w:val="0"/>
    <w:rPr>
      <w:rFonts w:ascii="宋体" w:hAnsi="Courier New" w:eastAsia="宋体" w:cs="Courier New"/>
      <w:kern w:val="2"/>
      <w:sz w:val="21"/>
      <w:szCs w:val="21"/>
      <w:lang w:val="en-US" w:eastAsia="zh-CN" w:bidi="ar-SA"/>
    </w:rPr>
  </w:style>
  <w:style w:type="character" w:customStyle="1" w:styleId="74">
    <w:name w:val="日期 字符"/>
    <w:link w:val="28"/>
    <w:qFormat/>
    <w:uiPriority w:val="0"/>
    <w:rPr>
      <w:rFonts w:ascii="宋体" w:hAnsi="Courier New" w:cs="Courier New"/>
      <w:kern w:val="2"/>
      <w:sz w:val="21"/>
      <w:szCs w:val="21"/>
    </w:rPr>
  </w:style>
  <w:style w:type="character" w:customStyle="1" w:styleId="75">
    <w:name w:val="正文文本缩进 2 字符"/>
    <w:link w:val="29"/>
    <w:qFormat/>
    <w:uiPriority w:val="0"/>
    <w:rPr>
      <w:kern w:val="2"/>
      <w:sz w:val="32"/>
    </w:rPr>
  </w:style>
  <w:style w:type="character" w:customStyle="1" w:styleId="76">
    <w:name w:val="批注框文本 字符"/>
    <w:link w:val="30"/>
    <w:qFormat/>
    <w:uiPriority w:val="0"/>
    <w:rPr>
      <w:kern w:val="2"/>
      <w:sz w:val="18"/>
      <w:szCs w:val="18"/>
    </w:rPr>
  </w:style>
  <w:style w:type="character" w:customStyle="1" w:styleId="77">
    <w:name w:val="页脚 字符"/>
    <w:link w:val="31"/>
    <w:qFormat/>
    <w:uiPriority w:val="0"/>
    <w:rPr>
      <w:kern w:val="2"/>
      <w:sz w:val="18"/>
      <w:szCs w:val="18"/>
    </w:rPr>
  </w:style>
  <w:style w:type="character" w:customStyle="1" w:styleId="78">
    <w:name w:val="页眉 字符"/>
    <w:link w:val="32"/>
    <w:qFormat/>
    <w:uiPriority w:val="99"/>
    <w:rPr>
      <w:kern w:val="2"/>
      <w:sz w:val="18"/>
      <w:szCs w:val="18"/>
    </w:rPr>
  </w:style>
  <w:style w:type="character" w:customStyle="1" w:styleId="79">
    <w:name w:val="正文文本缩进 3 字符"/>
    <w:link w:val="38"/>
    <w:qFormat/>
    <w:uiPriority w:val="0"/>
    <w:rPr>
      <w:kern w:val="2"/>
      <w:sz w:val="16"/>
      <w:szCs w:val="16"/>
    </w:rPr>
  </w:style>
  <w:style w:type="character" w:customStyle="1" w:styleId="80">
    <w:name w:val="正文文本 2 字符"/>
    <w:link w:val="41"/>
    <w:qFormat/>
    <w:uiPriority w:val="0"/>
    <w:rPr>
      <w:kern w:val="2"/>
      <w:sz w:val="21"/>
      <w:szCs w:val="24"/>
    </w:rPr>
  </w:style>
  <w:style w:type="character" w:customStyle="1" w:styleId="81">
    <w:name w:val="HTML 预设格式 字符"/>
    <w:link w:val="44"/>
    <w:qFormat/>
    <w:uiPriority w:val="0"/>
    <w:rPr>
      <w:rFonts w:ascii="黑体" w:hAnsi="Courier New" w:eastAsia="黑体" w:cs="Courier New"/>
    </w:rPr>
  </w:style>
  <w:style w:type="character" w:customStyle="1" w:styleId="82">
    <w:name w:val="标题 字符"/>
    <w:link w:val="47"/>
    <w:qFormat/>
    <w:uiPriority w:val="0"/>
    <w:rPr>
      <w:kern w:val="2"/>
      <w:sz w:val="30"/>
      <w:szCs w:val="24"/>
    </w:rPr>
  </w:style>
  <w:style w:type="character" w:customStyle="1" w:styleId="83">
    <w:name w:val="批注主题 字符"/>
    <w:link w:val="48"/>
    <w:qFormat/>
    <w:uiPriority w:val="0"/>
    <w:rPr>
      <w:b/>
      <w:bCs/>
      <w:kern w:val="2"/>
      <w:sz w:val="21"/>
      <w:szCs w:val="24"/>
    </w:rPr>
  </w:style>
  <w:style w:type="character" w:customStyle="1" w:styleId="84">
    <w:name w:val="正文文本首行缩进 字符"/>
    <w:link w:val="49"/>
    <w:qFormat/>
    <w:uiPriority w:val="0"/>
    <w:rPr>
      <w:kern w:val="2"/>
      <w:sz w:val="21"/>
      <w:szCs w:val="24"/>
    </w:rPr>
  </w:style>
  <w:style w:type="character" w:customStyle="1" w:styleId="85">
    <w:name w:val="正文文本首行缩进 2 字符"/>
    <w:link w:val="50"/>
    <w:qFormat/>
    <w:uiPriority w:val="0"/>
    <w:rPr>
      <w:kern w:val="2"/>
      <w:sz w:val="21"/>
      <w:szCs w:val="24"/>
    </w:rPr>
  </w:style>
  <w:style w:type="character" w:customStyle="1" w:styleId="86">
    <w:name w:val="small"/>
    <w:qFormat/>
    <w:uiPriority w:val="0"/>
  </w:style>
  <w:style w:type="character" w:customStyle="1" w:styleId="87">
    <w:name w:val="white"/>
    <w:qFormat/>
    <w:uiPriority w:val="0"/>
  </w:style>
  <w:style w:type="character" w:customStyle="1" w:styleId="88">
    <w:name w:val="z-窗体顶端 字符"/>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apple-converted-space"/>
    <w:qFormat/>
    <w:uiPriority w:val="0"/>
  </w:style>
  <w:style w:type="character" w:customStyle="1" w:styleId="92">
    <w:name w:val="gray12"/>
    <w:qFormat/>
    <w:uiPriority w:val="0"/>
  </w:style>
  <w:style w:type="character" w:customStyle="1" w:styleId="93">
    <w:name w:val="style21"/>
    <w:qFormat/>
    <w:uiPriority w:val="0"/>
    <w:rPr>
      <w:sz w:val="17"/>
      <w:szCs w:val="17"/>
    </w:rPr>
  </w:style>
  <w:style w:type="character" w:customStyle="1" w:styleId="94">
    <w:name w:val="mark8"/>
    <w:qFormat/>
    <w:uiPriority w:val="0"/>
    <w:rPr>
      <w:b/>
      <w:bCs/>
      <w:sz w:val="21"/>
      <w:szCs w:val="21"/>
    </w:rPr>
  </w:style>
  <w:style w:type="character" w:customStyle="1" w:styleId="95">
    <w:name w:val="content2"/>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after="0" w:line="240" w:lineRule="auto"/>
      <w:jc w:val="center"/>
    </w:pPr>
    <w:rPr>
      <w:rFonts w:ascii="宋体" w:hAnsi="宋体"/>
      <w:sz w:val="36"/>
    </w:rPr>
  </w:style>
  <w:style w:type="character" w:customStyle="1" w:styleId="98">
    <w:name w:val="case31"/>
    <w:qFormat/>
    <w:uiPriority w:val="0"/>
    <w:rPr>
      <w:rFonts w:hint="default" w:ascii="_x000B__x000C_" w:hAnsi="_x000B__x000C_"/>
      <w:sz w:val="21"/>
      <w:szCs w:val="21"/>
    </w:rPr>
  </w:style>
  <w:style w:type="character" w:customStyle="1" w:styleId="99">
    <w:name w:val="批注文字 Char2"/>
    <w:qFormat/>
    <w:uiPriority w:val="0"/>
    <w:rPr>
      <w:kern w:val="2"/>
      <w:sz w:val="21"/>
      <w:szCs w:val="24"/>
      <w:lang w:bidi="ar-SA"/>
    </w:rPr>
  </w:style>
  <w:style w:type="character" w:customStyle="1" w:styleId="100">
    <w:name w:val="标题3 Char"/>
    <w:link w:val="101"/>
    <w:qFormat/>
    <w:uiPriority w:val="0"/>
    <w:rPr>
      <w:rFonts w:ascii="宋体" w:hAnsi="宋体"/>
      <w:b/>
      <w:bCs/>
      <w:kern w:val="44"/>
      <w:sz w:val="24"/>
      <w:szCs w:val="24"/>
    </w:rPr>
  </w:style>
  <w:style w:type="paragraph" w:customStyle="1" w:styleId="101">
    <w:name w:val="标题3"/>
    <w:basedOn w:val="2"/>
    <w:link w:val="100"/>
    <w:qFormat/>
    <w:uiPriority w:val="0"/>
    <w:pPr>
      <w:spacing w:before="0" w:beforeLines="50" w:after="0" w:afterLines="50" w:line="400" w:lineRule="exact"/>
    </w:pPr>
    <w:rPr>
      <w:rFonts w:ascii="宋体" w:hAnsi="宋体"/>
      <w:sz w:val="24"/>
      <w:szCs w:val="24"/>
    </w:rPr>
  </w:style>
  <w:style w:type="character" w:customStyle="1" w:styleId="102">
    <w:name w:val="graytext1"/>
    <w:qFormat/>
    <w:uiPriority w:val="0"/>
    <w:rPr>
      <w:color w:val="666666"/>
    </w:rPr>
  </w:style>
  <w:style w:type="character" w:customStyle="1" w:styleId="103">
    <w:name w:val="font01"/>
    <w:qFormat/>
    <w:uiPriority w:val="0"/>
    <w:rPr>
      <w:rFonts w:hint="eastAsia" w:ascii="宋体" w:hAnsi="宋体" w:eastAsia="宋体"/>
      <w:color w:val="000000"/>
      <w:sz w:val="22"/>
      <w:szCs w:val="22"/>
      <w:u w:val="none"/>
    </w:rPr>
  </w:style>
  <w:style w:type="character" w:customStyle="1" w:styleId="104">
    <w:name w:val="short_text1"/>
    <w:qFormat/>
    <w:uiPriority w:val="0"/>
    <w:rPr>
      <w:sz w:val="26"/>
    </w:rPr>
  </w:style>
  <w:style w:type="character" w:customStyle="1" w:styleId="105">
    <w:name w:val="unnamed3"/>
    <w:qFormat/>
    <w:uiPriority w:val="0"/>
  </w:style>
  <w:style w:type="character" w:customStyle="1" w:styleId="106">
    <w:name w:val="062"/>
    <w:qFormat/>
    <w:uiPriority w:val="0"/>
    <w:rPr>
      <w:rFonts w:ascii="宋体" w:hAnsi="宋体"/>
      <w:b/>
      <w:bCs/>
      <w:sz w:val="32"/>
    </w:rPr>
  </w:style>
  <w:style w:type="character" w:customStyle="1" w:styleId="107">
    <w:name w:val="style11"/>
    <w:qFormat/>
    <w:uiPriority w:val="0"/>
    <w:rPr>
      <w:rFonts w:hint="default" w:ascii="Arial" w:hAnsi="Arial" w:cs="Arial"/>
    </w:rPr>
  </w:style>
  <w:style w:type="character" w:customStyle="1" w:styleId="108">
    <w:name w:val="纯文本 Char1"/>
    <w:qFormat/>
    <w:uiPriority w:val="0"/>
    <w:rPr>
      <w:rFonts w:ascii="宋体" w:hAnsi="Courier New" w:eastAsia="宋体" w:cs="Courier New"/>
      <w:kern w:val="2"/>
      <w:sz w:val="21"/>
      <w:szCs w:val="21"/>
      <w:lang w:val="en-US" w:eastAsia="zh-CN" w:bidi="ar-SA"/>
    </w:rPr>
  </w:style>
  <w:style w:type="character" w:customStyle="1" w:styleId="109">
    <w:name w:val="text11"/>
    <w:qFormat/>
    <w:uiPriority w:val="0"/>
    <w:rPr>
      <w:rFonts w:hint="default" w:ascii="Verdana" w:hAnsi="Verdana"/>
      <w:color w:val="4E4E4E"/>
      <w:sz w:val="18"/>
      <w:szCs w:val="18"/>
    </w:rPr>
  </w:style>
  <w:style w:type="character" w:customStyle="1" w:styleId="110">
    <w:name w:val="1051"/>
    <w:qFormat/>
    <w:uiPriority w:val="0"/>
    <w:rPr>
      <w:sz w:val="21"/>
      <w:szCs w:val="21"/>
    </w:rPr>
  </w:style>
  <w:style w:type="paragraph" w:customStyle="1" w:styleId="111">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List Paragraph1"/>
    <w:basedOn w:val="1"/>
    <w:qFormat/>
    <w:uiPriority w:val="0"/>
    <w:pPr>
      <w:ind w:firstLine="420" w:firstLineChars="200"/>
    </w:pPr>
    <w:rPr>
      <w:rFonts w:ascii="Calibri" w:hAnsi="Calibri"/>
      <w:szCs w:val="22"/>
    </w:rPr>
  </w:style>
  <w:style w:type="paragraph" w:customStyle="1" w:styleId="113">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14">
    <w:name w:val="_Style 11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7">
    <w:name w:val="默认段落字体 Para Char"/>
    <w:basedOn w:val="1"/>
    <w:qFormat/>
    <w:uiPriority w:val="0"/>
    <w:pPr>
      <w:adjustRightInd w:val="0"/>
      <w:spacing w:line="360" w:lineRule="auto"/>
    </w:pPr>
    <w:rPr>
      <w:kern w:val="0"/>
      <w:sz w:val="24"/>
      <w:szCs w:val="20"/>
    </w:rPr>
  </w:style>
  <w:style w:type="paragraph" w:customStyle="1" w:styleId="11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2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3">
    <w:name w:val="Char1"/>
    <w:basedOn w:val="1"/>
    <w:qFormat/>
    <w:uiPriority w:val="0"/>
    <w:rPr>
      <w:szCs w:val="21"/>
    </w:rPr>
  </w:style>
  <w:style w:type="paragraph" w:customStyle="1" w:styleId="124">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5">
    <w:name w:val="次小点说明 Char"/>
    <w:basedOn w:val="7"/>
    <w:qFormat/>
    <w:uiPriority w:val="0"/>
    <w:pPr>
      <w:ind w:firstLine="0"/>
    </w:pPr>
    <w:rPr>
      <w:sz w:val="24"/>
      <w:szCs w:val="24"/>
    </w:rPr>
  </w:style>
  <w:style w:type="paragraph" w:customStyle="1" w:styleId="12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27">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28">
    <w:name w:val="正文段"/>
    <w:basedOn w:val="1"/>
    <w:qFormat/>
    <w:uiPriority w:val="0"/>
    <w:pPr>
      <w:widowControl/>
      <w:snapToGrid w:val="0"/>
      <w:spacing w:after="156" w:afterLines="50"/>
      <w:ind w:firstLine="200" w:firstLineChars="200"/>
    </w:pPr>
    <w:rPr>
      <w:kern w:val="0"/>
      <w:sz w:val="24"/>
      <w:szCs w:val="20"/>
    </w:rPr>
  </w:style>
  <w:style w:type="paragraph" w:customStyle="1" w:styleId="12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0">
    <w:name w:val="列表段落1"/>
    <w:basedOn w:val="1"/>
    <w:qFormat/>
    <w:uiPriority w:val="34"/>
    <w:pPr>
      <w:ind w:firstLine="420" w:firstLineChars="200"/>
    </w:pPr>
    <w:rPr>
      <w:rFonts w:ascii="Calibri" w:hAnsi="Calibri"/>
      <w:szCs w:val="22"/>
    </w:rPr>
  </w:style>
  <w:style w:type="paragraph" w:customStyle="1" w:styleId="131">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Char Char Char Char Char Char Char"/>
    <w:basedOn w:val="1"/>
    <w:qFormat/>
    <w:uiPriority w:val="0"/>
  </w:style>
  <w:style w:type="paragraph" w:customStyle="1" w:styleId="13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6">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样式1"/>
    <w:basedOn w:val="1"/>
    <w:qFormat/>
    <w:uiPriority w:val="0"/>
    <w:pPr>
      <w:spacing w:before="120" w:after="120" w:line="300" w:lineRule="auto"/>
    </w:pPr>
    <w:rPr>
      <w:rFonts w:ascii="宋体" w:hAnsi="宋体"/>
      <w:b/>
      <w:sz w:val="24"/>
      <w:szCs w:val="20"/>
    </w:rPr>
  </w:style>
  <w:style w:type="paragraph" w:customStyle="1" w:styleId="138">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39">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2">
    <w:name w:val="样式 首行缩进:  2 字符"/>
    <w:basedOn w:val="1"/>
    <w:qFormat/>
    <w:uiPriority w:val="0"/>
    <w:pPr>
      <w:spacing w:line="400" w:lineRule="exact"/>
      <w:ind w:firstLine="200" w:firstLineChars="200"/>
    </w:pPr>
    <w:rPr>
      <w:rFonts w:cs="宋体"/>
      <w:sz w:val="24"/>
    </w:rPr>
  </w:style>
  <w:style w:type="paragraph" w:customStyle="1" w:styleId="143">
    <w:name w:val="正文首行缩进两字符"/>
    <w:basedOn w:val="1"/>
    <w:qFormat/>
    <w:uiPriority w:val="0"/>
    <w:pPr>
      <w:spacing w:line="360" w:lineRule="auto"/>
      <w:ind w:firstLine="200" w:firstLineChars="200"/>
    </w:pPr>
  </w:style>
  <w:style w:type="paragraph" w:customStyle="1" w:styleId="14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5">
    <w:name w:val="444"/>
    <w:basedOn w:val="1"/>
    <w:qFormat/>
    <w:uiPriority w:val="0"/>
    <w:pPr>
      <w:adjustRightInd w:val="0"/>
      <w:spacing w:line="312" w:lineRule="atLeast"/>
      <w:jc w:val="center"/>
      <w:textAlignment w:val="baseline"/>
    </w:pPr>
    <w:rPr>
      <w:b/>
      <w:kern w:val="0"/>
      <w:sz w:val="36"/>
      <w:szCs w:val="36"/>
    </w:rPr>
  </w:style>
  <w:style w:type="paragraph" w:customStyle="1" w:styleId="14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7">
    <w:name w:val="默认段落字体 Para Char Char Char Char Char Char Char Char Char1 Char Char Char Char"/>
    <w:basedOn w:val="1"/>
    <w:qFormat/>
    <w:uiPriority w:val="0"/>
    <w:rPr>
      <w:rFonts w:ascii="Tahoma" w:hAnsi="Tahoma"/>
      <w:sz w:val="24"/>
      <w:szCs w:val="20"/>
    </w:rPr>
  </w:style>
  <w:style w:type="paragraph" w:customStyle="1" w:styleId="148">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50">
    <w:name w:val="Char31"/>
    <w:basedOn w:val="1"/>
    <w:qFormat/>
    <w:uiPriority w:val="0"/>
    <w:pPr>
      <w:tabs>
        <w:tab w:val="left" w:pos="360"/>
      </w:tabs>
      <w:ind w:left="252" w:hanging="252" w:hangingChars="140"/>
    </w:pPr>
    <w:rPr>
      <w:rFonts w:ascii="宋体"/>
      <w:sz w:val="18"/>
      <w:szCs w:val="18"/>
    </w:rPr>
  </w:style>
  <w:style w:type="paragraph" w:customStyle="1" w:styleId="151">
    <w:name w:val="Char Char Char"/>
    <w:basedOn w:val="1"/>
    <w:qFormat/>
    <w:uiPriority w:val="0"/>
    <w:rPr>
      <w:rFonts w:ascii="Tahoma" w:hAnsi="Tahoma"/>
      <w:sz w:val="24"/>
      <w:szCs w:val="20"/>
    </w:rPr>
  </w:style>
  <w:style w:type="paragraph" w:customStyle="1" w:styleId="152">
    <w:name w:val="表格"/>
    <w:basedOn w:val="1"/>
    <w:qFormat/>
    <w:uiPriority w:val="0"/>
    <w:pPr>
      <w:spacing w:line="400" w:lineRule="exact"/>
    </w:pPr>
    <w:rPr>
      <w:sz w:val="24"/>
    </w:rPr>
  </w:style>
  <w:style w:type="paragraph" w:customStyle="1" w:styleId="153">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4">
    <w:name w:val="tgt1"/>
    <w:basedOn w:val="1"/>
    <w:qFormat/>
    <w:uiPriority w:val="0"/>
    <w:pPr>
      <w:widowControl/>
      <w:spacing w:after="150"/>
      <w:jc w:val="left"/>
    </w:pPr>
    <w:rPr>
      <w:rFonts w:ascii="宋体" w:hAnsi="宋体" w:cs="宋体"/>
      <w:kern w:val="0"/>
      <w:sz w:val="24"/>
    </w:rPr>
  </w:style>
  <w:style w:type="paragraph" w:customStyle="1" w:styleId="155">
    <w:name w:val="Char Char Char2"/>
    <w:basedOn w:val="16"/>
    <w:qFormat/>
    <w:uiPriority w:val="0"/>
    <w:pPr>
      <w:adjustRightInd/>
      <w:spacing w:line="240" w:lineRule="auto"/>
      <w:textAlignment w:val="auto"/>
    </w:pPr>
    <w:rPr>
      <w:rFonts w:ascii="Tahoma" w:hAnsi="Tahoma"/>
      <w:kern w:val="2"/>
      <w:sz w:val="24"/>
      <w:szCs w:val="24"/>
    </w:rPr>
  </w:style>
  <w:style w:type="paragraph" w:customStyle="1" w:styleId="15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9">
    <w:name w:val="1"/>
    <w:basedOn w:val="1"/>
    <w:next w:val="26"/>
    <w:qFormat/>
    <w:uiPriority w:val="0"/>
    <w:rPr>
      <w:rFonts w:ascii="宋体" w:hAnsi="Courier New"/>
      <w:szCs w:val="20"/>
    </w:rPr>
  </w:style>
  <w:style w:type="paragraph" w:customStyle="1" w:styleId="16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1">
    <w:name w:val="Char Char Char Char Char Char Char1"/>
    <w:basedOn w:val="1"/>
    <w:qFormat/>
    <w:uiPriority w:val="0"/>
  </w:style>
  <w:style w:type="paragraph" w:customStyle="1" w:styleId="162">
    <w:name w:val="五号正文（标准）"/>
    <w:basedOn w:val="1"/>
    <w:qFormat/>
    <w:uiPriority w:val="0"/>
    <w:pPr>
      <w:spacing w:line="360" w:lineRule="auto"/>
      <w:ind w:right="55" w:firstLine="560" w:firstLineChars="200"/>
    </w:pPr>
    <w:rPr>
      <w:rFonts w:eastAsia="仿宋_GB2312"/>
      <w:sz w:val="28"/>
      <w:szCs w:val="20"/>
    </w:rPr>
  </w:style>
  <w:style w:type="paragraph" w:customStyle="1" w:styleId="16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4">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5">
    <w:name w:val="F2"/>
    <w:basedOn w:val="1"/>
    <w:qFormat/>
    <w:uiPriority w:val="0"/>
    <w:pPr>
      <w:autoSpaceDE w:val="0"/>
      <w:autoSpaceDN w:val="0"/>
      <w:adjustRightInd w:val="0"/>
      <w:ind w:firstLine="601"/>
      <w:textAlignment w:val="baseline"/>
    </w:pPr>
    <w:rPr>
      <w:kern w:val="0"/>
      <w:sz w:val="24"/>
      <w:szCs w:val="20"/>
    </w:rPr>
  </w:style>
  <w:style w:type="paragraph" w:customStyle="1" w:styleId="166">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67">
    <w:name w:val="批注文字 字符1"/>
    <w:qFormat/>
    <w:uiPriority w:val="0"/>
    <w:rPr>
      <w:kern w:val="2"/>
      <w:sz w:val="21"/>
      <w:szCs w:val="24"/>
    </w:rPr>
  </w:style>
  <w:style w:type="character" w:customStyle="1" w:styleId="168">
    <w:name w:val="_Style 167"/>
    <w:unhideWhenUsed/>
    <w:qFormat/>
    <w:uiPriority w:val="99"/>
    <w:rPr>
      <w:color w:val="605E5C"/>
      <w:shd w:val="clear" w:color="auto" w:fill="E1DFDD"/>
    </w:rPr>
  </w:style>
  <w:style w:type="character" w:customStyle="1" w:styleId="169">
    <w:name w:val="纯文本 字符1"/>
    <w:qFormat/>
    <w:uiPriority w:val="99"/>
    <w:rPr>
      <w:rFonts w:ascii="宋体" w:hAnsi="Courier New" w:eastAsia="宋体" w:cs="Courier New"/>
      <w:kern w:val="2"/>
      <w:sz w:val="21"/>
      <w:szCs w:val="21"/>
      <w:lang w:val="en-US" w:eastAsia="zh-CN" w:bidi="ar-SA"/>
    </w:rPr>
  </w:style>
  <w:style w:type="character" w:customStyle="1" w:styleId="170">
    <w:name w:val="正文文本 字符1"/>
    <w:qFormat/>
    <w:uiPriority w:val="99"/>
    <w:rPr>
      <w:kern w:val="2"/>
      <w:sz w:val="24"/>
      <w:szCs w:val="24"/>
    </w:rPr>
  </w:style>
  <w:style w:type="paragraph" w:customStyle="1" w:styleId="171">
    <w:name w:val="正文-2字符首行缩进"/>
    <w:basedOn w:val="1"/>
    <w:link w:val="17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2">
    <w:name w:val="正文-2字符首行缩进 Char"/>
    <w:link w:val="171"/>
    <w:qFormat/>
    <w:uiPriority w:val="0"/>
    <w:rPr>
      <w:rFonts w:ascii="仿宋_GB2312" w:hAnsi="Calibri" w:eastAsia="仿宋_GB2312"/>
      <w:sz w:val="28"/>
      <w:szCs w:val="22"/>
    </w:rPr>
  </w:style>
  <w:style w:type="character" w:customStyle="1" w:styleId="173">
    <w:name w:val="批注文字 字符"/>
    <w:semiHidden/>
    <w:qFormat/>
    <w:uiPriority w:val="99"/>
  </w:style>
  <w:style w:type="character" w:customStyle="1" w:styleId="174">
    <w:name w:val="纯文本 字符"/>
    <w:qFormat/>
    <w:uiPriority w:val="0"/>
    <w:rPr>
      <w:rFonts w:ascii="宋体" w:hAnsi="Courier New" w:eastAsia="宋体" w:cs="Courier New"/>
      <w:kern w:val="2"/>
      <w:sz w:val="21"/>
      <w:szCs w:val="21"/>
      <w:lang w:val="en-US" w:eastAsia="zh-CN" w:bidi="ar-SA"/>
    </w:rPr>
  </w:style>
  <w:style w:type="paragraph" w:customStyle="1" w:styleId="175">
    <w:name w:val="正文文本缩进1"/>
    <w:basedOn w:val="1"/>
    <w:qFormat/>
    <w:uiPriority w:val="0"/>
    <w:pPr>
      <w:ind w:firstLine="645"/>
    </w:pPr>
    <w:rPr>
      <w:rFonts w:ascii="楷体_GB2312" w:eastAsia="楷体_GB2312"/>
      <w:sz w:val="32"/>
    </w:rPr>
  </w:style>
  <w:style w:type="character" w:customStyle="1" w:styleId="176">
    <w:name w:val="标题 3 Char"/>
    <w:qFormat/>
    <w:uiPriority w:val="0"/>
    <w:rPr>
      <w:b/>
      <w:bCs/>
      <w:kern w:val="2"/>
      <w:sz w:val="32"/>
      <w:szCs w:val="32"/>
    </w:rPr>
  </w:style>
  <w:style w:type="character" w:customStyle="1" w:styleId="177">
    <w:name w:val="标题 1 Char"/>
    <w:qFormat/>
    <w:uiPriority w:val="9"/>
    <w:rPr>
      <w:rFonts w:eastAsia="宋体"/>
      <w:b/>
      <w:bCs/>
      <w:kern w:val="44"/>
      <w:sz w:val="44"/>
      <w:szCs w:val="44"/>
      <w:lang w:val="en-US" w:eastAsia="zh-CN" w:bidi="ar-SA"/>
    </w:rPr>
  </w:style>
  <w:style w:type="character" w:customStyle="1" w:styleId="178">
    <w:name w:val="标题 2 Char"/>
    <w:qFormat/>
    <w:uiPriority w:val="0"/>
    <w:rPr>
      <w:rFonts w:ascii="Arial" w:hAnsi="Arial" w:eastAsia="黑体"/>
      <w:b/>
      <w:bCs/>
      <w:kern w:val="2"/>
      <w:sz w:val="32"/>
      <w:szCs w:val="32"/>
    </w:rPr>
  </w:style>
  <w:style w:type="character" w:customStyle="1" w:styleId="179">
    <w:name w:val="页眉 Char"/>
    <w:qFormat/>
    <w:uiPriority w:val="99"/>
    <w:rPr>
      <w:kern w:val="2"/>
      <w:sz w:val="18"/>
      <w:szCs w:val="18"/>
    </w:rPr>
  </w:style>
  <w:style w:type="character" w:customStyle="1" w:styleId="180">
    <w:name w:val="页脚 Char"/>
    <w:qFormat/>
    <w:uiPriority w:val="0"/>
    <w:rPr>
      <w:kern w:val="2"/>
      <w:sz w:val="18"/>
      <w:szCs w:val="18"/>
    </w:rPr>
  </w:style>
  <w:style w:type="character" w:customStyle="1" w:styleId="181">
    <w:name w:val="标题 Char"/>
    <w:qFormat/>
    <w:uiPriority w:val="0"/>
    <w:rPr>
      <w:kern w:val="2"/>
      <w:sz w:val="30"/>
      <w:szCs w:val="24"/>
    </w:rPr>
  </w:style>
  <w:style w:type="character" w:customStyle="1" w:styleId="182">
    <w:name w:val="日期 Char"/>
    <w:qFormat/>
    <w:uiPriority w:val="0"/>
    <w:rPr>
      <w:rFonts w:ascii="宋体" w:hAnsi="Courier New" w:cs="Courier New"/>
      <w:kern w:val="2"/>
      <w:sz w:val="21"/>
      <w:szCs w:val="21"/>
    </w:rPr>
  </w:style>
  <w:style w:type="character" w:customStyle="1" w:styleId="183">
    <w:name w:val="标题 7 Char"/>
    <w:qFormat/>
    <w:uiPriority w:val="0"/>
    <w:rPr>
      <w:b/>
      <w:kern w:val="2"/>
      <w:sz w:val="24"/>
      <w:szCs w:val="24"/>
    </w:rPr>
  </w:style>
  <w:style w:type="character" w:customStyle="1" w:styleId="184">
    <w:name w:val="标题 6 Char"/>
    <w:qFormat/>
    <w:uiPriority w:val="0"/>
    <w:rPr>
      <w:rFonts w:ascii="Arial" w:hAnsi="Arial" w:eastAsia="黑体"/>
      <w:b/>
      <w:kern w:val="2"/>
      <w:sz w:val="24"/>
      <w:szCs w:val="24"/>
    </w:rPr>
  </w:style>
  <w:style w:type="character" w:customStyle="1" w:styleId="185">
    <w:name w:val="批注主题 Char"/>
    <w:qFormat/>
    <w:uiPriority w:val="0"/>
    <w:rPr>
      <w:b/>
      <w:bCs/>
      <w:kern w:val="2"/>
      <w:sz w:val="21"/>
      <w:szCs w:val="24"/>
    </w:rPr>
  </w:style>
  <w:style w:type="character" w:customStyle="1" w:styleId="186">
    <w:name w:val="正文文本缩进 Char"/>
    <w:qFormat/>
    <w:uiPriority w:val="99"/>
    <w:rPr>
      <w:rFonts w:ascii="仿宋_GB2312" w:eastAsia="仿宋_GB2312"/>
      <w:kern w:val="2"/>
      <w:sz w:val="32"/>
    </w:rPr>
  </w:style>
  <w:style w:type="character" w:customStyle="1" w:styleId="187">
    <w:name w:val="正文文本 3 Char"/>
    <w:qFormat/>
    <w:uiPriority w:val="0"/>
    <w:rPr>
      <w:b/>
      <w:bCs/>
      <w:kern w:val="2"/>
      <w:sz w:val="24"/>
      <w:szCs w:val="24"/>
    </w:rPr>
  </w:style>
  <w:style w:type="character" w:customStyle="1" w:styleId="188">
    <w:name w:val="标题 8 Char"/>
    <w:qFormat/>
    <w:uiPriority w:val="0"/>
    <w:rPr>
      <w:rFonts w:ascii="Arial" w:hAnsi="Arial" w:eastAsia="黑体"/>
      <w:kern w:val="2"/>
      <w:sz w:val="24"/>
      <w:szCs w:val="24"/>
    </w:rPr>
  </w:style>
  <w:style w:type="character" w:customStyle="1" w:styleId="189">
    <w:name w:val="标题 9 Char"/>
    <w:qFormat/>
    <w:uiPriority w:val="0"/>
    <w:rPr>
      <w:rFonts w:ascii="Arial" w:hAnsi="Arial" w:eastAsia="黑体"/>
      <w:kern w:val="2"/>
      <w:sz w:val="21"/>
      <w:szCs w:val="24"/>
    </w:rPr>
  </w:style>
  <w:style w:type="character" w:customStyle="1" w:styleId="190">
    <w:name w:val="正文文本 2 Char"/>
    <w:qFormat/>
    <w:uiPriority w:val="0"/>
    <w:rPr>
      <w:kern w:val="2"/>
      <w:sz w:val="21"/>
      <w:szCs w:val="24"/>
    </w:rPr>
  </w:style>
  <w:style w:type="character" w:customStyle="1" w:styleId="191">
    <w:name w:val="正文文本缩进 3 Char"/>
    <w:qFormat/>
    <w:uiPriority w:val="0"/>
    <w:rPr>
      <w:kern w:val="2"/>
      <w:sz w:val="16"/>
      <w:szCs w:val="16"/>
    </w:rPr>
  </w:style>
  <w:style w:type="character" w:customStyle="1" w:styleId="192">
    <w:name w:val="HTML 预设格式 Char"/>
    <w:qFormat/>
    <w:uiPriority w:val="0"/>
    <w:rPr>
      <w:rFonts w:ascii="黑体" w:hAnsi="Courier New" w:eastAsia="黑体" w:cs="Courier New"/>
    </w:rPr>
  </w:style>
  <w:style w:type="character" w:customStyle="1" w:styleId="193">
    <w:name w:val="标题 5 Char"/>
    <w:qFormat/>
    <w:uiPriority w:val="0"/>
    <w:rPr>
      <w:b/>
      <w:kern w:val="2"/>
      <w:sz w:val="28"/>
      <w:szCs w:val="24"/>
    </w:rPr>
  </w:style>
  <w:style w:type="character" w:customStyle="1" w:styleId="194">
    <w:name w:val="标题 4 Char"/>
    <w:qFormat/>
    <w:uiPriority w:val="0"/>
    <w:rPr>
      <w:rFonts w:ascii="Arial" w:hAnsi="Arial" w:eastAsia="黑体"/>
      <w:sz w:val="28"/>
    </w:rPr>
  </w:style>
  <w:style w:type="character" w:customStyle="1" w:styleId="195">
    <w:name w:val="批注框文本 Char"/>
    <w:qFormat/>
    <w:uiPriority w:val="0"/>
    <w:rPr>
      <w:kern w:val="2"/>
      <w:sz w:val="18"/>
      <w:szCs w:val="18"/>
    </w:rPr>
  </w:style>
  <w:style w:type="character" w:customStyle="1" w:styleId="196">
    <w:name w:val="文档结构图 Char"/>
    <w:qFormat/>
    <w:uiPriority w:val="0"/>
    <w:rPr>
      <w:sz w:val="21"/>
      <w:shd w:val="clear" w:color="auto" w:fill="000080"/>
    </w:rPr>
  </w:style>
  <w:style w:type="character" w:customStyle="1" w:styleId="197">
    <w:name w:val="正文首行缩进 2 Char"/>
    <w:qFormat/>
    <w:uiPriority w:val="0"/>
    <w:rPr>
      <w:kern w:val="2"/>
      <w:sz w:val="21"/>
      <w:szCs w:val="24"/>
    </w:rPr>
  </w:style>
  <w:style w:type="character" w:customStyle="1" w:styleId="198">
    <w:name w:val="正文文本缩进 2 Char"/>
    <w:qFormat/>
    <w:uiPriority w:val="0"/>
    <w:rPr>
      <w:kern w:val="2"/>
      <w:sz w:val="32"/>
    </w:rPr>
  </w:style>
  <w:style w:type="character" w:customStyle="1" w:styleId="199">
    <w:name w:val="批注文字 Char"/>
    <w:qFormat/>
    <w:uiPriority w:val="0"/>
    <w:rPr>
      <w:kern w:val="2"/>
      <w:sz w:val="21"/>
      <w:szCs w:val="24"/>
    </w:rPr>
  </w:style>
  <w:style w:type="character" w:customStyle="1" w:styleId="200">
    <w:name w:val="纯文本 Char"/>
    <w:qFormat/>
    <w:uiPriority w:val="99"/>
    <w:rPr>
      <w:rFonts w:ascii="宋体" w:hAnsi="Courier New" w:eastAsia="宋体" w:cs="Courier New"/>
      <w:kern w:val="2"/>
      <w:sz w:val="21"/>
      <w:szCs w:val="21"/>
      <w:lang w:val="en-US" w:eastAsia="zh-CN" w:bidi="ar-SA"/>
    </w:rPr>
  </w:style>
  <w:style w:type="character" w:customStyle="1" w:styleId="201">
    <w:name w:val="z-窗体顶端 Char"/>
    <w:qFormat/>
    <w:uiPriority w:val="0"/>
    <w:rPr>
      <w:rFonts w:ascii="Arial"/>
      <w:vanish/>
      <w:kern w:val="2"/>
      <w:sz w:val="16"/>
      <w:szCs w:val="24"/>
    </w:rPr>
  </w:style>
  <w:style w:type="character" w:customStyle="1" w:styleId="202">
    <w:name w:val="正文文本 Char"/>
    <w:qFormat/>
    <w:uiPriority w:val="99"/>
    <w:rPr>
      <w:kern w:val="2"/>
      <w:sz w:val="24"/>
      <w:szCs w:val="24"/>
    </w:rPr>
  </w:style>
  <w:style w:type="character" w:customStyle="1" w:styleId="203">
    <w:name w:val="正文首行缩进 Char"/>
    <w:qFormat/>
    <w:uiPriority w:val="0"/>
    <w:rPr>
      <w:kern w:val="2"/>
      <w:sz w:val="21"/>
      <w:szCs w:val="24"/>
    </w:rPr>
  </w:style>
  <w:style w:type="paragraph" w:customStyle="1" w:styleId="204">
    <w:name w:val="Table Paragraph"/>
    <w:basedOn w:val="1"/>
    <w:qFormat/>
    <w:uiPriority w:val="1"/>
    <w:pPr>
      <w:autoSpaceDE w:val="0"/>
      <w:autoSpaceDN w:val="0"/>
      <w:adjustRightInd w:val="0"/>
      <w:jc w:val="left"/>
    </w:pPr>
    <w:rPr>
      <w:kern w:val="0"/>
      <w:sz w:val="24"/>
    </w:rPr>
  </w:style>
  <w:style w:type="character" w:customStyle="1" w:styleId="205">
    <w:name w:val="fd"/>
    <w:qFormat/>
    <w:uiPriority w:val="0"/>
  </w:style>
  <w:style w:type="paragraph" w:customStyle="1" w:styleId="206">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207">
    <w:name w:val="15"/>
    <w:basedOn w:val="53"/>
    <w:qFormat/>
    <w:uiPriority w:val="0"/>
    <w:rPr>
      <w:rFonts w:hint="default" w:ascii="Times New Roman" w:hAnsi="Times New Roman" w:cs="Times New Roman"/>
    </w:rPr>
  </w:style>
  <w:style w:type="paragraph" w:customStyle="1" w:styleId="208">
    <w:name w:val="表格文字"/>
    <w:qFormat/>
    <w:uiPriority w:val="0"/>
    <w:pPr>
      <w:widowControl w:val="0"/>
      <w:spacing w:before="25" w:after="25" w:line="300" w:lineRule="auto"/>
      <w:ind w:firstLine="200" w:firstLineChars="200"/>
      <w:jc w:val="both"/>
    </w:pPr>
    <w:rPr>
      <w:rFonts w:ascii="Times New Roman" w:hAnsi="Times New Roman" w:eastAsia="宋体" w:cs="Times New Roman"/>
      <w:spacing w:val="1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84</Pages>
  <Words>19067</Words>
  <Characters>20334</Characters>
  <Lines>1763</Lines>
  <Paragraphs>1649</Paragraphs>
  <TotalTime>139</TotalTime>
  <ScaleCrop>false</ScaleCrop>
  <LinksUpToDate>false</LinksUpToDate>
  <CharactersWithSpaces>20501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2025-09-12T04:00:00Z</dcterms:created>
  <dc:creator>微软用户</dc:creator>
  <cp:lastModifiedBy>CGZXB</cp:lastModifiedBy>
  <cp:lastPrinted>2016-03-22T07:52:00Z</cp:lastPrinted>
  <dcterms:modified xsi:type="dcterms:W3CDTF">2025-11-25T07:17:10Z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A23C24246D2248B19E9629BC243AA7BC_13</vt:lpwstr>
  </property>
  <property fmtid="{D5CDD505-2E9C-101B-9397-08002B2CF9AE}" pid="14" name="KSOTemplateDocerSaveRecord">
    <vt:lpwstr>eyJoZGlkIjoiOTcwMzA4MWNkZGIzNWUxYWUyNjIwZTRmNTNmMGY5NGQiLCJ1c2VySWQiOiI0NTM0Njc2NjUifQ==</vt:lpwstr>
  </property>
</Properties>
</file>