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79E17">
      <w:pPr>
        <w:spacing w:before="312" w:beforeLines="100" w:after="156" w:afterLines="50" w:line="360" w:lineRule="auto"/>
        <w:jc w:val="both"/>
        <w:rPr>
          <w:rFonts w:hint="eastAsia" w:ascii="宋体" w:hAnsi="宋体" w:eastAsia="宋体" w:cs="宋体"/>
          <w:b/>
          <w:bCs/>
          <w:color w:val="auto"/>
          <w:sz w:val="44"/>
          <w:szCs w:val="44"/>
          <w:highlight w:val="none"/>
          <w:lang w:eastAsia="zh-CN"/>
        </w:rPr>
        <w:sectPr>
          <w:footerReference r:id="rId3" w:type="default"/>
          <w:pgSz w:w="11906" w:h="16838"/>
          <w:pgMar w:top="1440" w:right="1080" w:bottom="1440" w:left="1080" w:header="851" w:footer="992" w:gutter="0"/>
          <w:pgNumType w:start="1"/>
          <w:cols w:space="425" w:num="1"/>
          <w:docGrid w:type="lines" w:linePitch="312" w:charSpace="0"/>
        </w:sectPr>
      </w:pPr>
      <w:r>
        <w:rPr>
          <w:rFonts w:hint="eastAsia" w:ascii="宋体" w:hAnsi="宋体" w:eastAsia="宋体" w:cs="宋体"/>
          <w:b/>
          <w:bCs/>
          <w:color w:val="auto"/>
          <w:sz w:val="44"/>
          <w:szCs w:val="44"/>
          <w:highlight w:val="none"/>
          <w:lang w:eastAsia="zh-CN"/>
        </w:rPr>
        <w:drawing>
          <wp:inline distT="0" distB="0" distL="114300" distR="114300">
            <wp:extent cx="6184265" cy="8298180"/>
            <wp:effectExtent l="0" t="0" r="6985" b="7620"/>
            <wp:docPr id="8" name="图片 8" descr="广西壮族自治区人民医院桃源院区产科三区装修改造竞争性谈判文件定稿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广西壮族自治区人民医院桃源院区产科三区装修改造竞争性谈判文件定稿_01"/>
                    <pic:cNvPicPr>
                      <a:picLocks noChangeAspect="1"/>
                    </pic:cNvPicPr>
                  </pic:nvPicPr>
                  <pic:blipFill>
                    <a:blip r:embed="rId8"/>
                    <a:stretch>
                      <a:fillRect/>
                    </a:stretch>
                  </pic:blipFill>
                  <pic:spPr>
                    <a:xfrm>
                      <a:off x="0" y="0"/>
                      <a:ext cx="6184265" cy="8298180"/>
                    </a:xfrm>
                    <a:prstGeom prst="rect">
                      <a:avLst/>
                    </a:prstGeom>
                  </pic:spPr>
                </pic:pic>
              </a:graphicData>
            </a:graphic>
          </wp:inline>
        </w:drawing>
      </w:r>
      <w:permStart w:id="0" w:edGrp="everyone"/>
      <w:permEnd w:id="0"/>
    </w:p>
    <w:p w14:paraId="16D7999F">
      <w:pPr>
        <w:spacing w:before="312" w:beforeLines="100" w:after="156" w:afterLines="50" w:line="360" w:lineRule="auto"/>
        <w:jc w:val="center"/>
        <w:rPr>
          <w:rFonts w:hint="eastAsia" w:ascii="宋体" w:hAnsi="宋体" w:cs="宋体"/>
          <w:b/>
          <w:color w:val="auto"/>
          <w:sz w:val="44"/>
          <w:szCs w:val="44"/>
          <w:highlight w:val="none"/>
        </w:rPr>
      </w:pPr>
      <w:r>
        <w:rPr>
          <w:rFonts w:hint="eastAsia" w:ascii="宋体" w:hAnsi="宋体" w:cs="宋体"/>
          <w:b/>
          <w:bCs/>
          <w:color w:val="auto"/>
          <w:sz w:val="44"/>
          <w:szCs w:val="44"/>
          <w:highlight w:val="none"/>
        </w:rPr>
        <w:drawing>
          <wp:inline distT="0" distB="0" distL="114300" distR="114300">
            <wp:extent cx="1585595" cy="1471295"/>
            <wp:effectExtent l="0" t="0" r="14605" b="14605"/>
            <wp:docPr id="4" name="图片 1" descr="联云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联云LOGO"/>
                    <pic:cNvPicPr>
                      <a:picLocks noChangeAspect="1"/>
                    </pic:cNvPicPr>
                  </pic:nvPicPr>
                  <pic:blipFill>
                    <a:blip r:embed="rId9"/>
                    <a:stretch>
                      <a:fillRect/>
                    </a:stretch>
                  </pic:blipFill>
                  <pic:spPr>
                    <a:xfrm>
                      <a:off x="0" y="0"/>
                      <a:ext cx="1585595" cy="1471295"/>
                    </a:xfrm>
                    <a:prstGeom prst="rect">
                      <a:avLst/>
                    </a:prstGeom>
                    <a:noFill/>
                    <a:ln>
                      <a:noFill/>
                    </a:ln>
                  </pic:spPr>
                </pic:pic>
              </a:graphicData>
            </a:graphic>
          </wp:inline>
        </w:drawing>
      </w:r>
    </w:p>
    <w:p w14:paraId="02FEC969">
      <w:pPr>
        <w:pStyle w:val="21"/>
        <w:jc w:val="center"/>
        <w:rPr>
          <w:rFonts w:hint="eastAsia" w:hAnsi="宋体" w:cs="宋体"/>
          <w:b/>
          <w:bCs/>
          <w:color w:val="auto"/>
          <w:sz w:val="48"/>
          <w:szCs w:val="48"/>
          <w:highlight w:val="none"/>
        </w:rPr>
      </w:pPr>
      <w:r>
        <w:rPr>
          <w:rFonts w:hint="eastAsia" w:ascii="宋体" w:hAnsi="宋体" w:cs="宋体"/>
          <w:b/>
          <w:bCs/>
          <w:color w:val="auto"/>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188595</wp:posOffset>
                </wp:positionH>
                <wp:positionV relativeFrom="paragraph">
                  <wp:posOffset>493395</wp:posOffset>
                </wp:positionV>
                <wp:extent cx="5850255" cy="0"/>
                <wp:effectExtent l="0" t="19050" r="17145" b="19050"/>
                <wp:wrapNone/>
                <wp:docPr id="5" name="直接箭头连接符 5"/>
                <wp:cNvGraphicFramePr/>
                <a:graphic xmlns:a="http://schemas.openxmlformats.org/drawingml/2006/main">
                  <a:graphicData uri="http://schemas.microsoft.com/office/word/2010/wordprocessingShape">
                    <wps:wsp>
                      <wps:cNvCnPr/>
                      <wps:spPr>
                        <a:xfrm>
                          <a:off x="0" y="0"/>
                          <a:ext cx="5850255" cy="0"/>
                        </a:xfrm>
                        <a:prstGeom prst="straightConnector1">
                          <a:avLst/>
                        </a:prstGeom>
                        <a:ln w="38100" cap="flat" cmpd="dbl">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85pt;margin-top:38.85pt;height:0pt;width:460.65pt;z-index:251660288;mso-width-relative:page;mso-height-relative:page;" filled="f" stroked="t" coordsize="21600,21600" o:gfxdata="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XuR6PRAAAACAEAAA8AAAAAAAAAAQAgAAAAIgAAAGRycy9kb3ducmV2LnhtbFBL&#10;AQIUABQAAAAIAIdO4kBNEcba/QEAAO0DAAAOAAAAAAAAAAEAIAAAACABAABkcnMvZTJvRG9jLnht&#10;bFBLBQYAAAAABgAGAFkBAACPBQAAAAA=&#10;">
                <v:fill on="f" focussize="0,0"/>
                <v:stroke weight="3pt" color="#000000" linestyle="thinThin" joinstyle="round"/>
                <v:imagedata o:title=""/>
                <o:lock v:ext="edit" aspectratio="f"/>
              </v:shape>
            </w:pict>
          </mc:Fallback>
        </mc:AlternateContent>
      </w:r>
      <w:r>
        <w:rPr>
          <w:rFonts w:hint="eastAsia" w:hAnsi="宋体" w:cs="宋体"/>
          <w:color w:val="auto"/>
          <w:spacing w:val="51"/>
          <w:sz w:val="52"/>
          <w:highlight w:val="none"/>
        </w:rPr>
        <w:t>联云项目管理咨询有限公司</w:t>
      </w:r>
    </w:p>
    <w:p w14:paraId="538E2A54">
      <w:pPr>
        <w:spacing w:line="480" w:lineRule="auto"/>
        <w:jc w:val="center"/>
        <w:rPr>
          <w:rFonts w:ascii="宋体" w:hAnsi="宋体"/>
          <w:b/>
          <w:color w:val="auto"/>
          <w:sz w:val="84"/>
          <w:szCs w:val="84"/>
          <w:highlight w:val="none"/>
        </w:rPr>
      </w:pPr>
    </w:p>
    <w:p w14:paraId="442D0AD4">
      <w:pPr>
        <w:spacing w:line="480" w:lineRule="auto"/>
        <w:jc w:val="center"/>
        <w:rPr>
          <w:rFonts w:ascii="宋体" w:hAnsi="宋体"/>
          <w:b/>
          <w:color w:val="auto"/>
          <w:sz w:val="84"/>
          <w:szCs w:val="84"/>
          <w:highlight w:val="none"/>
        </w:rPr>
      </w:pPr>
      <w:r>
        <w:rPr>
          <w:rFonts w:hint="eastAsia" w:ascii="宋体" w:hAnsi="宋体"/>
          <w:b/>
          <w:color w:val="auto"/>
          <w:sz w:val="84"/>
          <w:szCs w:val="84"/>
          <w:highlight w:val="none"/>
        </w:rPr>
        <w:t>竞争性谈判文件</w:t>
      </w:r>
    </w:p>
    <w:p w14:paraId="798AFFD1">
      <w:pPr>
        <w:spacing w:line="480" w:lineRule="auto"/>
        <w:jc w:val="center"/>
        <w:rPr>
          <w:rFonts w:ascii="宋体" w:hAnsi="宋体"/>
          <w:b/>
          <w:color w:val="auto"/>
          <w:sz w:val="52"/>
          <w:szCs w:val="52"/>
          <w:highlight w:val="none"/>
        </w:rPr>
      </w:pPr>
      <w:r>
        <w:rPr>
          <w:rFonts w:hint="eastAsia" w:ascii="宋体" w:hAnsi="宋体"/>
          <w:b/>
          <w:color w:val="auto"/>
          <w:sz w:val="52"/>
          <w:szCs w:val="52"/>
          <w:highlight w:val="none"/>
        </w:rPr>
        <w:t>（工程类）</w:t>
      </w:r>
    </w:p>
    <w:p w14:paraId="7A6A7B5D">
      <w:pPr>
        <w:spacing w:line="480" w:lineRule="auto"/>
        <w:jc w:val="center"/>
        <w:rPr>
          <w:rFonts w:ascii="宋体" w:hAnsi="宋体"/>
          <w:color w:val="auto"/>
          <w:szCs w:val="21"/>
          <w:highlight w:val="none"/>
        </w:rPr>
      </w:pPr>
      <w:r>
        <w:rPr>
          <w:rFonts w:hint="eastAsia" w:ascii="宋体" w:hAnsi="宋体"/>
          <w:color w:val="auto"/>
          <w:szCs w:val="21"/>
          <w:highlight w:val="none"/>
        </w:rPr>
        <w:t>（全流程电子化评标）</w:t>
      </w:r>
    </w:p>
    <w:p w14:paraId="71478831">
      <w:pPr>
        <w:spacing w:line="480" w:lineRule="auto"/>
        <w:jc w:val="center"/>
        <w:rPr>
          <w:rFonts w:ascii="宋体" w:hAnsi="宋体"/>
          <w:b/>
          <w:color w:val="auto"/>
          <w:szCs w:val="21"/>
          <w:highlight w:val="none"/>
        </w:rPr>
      </w:pPr>
    </w:p>
    <w:p w14:paraId="11649945">
      <w:pPr>
        <w:spacing w:line="480" w:lineRule="auto"/>
        <w:ind w:left="2699" w:leftChars="568" w:hanging="1506" w:hangingChars="500"/>
        <w:rPr>
          <w:rFonts w:hint="eastAsia" w:ascii="仿宋" w:hAnsi="仿宋" w:eastAsia="仿宋"/>
          <w:b/>
          <w:color w:val="auto"/>
          <w:sz w:val="30"/>
          <w:szCs w:val="30"/>
          <w:highlight w:val="none"/>
          <w:lang w:eastAsia="zh-CN"/>
        </w:rPr>
      </w:pPr>
      <w:r>
        <w:rPr>
          <w:rFonts w:hint="eastAsia" w:ascii="仿宋" w:hAnsi="仿宋" w:eastAsia="仿宋"/>
          <w:b/>
          <w:color w:val="auto"/>
          <w:sz w:val="30"/>
          <w:szCs w:val="30"/>
          <w:highlight w:val="none"/>
        </w:rPr>
        <w:t>项目名称：</w:t>
      </w:r>
      <w:r>
        <w:rPr>
          <w:rFonts w:hint="eastAsia" w:ascii="仿宋" w:hAnsi="仿宋" w:eastAsia="仿宋"/>
          <w:b/>
          <w:color w:val="auto"/>
          <w:sz w:val="30"/>
          <w:szCs w:val="30"/>
          <w:highlight w:val="none"/>
          <w:lang w:eastAsia="zh-CN"/>
        </w:rPr>
        <w:t>广西壮族自治区人民医院桃源院区产科三区装修改造工程</w:t>
      </w:r>
    </w:p>
    <w:p w14:paraId="26BE0D0B">
      <w:pPr>
        <w:spacing w:line="480" w:lineRule="auto"/>
        <w:ind w:firstLine="1205" w:firstLineChars="400"/>
        <w:rPr>
          <w:rFonts w:hint="eastAsia" w:ascii="仿宋" w:hAnsi="仿宋" w:eastAsia="仿宋"/>
          <w:b/>
          <w:color w:val="auto"/>
          <w:sz w:val="30"/>
          <w:szCs w:val="30"/>
          <w:highlight w:val="none"/>
          <w:lang w:val="en-US" w:eastAsia="zh-CN"/>
        </w:rPr>
      </w:pPr>
      <w:r>
        <w:rPr>
          <w:rFonts w:hint="eastAsia" w:ascii="仿宋" w:hAnsi="仿宋" w:eastAsia="仿宋"/>
          <w:b/>
          <w:color w:val="auto"/>
          <w:sz w:val="30"/>
          <w:szCs w:val="30"/>
          <w:highlight w:val="none"/>
        </w:rPr>
        <w:t>项目编号：</w:t>
      </w:r>
      <w:r>
        <w:rPr>
          <w:rFonts w:hint="eastAsia" w:ascii="仿宋" w:hAnsi="仿宋" w:eastAsia="仿宋"/>
          <w:b/>
          <w:color w:val="auto"/>
          <w:sz w:val="30"/>
          <w:szCs w:val="30"/>
          <w:highlight w:val="none"/>
          <w:lang w:val="en-US" w:eastAsia="zh-CN"/>
        </w:rPr>
        <w:t>GXZC2025-J2-003980-GXLY</w:t>
      </w:r>
    </w:p>
    <w:p w14:paraId="36D7E52A">
      <w:pPr>
        <w:spacing w:line="480" w:lineRule="auto"/>
        <w:ind w:firstLine="1205" w:firstLineChars="400"/>
        <w:rPr>
          <w:rFonts w:hint="default" w:ascii="仿宋" w:hAnsi="仿宋" w:eastAsia="仿宋"/>
          <w:b/>
          <w:color w:val="auto"/>
          <w:sz w:val="30"/>
          <w:szCs w:val="30"/>
          <w:highlight w:val="none"/>
          <w:lang w:val="en-US" w:eastAsia="zh-CN"/>
        </w:rPr>
      </w:pPr>
      <w:r>
        <w:rPr>
          <w:rFonts w:hint="eastAsia" w:ascii="仿宋" w:hAnsi="仿宋" w:eastAsia="仿宋"/>
          <w:b/>
          <w:color w:val="auto"/>
          <w:sz w:val="30"/>
          <w:szCs w:val="30"/>
          <w:highlight w:val="none"/>
          <w:lang w:val="en-US" w:eastAsia="zh-CN"/>
        </w:rPr>
        <w:t>项目所属区划：广西壮族自治区本级</w:t>
      </w:r>
    </w:p>
    <w:p w14:paraId="28E76BAB">
      <w:pPr>
        <w:spacing w:line="480" w:lineRule="auto"/>
        <w:ind w:firstLine="1205" w:firstLineChars="400"/>
        <w:rPr>
          <w:rFonts w:hint="eastAsia" w:ascii="仿宋" w:hAnsi="仿宋" w:eastAsia="仿宋"/>
          <w:b/>
          <w:color w:val="auto"/>
          <w:sz w:val="30"/>
          <w:szCs w:val="30"/>
          <w:highlight w:val="none"/>
          <w:lang w:eastAsia="zh-CN"/>
        </w:rPr>
      </w:pPr>
      <w:r>
        <w:rPr>
          <w:rFonts w:hint="eastAsia" w:ascii="仿宋" w:hAnsi="仿宋" w:eastAsia="仿宋"/>
          <w:b/>
          <w:color w:val="auto"/>
          <w:sz w:val="30"/>
          <w:szCs w:val="30"/>
          <w:highlight w:val="none"/>
        </w:rPr>
        <w:t>采购人：</w:t>
      </w:r>
      <w:r>
        <w:rPr>
          <w:rFonts w:hint="eastAsia" w:ascii="仿宋" w:hAnsi="仿宋" w:eastAsia="仿宋"/>
          <w:b/>
          <w:color w:val="auto"/>
          <w:sz w:val="30"/>
          <w:szCs w:val="30"/>
          <w:highlight w:val="none"/>
          <w:lang w:eastAsia="zh-CN"/>
        </w:rPr>
        <w:t>广西壮族自治区人民医院</w:t>
      </w:r>
    </w:p>
    <w:p w14:paraId="6BE230D7">
      <w:pPr>
        <w:spacing w:line="480" w:lineRule="auto"/>
        <w:ind w:firstLine="1205" w:firstLineChars="400"/>
        <w:rPr>
          <w:rFonts w:ascii="宋体" w:hAnsi="宋体"/>
          <w:b/>
          <w:color w:val="auto"/>
          <w:szCs w:val="21"/>
          <w:highlight w:val="none"/>
        </w:rPr>
      </w:pPr>
      <w:r>
        <w:rPr>
          <w:rFonts w:hint="eastAsia" w:ascii="仿宋" w:hAnsi="仿宋" w:eastAsia="仿宋"/>
          <w:b/>
          <w:color w:val="auto"/>
          <w:sz w:val="30"/>
          <w:szCs w:val="30"/>
          <w:highlight w:val="none"/>
        </w:rPr>
        <w:t>采购代理机构：联云项目管理咨询有限公司</w:t>
      </w:r>
    </w:p>
    <w:p w14:paraId="0CC6167A">
      <w:pPr>
        <w:spacing w:line="480" w:lineRule="auto"/>
        <w:jc w:val="center"/>
        <w:rPr>
          <w:rFonts w:ascii="仿宋" w:hAnsi="仿宋" w:eastAsia="仿宋"/>
          <w:b/>
          <w:color w:val="auto"/>
          <w:sz w:val="30"/>
          <w:szCs w:val="30"/>
          <w:highlight w:val="none"/>
          <w:u w:val="single"/>
        </w:rPr>
      </w:pPr>
      <w:r>
        <w:rPr>
          <w:rFonts w:hint="eastAsia" w:ascii="仿宋" w:hAnsi="仿宋" w:eastAsia="仿宋"/>
          <w:b/>
          <w:color w:val="auto"/>
          <w:sz w:val="30"/>
          <w:szCs w:val="30"/>
          <w:highlight w:val="none"/>
          <w:u w:val="single"/>
        </w:rPr>
        <w:t>202</w:t>
      </w:r>
      <w:r>
        <w:rPr>
          <w:rFonts w:ascii="仿宋" w:hAnsi="仿宋" w:eastAsia="仿宋"/>
          <w:b/>
          <w:color w:val="auto"/>
          <w:sz w:val="30"/>
          <w:szCs w:val="30"/>
          <w:highlight w:val="none"/>
          <w:u w:val="single"/>
        </w:rPr>
        <w:t>5</w:t>
      </w:r>
      <w:r>
        <w:rPr>
          <w:rFonts w:hint="eastAsia" w:ascii="仿宋" w:hAnsi="仿宋" w:eastAsia="仿宋"/>
          <w:b/>
          <w:color w:val="auto"/>
          <w:sz w:val="30"/>
          <w:szCs w:val="30"/>
          <w:highlight w:val="none"/>
          <w:u w:val="single"/>
        </w:rPr>
        <w:t>年</w:t>
      </w:r>
      <w:r>
        <w:rPr>
          <w:rFonts w:hint="eastAsia" w:ascii="仿宋" w:hAnsi="仿宋" w:eastAsia="仿宋"/>
          <w:b/>
          <w:color w:val="auto"/>
          <w:sz w:val="30"/>
          <w:szCs w:val="30"/>
          <w:highlight w:val="none"/>
          <w:u w:val="single"/>
          <w:lang w:val="en-US" w:eastAsia="zh-CN"/>
        </w:rPr>
        <w:t>12</w:t>
      </w:r>
      <w:r>
        <w:rPr>
          <w:rFonts w:hint="eastAsia" w:ascii="仿宋" w:hAnsi="仿宋" w:eastAsia="仿宋"/>
          <w:b/>
          <w:color w:val="auto"/>
          <w:sz w:val="30"/>
          <w:szCs w:val="30"/>
          <w:highlight w:val="none"/>
          <w:u w:val="single"/>
        </w:rPr>
        <w:t>月</w:t>
      </w:r>
      <w:r>
        <w:rPr>
          <w:rFonts w:hint="eastAsia" w:ascii="仿宋" w:hAnsi="仿宋" w:eastAsia="仿宋"/>
          <w:b/>
          <w:color w:val="auto"/>
          <w:sz w:val="30"/>
          <w:szCs w:val="30"/>
          <w:highlight w:val="none"/>
          <w:u w:val="single"/>
          <w:lang w:val="en-US" w:eastAsia="zh-CN"/>
        </w:rPr>
        <w:t>31</w:t>
      </w:r>
      <w:r>
        <w:rPr>
          <w:rFonts w:hint="eastAsia" w:ascii="仿宋" w:hAnsi="仿宋" w:eastAsia="仿宋"/>
          <w:b/>
          <w:color w:val="auto"/>
          <w:sz w:val="30"/>
          <w:szCs w:val="30"/>
          <w:highlight w:val="none"/>
          <w:u w:val="single"/>
        </w:rPr>
        <w:t>日</w:t>
      </w:r>
    </w:p>
    <w:p w14:paraId="75DAACBE">
      <w:pPr>
        <w:rPr>
          <w:color w:val="auto"/>
          <w:highlight w:val="none"/>
        </w:rPr>
      </w:pPr>
    </w:p>
    <w:p w14:paraId="51CB843C">
      <w:pPr>
        <w:spacing w:line="360" w:lineRule="auto"/>
        <w:rPr>
          <w:rFonts w:ascii="宋体" w:hAnsi="宋体"/>
          <w:color w:val="auto"/>
          <w:sz w:val="24"/>
          <w:szCs w:val="24"/>
          <w:highlight w:val="none"/>
        </w:rPr>
      </w:pPr>
    </w:p>
    <w:sdt>
      <w:sdtPr>
        <w:rPr>
          <w:rFonts w:ascii="宋体" w:hAnsi="宋体"/>
          <w:color w:val="auto"/>
          <w:highlight w:val="none"/>
        </w:rPr>
        <w:id w:val="147456685"/>
        <w15:color w:val="DBDBDB"/>
        <w:docPartObj>
          <w:docPartGallery w:val="Table of Contents"/>
          <w:docPartUnique/>
        </w:docPartObj>
      </w:sdtPr>
      <w:sdtEndPr>
        <w:rPr>
          <w:rFonts w:hint="eastAsia" w:ascii="宋体" w:hAnsi="宋体"/>
          <w:color w:val="auto"/>
          <w:sz w:val="28"/>
          <w:szCs w:val="28"/>
          <w:highlight w:val="none"/>
        </w:rPr>
      </w:sdtEndPr>
      <w:sdtContent>
        <w:p w14:paraId="374A5B1D">
          <w:pPr>
            <w:jc w:val="center"/>
            <w:rPr>
              <w:rFonts w:ascii="宋体" w:hAnsi="宋体"/>
              <w:color w:val="auto"/>
              <w:sz w:val="32"/>
              <w:szCs w:val="32"/>
              <w:highlight w:val="none"/>
            </w:rPr>
          </w:pPr>
          <w:r>
            <w:rPr>
              <w:rFonts w:hint="eastAsia" w:ascii="宋体" w:hAnsi="宋体"/>
              <w:b/>
              <w:bCs/>
              <w:color w:val="auto"/>
              <w:sz w:val="32"/>
              <w:szCs w:val="32"/>
              <w:highlight w:val="none"/>
            </w:rPr>
            <w:t>目    录</w:t>
          </w:r>
        </w:p>
        <w:p w14:paraId="3ED3AF79">
          <w:pPr>
            <w:pStyle w:val="28"/>
            <w:tabs>
              <w:tab w:val="right" w:leader="dot" w:pos="9746"/>
            </w:tabs>
            <w:spacing w:line="480" w:lineRule="auto"/>
            <w:rPr>
              <w:rFonts w:ascii="宋体" w:hAnsi="宋体"/>
              <w:b/>
              <w:bCs/>
              <w:color w:val="auto"/>
              <w:sz w:val="28"/>
              <w:szCs w:val="28"/>
              <w:highlight w:val="none"/>
            </w:rPr>
          </w:pP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TOC \o "1-1" \h \u </w:instrText>
          </w:r>
          <w:r>
            <w:rPr>
              <w:rFonts w:hint="eastAsia" w:ascii="宋体" w:hAnsi="宋体"/>
              <w:color w:val="auto"/>
              <w:sz w:val="28"/>
              <w:szCs w:val="28"/>
              <w:highlight w:val="none"/>
            </w:rPr>
            <w:fldChar w:fldCharType="separate"/>
          </w:r>
          <w:r>
            <w:rPr>
              <w:color w:val="auto"/>
              <w:highlight w:val="none"/>
            </w:rPr>
            <w:fldChar w:fldCharType="begin"/>
          </w:r>
          <w:r>
            <w:rPr>
              <w:color w:val="auto"/>
              <w:highlight w:val="none"/>
            </w:rPr>
            <w:instrText xml:space="preserve"> HYPERLINK \l "_Toc8074" </w:instrText>
          </w:r>
          <w:r>
            <w:rPr>
              <w:color w:val="auto"/>
              <w:highlight w:val="none"/>
            </w:rPr>
            <w:fldChar w:fldCharType="separate"/>
          </w:r>
          <w:r>
            <w:rPr>
              <w:rFonts w:hint="eastAsia" w:ascii="宋体" w:hAnsi="宋体"/>
              <w:b/>
              <w:bCs/>
              <w:color w:val="auto"/>
              <w:sz w:val="28"/>
              <w:szCs w:val="28"/>
              <w:highlight w:val="none"/>
            </w:rPr>
            <w:t>第一</w:t>
          </w:r>
          <w:r>
            <w:rPr>
              <w:rFonts w:hint="eastAsia" w:ascii="宋体" w:hAnsi="宋体"/>
              <w:b/>
              <w:bCs/>
              <w:color w:val="auto"/>
              <w:spacing w:val="100"/>
              <w:sz w:val="28"/>
              <w:szCs w:val="28"/>
              <w:highlight w:val="none"/>
            </w:rPr>
            <w:t>章</w:t>
          </w:r>
          <w:r>
            <w:rPr>
              <w:rFonts w:hint="eastAsia" w:ascii="宋体" w:hAnsi="宋体"/>
              <w:b/>
              <w:bCs/>
              <w:color w:val="auto"/>
              <w:sz w:val="28"/>
              <w:szCs w:val="28"/>
              <w:highlight w:val="none"/>
            </w:rPr>
            <w:t>竞争性谈判公告</w:t>
          </w:r>
          <w:r>
            <w:rPr>
              <w:rFonts w:hint="eastAsia" w:ascii="宋体" w:hAnsi="宋体"/>
              <w:b/>
              <w:bCs/>
              <w:color w:val="auto"/>
              <w:sz w:val="28"/>
              <w:szCs w:val="28"/>
              <w:highlight w:val="none"/>
            </w:rPr>
            <w:tab/>
          </w:r>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PAGEREF _Toc8074 \h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1</w:t>
          </w:r>
          <w:r>
            <w:rPr>
              <w:rFonts w:hint="eastAsia" w:ascii="宋体" w:hAnsi="宋体"/>
              <w:b/>
              <w:bCs/>
              <w:color w:val="auto"/>
              <w:sz w:val="28"/>
              <w:szCs w:val="28"/>
              <w:highlight w:val="none"/>
            </w:rPr>
            <w:fldChar w:fldCharType="end"/>
          </w:r>
          <w:r>
            <w:rPr>
              <w:rFonts w:hint="eastAsia" w:ascii="宋体" w:hAnsi="宋体"/>
              <w:b/>
              <w:bCs/>
              <w:color w:val="auto"/>
              <w:sz w:val="28"/>
              <w:szCs w:val="28"/>
              <w:highlight w:val="none"/>
            </w:rPr>
            <w:fldChar w:fldCharType="end"/>
          </w:r>
        </w:p>
        <w:p w14:paraId="526CBB7E">
          <w:pPr>
            <w:pStyle w:val="28"/>
            <w:tabs>
              <w:tab w:val="right" w:leader="dot" w:pos="9746"/>
            </w:tabs>
            <w:spacing w:line="480" w:lineRule="auto"/>
            <w:rPr>
              <w:rFonts w:ascii="宋体" w:hAnsi="宋体"/>
              <w:b/>
              <w:bCs/>
              <w:color w:val="auto"/>
              <w:sz w:val="28"/>
              <w:szCs w:val="28"/>
              <w:highlight w:val="none"/>
            </w:rPr>
          </w:pPr>
          <w:r>
            <w:rPr>
              <w:color w:val="auto"/>
              <w:highlight w:val="none"/>
            </w:rPr>
            <w:fldChar w:fldCharType="begin"/>
          </w:r>
          <w:r>
            <w:rPr>
              <w:color w:val="auto"/>
              <w:highlight w:val="none"/>
            </w:rPr>
            <w:instrText xml:space="preserve"> HYPERLINK \l "_Toc23210" </w:instrText>
          </w:r>
          <w:r>
            <w:rPr>
              <w:color w:val="auto"/>
              <w:highlight w:val="none"/>
            </w:rPr>
            <w:fldChar w:fldCharType="separate"/>
          </w:r>
          <w:r>
            <w:rPr>
              <w:rFonts w:hint="eastAsia" w:ascii="宋体" w:hAnsi="宋体"/>
              <w:b/>
              <w:bCs/>
              <w:color w:val="auto"/>
              <w:sz w:val="28"/>
              <w:szCs w:val="28"/>
              <w:highlight w:val="none"/>
            </w:rPr>
            <w:t>第二</w:t>
          </w:r>
          <w:r>
            <w:rPr>
              <w:rFonts w:hint="eastAsia" w:ascii="宋体" w:hAnsi="宋体"/>
              <w:b/>
              <w:bCs/>
              <w:color w:val="auto"/>
              <w:spacing w:val="100"/>
              <w:sz w:val="28"/>
              <w:szCs w:val="28"/>
              <w:highlight w:val="none"/>
            </w:rPr>
            <w:t>章</w:t>
          </w:r>
          <w:r>
            <w:rPr>
              <w:rFonts w:hint="eastAsia" w:ascii="宋体" w:hAnsi="宋体"/>
              <w:b/>
              <w:bCs/>
              <w:color w:val="auto"/>
              <w:sz w:val="28"/>
              <w:szCs w:val="28"/>
              <w:highlight w:val="none"/>
            </w:rPr>
            <w:t>供应商须知</w:t>
          </w:r>
          <w:r>
            <w:rPr>
              <w:rFonts w:hint="eastAsia" w:ascii="宋体" w:hAnsi="宋体"/>
              <w:b/>
              <w:bCs/>
              <w:color w:val="auto"/>
              <w:sz w:val="28"/>
              <w:szCs w:val="28"/>
              <w:highlight w:val="none"/>
            </w:rPr>
            <w:tab/>
          </w:r>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PAGEREF _Toc23210 \h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5</w:t>
          </w:r>
          <w:r>
            <w:rPr>
              <w:rFonts w:hint="eastAsia" w:ascii="宋体" w:hAnsi="宋体"/>
              <w:b/>
              <w:bCs/>
              <w:color w:val="auto"/>
              <w:sz w:val="28"/>
              <w:szCs w:val="28"/>
              <w:highlight w:val="none"/>
            </w:rPr>
            <w:fldChar w:fldCharType="end"/>
          </w:r>
          <w:r>
            <w:rPr>
              <w:rFonts w:hint="eastAsia" w:ascii="宋体" w:hAnsi="宋体"/>
              <w:b/>
              <w:bCs/>
              <w:color w:val="auto"/>
              <w:sz w:val="28"/>
              <w:szCs w:val="28"/>
              <w:highlight w:val="none"/>
            </w:rPr>
            <w:fldChar w:fldCharType="end"/>
          </w:r>
        </w:p>
        <w:p w14:paraId="4297E86D">
          <w:pPr>
            <w:pStyle w:val="28"/>
            <w:tabs>
              <w:tab w:val="right" w:leader="dot" w:pos="9746"/>
            </w:tabs>
            <w:spacing w:line="480" w:lineRule="auto"/>
            <w:rPr>
              <w:rFonts w:ascii="宋体" w:hAnsi="宋体"/>
              <w:b/>
              <w:bCs/>
              <w:color w:val="auto"/>
              <w:sz w:val="28"/>
              <w:szCs w:val="28"/>
              <w:highlight w:val="none"/>
            </w:rPr>
          </w:pPr>
          <w:r>
            <w:rPr>
              <w:color w:val="auto"/>
              <w:highlight w:val="none"/>
            </w:rPr>
            <w:fldChar w:fldCharType="begin"/>
          </w:r>
          <w:r>
            <w:rPr>
              <w:color w:val="auto"/>
              <w:highlight w:val="none"/>
            </w:rPr>
            <w:instrText xml:space="preserve"> HYPERLINK \l "_Toc3367" </w:instrText>
          </w:r>
          <w:r>
            <w:rPr>
              <w:color w:val="auto"/>
              <w:highlight w:val="none"/>
            </w:rPr>
            <w:fldChar w:fldCharType="separate"/>
          </w:r>
          <w:r>
            <w:rPr>
              <w:rFonts w:hint="eastAsia" w:ascii="宋体" w:hAnsi="宋体"/>
              <w:b/>
              <w:bCs/>
              <w:color w:val="auto"/>
              <w:sz w:val="28"/>
              <w:szCs w:val="28"/>
              <w:highlight w:val="none"/>
            </w:rPr>
            <w:t>第三</w:t>
          </w:r>
          <w:r>
            <w:rPr>
              <w:rFonts w:hint="eastAsia" w:ascii="宋体" w:hAnsi="宋体"/>
              <w:b/>
              <w:bCs/>
              <w:color w:val="auto"/>
              <w:spacing w:val="100"/>
              <w:sz w:val="28"/>
              <w:szCs w:val="28"/>
              <w:highlight w:val="none"/>
            </w:rPr>
            <w:t>章</w:t>
          </w:r>
          <w:r>
            <w:rPr>
              <w:rFonts w:hint="eastAsia" w:ascii="宋体" w:hAnsi="宋体"/>
              <w:b/>
              <w:bCs/>
              <w:color w:val="auto"/>
              <w:sz w:val="28"/>
              <w:szCs w:val="28"/>
              <w:highlight w:val="none"/>
            </w:rPr>
            <w:t>采购需求（工程量清单、图纸）</w:t>
          </w:r>
          <w:r>
            <w:rPr>
              <w:rFonts w:hint="eastAsia" w:ascii="宋体" w:hAnsi="宋体"/>
              <w:b/>
              <w:bCs/>
              <w:color w:val="auto"/>
              <w:sz w:val="28"/>
              <w:szCs w:val="28"/>
              <w:highlight w:val="none"/>
            </w:rPr>
            <w:tab/>
          </w:r>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PAGEREF _Toc3367 \h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27</w:t>
          </w:r>
          <w:r>
            <w:rPr>
              <w:rFonts w:hint="eastAsia" w:ascii="宋体" w:hAnsi="宋体"/>
              <w:b/>
              <w:bCs/>
              <w:color w:val="auto"/>
              <w:sz w:val="28"/>
              <w:szCs w:val="28"/>
              <w:highlight w:val="none"/>
            </w:rPr>
            <w:fldChar w:fldCharType="end"/>
          </w:r>
          <w:r>
            <w:rPr>
              <w:rFonts w:hint="eastAsia" w:ascii="宋体" w:hAnsi="宋体"/>
              <w:b/>
              <w:bCs/>
              <w:color w:val="auto"/>
              <w:sz w:val="28"/>
              <w:szCs w:val="28"/>
              <w:highlight w:val="none"/>
            </w:rPr>
            <w:fldChar w:fldCharType="end"/>
          </w:r>
        </w:p>
        <w:p w14:paraId="77694B38">
          <w:pPr>
            <w:pStyle w:val="28"/>
            <w:tabs>
              <w:tab w:val="right" w:leader="dot" w:pos="9746"/>
            </w:tabs>
            <w:spacing w:line="480" w:lineRule="auto"/>
            <w:rPr>
              <w:rFonts w:ascii="宋体" w:hAnsi="宋体"/>
              <w:b/>
              <w:bCs/>
              <w:color w:val="auto"/>
              <w:sz w:val="28"/>
              <w:szCs w:val="28"/>
              <w:highlight w:val="none"/>
            </w:rPr>
          </w:pPr>
          <w:r>
            <w:rPr>
              <w:color w:val="auto"/>
              <w:highlight w:val="none"/>
            </w:rPr>
            <w:fldChar w:fldCharType="begin"/>
          </w:r>
          <w:r>
            <w:rPr>
              <w:color w:val="auto"/>
              <w:highlight w:val="none"/>
            </w:rPr>
            <w:instrText xml:space="preserve"> HYPERLINK \l "_Toc19590" </w:instrText>
          </w:r>
          <w:r>
            <w:rPr>
              <w:color w:val="auto"/>
              <w:highlight w:val="none"/>
            </w:rPr>
            <w:fldChar w:fldCharType="separate"/>
          </w:r>
          <w:r>
            <w:rPr>
              <w:rFonts w:hint="eastAsia" w:ascii="宋体" w:hAnsi="宋体"/>
              <w:b/>
              <w:bCs/>
              <w:color w:val="auto"/>
              <w:sz w:val="28"/>
              <w:szCs w:val="28"/>
              <w:highlight w:val="none"/>
            </w:rPr>
            <w:t>第四</w:t>
          </w:r>
          <w:r>
            <w:rPr>
              <w:rFonts w:hint="eastAsia" w:ascii="宋体" w:hAnsi="宋体"/>
              <w:b/>
              <w:bCs/>
              <w:color w:val="auto"/>
              <w:spacing w:val="100"/>
              <w:sz w:val="28"/>
              <w:szCs w:val="28"/>
              <w:highlight w:val="none"/>
            </w:rPr>
            <w:t>章</w:t>
          </w:r>
          <w:r>
            <w:rPr>
              <w:rFonts w:hint="eastAsia" w:ascii="宋体" w:hAnsi="宋体"/>
              <w:b/>
              <w:bCs/>
              <w:color w:val="auto"/>
              <w:sz w:val="28"/>
              <w:szCs w:val="28"/>
              <w:highlight w:val="none"/>
            </w:rPr>
            <w:t>评审程序、评审方法和评审标准</w:t>
          </w:r>
          <w:r>
            <w:rPr>
              <w:rFonts w:hint="eastAsia" w:ascii="宋体" w:hAnsi="宋体"/>
              <w:b/>
              <w:bCs/>
              <w:color w:val="auto"/>
              <w:sz w:val="28"/>
              <w:szCs w:val="28"/>
              <w:highlight w:val="none"/>
            </w:rPr>
            <w:tab/>
          </w:r>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PAGEREF _Toc19590 \h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32</w:t>
          </w:r>
          <w:r>
            <w:rPr>
              <w:rFonts w:hint="eastAsia" w:ascii="宋体" w:hAnsi="宋体"/>
              <w:b/>
              <w:bCs/>
              <w:color w:val="auto"/>
              <w:sz w:val="28"/>
              <w:szCs w:val="28"/>
              <w:highlight w:val="none"/>
            </w:rPr>
            <w:fldChar w:fldCharType="end"/>
          </w:r>
          <w:r>
            <w:rPr>
              <w:rFonts w:hint="eastAsia" w:ascii="宋体" w:hAnsi="宋体"/>
              <w:b/>
              <w:bCs/>
              <w:color w:val="auto"/>
              <w:sz w:val="28"/>
              <w:szCs w:val="28"/>
              <w:highlight w:val="none"/>
            </w:rPr>
            <w:fldChar w:fldCharType="end"/>
          </w:r>
        </w:p>
        <w:p w14:paraId="6E40725E">
          <w:pPr>
            <w:pStyle w:val="28"/>
            <w:tabs>
              <w:tab w:val="right" w:leader="dot" w:pos="9746"/>
            </w:tabs>
            <w:spacing w:line="480" w:lineRule="auto"/>
            <w:rPr>
              <w:rFonts w:ascii="宋体" w:hAnsi="宋体"/>
              <w:b/>
              <w:bCs/>
              <w:color w:val="auto"/>
              <w:sz w:val="28"/>
              <w:szCs w:val="28"/>
              <w:highlight w:val="none"/>
            </w:rPr>
          </w:pPr>
          <w:r>
            <w:rPr>
              <w:color w:val="auto"/>
              <w:highlight w:val="none"/>
            </w:rPr>
            <w:fldChar w:fldCharType="begin"/>
          </w:r>
          <w:r>
            <w:rPr>
              <w:color w:val="auto"/>
              <w:highlight w:val="none"/>
            </w:rPr>
            <w:instrText xml:space="preserve"> HYPERLINK \l "_Toc17045" </w:instrText>
          </w:r>
          <w:r>
            <w:rPr>
              <w:color w:val="auto"/>
              <w:highlight w:val="none"/>
            </w:rPr>
            <w:fldChar w:fldCharType="separate"/>
          </w:r>
          <w:r>
            <w:rPr>
              <w:rFonts w:hint="eastAsia" w:ascii="宋体" w:hAnsi="宋体"/>
              <w:b/>
              <w:bCs/>
              <w:color w:val="auto"/>
              <w:sz w:val="28"/>
              <w:szCs w:val="28"/>
              <w:highlight w:val="none"/>
            </w:rPr>
            <w:t>第五</w:t>
          </w:r>
          <w:r>
            <w:rPr>
              <w:rFonts w:hint="eastAsia" w:ascii="宋体" w:hAnsi="宋体"/>
              <w:b/>
              <w:bCs/>
              <w:color w:val="auto"/>
              <w:spacing w:val="100"/>
              <w:sz w:val="28"/>
              <w:szCs w:val="28"/>
              <w:highlight w:val="none"/>
            </w:rPr>
            <w:t>章</w:t>
          </w:r>
          <w:r>
            <w:rPr>
              <w:rFonts w:hint="eastAsia" w:ascii="宋体" w:hAnsi="宋体"/>
              <w:b/>
              <w:bCs/>
              <w:color w:val="auto"/>
              <w:sz w:val="28"/>
              <w:szCs w:val="28"/>
              <w:highlight w:val="none"/>
            </w:rPr>
            <w:t>响应文件格式</w:t>
          </w:r>
          <w:r>
            <w:rPr>
              <w:rFonts w:hint="eastAsia" w:ascii="宋体" w:hAnsi="宋体"/>
              <w:b/>
              <w:bCs/>
              <w:color w:val="auto"/>
              <w:sz w:val="28"/>
              <w:szCs w:val="28"/>
              <w:highlight w:val="none"/>
            </w:rPr>
            <w:tab/>
          </w:r>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PAGEREF _Toc17045 \h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38</w:t>
          </w:r>
          <w:r>
            <w:rPr>
              <w:rFonts w:hint="eastAsia" w:ascii="宋体" w:hAnsi="宋体"/>
              <w:b/>
              <w:bCs/>
              <w:color w:val="auto"/>
              <w:sz w:val="28"/>
              <w:szCs w:val="28"/>
              <w:highlight w:val="none"/>
            </w:rPr>
            <w:fldChar w:fldCharType="end"/>
          </w:r>
          <w:r>
            <w:rPr>
              <w:rFonts w:hint="eastAsia" w:ascii="宋体" w:hAnsi="宋体"/>
              <w:b/>
              <w:bCs/>
              <w:color w:val="auto"/>
              <w:sz w:val="28"/>
              <w:szCs w:val="28"/>
              <w:highlight w:val="none"/>
            </w:rPr>
            <w:fldChar w:fldCharType="end"/>
          </w:r>
        </w:p>
        <w:p w14:paraId="6C4469B4">
          <w:pPr>
            <w:pStyle w:val="28"/>
            <w:tabs>
              <w:tab w:val="right" w:leader="dot" w:pos="9746"/>
            </w:tabs>
            <w:spacing w:line="480" w:lineRule="auto"/>
            <w:rPr>
              <w:rFonts w:ascii="宋体" w:hAnsi="宋体"/>
              <w:b/>
              <w:bCs/>
              <w:color w:val="auto"/>
              <w:sz w:val="28"/>
              <w:szCs w:val="28"/>
              <w:highlight w:val="none"/>
            </w:rPr>
          </w:pPr>
          <w:r>
            <w:rPr>
              <w:color w:val="auto"/>
              <w:highlight w:val="none"/>
            </w:rPr>
            <w:fldChar w:fldCharType="begin"/>
          </w:r>
          <w:r>
            <w:rPr>
              <w:color w:val="auto"/>
              <w:highlight w:val="none"/>
            </w:rPr>
            <w:instrText xml:space="preserve"> HYPERLINK \l "_Toc22994" </w:instrText>
          </w:r>
          <w:r>
            <w:rPr>
              <w:color w:val="auto"/>
              <w:highlight w:val="none"/>
            </w:rPr>
            <w:fldChar w:fldCharType="separate"/>
          </w:r>
          <w:r>
            <w:rPr>
              <w:rFonts w:hint="eastAsia" w:ascii="宋体" w:hAnsi="宋体"/>
              <w:b/>
              <w:bCs/>
              <w:color w:val="auto"/>
              <w:sz w:val="28"/>
              <w:szCs w:val="28"/>
              <w:highlight w:val="none"/>
            </w:rPr>
            <w:t>第六</w:t>
          </w:r>
          <w:r>
            <w:rPr>
              <w:rFonts w:hint="eastAsia" w:ascii="宋体" w:hAnsi="宋体"/>
              <w:b/>
              <w:bCs/>
              <w:color w:val="auto"/>
              <w:spacing w:val="100"/>
              <w:sz w:val="28"/>
              <w:szCs w:val="28"/>
              <w:highlight w:val="none"/>
            </w:rPr>
            <w:t>章</w:t>
          </w:r>
          <w:r>
            <w:rPr>
              <w:rFonts w:hint="eastAsia" w:ascii="宋体" w:hAnsi="宋体"/>
              <w:b/>
              <w:bCs/>
              <w:color w:val="auto"/>
              <w:sz w:val="28"/>
              <w:szCs w:val="28"/>
              <w:highlight w:val="none"/>
            </w:rPr>
            <w:t>合同文本</w:t>
          </w:r>
          <w:r>
            <w:rPr>
              <w:rFonts w:hint="eastAsia" w:ascii="宋体" w:hAnsi="宋体"/>
              <w:b/>
              <w:bCs/>
              <w:color w:val="auto"/>
              <w:sz w:val="28"/>
              <w:szCs w:val="28"/>
              <w:highlight w:val="none"/>
            </w:rPr>
            <w:tab/>
          </w:r>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PAGEREF _Toc22994 \h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66</w:t>
          </w:r>
          <w:r>
            <w:rPr>
              <w:rFonts w:hint="eastAsia" w:ascii="宋体" w:hAnsi="宋体"/>
              <w:b/>
              <w:bCs/>
              <w:color w:val="auto"/>
              <w:sz w:val="28"/>
              <w:szCs w:val="28"/>
              <w:highlight w:val="none"/>
            </w:rPr>
            <w:fldChar w:fldCharType="end"/>
          </w:r>
          <w:r>
            <w:rPr>
              <w:rFonts w:hint="eastAsia" w:ascii="宋体" w:hAnsi="宋体"/>
              <w:b/>
              <w:bCs/>
              <w:color w:val="auto"/>
              <w:sz w:val="28"/>
              <w:szCs w:val="28"/>
              <w:highlight w:val="none"/>
            </w:rPr>
            <w:fldChar w:fldCharType="end"/>
          </w:r>
        </w:p>
        <w:p w14:paraId="18AF5811">
          <w:pPr>
            <w:pStyle w:val="28"/>
            <w:tabs>
              <w:tab w:val="right" w:leader="dot" w:pos="9746"/>
            </w:tabs>
            <w:spacing w:line="480" w:lineRule="auto"/>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"_Toc9741" </w:instrText>
          </w:r>
          <w:r>
            <w:rPr>
              <w:color w:val="auto"/>
              <w:highlight w:val="none"/>
            </w:rPr>
            <w:fldChar w:fldCharType="separate"/>
          </w:r>
          <w:r>
            <w:rPr>
              <w:rFonts w:hint="eastAsia" w:ascii="宋体" w:hAnsi="宋体"/>
              <w:b/>
              <w:bCs/>
              <w:color w:val="auto"/>
              <w:sz w:val="28"/>
              <w:szCs w:val="28"/>
              <w:highlight w:val="none"/>
            </w:rPr>
            <w:t>第七章  质疑、投诉材料格式</w:t>
          </w:r>
          <w:r>
            <w:rPr>
              <w:rFonts w:hint="eastAsia" w:ascii="宋体" w:hAnsi="宋体"/>
              <w:b/>
              <w:bCs/>
              <w:color w:val="auto"/>
              <w:sz w:val="28"/>
              <w:szCs w:val="28"/>
              <w:highlight w:val="none"/>
            </w:rPr>
            <w:tab/>
          </w:r>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PAGEREF _Toc9741 \h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155</w:t>
          </w:r>
          <w:r>
            <w:rPr>
              <w:rFonts w:hint="eastAsia" w:ascii="宋体" w:hAnsi="宋体"/>
              <w:b/>
              <w:bCs/>
              <w:color w:val="auto"/>
              <w:sz w:val="28"/>
              <w:szCs w:val="28"/>
              <w:highlight w:val="none"/>
            </w:rPr>
            <w:fldChar w:fldCharType="end"/>
          </w:r>
          <w:r>
            <w:rPr>
              <w:rFonts w:hint="eastAsia" w:ascii="宋体" w:hAnsi="宋体"/>
              <w:b/>
              <w:bCs/>
              <w:color w:val="auto"/>
              <w:sz w:val="28"/>
              <w:szCs w:val="28"/>
              <w:highlight w:val="none"/>
            </w:rPr>
            <w:fldChar w:fldCharType="end"/>
          </w:r>
        </w:p>
        <w:p w14:paraId="0867C474">
          <w:pPr>
            <w:pStyle w:val="28"/>
            <w:tabs>
              <w:tab w:val="right" w:leader="dot" w:pos="9344"/>
            </w:tabs>
            <w:spacing w:line="480" w:lineRule="auto"/>
            <w:rPr>
              <w:rFonts w:ascii="宋体" w:hAnsi="宋体"/>
              <w:color w:val="auto"/>
              <w:sz w:val="28"/>
              <w:szCs w:val="28"/>
              <w:highlight w:val="none"/>
            </w:rPr>
          </w:pPr>
          <w:r>
            <w:rPr>
              <w:rFonts w:hint="eastAsia" w:ascii="宋体" w:hAnsi="宋体"/>
              <w:color w:val="auto"/>
              <w:sz w:val="28"/>
              <w:szCs w:val="28"/>
              <w:highlight w:val="none"/>
            </w:rPr>
            <w:fldChar w:fldCharType="end"/>
          </w:r>
        </w:p>
      </w:sdtContent>
    </w:sdt>
    <w:p w14:paraId="17ED8C67">
      <w:pPr>
        <w:rPr>
          <w:color w:val="auto"/>
          <w:highlight w:val="none"/>
        </w:rPr>
      </w:pPr>
    </w:p>
    <w:p w14:paraId="19FC60FF">
      <w:pPr>
        <w:spacing w:line="360" w:lineRule="auto"/>
        <w:rPr>
          <w:rFonts w:ascii="宋体" w:hAnsi="宋体"/>
          <w:color w:val="auto"/>
          <w:szCs w:val="21"/>
          <w:highlight w:val="none"/>
        </w:rPr>
        <w:sectPr>
          <w:pgSz w:w="11906" w:h="16838"/>
          <w:pgMar w:top="1440" w:right="1080" w:bottom="1440" w:left="1080" w:header="851" w:footer="992" w:gutter="0"/>
          <w:pgNumType w:start="1"/>
          <w:cols w:space="425" w:num="1"/>
          <w:docGrid w:type="lines" w:linePitch="312" w:charSpace="0"/>
        </w:sectPr>
      </w:pPr>
    </w:p>
    <w:p w14:paraId="44596A66">
      <w:pPr>
        <w:pStyle w:val="2"/>
        <w:jc w:val="center"/>
        <w:rPr>
          <w:rFonts w:ascii="宋体" w:hAnsi="宋体"/>
          <w:color w:val="auto"/>
          <w:highlight w:val="none"/>
        </w:rPr>
      </w:pPr>
      <w:bookmarkStart w:id="0" w:name="_Toc3660"/>
      <w:bookmarkStart w:id="1" w:name="_Toc8074"/>
      <w:r>
        <w:rPr>
          <w:rFonts w:hint="eastAsia" w:ascii="宋体" w:hAnsi="宋体"/>
          <w:color w:val="auto"/>
          <w:highlight w:val="none"/>
        </w:rPr>
        <w:t>第一</w:t>
      </w:r>
      <w:r>
        <w:rPr>
          <w:rFonts w:hint="eastAsia" w:ascii="宋体" w:hAnsi="宋体"/>
          <w:color w:val="auto"/>
          <w:spacing w:val="100"/>
          <w:highlight w:val="none"/>
        </w:rPr>
        <w:t>章</w:t>
      </w:r>
      <w:r>
        <w:rPr>
          <w:rFonts w:hint="eastAsia" w:ascii="宋体" w:hAnsi="宋体"/>
          <w:color w:val="auto"/>
          <w:highlight w:val="none"/>
        </w:rPr>
        <w:t>竞争性谈判公告</w:t>
      </w:r>
      <w:bookmarkEnd w:id="0"/>
      <w:bookmarkEnd w:id="1"/>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4"/>
      </w:tblGrid>
      <w:tr w14:paraId="3F18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548DA60F">
            <w:pPr>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项目概况：</w:t>
            </w:r>
          </w:p>
          <w:p w14:paraId="109B152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lang w:eastAsia="zh-CN"/>
              </w:rPr>
              <w:t>广西壮族自治区人民医院桃源院区产科三区装修改造工程</w:t>
            </w:r>
            <w:r>
              <w:rPr>
                <w:rFonts w:hint="eastAsia" w:ascii="宋体" w:hAnsi="宋体"/>
                <w:color w:val="auto"/>
                <w:szCs w:val="21"/>
                <w:highlight w:val="none"/>
              </w:rPr>
              <w:t>采购项目的潜在供应商应在广西政府采购云平台（https：//www.gcy.zfcg.gxzf.gov.cn/）获取采购文件，并于</w:t>
            </w:r>
            <w:r>
              <w:rPr>
                <w:rFonts w:hint="eastAsia" w:ascii="宋体" w:hAnsi="宋体"/>
                <w:color w:val="auto"/>
                <w:szCs w:val="21"/>
                <w:highlight w:val="none"/>
                <w:u w:val="single"/>
                <w:lang w:eastAsia="zh-CN"/>
              </w:rPr>
              <w:t>202</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lang w:eastAsia="zh-CN"/>
              </w:rPr>
              <w:t>年</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lang w:eastAsia="zh-CN"/>
              </w:rPr>
              <w:t>月</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lang w:eastAsia="zh-CN"/>
              </w:rPr>
              <w:t>日</w:t>
            </w:r>
            <w:r>
              <w:rPr>
                <w:rFonts w:hint="eastAsia" w:ascii="宋体" w:hAnsi="宋体"/>
                <w:color w:val="auto"/>
                <w:szCs w:val="21"/>
                <w:highlight w:val="none"/>
                <w:u w:val="single"/>
                <w:lang w:val="en-US" w:eastAsia="zh-CN"/>
              </w:rPr>
              <w:t>09</w:t>
            </w:r>
            <w:r>
              <w:rPr>
                <w:rFonts w:ascii="宋体" w:hAnsi="宋体"/>
                <w:color w:val="auto"/>
                <w:szCs w:val="21"/>
                <w:highlight w:val="none"/>
                <w:u w:val="single"/>
              </w:rPr>
              <w:t>：</w:t>
            </w:r>
            <w:r>
              <w:rPr>
                <w:rFonts w:hint="eastAsia" w:ascii="宋体" w:hAnsi="宋体"/>
                <w:color w:val="auto"/>
                <w:szCs w:val="21"/>
                <w:highlight w:val="none"/>
                <w:u w:val="single"/>
                <w:lang w:val="en-US" w:eastAsia="zh-CN"/>
              </w:rPr>
              <w:t>3</w:t>
            </w:r>
            <w:r>
              <w:rPr>
                <w:rFonts w:ascii="宋体" w:hAnsi="宋体"/>
                <w:color w:val="auto"/>
                <w:szCs w:val="21"/>
                <w:highlight w:val="none"/>
                <w:u w:val="single"/>
              </w:rPr>
              <w:t>0</w:t>
            </w:r>
            <w:r>
              <w:rPr>
                <w:rFonts w:hint="eastAsia" w:ascii="宋体" w:hAnsi="宋体"/>
                <w:color w:val="auto"/>
                <w:szCs w:val="21"/>
                <w:highlight w:val="none"/>
              </w:rPr>
              <w:t>（北京时间）前提交响应文件。</w:t>
            </w:r>
          </w:p>
        </w:tc>
      </w:tr>
    </w:tbl>
    <w:p w14:paraId="3811E1FF">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一、项目基本情况</w:t>
      </w:r>
    </w:p>
    <w:p w14:paraId="2DE72CA0">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GXZC2025-J2-003980-GXLY</w:t>
      </w:r>
    </w:p>
    <w:p w14:paraId="7C8A3667">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广西壮族自治区人民医院桃源院区产科三区装修改造工程</w:t>
      </w:r>
    </w:p>
    <w:p w14:paraId="6428DB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采购方式：竞争性谈判</w:t>
      </w:r>
    </w:p>
    <w:p w14:paraId="63CCC4D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预算总金额（元）：</w:t>
      </w:r>
      <w:r>
        <w:rPr>
          <w:rFonts w:hint="eastAsia" w:ascii="宋体" w:hAnsi="宋体"/>
          <w:color w:val="auto"/>
          <w:szCs w:val="21"/>
          <w:highlight w:val="none"/>
          <w:lang w:eastAsia="zh-CN"/>
        </w:rPr>
        <w:t>1196406.95</w:t>
      </w:r>
      <w:r>
        <w:rPr>
          <w:rFonts w:ascii="宋体" w:hAnsi="宋体"/>
          <w:color w:val="auto"/>
          <w:szCs w:val="21"/>
          <w:highlight w:val="none"/>
        </w:rPr>
        <w:t>元</w:t>
      </w:r>
    </w:p>
    <w:p w14:paraId="5269B13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最高限价（如有）：</w:t>
      </w:r>
      <w:r>
        <w:rPr>
          <w:rFonts w:hint="eastAsia" w:ascii="宋体" w:hAnsi="宋体"/>
          <w:color w:val="auto"/>
          <w:szCs w:val="21"/>
          <w:highlight w:val="none"/>
          <w:lang w:eastAsia="zh-CN"/>
        </w:rPr>
        <w:t>1196406.95</w:t>
      </w:r>
      <w:r>
        <w:rPr>
          <w:rFonts w:ascii="宋体" w:hAnsi="宋体"/>
          <w:color w:val="auto"/>
          <w:szCs w:val="21"/>
          <w:highlight w:val="none"/>
        </w:rPr>
        <w:t>元</w:t>
      </w:r>
    </w:p>
    <w:p w14:paraId="44CCD52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项目建设规模及主要建设内容：</w:t>
      </w:r>
      <w:r>
        <w:rPr>
          <w:rFonts w:hint="eastAsia" w:ascii="宋体" w:hAnsi="宋体"/>
          <w:color w:val="auto"/>
          <w:szCs w:val="21"/>
          <w:highlight w:val="none"/>
          <w:lang w:eastAsia="zh-CN"/>
        </w:rPr>
        <w:t>广西壮族自治区人民医院桃源院区产科三区装修改造工程</w:t>
      </w:r>
      <w:r>
        <w:rPr>
          <w:rFonts w:hint="eastAsia" w:ascii="宋体" w:hAnsi="宋体"/>
          <w:color w:val="auto"/>
          <w:szCs w:val="21"/>
          <w:highlight w:val="none"/>
        </w:rPr>
        <w:t>1项，改造十三层约1020㎡，包含装修拆除、安装拆除、装饰装修、水电、通风等</w:t>
      </w:r>
      <w:r>
        <w:rPr>
          <w:rFonts w:hint="eastAsia" w:ascii="宋体" w:hAnsi="宋体"/>
          <w:color w:val="auto"/>
          <w:szCs w:val="21"/>
          <w:highlight w:val="none"/>
          <w:lang w:val="en-US" w:eastAsia="zh-CN"/>
        </w:rPr>
        <w:t>内容</w:t>
      </w:r>
      <w:r>
        <w:rPr>
          <w:rFonts w:hint="eastAsia" w:ascii="宋体" w:hAnsi="宋体"/>
          <w:color w:val="auto"/>
          <w:szCs w:val="21"/>
          <w:highlight w:val="none"/>
        </w:rPr>
        <w:t>，具体内容以图纸及工程量清单为准。</w:t>
      </w:r>
    </w:p>
    <w:p w14:paraId="3002552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合同履约期限：工期</w:t>
      </w:r>
      <w:r>
        <w:rPr>
          <w:rFonts w:hint="eastAsia" w:ascii="宋体" w:hAnsi="宋体"/>
          <w:color w:val="auto"/>
          <w:szCs w:val="21"/>
          <w:highlight w:val="none"/>
          <w:lang w:val="en-US" w:eastAsia="zh-CN"/>
        </w:rPr>
        <w:t>要求120</w:t>
      </w:r>
      <w:r>
        <w:rPr>
          <w:rFonts w:hint="eastAsia" w:ascii="宋体" w:hAnsi="宋体"/>
          <w:color w:val="auto"/>
          <w:szCs w:val="21"/>
          <w:highlight w:val="none"/>
        </w:rPr>
        <w:t>日历天。</w:t>
      </w:r>
    </w:p>
    <w:p w14:paraId="77FA80B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本标项（否）接受联合体投标。</w:t>
      </w:r>
    </w:p>
    <w:p w14:paraId="1A18A9D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二、申请人的资格要求</w:t>
      </w:r>
    </w:p>
    <w:p w14:paraId="6CE8053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36FFBA87">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2.落实政府采购政策需满足的资格要求：</w:t>
      </w:r>
      <w:r>
        <w:rPr>
          <w:rFonts w:hint="eastAsia" w:ascii="宋体" w:hAnsi="宋体"/>
          <w:color w:val="auto"/>
          <w:szCs w:val="21"/>
          <w:highlight w:val="none"/>
          <w:lang w:eastAsia="zh-CN"/>
        </w:rPr>
        <w:t>本项目专门面向中小企业采购，供应商应为中小微企业或监狱企业或残疾人福利性单位。</w:t>
      </w:r>
    </w:p>
    <w:p w14:paraId="3F0DBA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w:t>
      </w:r>
    </w:p>
    <w:p w14:paraId="46C82EA3">
      <w:pPr>
        <w:spacing w:line="360" w:lineRule="auto"/>
        <w:ind w:firstLine="420" w:firstLineChars="200"/>
        <w:rPr>
          <w:rFonts w:hint="eastAsia" w:ascii="宋体" w:hAnsi="宋体" w:eastAsia="宋体" w:cs="宋体"/>
          <w:color w:val="auto"/>
          <w:szCs w:val="21"/>
          <w:highlight w:val="none"/>
        </w:rPr>
      </w:pPr>
      <w:r>
        <w:rPr>
          <w:rFonts w:hint="eastAsia" w:ascii="宋体" w:hAnsi="宋体"/>
          <w:color w:val="auto"/>
          <w:szCs w:val="21"/>
          <w:highlight w:val="none"/>
        </w:rPr>
        <w:t>（1）供应商具有有效的</w:t>
      </w:r>
      <w:r>
        <w:rPr>
          <w:rFonts w:hint="eastAsia" w:ascii="宋体" w:hAnsi="宋体" w:eastAsia="宋体" w:cs="Times New Roman"/>
          <w:color w:val="auto"/>
          <w:szCs w:val="21"/>
          <w:highlight w:val="none"/>
        </w:rPr>
        <w:t>建筑装修装饰工程专业承包二级以上(含二级)</w:t>
      </w:r>
      <w:r>
        <w:rPr>
          <w:rFonts w:hint="eastAsia" w:ascii="宋体" w:hAnsi="宋体" w:cs="Arial"/>
          <w:color w:val="auto"/>
          <w:szCs w:val="21"/>
          <w:highlight w:val="none"/>
        </w:rPr>
        <w:t>资质</w:t>
      </w:r>
      <w:r>
        <w:rPr>
          <w:rFonts w:hint="eastAsia" w:ascii="宋体" w:hAnsi="宋体"/>
          <w:color w:val="auto"/>
          <w:szCs w:val="21"/>
          <w:highlight w:val="none"/>
        </w:rPr>
        <w:t>，并在人员、设备、资金等方面具备相应的施</w:t>
      </w:r>
      <w:r>
        <w:rPr>
          <w:rFonts w:hint="eastAsia" w:ascii="宋体" w:hAnsi="宋体" w:eastAsia="宋体" w:cs="宋体"/>
          <w:color w:val="auto"/>
          <w:szCs w:val="21"/>
          <w:highlight w:val="none"/>
        </w:rPr>
        <w:t>工能力。</w:t>
      </w:r>
    </w:p>
    <w:p w14:paraId="1EB547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供应商拟派项目经理须具备建筑工程专业注册建造师二级以上（含二级）执业资格和有效的安全生产考核合格证（B类），且未担任其他在建、已中标未开工或已列为其他项目第一名中标候选人的建造师作为项目经理，并且为供应商单位员工。</w:t>
      </w:r>
    </w:p>
    <w:p w14:paraId="0CEDD82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（3）拟投入本项目的专职安全生产管理人员须具备有效的安全生产考核合格证书（C类）。</w:t>
      </w:r>
    </w:p>
    <w:p w14:paraId="3A66142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三、获取采购文件</w:t>
      </w:r>
    </w:p>
    <w:p w14:paraId="597F18D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时间：2025年</w:t>
      </w:r>
      <w:r>
        <w:rPr>
          <w:rFonts w:hint="eastAsia" w:ascii="宋体" w:hAnsi="宋体"/>
          <w:color w:val="auto"/>
          <w:szCs w:val="21"/>
          <w:highlight w:val="none"/>
          <w:lang w:val="en-US" w:eastAsia="zh-CN"/>
        </w:rPr>
        <w:t>12</w:t>
      </w:r>
      <w:r>
        <w:rPr>
          <w:rFonts w:hint="eastAsia" w:ascii="宋体" w:hAnsi="宋体"/>
          <w:color w:val="auto"/>
          <w:szCs w:val="21"/>
          <w:highlight w:val="none"/>
        </w:rPr>
        <w:t>月</w:t>
      </w:r>
      <w:r>
        <w:rPr>
          <w:rFonts w:hint="eastAsia" w:ascii="宋体" w:hAnsi="宋体"/>
          <w:color w:val="auto"/>
          <w:szCs w:val="21"/>
          <w:highlight w:val="none"/>
          <w:lang w:val="en-US" w:eastAsia="zh-CN"/>
        </w:rPr>
        <w:t>31</w:t>
      </w:r>
      <w:r>
        <w:rPr>
          <w:rFonts w:hint="eastAsia" w:ascii="宋体" w:hAnsi="宋体"/>
          <w:color w:val="auto"/>
          <w:szCs w:val="21"/>
          <w:highlight w:val="none"/>
        </w:rPr>
        <w:t>日至</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日</w:t>
      </w:r>
      <w:r>
        <w:rPr>
          <w:rFonts w:hint="eastAsia" w:ascii="宋体" w:hAnsi="宋体"/>
          <w:color w:val="auto"/>
          <w:szCs w:val="21"/>
          <w:highlight w:val="none"/>
        </w:rPr>
        <w:t>，每天上午00：00至11：59，下午12：00至23：59（北京时间，法定节假日除外）</w:t>
      </w:r>
    </w:p>
    <w:p w14:paraId="4E7C0D1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地点（网址）：广西政府采购云平台（https：//www.gcy.zfcg.gxzf.gov.cn/）</w:t>
      </w:r>
    </w:p>
    <w:p w14:paraId="441D3ED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方式：网上下载。本项目不提供纸质文件，潜在供应商可自行在广西政府采购云平台（https：//www.gcy.zfcg.gxzf.gov.cn/）下载采购文件及附件（操作路径：登录广西政府采购云平台-项目采购-获取采购文件-找到本项目-点击“申请获取采购文件”），电子响应文件制作需要基于广西政府采购云平台获取的采购文件编制，通过其他方式获取采购文件的，将有可能导致供应商无法在广西政府采购云平台编制及上传响应文件。</w:t>
      </w:r>
    </w:p>
    <w:p w14:paraId="6F68D9F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售价（元）：0</w:t>
      </w:r>
    </w:p>
    <w:p w14:paraId="33C42DB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四、响应文件提交</w:t>
      </w:r>
    </w:p>
    <w:p w14:paraId="498EFF0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截止时间：</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7</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09</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0（北京时间）</w:t>
      </w:r>
    </w:p>
    <w:p w14:paraId="3F54476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地点（网址）：广西政府采购云平台（https：//www.gcy.zfcg.gxzf.gov.cn/）</w:t>
      </w:r>
    </w:p>
    <w:p w14:paraId="674CC49E">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五、开启</w:t>
      </w:r>
    </w:p>
    <w:p w14:paraId="6F15DA4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开启时间：</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7</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09</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0（北京时间）</w:t>
      </w:r>
    </w:p>
    <w:p w14:paraId="5D92A27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地点（网址）：广西政府采购云平台（https：//www.gcy.zfcg.gxzf.gov.cn/）</w:t>
      </w:r>
    </w:p>
    <w:p w14:paraId="2DC1DA8B">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六、公告期限</w:t>
      </w:r>
    </w:p>
    <w:p w14:paraId="1A58809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自本公告发布之日起3个工作日。</w:t>
      </w:r>
    </w:p>
    <w:p w14:paraId="0ABEB125">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七、其他补充事宜</w:t>
      </w:r>
    </w:p>
    <w:p w14:paraId="20A0281D">
      <w:pPr>
        <w:spacing w:line="360" w:lineRule="auto"/>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网上查询地址：中国政府采购网（www.ccgp.gov.cn）、广西政府采购网（http：//zfcg.gxzf.gov.cn）。</w:t>
      </w:r>
    </w:p>
    <w:p w14:paraId="1830D71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2.谈判保证金：本项目不收取谈判保证金。</w:t>
      </w:r>
    </w:p>
    <w:p w14:paraId="2D02745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3.本项目需要落实的政府采购政策：</w:t>
      </w:r>
    </w:p>
    <w:p w14:paraId="7E8D736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（1）政府采购促进中小企业发展；</w:t>
      </w:r>
    </w:p>
    <w:p w14:paraId="7F4276E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（2）政府采购支持采用本国产品的政策；</w:t>
      </w:r>
    </w:p>
    <w:p w14:paraId="3F78162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）强制采购节能产品；优先采购节能产品、环境标志产品；</w:t>
      </w:r>
    </w:p>
    <w:p w14:paraId="54C1CE3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）政府采购促进残疾人就业政策；</w:t>
      </w:r>
    </w:p>
    <w:p w14:paraId="6E00CDC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）政府采购支持监狱企业发展。</w:t>
      </w:r>
    </w:p>
    <w:p w14:paraId="768E050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5AA70C2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D4D6A9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6.供应商竞标注意事项</w:t>
      </w:r>
    </w:p>
    <w:p w14:paraId="5AA4341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ww.gcy.zfcg.gxzf.gov.cn/）实行在线电子竞争性谈判，供应商应先安装广西政府采购云平台新版客户端（新版客户端下载路径：广西政府采购网（访问地址http：//zfcg.gxzf.gov.cn/）—办事服务—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3287DAE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（2）未进行网上注册并办理数字证书（CA认证）的供应商将无法参与本项目政府采购活动，潜在供应商应当在首次响应文件提交截止时间前，完成电子交易平台上的CA数字证书办理及响应文件的提交。</w:t>
      </w:r>
    </w:p>
    <w:p w14:paraId="309B383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CA证书在线解密：首次响应文件开启时，需要供应商携带制作响应文件时用来加密的有效数字证书（CA认证）登录广西政府采购云平台电子开标大厅现场按规定时间对加密的响应文件进行解密，未能按要求进行解密的，由此产生的后果由供应商自行承担。</w:t>
      </w:r>
    </w:p>
    <w:p w14:paraId="11F47BF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注：1）为确保网上操作合法、有效和安全，请供应商确保在电子竞争性谈判过程中能够对相关数据电文进行加密和使用电子签章，妥善保管CA数字证书并使用有效的CA数字证书参与整个采购活动。</w:t>
      </w:r>
    </w:p>
    <w:p w14:paraId="1252A414">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7EACB50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（4）供应商需要在具备有摄像头及语音功能且互联网网络状况良好的电脑登录广西政府采购云平台远程开标大厅参与本次谈判，否则后果自负。</w:t>
      </w:r>
    </w:p>
    <w:p w14:paraId="0136212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若对项目采购电子交易系统操作有疑问，可登录广西政府采购云平台（https：//www.gcy.zfcg.gxzf.gov.cn/），点击右侧咨询小采，获取采小蜜智能服务管家帮助，或拨打广西政府采购云平台服务热线95763获取热线服务帮助。</w:t>
      </w:r>
    </w:p>
    <w:p w14:paraId="56A8087F">
      <w:pPr>
        <w:wordWrap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8.采购意向公开链接：https://zfcg.gxzf.gov.cn/site/detail?categoryCode=ZcyAnnouncement&amp;parentId=66485&amp;articleId=x9jTLEFfjPW3QHd1SMHqdw==</w:t>
      </w:r>
    </w:p>
    <w:p w14:paraId="4C038A0B">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八、凡对本次采购提出询问，请按以下方式联系</w:t>
      </w:r>
    </w:p>
    <w:p w14:paraId="4A9ACF5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1.采购人信息</w:t>
      </w:r>
    </w:p>
    <w:p w14:paraId="0C0684C7">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名称：</w:t>
      </w:r>
      <w:r>
        <w:rPr>
          <w:rFonts w:hint="eastAsia" w:ascii="宋体" w:hAnsi="宋体"/>
          <w:color w:val="auto"/>
          <w:szCs w:val="21"/>
          <w:highlight w:val="none"/>
          <w:lang w:eastAsia="zh-CN"/>
        </w:rPr>
        <w:t>广西壮族自治区人民医院</w:t>
      </w:r>
    </w:p>
    <w:p w14:paraId="0C7724D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s="宋体"/>
          <w:color w:val="auto"/>
          <w:szCs w:val="21"/>
          <w:highlight w:val="none"/>
        </w:rPr>
        <w:t>南宁市青秀区桃源路6号</w:t>
      </w:r>
    </w:p>
    <w:p w14:paraId="03C97D6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项目联系人：</w:t>
      </w:r>
      <w:r>
        <w:rPr>
          <w:rFonts w:hint="eastAsia" w:ascii="宋体" w:hAnsi="宋体" w:cs="宋体"/>
          <w:color w:val="auto"/>
          <w:szCs w:val="21"/>
          <w:highlight w:val="none"/>
          <w:lang w:val="en-US" w:eastAsia="zh-CN" w:bidi="ar"/>
        </w:rPr>
        <w:t>朱老师</w:t>
      </w:r>
    </w:p>
    <w:p w14:paraId="1B36982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项目联系方式：</w:t>
      </w:r>
      <w:r>
        <w:rPr>
          <w:rFonts w:hint="eastAsia" w:ascii="宋体" w:hAnsi="宋体" w:eastAsia="宋体" w:cs="宋体"/>
          <w:color w:val="auto"/>
          <w:kern w:val="2"/>
          <w:sz w:val="21"/>
          <w:szCs w:val="21"/>
          <w:highlight w:val="none"/>
          <w:u w:val="none"/>
          <w:lang w:val="en-US" w:eastAsia="zh-CN" w:bidi="ar-SA"/>
        </w:rPr>
        <w:t>0771-5722430</w:t>
      </w:r>
    </w:p>
    <w:p w14:paraId="75D441C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2.采购代理机构信息</w:t>
      </w:r>
    </w:p>
    <w:p w14:paraId="12F2C85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名称：联云项目管理咨询有限公司</w:t>
      </w:r>
    </w:p>
    <w:p w14:paraId="58E2BF3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地址：中国（广西）自由贸易试验区南宁片区凯旋路18号广西合景国际金融广场1405、1406号</w:t>
      </w:r>
    </w:p>
    <w:p w14:paraId="137AC15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项目联系人：</w:t>
      </w:r>
      <w:r>
        <w:rPr>
          <w:rFonts w:hint="eastAsia" w:ascii="宋体" w:hAnsi="宋体"/>
          <w:color w:val="auto"/>
          <w:szCs w:val="21"/>
          <w:highlight w:val="none"/>
          <w:lang w:val="en-US" w:eastAsia="zh-CN"/>
        </w:rPr>
        <w:t>覃世梁</w:t>
      </w:r>
      <w:r>
        <w:rPr>
          <w:rFonts w:hint="eastAsia" w:ascii="宋体" w:hAnsi="宋体"/>
          <w:color w:val="auto"/>
          <w:szCs w:val="21"/>
          <w:highlight w:val="none"/>
        </w:rPr>
        <w:t>、邓义奋、李骏</w:t>
      </w:r>
    </w:p>
    <w:p w14:paraId="7578F35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项目联系方式：0771-3138688</w:t>
      </w:r>
      <w:permStart w:id="1" w:edGrp="everyone"/>
      <w:permEnd w:id="1"/>
    </w:p>
    <w:p w14:paraId="64A3C8B1">
      <w:pPr>
        <w:spacing w:line="360" w:lineRule="auto"/>
        <w:ind w:firstLine="420" w:firstLineChars="200"/>
        <w:rPr>
          <w:rFonts w:ascii="宋体" w:hAnsi="宋体"/>
          <w:color w:val="auto"/>
          <w:szCs w:val="21"/>
          <w:highlight w:val="none"/>
        </w:rPr>
      </w:pPr>
    </w:p>
    <w:p w14:paraId="34437162">
      <w:pPr>
        <w:spacing w:line="360" w:lineRule="auto"/>
        <w:ind w:firstLine="420" w:firstLineChars="200"/>
        <w:jc w:val="right"/>
        <w:rPr>
          <w:rFonts w:ascii="宋体" w:hAnsi="宋体"/>
          <w:color w:val="auto"/>
          <w:szCs w:val="21"/>
          <w:highlight w:val="none"/>
        </w:rPr>
        <w:sectPr>
          <w:footerReference r:id="rId4" w:type="default"/>
          <w:pgSz w:w="11906" w:h="16838"/>
          <w:pgMar w:top="1440" w:right="1080" w:bottom="1440" w:left="1080" w:header="851" w:footer="992" w:gutter="0"/>
          <w:pgNumType w:start="1"/>
          <w:cols w:space="425" w:num="1"/>
          <w:docGrid w:type="lines" w:linePitch="312" w:charSpace="0"/>
        </w:sectPr>
      </w:pPr>
      <w:r>
        <w:rPr>
          <w:rFonts w:hint="eastAsia" w:ascii="宋体" w:hAnsi="宋体"/>
          <w:color w:val="auto"/>
          <w:szCs w:val="21"/>
          <w:highlight w:val="none"/>
        </w:rPr>
        <w:t>2025年</w:t>
      </w:r>
      <w:r>
        <w:rPr>
          <w:rFonts w:hint="eastAsia" w:ascii="宋体" w:hAnsi="宋体"/>
          <w:color w:val="auto"/>
          <w:szCs w:val="21"/>
          <w:highlight w:val="none"/>
          <w:lang w:val="en-US" w:eastAsia="zh-CN"/>
        </w:rPr>
        <w:t>12</w:t>
      </w:r>
      <w:r>
        <w:rPr>
          <w:rFonts w:hint="eastAsia" w:ascii="宋体" w:hAnsi="宋体"/>
          <w:color w:val="auto"/>
          <w:szCs w:val="21"/>
          <w:highlight w:val="none"/>
        </w:rPr>
        <w:t>月</w:t>
      </w:r>
      <w:r>
        <w:rPr>
          <w:rFonts w:hint="eastAsia" w:ascii="宋体" w:hAnsi="宋体"/>
          <w:color w:val="auto"/>
          <w:szCs w:val="21"/>
          <w:highlight w:val="none"/>
          <w:lang w:val="en-US" w:eastAsia="zh-CN"/>
        </w:rPr>
        <w:t>31</w:t>
      </w:r>
      <w:r>
        <w:rPr>
          <w:rFonts w:hint="eastAsia" w:ascii="宋体" w:hAnsi="宋体"/>
          <w:color w:val="auto"/>
          <w:szCs w:val="21"/>
          <w:highlight w:val="none"/>
        </w:rPr>
        <w:t>日</w:t>
      </w:r>
    </w:p>
    <w:p w14:paraId="68DB7C21">
      <w:pPr>
        <w:pStyle w:val="2"/>
        <w:jc w:val="center"/>
        <w:rPr>
          <w:rFonts w:ascii="宋体" w:hAnsi="宋体"/>
          <w:color w:val="auto"/>
          <w:highlight w:val="none"/>
        </w:rPr>
      </w:pPr>
      <w:bookmarkStart w:id="2" w:name="_Toc23210"/>
      <w:bookmarkStart w:id="3" w:name="_Toc25050"/>
      <w:r>
        <w:rPr>
          <w:rFonts w:hint="eastAsia" w:ascii="宋体" w:hAnsi="宋体"/>
          <w:color w:val="auto"/>
          <w:highlight w:val="none"/>
        </w:rPr>
        <w:t>第二</w:t>
      </w:r>
      <w:r>
        <w:rPr>
          <w:rFonts w:hint="eastAsia" w:ascii="宋体" w:hAnsi="宋体"/>
          <w:color w:val="auto"/>
          <w:spacing w:val="100"/>
          <w:highlight w:val="none"/>
        </w:rPr>
        <w:t>章</w:t>
      </w:r>
      <w:r>
        <w:rPr>
          <w:rFonts w:hint="eastAsia" w:ascii="宋体" w:hAnsi="宋体"/>
          <w:color w:val="auto"/>
          <w:highlight w:val="none"/>
        </w:rPr>
        <w:t>供应商须知</w:t>
      </w:r>
      <w:bookmarkEnd w:id="2"/>
      <w:bookmarkEnd w:id="3"/>
    </w:p>
    <w:p w14:paraId="62F1247C">
      <w:pPr>
        <w:pStyle w:val="3"/>
        <w:jc w:val="center"/>
        <w:rPr>
          <w:color w:val="auto"/>
          <w:highlight w:val="none"/>
        </w:rPr>
      </w:pPr>
      <w:bookmarkStart w:id="4" w:name="_Toc22731"/>
      <w:bookmarkStart w:id="5" w:name="_Toc19840"/>
      <w:r>
        <w:rPr>
          <w:rFonts w:hint="eastAsia"/>
          <w:color w:val="auto"/>
          <w:highlight w:val="none"/>
        </w:rPr>
        <w:t>供应商须知前附表</w:t>
      </w:r>
      <w:bookmarkEnd w:id="4"/>
      <w:bookmarkEnd w:id="5"/>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356"/>
      </w:tblGrid>
      <w:tr w14:paraId="3522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88" w:type="dxa"/>
            <w:vAlign w:val="center"/>
          </w:tcPr>
          <w:p w14:paraId="4E5FDA2D">
            <w:pPr>
              <w:spacing w:line="360" w:lineRule="auto"/>
              <w:jc w:val="center"/>
              <w:rPr>
                <w:rFonts w:ascii="宋体" w:hAnsi="宋体"/>
                <w:b/>
                <w:color w:val="auto"/>
                <w:szCs w:val="21"/>
                <w:highlight w:val="none"/>
              </w:rPr>
            </w:pPr>
            <w:r>
              <w:rPr>
                <w:rFonts w:hint="eastAsia" w:ascii="宋体" w:hAnsi="宋体"/>
                <w:b/>
                <w:color w:val="auto"/>
                <w:szCs w:val="21"/>
                <w:highlight w:val="none"/>
              </w:rPr>
              <w:t>条款号</w:t>
            </w:r>
          </w:p>
        </w:tc>
        <w:tc>
          <w:tcPr>
            <w:tcW w:w="8356" w:type="dxa"/>
            <w:vAlign w:val="center"/>
          </w:tcPr>
          <w:p w14:paraId="7AC2EB75">
            <w:pPr>
              <w:spacing w:line="360" w:lineRule="auto"/>
              <w:jc w:val="center"/>
              <w:rPr>
                <w:rFonts w:ascii="宋体" w:hAnsi="宋体"/>
                <w:b/>
                <w:color w:val="auto"/>
                <w:szCs w:val="21"/>
                <w:highlight w:val="none"/>
              </w:rPr>
            </w:pPr>
            <w:r>
              <w:rPr>
                <w:rFonts w:hint="eastAsia" w:ascii="宋体" w:hAnsi="宋体"/>
                <w:b/>
                <w:color w:val="auto"/>
                <w:szCs w:val="21"/>
                <w:highlight w:val="none"/>
              </w:rPr>
              <w:t>内容</w:t>
            </w:r>
          </w:p>
        </w:tc>
      </w:tr>
      <w:tr w14:paraId="19EE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EE0E9E6">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8356" w:type="dxa"/>
            <w:vAlign w:val="center"/>
          </w:tcPr>
          <w:p w14:paraId="7DBBDBA6">
            <w:pPr>
              <w:spacing w:line="360" w:lineRule="auto"/>
              <w:jc w:val="left"/>
              <w:rPr>
                <w:rFonts w:ascii="宋体" w:hAnsi="宋体"/>
                <w:color w:val="auto"/>
                <w:szCs w:val="21"/>
                <w:highlight w:val="none"/>
              </w:rPr>
            </w:pPr>
            <w:r>
              <w:rPr>
                <w:rFonts w:hint="eastAsia" w:ascii="宋体" w:hAnsi="宋体"/>
                <w:color w:val="auto"/>
                <w:szCs w:val="21"/>
                <w:highlight w:val="none"/>
              </w:rPr>
              <w:t>1.供应商的资格条件：详见竞争性谈判公告。</w:t>
            </w:r>
          </w:p>
          <w:p w14:paraId="1807023C">
            <w:pPr>
              <w:spacing w:line="360" w:lineRule="auto"/>
              <w:jc w:val="left"/>
              <w:rPr>
                <w:rFonts w:ascii="宋体" w:hAnsi="宋体"/>
                <w:color w:val="auto"/>
                <w:szCs w:val="21"/>
                <w:highlight w:val="none"/>
              </w:rPr>
            </w:pPr>
            <w:r>
              <w:rPr>
                <w:rFonts w:hint="eastAsia" w:ascii="宋体" w:hAnsi="宋体"/>
                <w:color w:val="auto"/>
                <w:szCs w:val="21"/>
                <w:highlight w:val="none"/>
              </w:rPr>
              <w:t>2.供应商出现下列情形之一的，不得参加政府采购活动：</w:t>
            </w:r>
          </w:p>
          <w:p w14:paraId="7C8F91A1">
            <w:pPr>
              <w:spacing w:line="360" w:lineRule="auto"/>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62A2D8A">
            <w:pPr>
              <w:spacing w:line="360" w:lineRule="auto"/>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.2</w:t>
            </w:r>
            <w:r>
              <w:rPr>
                <w:rFonts w:hint="eastAsia" w:ascii="宋体" w:hAnsi="宋体"/>
                <w:color w:val="auto"/>
                <w:szCs w:val="21"/>
                <w:highlight w:val="none"/>
              </w:rPr>
              <w:t>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557A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0B960CEC">
            <w:pPr>
              <w:spacing w:line="360" w:lineRule="auto"/>
              <w:jc w:val="center"/>
              <w:rPr>
                <w:rFonts w:ascii="宋体" w:hAnsi="宋体"/>
                <w:color w:val="auto"/>
                <w:szCs w:val="21"/>
                <w:highlight w:val="none"/>
              </w:rPr>
            </w:pPr>
            <w:r>
              <w:rPr>
                <w:rFonts w:hint="eastAsia" w:ascii="宋体" w:hAnsi="宋体"/>
                <w:color w:val="auto"/>
                <w:szCs w:val="21"/>
                <w:highlight w:val="none"/>
              </w:rPr>
              <w:t>5.1</w:t>
            </w:r>
          </w:p>
        </w:tc>
        <w:tc>
          <w:tcPr>
            <w:tcW w:w="8356" w:type="dxa"/>
            <w:vAlign w:val="center"/>
          </w:tcPr>
          <w:p w14:paraId="3DBC5A5A">
            <w:pPr>
              <w:spacing w:line="360" w:lineRule="auto"/>
              <w:jc w:val="left"/>
              <w:rPr>
                <w:rFonts w:ascii="宋体" w:hAnsi="宋体"/>
                <w:color w:val="auto"/>
                <w:szCs w:val="21"/>
                <w:highlight w:val="none"/>
              </w:rPr>
            </w:pPr>
            <w:r>
              <w:rPr>
                <w:rFonts w:hint="eastAsia" w:ascii="宋体" w:hAnsi="宋体"/>
                <w:color w:val="auto"/>
                <w:szCs w:val="21"/>
                <w:highlight w:val="none"/>
              </w:rPr>
              <w:t>是否接受联合体竞标：否。</w:t>
            </w:r>
          </w:p>
        </w:tc>
      </w:tr>
      <w:tr w14:paraId="6D4C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7BE50E3B">
            <w:pPr>
              <w:spacing w:line="360" w:lineRule="auto"/>
              <w:jc w:val="center"/>
              <w:rPr>
                <w:rFonts w:ascii="宋体" w:hAnsi="宋体"/>
                <w:color w:val="auto"/>
                <w:szCs w:val="21"/>
                <w:highlight w:val="none"/>
              </w:rPr>
            </w:pPr>
            <w:r>
              <w:rPr>
                <w:rFonts w:hint="eastAsia" w:ascii="宋体" w:hAnsi="宋体"/>
                <w:color w:val="auto"/>
                <w:szCs w:val="21"/>
                <w:highlight w:val="none"/>
              </w:rPr>
              <w:t>5.2</w:t>
            </w:r>
          </w:p>
        </w:tc>
        <w:tc>
          <w:tcPr>
            <w:tcW w:w="8356" w:type="dxa"/>
            <w:vAlign w:val="center"/>
          </w:tcPr>
          <w:p w14:paraId="162C4580">
            <w:pPr>
              <w:spacing w:line="360" w:lineRule="auto"/>
              <w:jc w:val="left"/>
              <w:rPr>
                <w:rFonts w:ascii="宋体" w:hAnsi="宋体"/>
                <w:color w:val="auto"/>
                <w:szCs w:val="21"/>
                <w:highlight w:val="none"/>
              </w:rPr>
            </w:pPr>
            <w:r>
              <w:rPr>
                <w:rFonts w:hint="eastAsia" w:ascii="宋体" w:hAnsi="宋体"/>
                <w:color w:val="auto"/>
                <w:szCs w:val="21"/>
                <w:highlight w:val="none"/>
              </w:rPr>
              <w:t>如接受联合体参加竞争性谈判，要求如下：</w:t>
            </w:r>
          </w:p>
          <w:p w14:paraId="3327BB8B">
            <w:pPr>
              <w:spacing w:line="360" w:lineRule="auto"/>
              <w:jc w:val="left"/>
              <w:rPr>
                <w:rFonts w:ascii="宋体" w:hAnsi="宋体"/>
                <w:color w:val="auto"/>
                <w:szCs w:val="21"/>
                <w:highlight w:val="none"/>
              </w:rPr>
            </w:pPr>
            <w:r>
              <w:rPr>
                <w:rFonts w:hint="eastAsia" w:ascii="宋体" w:hAnsi="宋体"/>
                <w:color w:val="auto"/>
                <w:szCs w:val="21"/>
                <w:highlight w:val="none"/>
              </w:rPr>
              <w:t>1.两个以上竞标人可以组成一个竞标联合体，以一个竞标人的身份共同参加竞标，联合体竞标人的名称应统一按“XXX公司与XXX公司的联合体”的规则填写。</w:t>
            </w:r>
          </w:p>
          <w:p w14:paraId="08138F66">
            <w:pPr>
              <w:spacing w:line="360" w:lineRule="auto"/>
              <w:jc w:val="left"/>
              <w:rPr>
                <w:rFonts w:ascii="宋体" w:hAnsi="宋体"/>
                <w:color w:val="auto"/>
                <w:szCs w:val="21"/>
                <w:highlight w:val="none"/>
              </w:rPr>
            </w:pPr>
            <w:r>
              <w:rPr>
                <w:rFonts w:hint="eastAsia" w:ascii="宋体" w:hAnsi="宋体"/>
                <w:color w:val="auto"/>
                <w:szCs w:val="21"/>
                <w:highlight w:val="none"/>
              </w:rPr>
              <w:t>2.以联合体形式参加竞标的，联合体各方均必须具备《中华人民共和国政府采购法》第二十二条第一款规定的基本条件（涉及行政许可范围的内容，联合体各方均应具备相应资质）。本项目有特殊要求规定竞标人特定条件的，联合体各方中至少有一方必须符合采购文件“3.本项目的特定资格要求”。</w:t>
            </w:r>
          </w:p>
          <w:p w14:paraId="320C36D3">
            <w:pPr>
              <w:spacing w:line="360" w:lineRule="auto"/>
              <w:jc w:val="left"/>
              <w:rPr>
                <w:rFonts w:ascii="宋体" w:hAnsi="宋体"/>
                <w:color w:val="auto"/>
                <w:szCs w:val="21"/>
                <w:highlight w:val="none"/>
              </w:rPr>
            </w:pPr>
            <w:r>
              <w:rPr>
                <w:rFonts w:hint="eastAsia" w:ascii="宋体" w:hAnsi="宋体"/>
                <w:color w:val="auto"/>
                <w:szCs w:val="21"/>
                <w:highlight w:val="none"/>
              </w:rPr>
              <w:t>3.联合体竞标的，须提供《联合体竞标协议书》（格式后附），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14:paraId="2B3E309C">
            <w:pPr>
              <w:spacing w:line="360" w:lineRule="auto"/>
              <w:jc w:val="left"/>
              <w:rPr>
                <w:rFonts w:ascii="宋体" w:hAnsi="宋体"/>
                <w:color w:val="auto"/>
                <w:szCs w:val="21"/>
                <w:highlight w:val="none"/>
              </w:rPr>
            </w:pPr>
            <w:r>
              <w:rPr>
                <w:rFonts w:hint="eastAsia" w:ascii="宋体" w:hAnsi="宋体"/>
                <w:color w:val="auto"/>
                <w:szCs w:val="21"/>
                <w:highlight w:val="none"/>
              </w:rPr>
              <w:t>4.以联合体形式参加政府采购活动的，联合体各方不得再单独参加或者与其他供应商另外组成联合体参加同一合同项下的政府采购活动，否则与之相关的响应文件作废。</w:t>
            </w:r>
          </w:p>
          <w:p w14:paraId="3DE6E0E6">
            <w:pPr>
              <w:spacing w:line="360" w:lineRule="auto"/>
              <w:jc w:val="left"/>
              <w:rPr>
                <w:rFonts w:ascii="宋体" w:hAnsi="宋体"/>
                <w:color w:val="auto"/>
                <w:szCs w:val="21"/>
                <w:highlight w:val="none"/>
              </w:rPr>
            </w:pPr>
            <w:r>
              <w:rPr>
                <w:rFonts w:hint="eastAsia" w:ascii="宋体" w:hAnsi="宋体"/>
                <w:color w:val="auto"/>
                <w:szCs w:val="21"/>
                <w:highlight w:val="none"/>
              </w:rPr>
              <w:t>5.联合体中有同类资质的竞标人按照联合体分工承担相同工作的，应当按照资质等级较低的竞标人确定资质等级。</w:t>
            </w:r>
          </w:p>
          <w:p w14:paraId="6BA64CD7">
            <w:pPr>
              <w:spacing w:line="360" w:lineRule="auto"/>
              <w:jc w:val="left"/>
              <w:rPr>
                <w:rFonts w:ascii="宋体" w:hAnsi="宋体"/>
                <w:color w:val="auto"/>
                <w:szCs w:val="21"/>
                <w:highlight w:val="none"/>
              </w:rPr>
            </w:pPr>
            <w:r>
              <w:rPr>
                <w:rFonts w:hint="eastAsia" w:ascii="宋体" w:hAnsi="宋体"/>
                <w:color w:val="auto"/>
                <w:szCs w:val="21"/>
                <w:highlight w:val="none"/>
              </w:rPr>
              <w:t>6.联合体竞标业绩、履约能力，联合体各方提供均可计算。</w:t>
            </w:r>
          </w:p>
          <w:p w14:paraId="4B332AA0">
            <w:pPr>
              <w:spacing w:line="360" w:lineRule="auto"/>
              <w:jc w:val="left"/>
              <w:rPr>
                <w:rFonts w:ascii="宋体" w:hAnsi="宋体"/>
                <w:color w:val="auto"/>
                <w:szCs w:val="21"/>
                <w:highlight w:val="none"/>
              </w:rPr>
            </w:pPr>
            <w:r>
              <w:rPr>
                <w:rFonts w:hint="eastAsia" w:ascii="宋体" w:hAnsi="宋体"/>
                <w:color w:val="auto"/>
                <w:szCs w:val="21"/>
                <w:highlight w:val="none"/>
              </w:rPr>
              <w:t>7.联合体各方均应按照采购文件的规定提交资格证明文件。</w:t>
            </w:r>
          </w:p>
        </w:tc>
      </w:tr>
      <w:tr w14:paraId="3F15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32AC2A23">
            <w:pPr>
              <w:spacing w:line="360" w:lineRule="auto"/>
              <w:jc w:val="center"/>
              <w:rPr>
                <w:rFonts w:hint="eastAsia" w:ascii="宋体" w:hAnsi="宋体" w:eastAsia="宋体"/>
                <w:color w:val="auto"/>
                <w:szCs w:val="21"/>
                <w:highlight w:val="none"/>
                <w:lang w:val="en-US" w:eastAsia="zh-CN"/>
              </w:rPr>
            </w:pPr>
            <w:r>
              <w:rPr>
                <w:rFonts w:ascii="宋体" w:hAnsi="宋体"/>
                <w:color w:val="auto"/>
                <w:szCs w:val="21"/>
                <w:highlight w:val="none"/>
              </w:rPr>
              <w:t>6.</w:t>
            </w:r>
            <w:r>
              <w:rPr>
                <w:rFonts w:hint="eastAsia" w:ascii="宋体" w:hAnsi="宋体"/>
                <w:color w:val="auto"/>
                <w:szCs w:val="21"/>
                <w:highlight w:val="none"/>
                <w:lang w:val="en-US" w:eastAsia="zh-CN"/>
              </w:rPr>
              <w:t>1</w:t>
            </w:r>
          </w:p>
        </w:tc>
        <w:tc>
          <w:tcPr>
            <w:tcW w:w="8356" w:type="dxa"/>
            <w:vAlign w:val="center"/>
          </w:tcPr>
          <w:p w14:paraId="30410E02">
            <w:pPr>
              <w:spacing w:line="360" w:lineRule="auto"/>
              <w:jc w:val="lef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不允许分包</w:t>
            </w:r>
          </w:p>
          <w:p w14:paraId="425846F2">
            <w:pPr>
              <w:spacing w:line="360" w:lineRule="auto"/>
              <w:jc w:val="lef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允许分包</w:t>
            </w:r>
          </w:p>
          <w:p w14:paraId="77E46CEA">
            <w:pPr>
              <w:spacing w:line="360" w:lineRule="auto"/>
              <w:jc w:val="left"/>
              <w:rPr>
                <w:rFonts w:ascii="宋体" w:hAnsi="宋体"/>
                <w:color w:val="auto"/>
                <w:szCs w:val="21"/>
                <w:highlight w:val="none"/>
              </w:rPr>
            </w:pPr>
            <w:r>
              <w:rPr>
                <w:rFonts w:hint="eastAsia" w:ascii="宋体" w:hAnsi="宋体"/>
                <w:color w:val="auto"/>
                <w:szCs w:val="21"/>
                <w:highlight w:val="none"/>
              </w:rPr>
              <w:t>分包内容：</w:t>
            </w:r>
            <w:r>
              <w:rPr>
                <w:rFonts w:ascii="宋体" w:hAnsi="宋体"/>
                <w:color w:val="auto"/>
                <w:szCs w:val="21"/>
                <w:highlight w:val="none"/>
                <w:u w:val="single"/>
              </w:rPr>
              <w:t xml:space="preserve">      </w:t>
            </w:r>
            <w:r>
              <w:rPr>
                <w:rFonts w:hint="eastAsia" w:ascii="宋体" w:hAnsi="宋体"/>
                <w:color w:val="auto"/>
                <w:szCs w:val="21"/>
                <w:highlight w:val="none"/>
              </w:rPr>
              <w:t>。</w:t>
            </w:r>
          </w:p>
          <w:p w14:paraId="341C2C94">
            <w:pPr>
              <w:spacing w:line="360" w:lineRule="auto"/>
              <w:jc w:val="left"/>
              <w:rPr>
                <w:rFonts w:ascii="宋体" w:hAnsi="宋体"/>
                <w:color w:val="auto"/>
                <w:szCs w:val="21"/>
                <w:highlight w:val="none"/>
              </w:rPr>
            </w:pPr>
            <w:r>
              <w:rPr>
                <w:rFonts w:hint="eastAsia" w:ascii="宋体" w:hAnsi="宋体"/>
                <w:color w:val="auto"/>
                <w:szCs w:val="21"/>
                <w:highlight w:val="none"/>
              </w:rPr>
              <w:t>分包金额或者比例：</w:t>
            </w:r>
            <w:r>
              <w:rPr>
                <w:rFonts w:ascii="宋体" w:hAnsi="宋体"/>
                <w:color w:val="auto"/>
                <w:szCs w:val="21"/>
                <w:highlight w:val="none"/>
                <w:u w:val="single"/>
              </w:rPr>
              <w:t xml:space="preserve">      </w:t>
            </w:r>
            <w:r>
              <w:rPr>
                <w:rFonts w:hint="eastAsia" w:ascii="宋体" w:hAnsi="宋体"/>
                <w:color w:val="auto"/>
                <w:szCs w:val="21"/>
                <w:highlight w:val="none"/>
              </w:rPr>
              <w:t>。</w:t>
            </w:r>
          </w:p>
          <w:p w14:paraId="488A09EC">
            <w:pPr>
              <w:spacing w:line="360" w:lineRule="auto"/>
              <w:jc w:val="left"/>
              <w:rPr>
                <w:rFonts w:ascii="宋体" w:hAnsi="宋体"/>
                <w:color w:val="auto"/>
                <w:szCs w:val="21"/>
                <w:highlight w:val="none"/>
              </w:rPr>
            </w:pPr>
            <w:r>
              <w:rPr>
                <w:rFonts w:hint="eastAsia" w:ascii="宋体" w:hAnsi="宋体"/>
                <w:color w:val="auto"/>
                <w:szCs w:val="21"/>
                <w:highlight w:val="none"/>
              </w:rPr>
              <w:t>分包供应商必须具备的资质：</w:t>
            </w:r>
            <w:r>
              <w:rPr>
                <w:rFonts w:ascii="宋体" w:hAnsi="宋体"/>
                <w:color w:val="auto"/>
                <w:szCs w:val="21"/>
                <w:highlight w:val="none"/>
                <w:u w:val="single"/>
              </w:rPr>
              <w:t xml:space="preserve">      </w:t>
            </w:r>
            <w:r>
              <w:rPr>
                <w:rFonts w:hint="eastAsia" w:ascii="宋体" w:hAnsi="宋体"/>
                <w:color w:val="auto"/>
                <w:szCs w:val="21"/>
                <w:highlight w:val="none"/>
              </w:rPr>
              <w:t>。</w:t>
            </w:r>
          </w:p>
        </w:tc>
      </w:tr>
      <w:tr w14:paraId="4333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506AB3B">
            <w:pPr>
              <w:spacing w:line="360" w:lineRule="auto"/>
              <w:jc w:val="center"/>
              <w:rPr>
                <w:rFonts w:ascii="宋体" w:hAnsi="宋体"/>
                <w:color w:val="auto"/>
                <w:szCs w:val="21"/>
                <w:highlight w:val="none"/>
              </w:rPr>
            </w:pPr>
            <w:r>
              <w:rPr>
                <w:rFonts w:hint="eastAsia" w:ascii="宋体" w:hAnsi="宋体"/>
                <w:color w:val="auto"/>
                <w:szCs w:val="21"/>
                <w:highlight w:val="none"/>
              </w:rPr>
              <w:t>12.1.1</w:t>
            </w:r>
          </w:p>
        </w:tc>
        <w:tc>
          <w:tcPr>
            <w:tcW w:w="8356" w:type="dxa"/>
            <w:vAlign w:val="center"/>
          </w:tcPr>
          <w:p w14:paraId="7D51F574">
            <w:pPr>
              <w:spacing w:line="360" w:lineRule="auto"/>
              <w:jc w:val="left"/>
              <w:rPr>
                <w:rFonts w:ascii="宋体" w:hAnsi="宋体"/>
                <w:b/>
                <w:color w:val="auto"/>
                <w:szCs w:val="21"/>
                <w:highlight w:val="none"/>
              </w:rPr>
            </w:pPr>
            <w:r>
              <w:rPr>
                <w:rFonts w:hint="eastAsia" w:ascii="宋体" w:hAnsi="宋体"/>
                <w:b/>
                <w:color w:val="auto"/>
                <w:szCs w:val="21"/>
                <w:highlight w:val="none"/>
              </w:rPr>
              <w:t>资格证明文件</w:t>
            </w:r>
          </w:p>
          <w:p w14:paraId="2B0EC0DE">
            <w:pPr>
              <w:spacing w:line="360" w:lineRule="auto"/>
              <w:jc w:val="left"/>
              <w:rPr>
                <w:rFonts w:ascii="宋体" w:hAnsi="宋体"/>
                <w:b/>
                <w:color w:val="auto"/>
                <w:szCs w:val="21"/>
                <w:highlight w:val="none"/>
              </w:rPr>
            </w:pPr>
            <w:r>
              <w:rPr>
                <w:rFonts w:hint="eastAsia" w:ascii="宋体" w:hAnsi="宋体"/>
                <w:color w:val="auto"/>
                <w:szCs w:val="21"/>
                <w:highlight w:val="none"/>
              </w:rPr>
              <w:t>1.供应商为法人或者其他组织的，提供营业执照等证明文件复印件（如营业执照或者事业单位法人证书或者执业许可证等）；</w:t>
            </w:r>
            <w:r>
              <w:rPr>
                <w:rFonts w:hint="eastAsia" w:ascii="宋体" w:hAnsi="宋体"/>
                <w:b/>
                <w:color w:val="auto"/>
                <w:szCs w:val="21"/>
                <w:highlight w:val="none"/>
              </w:rPr>
              <w:t>（必须提供，否则响应文件按无效处理）</w:t>
            </w:r>
          </w:p>
          <w:p w14:paraId="55D0947F">
            <w:pPr>
              <w:spacing w:line="360" w:lineRule="auto"/>
              <w:jc w:val="left"/>
              <w:rPr>
                <w:rFonts w:ascii="宋体" w:hAnsi="宋体"/>
                <w:b/>
                <w:color w:val="auto"/>
                <w:szCs w:val="21"/>
                <w:highlight w:val="none"/>
              </w:rPr>
            </w:pPr>
            <w:r>
              <w:rPr>
                <w:rFonts w:hint="eastAsia" w:ascii="宋体" w:hAnsi="宋体"/>
                <w:color w:val="auto"/>
                <w:szCs w:val="21"/>
                <w:highlight w:val="none"/>
              </w:rPr>
              <w:t>2.供应商依法缴纳税收的相关材料（</w:t>
            </w:r>
            <w:bookmarkStart w:id="6" w:name="OLE_LINK12"/>
            <w:bookmarkStart w:id="7" w:name="OLE_LINK11"/>
            <w:r>
              <w:rPr>
                <w:rFonts w:hint="eastAsia" w:ascii="宋体" w:hAnsi="宋体"/>
                <w:color w:val="auto"/>
                <w:szCs w:val="21"/>
                <w:highlight w:val="none"/>
              </w:rPr>
              <w:t>竞标截止日期前半年</w:t>
            </w:r>
            <w:bookmarkEnd w:id="6"/>
            <w:bookmarkEnd w:id="7"/>
            <w:r>
              <w:rPr>
                <w:rFonts w:hint="eastAsia" w:ascii="宋体" w:hAnsi="宋体"/>
                <w:color w:val="auto"/>
                <w:szCs w:val="21"/>
                <w:highlight w:val="none"/>
              </w:rPr>
              <w:t>内（2025年7月-2025年12月）连续3个月的依法缴纳税收的凭据复印件；依法免税的，必须提供相应文件证明其依法免税。从成立之日起到响应文件提交截止时间止不足要求月数的，只需提供从成立之日起的依法缴纳税收相应证明文件）；</w:t>
            </w:r>
            <w:r>
              <w:rPr>
                <w:rFonts w:hint="eastAsia" w:ascii="宋体" w:hAnsi="宋体"/>
                <w:b/>
                <w:color w:val="auto"/>
                <w:szCs w:val="21"/>
                <w:highlight w:val="none"/>
              </w:rPr>
              <w:t>（必须提供，否则响应文件按无效处理）</w:t>
            </w:r>
          </w:p>
          <w:p w14:paraId="7E8CA1AE">
            <w:pPr>
              <w:spacing w:line="360" w:lineRule="auto"/>
              <w:jc w:val="left"/>
              <w:rPr>
                <w:rFonts w:ascii="宋体" w:hAnsi="宋体"/>
                <w:b/>
                <w:color w:val="auto"/>
                <w:szCs w:val="21"/>
                <w:highlight w:val="none"/>
              </w:rPr>
            </w:pPr>
            <w:r>
              <w:rPr>
                <w:rFonts w:hint="eastAsia" w:ascii="宋体" w:hAnsi="宋体"/>
                <w:color w:val="auto"/>
                <w:szCs w:val="21"/>
                <w:highlight w:val="none"/>
              </w:rPr>
              <w:t>3.供应商依法缴纳社会保障资金的相关材料[竞标截止日期前半年内（2025年7月-2025年12月）连续3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b/>
                <w:color w:val="auto"/>
                <w:szCs w:val="21"/>
                <w:highlight w:val="none"/>
              </w:rPr>
              <w:t>（必须提供，否则响应文件按无效处理）</w:t>
            </w:r>
          </w:p>
          <w:p w14:paraId="5636496B">
            <w:pPr>
              <w:spacing w:line="360" w:lineRule="auto"/>
              <w:jc w:val="left"/>
              <w:rPr>
                <w:rFonts w:ascii="宋体" w:hAnsi="宋体"/>
                <w:b/>
                <w:color w:val="auto"/>
                <w:szCs w:val="21"/>
                <w:highlight w:val="none"/>
              </w:rPr>
            </w:pPr>
            <w:r>
              <w:rPr>
                <w:rFonts w:hint="eastAsia" w:ascii="宋体" w:hAnsi="宋体"/>
                <w:color w:val="auto"/>
                <w:szCs w:val="21"/>
                <w:highlight w:val="none"/>
              </w:rPr>
              <w:t>4.供应商财务状况报告</w:t>
            </w:r>
            <w:r>
              <w:rPr>
                <w:rFonts w:hint="eastAsia" w:ascii="宋体" w:hAnsi="宋体"/>
                <w:color w:val="auto"/>
                <w:szCs w:val="21"/>
                <w:highlight w:val="none"/>
                <w:lang w:eastAsia="zh-CN"/>
              </w:rPr>
              <w:t>：</w:t>
            </w:r>
            <w:r>
              <w:rPr>
                <w:rFonts w:hint="eastAsia" w:ascii="宋体" w:hAnsi="宋体"/>
                <w:color w:val="auto"/>
                <w:szCs w:val="21"/>
                <w:highlight w:val="none"/>
              </w:rPr>
              <w:t>202</w:t>
            </w:r>
            <w:r>
              <w:rPr>
                <w:rFonts w:hint="eastAsia" w:ascii="宋体" w:hAnsi="宋体"/>
                <w:color w:val="auto"/>
                <w:szCs w:val="21"/>
                <w:highlight w:val="none"/>
                <w:lang w:val="en-US" w:eastAsia="zh-CN"/>
              </w:rPr>
              <w:t>4</w:t>
            </w:r>
            <w:r>
              <w:rPr>
                <w:rFonts w:hint="eastAsia" w:ascii="宋体" w:hAnsi="宋体"/>
                <w:color w:val="auto"/>
                <w:szCs w:val="21"/>
                <w:highlight w:val="none"/>
              </w:rPr>
              <w:t>年度财务状况报告复印件；或者银行出具的资信证明，或者中国人民银行征信中心出具的信用报告；供应商属于成立时间在规定年度之后的法人或其他组织，需提供成立之日起至响应文件提交截止时间前的1个月报表或银行出具的资信证明或者中国人民银行征信中心出具的企业信用报告；资信证明应在有效期内，未注明有效期的，银行出具时间至响应文件提交截止时间不得超过一年）；</w:t>
            </w:r>
            <w:r>
              <w:rPr>
                <w:rFonts w:hint="eastAsia" w:ascii="宋体" w:hAnsi="宋体"/>
                <w:b/>
                <w:color w:val="auto"/>
                <w:szCs w:val="21"/>
                <w:highlight w:val="none"/>
              </w:rPr>
              <w:t>（必须提供，否则响应文件按无效处理）</w:t>
            </w:r>
          </w:p>
          <w:p w14:paraId="4A1BDA3B">
            <w:pPr>
              <w:spacing w:line="360" w:lineRule="auto"/>
              <w:jc w:val="left"/>
              <w:rPr>
                <w:rFonts w:ascii="宋体" w:hAnsi="宋体"/>
                <w:b/>
                <w:color w:val="auto"/>
                <w:szCs w:val="21"/>
                <w:highlight w:val="none"/>
              </w:rPr>
            </w:pPr>
            <w:r>
              <w:rPr>
                <w:rFonts w:hint="eastAsia" w:ascii="宋体" w:hAnsi="宋体"/>
                <w:color w:val="auto"/>
                <w:szCs w:val="21"/>
                <w:highlight w:val="none"/>
              </w:rPr>
              <w:t>5.供应商直接控股、管理关系信息表（格式后附）；</w:t>
            </w:r>
            <w:r>
              <w:rPr>
                <w:rFonts w:hint="eastAsia" w:ascii="宋体" w:hAnsi="宋体"/>
                <w:b/>
                <w:color w:val="auto"/>
                <w:szCs w:val="21"/>
                <w:highlight w:val="none"/>
              </w:rPr>
              <w:t>（必须提供，否则响应文件按无效处理）</w:t>
            </w:r>
          </w:p>
          <w:p w14:paraId="2796DECE">
            <w:pPr>
              <w:spacing w:line="360" w:lineRule="auto"/>
              <w:jc w:val="left"/>
              <w:rPr>
                <w:rFonts w:ascii="宋体" w:hAnsi="宋体"/>
                <w:b/>
                <w:color w:val="auto"/>
                <w:szCs w:val="21"/>
                <w:highlight w:val="none"/>
              </w:rPr>
            </w:pPr>
            <w:r>
              <w:rPr>
                <w:rFonts w:hint="eastAsia" w:ascii="宋体" w:hAnsi="宋体"/>
                <w:color w:val="auto"/>
                <w:szCs w:val="21"/>
                <w:highlight w:val="none"/>
              </w:rPr>
              <w:t>6.竞标声明（格式后附）；</w:t>
            </w:r>
            <w:r>
              <w:rPr>
                <w:rFonts w:hint="eastAsia" w:ascii="宋体" w:hAnsi="宋体"/>
                <w:b/>
                <w:color w:val="auto"/>
                <w:szCs w:val="21"/>
                <w:highlight w:val="none"/>
              </w:rPr>
              <w:t>（必须提供，否则响应文件按无效处理）</w:t>
            </w:r>
          </w:p>
          <w:p w14:paraId="4D257493">
            <w:pPr>
              <w:spacing w:line="360" w:lineRule="auto"/>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竞争性谈判公告对应的特定资格要求设置供应商提供的资格证明材料；</w:t>
            </w:r>
          </w:p>
          <w:p w14:paraId="28EDD1D9">
            <w:pPr>
              <w:spacing w:line="360" w:lineRule="auto"/>
              <w:rPr>
                <w:rFonts w:ascii="宋体" w:hAnsi="宋体"/>
                <w:color w:val="auto"/>
                <w:szCs w:val="21"/>
                <w:highlight w:val="none"/>
              </w:rPr>
            </w:pPr>
            <w:r>
              <w:rPr>
                <w:rFonts w:hint="eastAsia" w:ascii="宋体" w:hAnsi="宋体"/>
                <w:color w:val="auto"/>
                <w:szCs w:val="21"/>
                <w:highlight w:val="none"/>
              </w:rPr>
              <w:t>（1）供应商具有有效的</w:t>
            </w:r>
            <w:r>
              <w:rPr>
                <w:rFonts w:hint="eastAsia" w:ascii="宋体" w:hAnsi="宋体" w:eastAsia="宋体" w:cs="Times New Roman"/>
                <w:color w:val="auto"/>
                <w:szCs w:val="21"/>
                <w:highlight w:val="none"/>
              </w:rPr>
              <w:t>建筑装修装饰工程专业承包二级以上(含二级)</w:t>
            </w:r>
            <w:r>
              <w:rPr>
                <w:rFonts w:hint="eastAsia" w:ascii="宋体" w:hAnsi="宋体" w:cs="Arial"/>
                <w:color w:val="auto"/>
                <w:szCs w:val="21"/>
                <w:highlight w:val="none"/>
              </w:rPr>
              <w:t>资质</w:t>
            </w:r>
            <w:r>
              <w:rPr>
                <w:rFonts w:hint="eastAsia" w:ascii="宋体" w:hAnsi="宋体"/>
                <w:color w:val="auto"/>
                <w:szCs w:val="21"/>
                <w:highlight w:val="none"/>
              </w:rPr>
              <w:t>，并在人员、设备、资金等方面具备相应的施</w:t>
            </w:r>
            <w:r>
              <w:rPr>
                <w:rFonts w:hint="eastAsia" w:ascii="宋体" w:hAnsi="宋体" w:eastAsia="宋体" w:cs="宋体"/>
                <w:color w:val="auto"/>
                <w:szCs w:val="21"/>
                <w:highlight w:val="none"/>
              </w:rPr>
              <w:t>工能力。</w:t>
            </w:r>
            <w:r>
              <w:rPr>
                <w:rFonts w:hint="eastAsia" w:ascii="宋体" w:hAnsi="宋体"/>
                <w:b/>
                <w:color w:val="auto"/>
                <w:szCs w:val="21"/>
                <w:highlight w:val="none"/>
              </w:rPr>
              <w:t>（必须提供，否则响应文件按无效处理）</w:t>
            </w:r>
          </w:p>
          <w:p w14:paraId="3D23445D">
            <w:pPr>
              <w:spacing w:line="360" w:lineRule="auto"/>
              <w:rPr>
                <w:rFonts w:ascii="宋体" w:hAnsi="宋体"/>
                <w:color w:val="auto"/>
                <w:szCs w:val="21"/>
                <w:highlight w:val="none"/>
              </w:rPr>
            </w:pPr>
            <w:r>
              <w:rPr>
                <w:rFonts w:hint="eastAsia" w:ascii="宋体" w:hAnsi="宋体"/>
                <w:color w:val="auto"/>
                <w:szCs w:val="21"/>
                <w:highlight w:val="none"/>
              </w:rPr>
              <w:t>（2）</w:t>
            </w:r>
            <w:r>
              <w:rPr>
                <w:rFonts w:hint="eastAsia" w:ascii="宋体" w:hAnsi="宋体" w:eastAsia="宋体" w:cs="宋体"/>
                <w:color w:val="auto"/>
                <w:szCs w:val="21"/>
                <w:highlight w:val="none"/>
                <w:lang w:val="zh-CN"/>
              </w:rPr>
              <w:t>供应商拟派项目经理须具备建筑工程专业注册建造师二级以上（含二级）执业资格和有效的安全生产考核合格证（B类），且未担任其他在建、已中标未开工或已列为其他项目第一名中标候选人的建造师作为项目经理，并且为供应商单位员工。</w:t>
            </w:r>
            <w:r>
              <w:rPr>
                <w:rFonts w:hint="eastAsia" w:ascii="宋体" w:hAnsi="宋体"/>
                <w:b/>
                <w:color w:val="auto"/>
                <w:szCs w:val="21"/>
                <w:highlight w:val="none"/>
              </w:rPr>
              <w:t>（必须提供，否则响应文件按无效处理）</w:t>
            </w:r>
          </w:p>
          <w:p w14:paraId="2BC05858">
            <w:pPr>
              <w:spacing w:line="360" w:lineRule="auto"/>
              <w:jc w:val="left"/>
              <w:rPr>
                <w:rFonts w:ascii="宋体" w:hAnsi="宋体"/>
                <w:b/>
                <w:color w:val="auto"/>
                <w:szCs w:val="21"/>
                <w:highlight w:val="none"/>
              </w:rPr>
            </w:pPr>
            <w:r>
              <w:rPr>
                <w:rFonts w:hint="eastAsia" w:ascii="宋体" w:hAnsi="宋体"/>
                <w:color w:val="auto"/>
                <w:szCs w:val="21"/>
                <w:highlight w:val="none"/>
              </w:rPr>
              <w:t>（3）拟投入本项目的专职安全生产管理人员须具备有效的安全生产考核合格证书（C类）。</w:t>
            </w:r>
            <w:r>
              <w:rPr>
                <w:rFonts w:hint="eastAsia" w:ascii="宋体" w:hAnsi="宋体"/>
                <w:b/>
                <w:color w:val="auto"/>
                <w:szCs w:val="21"/>
                <w:highlight w:val="none"/>
              </w:rPr>
              <w:t>（必须提供，否则响应文件按无效处理）</w:t>
            </w:r>
          </w:p>
          <w:p w14:paraId="6D302F32">
            <w:pPr>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8</w:t>
            </w:r>
            <w:r>
              <w:rPr>
                <w:rFonts w:ascii="宋体" w:hAnsi="宋体"/>
                <w:color w:val="auto"/>
                <w:szCs w:val="21"/>
                <w:highlight w:val="none"/>
              </w:rPr>
              <w:t>.</w:t>
            </w:r>
            <w:r>
              <w:rPr>
                <w:rFonts w:hint="eastAsia" w:ascii="宋体" w:hAnsi="宋体"/>
                <w:color w:val="auto"/>
                <w:szCs w:val="21"/>
                <w:highlight w:val="none"/>
              </w:rPr>
              <w:t>承诺书；</w:t>
            </w:r>
            <w:r>
              <w:rPr>
                <w:rFonts w:hint="eastAsia" w:ascii="宋体" w:hAnsi="宋体"/>
                <w:b/>
                <w:color w:val="auto"/>
                <w:szCs w:val="21"/>
                <w:highlight w:val="none"/>
              </w:rPr>
              <w:t>（必须提供，否则响应文件按无效响应处理）</w:t>
            </w:r>
          </w:p>
          <w:p w14:paraId="1258FD1F">
            <w:pPr>
              <w:spacing w:line="360" w:lineRule="auto"/>
              <w:jc w:val="left"/>
              <w:rPr>
                <w:rFonts w:hint="eastAsia" w:ascii="宋体" w:hAnsi="宋体"/>
                <w:b/>
                <w:color w:val="auto"/>
                <w:szCs w:val="21"/>
                <w:highlight w:val="none"/>
              </w:rPr>
            </w:pPr>
            <w:r>
              <w:rPr>
                <w:rFonts w:hint="eastAsia" w:ascii="宋体" w:hAnsi="宋体"/>
                <w:color w:val="auto"/>
                <w:szCs w:val="21"/>
                <w:highlight w:val="none"/>
                <w:lang w:val="en-US" w:eastAsia="zh-CN"/>
              </w:rPr>
              <w:t>9</w:t>
            </w:r>
            <w:r>
              <w:rPr>
                <w:rFonts w:ascii="宋体" w:hAnsi="宋体"/>
                <w:color w:val="auto"/>
                <w:szCs w:val="21"/>
                <w:highlight w:val="none"/>
              </w:rPr>
              <w:t>.</w:t>
            </w:r>
            <w:r>
              <w:rPr>
                <w:rFonts w:hint="eastAsia" w:ascii="宋体" w:hAnsi="宋体"/>
                <w:color w:val="auto"/>
                <w:szCs w:val="21"/>
                <w:highlight w:val="none"/>
              </w:rPr>
              <w:t>《中小企业声明函》或《残疾人福利性单位声明函》或监狱企业证明［由省级以上监狱管理局、戒毒管理局（含新疆生产建设兵团）出具的属于监狱企业的证明文件］。</w:t>
            </w:r>
            <w:r>
              <w:rPr>
                <w:rFonts w:hint="eastAsia" w:ascii="宋体" w:hAnsi="宋体"/>
                <w:b/>
                <w:color w:val="auto"/>
                <w:szCs w:val="21"/>
                <w:highlight w:val="none"/>
              </w:rPr>
              <w:t>（必须提供，否则响应文件按无效处理）</w:t>
            </w:r>
          </w:p>
          <w:p w14:paraId="218C5B84">
            <w:pPr>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除谈判文件规定必须提供以外，供应商认为需要提供的其他证明材料。</w:t>
            </w:r>
          </w:p>
          <w:p w14:paraId="56E0658B">
            <w:pPr>
              <w:spacing w:line="360" w:lineRule="auto"/>
              <w:jc w:val="left"/>
              <w:rPr>
                <w:rFonts w:ascii="宋体" w:hAnsi="宋体"/>
                <w:b/>
                <w:color w:val="auto"/>
                <w:szCs w:val="21"/>
                <w:highlight w:val="none"/>
              </w:rPr>
            </w:pPr>
            <w:r>
              <w:rPr>
                <w:rFonts w:hint="eastAsia" w:ascii="宋体" w:hAnsi="宋体"/>
                <w:b/>
                <w:color w:val="auto"/>
                <w:szCs w:val="21"/>
                <w:highlight w:val="none"/>
              </w:rPr>
              <w:t>注：</w:t>
            </w:r>
          </w:p>
          <w:p w14:paraId="2019FB62">
            <w:pPr>
              <w:spacing w:line="360" w:lineRule="auto"/>
              <w:jc w:val="left"/>
              <w:rPr>
                <w:rFonts w:ascii="宋体" w:hAnsi="宋体"/>
                <w:b/>
                <w:color w:val="auto"/>
                <w:szCs w:val="21"/>
                <w:highlight w:val="none"/>
              </w:rPr>
            </w:pPr>
            <w:r>
              <w:rPr>
                <w:rFonts w:hint="eastAsia" w:ascii="宋体" w:hAnsi="宋体"/>
                <w:b/>
                <w:color w:val="auto"/>
                <w:szCs w:val="21"/>
                <w:highlight w:val="none"/>
              </w:rPr>
              <w:t>1.以上标明“必须提供”的材料属于复印件的，必须加盖供应商公章，否则响应文件按无效响应处理。</w:t>
            </w:r>
          </w:p>
          <w:p w14:paraId="6B97DA88">
            <w:pPr>
              <w:spacing w:line="360" w:lineRule="auto"/>
              <w:contextualSpacing/>
              <w:jc w:val="left"/>
              <w:rPr>
                <w:rFonts w:ascii="宋体" w:hAnsi="宋体"/>
                <w:b/>
                <w:color w:val="auto"/>
                <w:szCs w:val="21"/>
                <w:highlight w:val="none"/>
              </w:rPr>
            </w:pPr>
            <w:r>
              <w:rPr>
                <w:rFonts w:hint="eastAsia" w:ascii="宋体" w:hAnsi="宋体"/>
                <w:b/>
                <w:color w:val="auto"/>
                <w:szCs w:val="21"/>
                <w:highlight w:val="none"/>
              </w:rPr>
              <w:t>2.竞标声明必须由法定代表人在规定签章处逐一签字并加盖供应商公章，否则响应文件按无效处理。</w:t>
            </w:r>
          </w:p>
          <w:p w14:paraId="7CAB48C0">
            <w:pPr>
              <w:spacing w:line="360" w:lineRule="auto"/>
              <w:contextualSpacing/>
              <w:jc w:val="left"/>
              <w:rPr>
                <w:rFonts w:ascii="宋体" w:hAnsi="宋体"/>
                <w:b/>
                <w:color w:val="auto"/>
                <w:szCs w:val="21"/>
                <w:highlight w:val="none"/>
              </w:rPr>
            </w:pPr>
            <w:r>
              <w:rPr>
                <w:rFonts w:hint="eastAsia" w:ascii="宋体" w:hAnsi="宋体"/>
                <w:b/>
                <w:color w:val="auto"/>
                <w:szCs w:val="21"/>
                <w:highlight w:val="none"/>
              </w:rPr>
              <w:t>3.供应商直接控股、管理关系信息表必须由法定代表人或者委托代理人在规定签章处逐一签字并加盖供应商公章，否则响应文件按无效处理。</w:t>
            </w:r>
          </w:p>
          <w:p w14:paraId="0DBE114E">
            <w:pPr>
              <w:spacing w:line="360" w:lineRule="auto"/>
              <w:jc w:val="left"/>
              <w:rPr>
                <w:rFonts w:ascii="宋体" w:hAnsi="宋体"/>
                <w:color w:val="auto"/>
                <w:szCs w:val="21"/>
                <w:highlight w:val="none"/>
              </w:rPr>
            </w:pPr>
            <w:r>
              <w:rPr>
                <w:rFonts w:hint="eastAsia" w:ascii="宋体" w:hAnsi="宋体"/>
                <w:b/>
                <w:color w:val="auto"/>
                <w:szCs w:val="21"/>
                <w:highlight w:val="none"/>
              </w:rPr>
              <w:t>4.联合体竞标时，第1-5项资格证明文件联合体各方均必须分别提供，联合体各方分别盖章和签字，否则响应文件按无效处理。</w:t>
            </w:r>
          </w:p>
        </w:tc>
      </w:tr>
      <w:tr w14:paraId="1A40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436D53D">
            <w:pPr>
              <w:spacing w:line="360" w:lineRule="auto"/>
              <w:jc w:val="center"/>
              <w:rPr>
                <w:rFonts w:ascii="宋体" w:hAnsi="宋体"/>
                <w:color w:val="auto"/>
                <w:szCs w:val="21"/>
                <w:highlight w:val="none"/>
              </w:rPr>
            </w:pPr>
            <w:r>
              <w:rPr>
                <w:rFonts w:hint="eastAsia" w:ascii="宋体" w:hAnsi="宋体"/>
                <w:color w:val="auto"/>
                <w:szCs w:val="21"/>
                <w:highlight w:val="none"/>
              </w:rPr>
              <w:t>12.1.2</w:t>
            </w:r>
          </w:p>
        </w:tc>
        <w:tc>
          <w:tcPr>
            <w:tcW w:w="8356" w:type="dxa"/>
            <w:vAlign w:val="center"/>
          </w:tcPr>
          <w:p w14:paraId="2EB207F6">
            <w:pPr>
              <w:spacing w:line="360" w:lineRule="auto"/>
              <w:jc w:val="left"/>
              <w:rPr>
                <w:rFonts w:ascii="宋体" w:hAnsi="宋体"/>
                <w:b/>
                <w:color w:val="auto"/>
                <w:szCs w:val="21"/>
                <w:highlight w:val="none"/>
              </w:rPr>
            </w:pPr>
            <w:r>
              <w:rPr>
                <w:rFonts w:hint="eastAsia" w:ascii="宋体" w:hAnsi="宋体"/>
                <w:b/>
                <w:color w:val="auto"/>
                <w:szCs w:val="21"/>
                <w:highlight w:val="none"/>
              </w:rPr>
              <w:t>报价文件</w:t>
            </w:r>
          </w:p>
          <w:p w14:paraId="64D83C72">
            <w:pPr>
              <w:spacing w:line="360" w:lineRule="auto"/>
              <w:jc w:val="left"/>
              <w:rPr>
                <w:rFonts w:ascii="宋体" w:hAnsi="宋体"/>
                <w:b/>
                <w:color w:val="auto"/>
                <w:szCs w:val="21"/>
                <w:highlight w:val="none"/>
              </w:rPr>
            </w:pPr>
            <w:r>
              <w:rPr>
                <w:rFonts w:hint="eastAsia" w:ascii="宋体" w:hAnsi="宋体"/>
                <w:color w:val="auto"/>
                <w:szCs w:val="21"/>
                <w:highlight w:val="none"/>
              </w:rPr>
              <w:t>1.竞标函及竞标函附录（格式后附）；</w:t>
            </w:r>
            <w:r>
              <w:rPr>
                <w:rFonts w:hint="eastAsia" w:ascii="宋体" w:hAnsi="宋体"/>
                <w:b/>
                <w:color w:val="auto"/>
                <w:szCs w:val="21"/>
                <w:highlight w:val="none"/>
              </w:rPr>
              <w:t>（必须提供，否则响应文件按无效处理）</w:t>
            </w:r>
          </w:p>
          <w:p w14:paraId="41ACC237">
            <w:pPr>
              <w:spacing w:line="360" w:lineRule="auto"/>
              <w:jc w:val="left"/>
              <w:rPr>
                <w:rFonts w:ascii="宋体" w:hAnsi="宋体"/>
                <w:b/>
                <w:color w:val="auto"/>
                <w:szCs w:val="21"/>
                <w:highlight w:val="none"/>
              </w:rPr>
            </w:pPr>
            <w:r>
              <w:rPr>
                <w:rFonts w:ascii="宋体" w:hAnsi="宋体"/>
                <w:color w:val="auto"/>
                <w:szCs w:val="21"/>
                <w:highlight w:val="none"/>
              </w:rPr>
              <w:t>2</w:t>
            </w:r>
            <w:r>
              <w:rPr>
                <w:rFonts w:hint="eastAsia" w:ascii="宋体" w:hAnsi="宋体"/>
                <w:color w:val="auto"/>
                <w:szCs w:val="21"/>
                <w:highlight w:val="none"/>
              </w:rPr>
              <w:t>.竞标报价表（格式后附）；</w:t>
            </w:r>
            <w:r>
              <w:rPr>
                <w:rFonts w:hint="eastAsia" w:ascii="宋体" w:hAnsi="宋体"/>
                <w:b/>
                <w:color w:val="auto"/>
                <w:szCs w:val="21"/>
                <w:highlight w:val="none"/>
              </w:rPr>
              <w:t>（必须提供，否则响应文件按无效处理）</w:t>
            </w:r>
          </w:p>
          <w:p w14:paraId="5F94BB67">
            <w:pPr>
              <w:spacing w:line="360" w:lineRule="auto"/>
              <w:jc w:val="left"/>
              <w:rPr>
                <w:rFonts w:hint="eastAsia" w:ascii="宋体" w:hAnsi="宋体"/>
                <w:b/>
                <w:color w:val="auto"/>
                <w:szCs w:val="21"/>
                <w:highlight w:val="none"/>
              </w:rPr>
            </w:pPr>
            <w:r>
              <w:rPr>
                <w:rFonts w:hint="eastAsia" w:ascii="宋体" w:hAnsi="宋体"/>
                <w:color w:val="auto"/>
                <w:szCs w:val="21"/>
                <w:highlight w:val="none"/>
              </w:rPr>
              <w:t>3.已标价工程量清单；</w:t>
            </w:r>
            <w:r>
              <w:rPr>
                <w:rFonts w:hint="eastAsia" w:ascii="宋体" w:hAnsi="宋体"/>
                <w:b/>
                <w:color w:val="auto"/>
                <w:szCs w:val="21"/>
                <w:highlight w:val="none"/>
              </w:rPr>
              <w:t>（必须提供，否则响应文件按无效处理）</w:t>
            </w:r>
          </w:p>
          <w:p w14:paraId="12A00BFA">
            <w:pPr>
              <w:spacing w:line="360" w:lineRule="auto"/>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4.供应商认为需要提供的其他有关资料。                                                                                                                                                         </w:t>
            </w:r>
          </w:p>
          <w:p w14:paraId="3956F8E0">
            <w:pPr>
              <w:spacing w:line="360" w:lineRule="auto"/>
              <w:jc w:val="left"/>
              <w:rPr>
                <w:rFonts w:hint="eastAsia" w:ascii="宋体" w:hAnsi="宋体"/>
                <w:b/>
                <w:color w:val="auto"/>
                <w:szCs w:val="21"/>
                <w:highlight w:val="none"/>
              </w:rPr>
            </w:pPr>
            <w:r>
              <w:rPr>
                <w:rFonts w:hint="eastAsia" w:ascii="宋体" w:hAnsi="宋体" w:cs="宋体"/>
                <w:b/>
                <w:color w:val="auto"/>
                <w:szCs w:val="21"/>
                <w:highlight w:val="none"/>
              </w:rPr>
              <w:t>注：以上标明“必须提供”的材料属于复印件的扫描件的，必须加盖供应商公章（或电子签章），否则响应文件按无效响应处理。</w:t>
            </w:r>
          </w:p>
        </w:tc>
      </w:tr>
      <w:tr w14:paraId="501B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2674A9DD">
            <w:pPr>
              <w:spacing w:line="360" w:lineRule="auto"/>
              <w:jc w:val="center"/>
              <w:rPr>
                <w:rFonts w:ascii="宋体" w:hAnsi="宋体"/>
                <w:color w:val="auto"/>
                <w:szCs w:val="21"/>
                <w:highlight w:val="none"/>
              </w:rPr>
            </w:pPr>
            <w:r>
              <w:rPr>
                <w:rFonts w:hint="eastAsia" w:ascii="宋体" w:hAnsi="宋体"/>
                <w:color w:val="auto"/>
                <w:szCs w:val="21"/>
                <w:highlight w:val="none"/>
              </w:rPr>
              <w:t>12.1.3</w:t>
            </w:r>
          </w:p>
        </w:tc>
        <w:tc>
          <w:tcPr>
            <w:tcW w:w="8356" w:type="dxa"/>
            <w:vAlign w:val="center"/>
          </w:tcPr>
          <w:p w14:paraId="119944CD">
            <w:pPr>
              <w:spacing w:line="360" w:lineRule="auto"/>
              <w:jc w:val="left"/>
              <w:rPr>
                <w:rFonts w:ascii="宋体" w:hAnsi="宋体"/>
                <w:b/>
                <w:color w:val="auto"/>
                <w:szCs w:val="21"/>
                <w:highlight w:val="none"/>
              </w:rPr>
            </w:pPr>
            <w:r>
              <w:rPr>
                <w:rFonts w:hint="eastAsia" w:ascii="宋体" w:hAnsi="宋体"/>
                <w:b/>
                <w:color w:val="auto"/>
                <w:szCs w:val="21"/>
                <w:highlight w:val="none"/>
              </w:rPr>
              <w:t>商务技术文件</w:t>
            </w:r>
          </w:p>
          <w:p w14:paraId="24C73DC4">
            <w:pPr>
              <w:spacing w:line="360" w:lineRule="auto"/>
              <w:jc w:val="left"/>
              <w:rPr>
                <w:rFonts w:ascii="宋体" w:hAnsi="宋体"/>
                <w:b/>
                <w:color w:val="auto"/>
                <w:szCs w:val="21"/>
                <w:highlight w:val="none"/>
              </w:rPr>
            </w:pPr>
            <w:r>
              <w:rPr>
                <w:rFonts w:hint="eastAsia" w:ascii="宋体" w:hAnsi="宋体"/>
                <w:color w:val="auto"/>
                <w:szCs w:val="21"/>
                <w:highlight w:val="none"/>
              </w:rPr>
              <w:t>1.无串通竞标行为的承诺函（格式后附）；</w:t>
            </w:r>
            <w:r>
              <w:rPr>
                <w:rFonts w:hint="eastAsia" w:ascii="宋体" w:hAnsi="宋体"/>
                <w:b/>
                <w:color w:val="auto"/>
                <w:szCs w:val="21"/>
                <w:highlight w:val="none"/>
              </w:rPr>
              <w:t>（必须提供，否则响应文件按无效处理）</w:t>
            </w:r>
          </w:p>
          <w:p w14:paraId="72039227">
            <w:pPr>
              <w:spacing w:line="360" w:lineRule="auto"/>
              <w:jc w:val="left"/>
              <w:rPr>
                <w:rFonts w:ascii="宋体" w:hAnsi="宋体"/>
                <w:b/>
                <w:color w:val="auto"/>
                <w:szCs w:val="21"/>
                <w:highlight w:val="none"/>
              </w:rPr>
            </w:pPr>
            <w:r>
              <w:rPr>
                <w:rFonts w:hint="eastAsia" w:ascii="宋体" w:hAnsi="宋体"/>
                <w:color w:val="auto"/>
                <w:szCs w:val="21"/>
                <w:highlight w:val="none"/>
              </w:rPr>
              <w:t>2.法定代表人身份证明书及法定代表人有效身份证正反面复印件（格式后附）；</w:t>
            </w:r>
            <w:r>
              <w:rPr>
                <w:rFonts w:hint="eastAsia" w:ascii="宋体" w:hAnsi="宋体"/>
                <w:b/>
                <w:color w:val="auto"/>
                <w:szCs w:val="21"/>
                <w:highlight w:val="none"/>
              </w:rPr>
              <w:t>（</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b/>
                <w:color w:val="auto"/>
                <w:szCs w:val="21"/>
                <w:highlight w:val="none"/>
              </w:rPr>
              <w:t>）</w:t>
            </w:r>
          </w:p>
          <w:p w14:paraId="04E14D4A">
            <w:pPr>
              <w:spacing w:line="360" w:lineRule="auto"/>
              <w:jc w:val="left"/>
              <w:rPr>
                <w:rFonts w:ascii="宋体" w:hAnsi="宋体"/>
                <w:b/>
                <w:color w:val="auto"/>
                <w:szCs w:val="21"/>
                <w:highlight w:val="none"/>
              </w:rPr>
            </w:pPr>
            <w:r>
              <w:rPr>
                <w:rFonts w:hint="eastAsia" w:ascii="宋体" w:hAnsi="宋体"/>
                <w:color w:val="auto"/>
                <w:szCs w:val="21"/>
                <w:highlight w:val="none"/>
              </w:rPr>
              <w:t>3.授权委托书及委托代理人有效身份证正反面复印件（格式后附）；</w:t>
            </w:r>
            <w:r>
              <w:rPr>
                <w:rFonts w:hint="eastAsia" w:ascii="宋体" w:hAnsi="宋体"/>
                <w:b/>
                <w:color w:val="auto"/>
                <w:szCs w:val="21"/>
                <w:highlight w:val="none"/>
              </w:rPr>
              <w:t>（委托时必须提供，否则响应文件按无效处理）</w:t>
            </w:r>
          </w:p>
          <w:p w14:paraId="07E8EF6C">
            <w:pPr>
              <w:spacing w:line="360" w:lineRule="auto"/>
              <w:jc w:val="left"/>
              <w:rPr>
                <w:rFonts w:ascii="宋体" w:hAnsi="宋体"/>
                <w:b/>
                <w:color w:val="auto"/>
                <w:szCs w:val="21"/>
                <w:highlight w:val="none"/>
              </w:rPr>
            </w:pPr>
            <w:r>
              <w:rPr>
                <w:rFonts w:hint="eastAsia" w:ascii="宋体" w:hAnsi="宋体"/>
                <w:color w:val="auto"/>
                <w:szCs w:val="21"/>
                <w:highlight w:val="none"/>
              </w:rPr>
              <w:t>4.商务条款偏离表（格式后附）；</w:t>
            </w:r>
            <w:r>
              <w:rPr>
                <w:rFonts w:hint="eastAsia" w:ascii="宋体" w:hAnsi="宋体"/>
                <w:b/>
                <w:color w:val="auto"/>
                <w:szCs w:val="21"/>
                <w:highlight w:val="none"/>
              </w:rPr>
              <w:t>（必须提供，否则响应文件按无效响应处理）</w:t>
            </w:r>
          </w:p>
          <w:p w14:paraId="359817EB">
            <w:pPr>
              <w:spacing w:line="360" w:lineRule="auto"/>
              <w:jc w:val="left"/>
              <w:rPr>
                <w:rFonts w:ascii="宋体" w:hAnsi="宋体"/>
                <w:b/>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.技术要求偏离表（格式后附）；</w:t>
            </w:r>
            <w:r>
              <w:rPr>
                <w:rFonts w:hint="eastAsia" w:ascii="宋体" w:hAnsi="宋体"/>
                <w:b/>
                <w:color w:val="auto"/>
                <w:szCs w:val="21"/>
                <w:highlight w:val="none"/>
              </w:rPr>
              <w:t>（必须提供，否则响应文件按无效响应处理）</w:t>
            </w:r>
          </w:p>
          <w:p w14:paraId="04EA66B1">
            <w:pPr>
              <w:spacing w:line="360" w:lineRule="auto"/>
              <w:jc w:val="left"/>
              <w:rPr>
                <w:rFonts w:ascii="宋体" w:hAnsi="宋体"/>
                <w:b/>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.施工组织设计（包括但不限于主要施工方法、质量保证措施、确保安全生产的技术组织措施、确保工期的技术组织措施等，格式自拟）；</w:t>
            </w:r>
            <w:r>
              <w:rPr>
                <w:rFonts w:hint="eastAsia" w:ascii="宋体" w:hAnsi="宋体"/>
                <w:b/>
                <w:color w:val="auto"/>
                <w:szCs w:val="21"/>
                <w:highlight w:val="none"/>
              </w:rPr>
              <w:t>（必须提供，否则响应文件按无效处理）</w:t>
            </w:r>
          </w:p>
          <w:p w14:paraId="203D383A">
            <w:pPr>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.项目管理机构配备情况表及主要人员简历表（格式自拟）；</w:t>
            </w:r>
            <w:r>
              <w:rPr>
                <w:rFonts w:hint="eastAsia" w:ascii="宋体" w:hAnsi="宋体"/>
                <w:b/>
                <w:color w:val="auto"/>
                <w:szCs w:val="21"/>
                <w:highlight w:val="none"/>
              </w:rPr>
              <w:t>（必须提供，否则响应文件按无效处理）</w:t>
            </w:r>
          </w:p>
          <w:p w14:paraId="5DF5F713">
            <w:pPr>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.拟分包项目情况表（格式自拟）；</w:t>
            </w:r>
            <w:r>
              <w:rPr>
                <w:rFonts w:hint="eastAsia" w:ascii="宋体" w:hAnsi="宋体"/>
                <w:b/>
                <w:color w:val="auto"/>
                <w:szCs w:val="21"/>
                <w:highlight w:val="none"/>
              </w:rPr>
              <w:t>（如有）</w:t>
            </w:r>
          </w:p>
          <w:p w14:paraId="55C39B65">
            <w:pPr>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.供应商业绩一览表（格式后附）；</w:t>
            </w:r>
            <w:r>
              <w:rPr>
                <w:rFonts w:hint="eastAsia" w:ascii="宋体" w:hAnsi="宋体"/>
                <w:b/>
                <w:color w:val="auto"/>
                <w:szCs w:val="21"/>
                <w:highlight w:val="none"/>
              </w:rPr>
              <w:t>（如有）</w:t>
            </w:r>
          </w:p>
          <w:p w14:paraId="6709B541">
            <w:pPr>
              <w:spacing w:line="360" w:lineRule="auto"/>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.供应商认为需要提供的其他有关资料。</w:t>
            </w:r>
          </w:p>
          <w:p w14:paraId="10D6F1CE">
            <w:pPr>
              <w:spacing w:line="360" w:lineRule="auto"/>
              <w:jc w:val="left"/>
              <w:rPr>
                <w:rFonts w:ascii="宋体" w:hAnsi="宋体"/>
                <w:b/>
                <w:color w:val="auto"/>
                <w:szCs w:val="21"/>
                <w:highlight w:val="none"/>
              </w:rPr>
            </w:pPr>
            <w:r>
              <w:rPr>
                <w:rFonts w:hint="eastAsia" w:ascii="宋体" w:hAnsi="宋体"/>
                <w:b/>
                <w:color w:val="auto"/>
                <w:szCs w:val="21"/>
                <w:highlight w:val="none"/>
              </w:rPr>
              <w:t>注：以上标明“必须提供”的材料属于复印件的，必须加盖供应商公章，否则响应文件按无效处理。</w:t>
            </w:r>
          </w:p>
        </w:tc>
      </w:tr>
      <w:tr w14:paraId="3293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7220E6E1">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12.</w:t>
            </w:r>
            <w:r>
              <w:rPr>
                <w:rFonts w:ascii="宋体" w:hAnsi="宋体"/>
                <w:color w:val="auto"/>
                <w:szCs w:val="21"/>
                <w:highlight w:val="none"/>
              </w:rPr>
              <w:t>2</w:t>
            </w:r>
          </w:p>
        </w:tc>
        <w:tc>
          <w:tcPr>
            <w:tcW w:w="8356" w:type="dxa"/>
            <w:shd w:val="clear" w:color="auto" w:fill="auto"/>
            <w:vAlign w:val="center"/>
          </w:tcPr>
          <w:p w14:paraId="3A30B5CE">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☑本项目不需提供响应文件电子版。</w:t>
            </w:r>
          </w:p>
          <w:p w14:paraId="2C856844">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□本项目须提供响应文件电子版，具体规定如下：</w:t>
            </w:r>
          </w:p>
          <w:p w14:paraId="27AACF0F">
            <w:pPr>
              <w:snapToGrid w:val="0"/>
              <w:spacing w:line="360" w:lineRule="auto"/>
              <w:jc w:val="left"/>
              <w:rPr>
                <w:rFonts w:ascii="宋体" w:hAnsi="宋体"/>
                <w:color w:val="auto"/>
                <w:szCs w:val="21"/>
                <w:highlight w:val="none"/>
              </w:rPr>
            </w:pPr>
            <w:r>
              <w:rPr>
                <w:rFonts w:hint="eastAsia" w:ascii="宋体" w:hAnsi="宋体"/>
                <w:color w:val="auto"/>
                <w:szCs w:val="21"/>
                <w:highlight w:val="none"/>
              </w:rPr>
              <w:t>供应商在递交响应文件时，同时递交响应文件电子版。</w:t>
            </w:r>
          </w:p>
          <w:p w14:paraId="0CB52A94">
            <w:pPr>
              <w:spacing w:line="360" w:lineRule="auto"/>
              <w:jc w:val="left"/>
              <w:rPr>
                <w:rFonts w:ascii="宋体" w:hAnsi="宋体"/>
                <w:color w:val="auto"/>
                <w:szCs w:val="21"/>
                <w:highlight w:val="none"/>
              </w:rPr>
            </w:pPr>
            <w:r>
              <w:rPr>
                <w:rFonts w:hint="eastAsia" w:ascii="宋体" w:hAnsi="宋体"/>
                <w:color w:val="auto"/>
                <w:szCs w:val="21"/>
                <w:highlight w:val="none"/>
              </w:rPr>
              <w:t>1.响应文件电子版内容：与纸质响应文件全部内容一致。</w:t>
            </w:r>
          </w:p>
          <w:p w14:paraId="125766B3">
            <w:pPr>
              <w:spacing w:line="360" w:lineRule="auto"/>
              <w:jc w:val="left"/>
              <w:rPr>
                <w:rFonts w:ascii="宋体" w:hAnsi="宋体"/>
                <w:color w:val="auto"/>
                <w:szCs w:val="21"/>
                <w:highlight w:val="none"/>
              </w:rPr>
            </w:pPr>
            <w:r>
              <w:rPr>
                <w:rFonts w:hint="eastAsia" w:ascii="宋体" w:hAnsi="宋体"/>
                <w:color w:val="auto"/>
                <w:szCs w:val="21"/>
                <w:highlight w:val="none"/>
              </w:rPr>
              <w:t>2.响应文件电子版形式：可编辑的word文档格式1份和已签字盖章的响应文件正本的扫描件（PDF格式）1份。</w:t>
            </w:r>
          </w:p>
          <w:p w14:paraId="2D7FA8E2">
            <w:pPr>
              <w:spacing w:line="360" w:lineRule="auto"/>
              <w:contextualSpacing/>
              <w:jc w:val="left"/>
              <w:rPr>
                <w:rFonts w:ascii="宋体" w:hAnsi="宋体"/>
                <w:color w:val="auto"/>
                <w:szCs w:val="21"/>
                <w:highlight w:val="none"/>
              </w:rPr>
            </w:pPr>
            <w:r>
              <w:rPr>
                <w:rFonts w:hint="eastAsia" w:ascii="宋体" w:hAnsi="宋体"/>
                <w:color w:val="auto"/>
                <w:szCs w:val="21"/>
                <w:highlight w:val="none"/>
              </w:rPr>
              <w:t>3.响应文件电子版密封方式：响应文件电子版光盘（或者U盘）与纸质版响应文件一并装入响应文件袋中。</w:t>
            </w:r>
          </w:p>
        </w:tc>
      </w:tr>
      <w:tr w14:paraId="7C5C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67EB3127">
            <w:pPr>
              <w:spacing w:line="360" w:lineRule="auto"/>
              <w:jc w:val="center"/>
              <w:rPr>
                <w:rFonts w:ascii="宋体" w:hAnsi="宋体"/>
                <w:color w:val="auto"/>
                <w:szCs w:val="21"/>
                <w:highlight w:val="none"/>
              </w:rPr>
            </w:pPr>
            <w:r>
              <w:rPr>
                <w:rFonts w:hint="eastAsia" w:ascii="宋体" w:hAnsi="宋体"/>
                <w:color w:val="auto"/>
                <w:szCs w:val="21"/>
                <w:highlight w:val="none"/>
              </w:rPr>
              <w:t>15.1</w:t>
            </w:r>
          </w:p>
        </w:tc>
        <w:tc>
          <w:tcPr>
            <w:tcW w:w="8356" w:type="dxa"/>
            <w:vAlign w:val="center"/>
          </w:tcPr>
          <w:p w14:paraId="5699993E">
            <w:pPr>
              <w:snapToGrid w:val="0"/>
              <w:spacing w:line="360" w:lineRule="auto"/>
              <w:jc w:val="left"/>
              <w:rPr>
                <w:rFonts w:ascii="Times New Roman" w:hAnsi="Times New Roman" w:cs="Times New Roman"/>
                <w:color w:val="auto"/>
                <w:szCs w:val="21"/>
                <w:highlight w:val="none"/>
              </w:rPr>
            </w:pPr>
            <w:r>
              <w:rPr>
                <w:rFonts w:hint="eastAsia" w:ascii="Times New Roman" w:hAnsi="Times New Roman" w:cs="Times New Roman"/>
                <w:color w:val="auto"/>
                <w:highlight w:val="none"/>
              </w:rPr>
              <w:t>竞标</w:t>
            </w:r>
            <w:r>
              <w:rPr>
                <w:rFonts w:ascii="Times New Roman" w:hAnsi="Times New Roman" w:cs="Times New Roman"/>
                <w:color w:val="auto"/>
                <w:highlight w:val="none"/>
              </w:rPr>
              <w:t>报价必须包含</w:t>
            </w:r>
            <w:r>
              <w:rPr>
                <w:rFonts w:hint="eastAsia" w:ascii="Times New Roman" w:hAnsi="Times New Roman" w:cs="Times New Roman"/>
                <w:color w:val="auto"/>
                <w:highlight w:val="none"/>
              </w:rPr>
              <w:t>完成该工程项目的成本、利润、增值税、技术措施费、设备费、风险费、政策性文件规</w:t>
            </w:r>
            <w:r>
              <w:rPr>
                <w:rFonts w:hint="eastAsia" w:ascii="Times New Roman" w:hAnsi="Times New Roman" w:cs="Times New Roman"/>
                <w:color w:val="auto"/>
                <w:szCs w:val="21"/>
                <w:highlight w:val="none"/>
              </w:rPr>
              <w:t>定费用等所有费用。</w:t>
            </w:r>
          </w:p>
          <w:p w14:paraId="107B2DB4">
            <w:pPr>
              <w:snapToGrid w:val="0"/>
              <w:spacing w:line="360" w:lineRule="auto"/>
              <w:jc w:val="left"/>
              <w:rPr>
                <w:rFonts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rPr>
              <w:t>☑竞标报价</w:t>
            </w:r>
            <w:r>
              <w:rPr>
                <w:rFonts w:ascii="Times New Roman" w:hAnsi="Times New Roman" w:cs="Times New Roman"/>
                <w:b/>
                <w:bCs/>
                <w:color w:val="auto"/>
                <w:szCs w:val="21"/>
                <w:highlight w:val="none"/>
              </w:rPr>
              <w:t>包含验收费用</w:t>
            </w:r>
          </w:p>
          <w:p w14:paraId="5610883D">
            <w:pPr>
              <w:snapToGrid w:val="0"/>
              <w:spacing w:line="360" w:lineRule="auto"/>
              <w:jc w:val="left"/>
              <w:rPr>
                <w:rFonts w:ascii="Times New Roman" w:hAnsi="Times New Roman" w:cs="Times New Roman"/>
                <w:color w:val="auto"/>
                <w:highlight w:val="none"/>
              </w:rPr>
            </w:pPr>
            <w:r>
              <w:rPr>
                <w:rFonts w:hint="eastAsia" w:ascii="Times New Roman" w:hAnsi="Times New Roman" w:cs="Times New Roman"/>
                <w:b/>
                <w:bCs/>
                <w:color w:val="auto"/>
                <w:szCs w:val="21"/>
                <w:highlight w:val="none"/>
              </w:rPr>
              <w:t>□竞标报价</w:t>
            </w:r>
            <w:r>
              <w:rPr>
                <w:rFonts w:ascii="Times New Roman" w:hAnsi="Times New Roman" w:cs="Times New Roman"/>
                <w:b/>
                <w:bCs/>
                <w:color w:val="auto"/>
                <w:szCs w:val="21"/>
                <w:highlight w:val="none"/>
              </w:rPr>
              <w:t>不包含验收费用</w:t>
            </w:r>
          </w:p>
          <w:p w14:paraId="41182ECA">
            <w:pPr>
              <w:snapToGrid w:val="0"/>
              <w:spacing w:line="360" w:lineRule="auto"/>
              <w:jc w:val="left"/>
              <w:rPr>
                <w:rFonts w:ascii="Times New Roman" w:hAnsi="Times New Roman" w:cs="Times New Roman"/>
                <w:color w:val="auto"/>
                <w:highlight w:val="none"/>
              </w:rPr>
            </w:pPr>
            <w:r>
              <w:rPr>
                <w:rFonts w:hint="eastAsia" w:ascii="Times New Roman" w:hAnsi="Times New Roman" w:cs="Times New Roman"/>
                <w:color w:val="auto"/>
                <w:highlight w:val="none"/>
              </w:rPr>
              <w:t>1.本项目增值税计税方法：☑一般计税法</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□简易计税法</w:t>
            </w:r>
          </w:p>
          <w:p w14:paraId="6B963E98">
            <w:pPr>
              <w:snapToGrid w:val="0"/>
              <w:spacing w:line="360" w:lineRule="auto"/>
              <w:jc w:val="left"/>
              <w:rPr>
                <w:rFonts w:ascii="Times New Roman" w:hAnsi="Times New Roman" w:cs="Times New Roman"/>
                <w:color w:val="auto"/>
                <w:highlight w:val="none"/>
              </w:rPr>
            </w:pPr>
            <w:r>
              <w:rPr>
                <w:rFonts w:hint="eastAsia" w:ascii="Times New Roman" w:hAnsi="Times New Roman" w:cs="Times New Roman"/>
                <w:color w:val="auto"/>
                <w:highlight w:val="none"/>
              </w:rPr>
              <w:t>【备注：根据《关于全面推开营业税改征增值税试点的通知》（财税〔2016〕36号）、《关于建筑服务等营改增试点政策的通知》（财税〔2017〕58号）文件规定选择】</w:t>
            </w:r>
          </w:p>
          <w:p w14:paraId="177BBDAC">
            <w:pPr>
              <w:snapToGrid w:val="0"/>
              <w:spacing w:line="360" w:lineRule="auto"/>
              <w:jc w:val="left"/>
              <w:rPr>
                <w:rFonts w:ascii="Times New Roman" w:hAnsi="Times New Roman" w:cs="Times New Roman"/>
                <w:color w:val="auto"/>
                <w:highlight w:val="none"/>
              </w:rPr>
            </w:pPr>
            <w:r>
              <w:rPr>
                <w:rFonts w:hint="eastAsia" w:ascii="Times New Roman" w:hAnsi="Times New Roman" w:cs="Times New Roman"/>
                <w:color w:val="auto"/>
                <w:highlight w:val="none"/>
              </w:rPr>
              <w:t>2.本项目采用工程量清单报价方式，供应商应依据竞争</w:t>
            </w:r>
            <w:r>
              <w:rPr>
                <w:rFonts w:hint="eastAsia" w:ascii="宋体" w:hAnsi="宋体"/>
                <w:color w:val="auto"/>
                <w:highlight w:val="none"/>
              </w:rPr>
              <w:t>性谈判文件、采购人提供的工程量清单（以下简称“工程量清单”）以及</w:t>
            </w:r>
            <w:r>
              <w:rPr>
                <w:rFonts w:hint="eastAsia" w:ascii="Times New Roman" w:hAnsi="Times New Roman" w:cs="Times New Roman"/>
                <w:color w:val="auto"/>
                <w:highlight w:val="none"/>
              </w:rPr>
              <w:t>《建设工程工程量清单计价规范（GB5050-2013）》及其广西实施细则</w:t>
            </w:r>
            <w:r>
              <w:rPr>
                <w:rFonts w:hint="eastAsia" w:ascii="宋体" w:hAnsi="宋体"/>
                <w:color w:val="auto"/>
                <w:highlight w:val="none"/>
              </w:rPr>
              <w:t>、</w:t>
            </w:r>
            <w:r>
              <w:rPr>
                <w:rFonts w:hint="eastAsia" w:ascii="Times New Roman" w:hAnsi="Times New Roman" w:cs="Times New Roman"/>
                <w:color w:val="auto"/>
                <w:highlight w:val="none"/>
              </w:rPr>
              <w:t>《建设工程工程量清单计算规范（</w:t>
            </w:r>
            <w:r>
              <w:rPr>
                <w:rFonts w:ascii="Times New Roman" w:hAnsi="Times New Roman" w:cs="Times New Roman"/>
                <w:color w:val="auto"/>
                <w:highlight w:val="none"/>
              </w:rPr>
              <w:t>GB5854~50862-2013）》及其广西实施细则（修订本）自主报价，自主报价不得违反计价规范强制性条文规定。供应商不得采用总价让利或以百分比让利等形式进行报价，任何优惠（或降价、让利）均应反映在相应</w:t>
            </w:r>
            <w:r>
              <w:rPr>
                <w:rFonts w:ascii="Times New Roman" w:hAnsi="Times New Roman" w:cs="Times New Roman"/>
                <w:color w:val="auto"/>
                <w:szCs w:val="21"/>
                <w:highlight w:val="none"/>
              </w:rPr>
              <w:t>清单项目的综合单价中。供应商在首次响应文件提交截止时间前修改</w:t>
            </w:r>
            <w:r>
              <w:rPr>
                <w:rFonts w:hint="eastAsia" w:ascii="Times New Roman" w:hAnsi="Times New Roman" w:cs="Times New Roman"/>
                <w:color w:val="auto"/>
                <w:szCs w:val="21"/>
                <w:highlight w:val="none"/>
              </w:rPr>
              <w:t>竞标报价</w:t>
            </w:r>
            <w:r>
              <w:rPr>
                <w:rFonts w:ascii="Times New Roman" w:hAnsi="Times New Roman" w:cs="Times New Roman"/>
                <w:color w:val="auto"/>
                <w:szCs w:val="21"/>
                <w:highlight w:val="none"/>
              </w:rPr>
              <w:t>表中</w:t>
            </w:r>
            <w:r>
              <w:rPr>
                <w:rFonts w:hint="eastAsia" w:ascii="Times New Roman" w:hAnsi="Times New Roman" w:cs="Times New Roman"/>
                <w:color w:val="auto"/>
                <w:szCs w:val="21"/>
                <w:highlight w:val="none"/>
              </w:rPr>
              <w:t>谈判</w:t>
            </w:r>
            <w:r>
              <w:rPr>
                <w:rFonts w:ascii="Times New Roman" w:hAnsi="Times New Roman" w:cs="Times New Roman"/>
                <w:color w:val="auto"/>
                <w:highlight w:val="none"/>
              </w:rPr>
              <w:t>总报价的，应同时修改已标价工程量清单中的相应报价。</w:t>
            </w:r>
          </w:p>
          <w:p w14:paraId="76D9E018">
            <w:pPr>
              <w:snapToGrid w:val="0"/>
              <w:spacing w:line="360" w:lineRule="auto"/>
              <w:jc w:val="left"/>
              <w:rPr>
                <w:rFonts w:ascii="Times New Roman" w:hAnsi="Times New Roman" w:cs="Times New Roman"/>
                <w:color w:val="auto"/>
                <w:highlight w:val="none"/>
              </w:rPr>
            </w:pPr>
            <w:r>
              <w:rPr>
                <w:rFonts w:hint="eastAsia" w:ascii="Times New Roman" w:hAnsi="Times New Roman" w:cs="Times New Roman"/>
                <w:color w:val="auto"/>
                <w:highlight w:val="none"/>
              </w:rPr>
              <w:t>3</w:t>
            </w:r>
            <w:r>
              <w:rPr>
                <w:rFonts w:ascii="Times New Roman" w:hAnsi="Times New Roman" w:cs="Times New Roman"/>
                <w:color w:val="auto"/>
                <w:highlight w:val="none"/>
              </w:rPr>
              <w:t>.</w:t>
            </w:r>
            <w:r>
              <w:rPr>
                <w:rFonts w:ascii="Times New Roman" w:hAnsi="Times New Roman" w:cs="Times New Roman"/>
                <w:b/>
                <w:bCs/>
                <w:color w:val="auto"/>
                <w:highlight w:val="none"/>
              </w:rPr>
              <w:t>供应商应按工程量清单填报价格。供应商已标价工程量清单中的项目编码、项目名称、项目特征、计量单位、工程量必须与工程量清单一致，否则响应文件按无效响应处理</w:t>
            </w:r>
            <w:r>
              <w:rPr>
                <w:rFonts w:hint="eastAsia" w:ascii="Times New Roman" w:hAnsi="Times New Roman" w:cs="Times New Roman"/>
                <w:b/>
                <w:bCs/>
                <w:color w:val="auto"/>
                <w:highlight w:val="none"/>
              </w:rPr>
              <w:t>。</w:t>
            </w:r>
          </w:p>
          <w:p w14:paraId="32CB54EA">
            <w:pPr>
              <w:snapToGrid w:val="0"/>
              <w:spacing w:line="360" w:lineRule="auto"/>
              <w:jc w:val="left"/>
              <w:rPr>
                <w:rFonts w:ascii="Times New Roman" w:hAnsi="Times New Roman" w:cs="Times New Roman"/>
                <w:color w:val="auto"/>
                <w:highlight w:val="none"/>
              </w:rPr>
            </w:pPr>
            <w:r>
              <w:rPr>
                <w:rFonts w:hint="eastAsia" w:ascii="Times New Roman" w:hAnsi="Times New Roman" w:cs="Times New Roman"/>
                <w:color w:val="auto"/>
                <w:highlight w:val="none"/>
              </w:rPr>
              <w:t>4.</w:t>
            </w:r>
            <w:r>
              <w:rPr>
                <w:rFonts w:ascii="Times New Roman" w:hAnsi="Times New Roman" w:cs="Times New Roman"/>
                <w:color w:val="auto"/>
                <w:highlight w:val="none"/>
              </w:rPr>
              <w:t>供应商应</w:t>
            </w:r>
            <w:r>
              <w:rPr>
                <w:rFonts w:hint="eastAsia" w:ascii="Times New Roman" w:hAnsi="Times New Roman" w:cs="Times New Roman"/>
                <w:color w:val="auto"/>
                <w:highlight w:val="none"/>
              </w:rPr>
              <w:t>按</w:t>
            </w:r>
            <w:r>
              <w:rPr>
                <w:rFonts w:ascii="Times New Roman" w:hAnsi="Times New Roman" w:cs="Times New Roman"/>
                <w:color w:val="auto"/>
                <w:highlight w:val="none"/>
              </w:rPr>
              <w:t>工程量清单中列出的</w:t>
            </w:r>
            <w:r>
              <w:rPr>
                <w:rFonts w:hint="eastAsia" w:ascii="Times New Roman" w:hAnsi="Times New Roman" w:cs="Times New Roman"/>
                <w:color w:val="auto"/>
                <w:highlight w:val="none"/>
              </w:rPr>
              <w:t>分部分项</w:t>
            </w:r>
            <w:r>
              <w:rPr>
                <w:rFonts w:ascii="Times New Roman" w:hAnsi="Times New Roman" w:cs="Times New Roman"/>
                <w:color w:val="auto"/>
                <w:highlight w:val="none"/>
              </w:rPr>
              <w:t>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价的工程项目，但不能得到支付与结算。</w:t>
            </w:r>
          </w:p>
          <w:p w14:paraId="21B06B0F">
            <w:pPr>
              <w:snapToGrid w:val="0"/>
              <w:spacing w:line="360" w:lineRule="auto"/>
              <w:jc w:val="left"/>
              <w:rPr>
                <w:rFonts w:ascii="Times New Roman" w:hAnsi="Times New Roman" w:cs="Times New Roman"/>
                <w:color w:val="auto"/>
                <w:highlight w:val="none"/>
              </w:rPr>
            </w:pPr>
            <w:r>
              <w:rPr>
                <w:rFonts w:hint="eastAsia" w:ascii="Times New Roman" w:hAnsi="Times New Roman" w:cs="Times New Roman"/>
                <w:color w:val="auto"/>
                <w:highlight w:val="none"/>
              </w:rPr>
              <w:t>5</w:t>
            </w:r>
            <w:r>
              <w:rPr>
                <w:rFonts w:ascii="Times New Roman" w:hAnsi="Times New Roman" w:cs="Times New Roman"/>
                <w:color w:val="auto"/>
                <w:highlight w:val="none"/>
              </w:rPr>
              <w:t>.综合单价中应包含竞争性</w:t>
            </w:r>
            <w:r>
              <w:rPr>
                <w:rFonts w:hint="eastAsia" w:ascii="Times New Roman" w:hAnsi="Times New Roman" w:cs="Times New Roman"/>
                <w:color w:val="auto"/>
                <w:highlight w:val="none"/>
              </w:rPr>
              <w:t>谈判</w:t>
            </w:r>
            <w:r>
              <w:rPr>
                <w:rFonts w:ascii="Times New Roman" w:hAnsi="Times New Roman" w:cs="Times New Roman"/>
                <w:color w:val="auto"/>
                <w:highlight w:val="none"/>
              </w:rPr>
              <w:t>文件中划分的应由供应商承担的风险范围及其费用。</w:t>
            </w:r>
          </w:p>
          <w:p w14:paraId="2C48EF1B">
            <w:pPr>
              <w:snapToGrid w:val="0"/>
              <w:spacing w:line="360" w:lineRule="auto"/>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6</w:t>
            </w:r>
            <w:r>
              <w:rPr>
                <w:rFonts w:ascii="Times New Roman" w:hAnsi="Times New Roman" w:cs="Times New Roman"/>
                <w:color w:val="auto"/>
                <w:szCs w:val="21"/>
                <w:highlight w:val="none"/>
              </w:rPr>
              <w:t>.</w:t>
            </w:r>
            <w:r>
              <w:rPr>
                <w:rFonts w:ascii="Times New Roman" w:hAnsi="Times New Roman" w:cs="Times New Roman"/>
                <w:color w:val="auto"/>
                <w:highlight w:val="none"/>
              </w:rPr>
              <w:t>分部分项工程项目和单价措施项</w:t>
            </w:r>
            <w:r>
              <w:rPr>
                <w:rFonts w:hint="eastAsia" w:ascii="宋体" w:hAnsi="宋体"/>
                <w:color w:val="auto"/>
                <w:highlight w:val="none"/>
              </w:rPr>
              <w:t>目，应根据竞争性谈判文件和工程量清单项目中的特征描述确定综合单价计算。如出现工程量清单特征描述与设计图纸不符时，供应商应以工程量清单的项目特征描述为准，确定谈判报价的综合单价。</w:t>
            </w:r>
          </w:p>
          <w:p w14:paraId="758FA243">
            <w:pPr>
              <w:snapToGrid w:val="0"/>
              <w:spacing w:line="360" w:lineRule="auto"/>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7.</w:t>
            </w:r>
            <w:r>
              <w:rPr>
                <w:rFonts w:hint="eastAsia" w:ascii="宋体" w:hAnsi="宋体"/>
                <w:color w:val="auto"/>
                <w:highlight w:val="none"/>
              </w:rPr>
              <w:t>总价措施项目的金额应根据竞争性谈判文件及谈判时拟定的施工组织设计或施工方案，按计价规范的规定自主确定。但安全文明施工费按国家、省级或</w:t>
            </w:r>
            <w:r>
              <w:rPr>
                <w:rFonts w:hint="eastAsia" w:ascii="Times New Roman" w:hAnsi="Times New Roman" w:cs="Times New Roman"/>
                <w:color w:val="auto"/>
                <w:szCs w:val="21"/>
                <w:highlight w:val="none"/>
              </w:rPr>
              <w:t>行业建设主管部门的有关规定执行，作为不可竞争费用单列。</w:t>
            </w:r>
          </w:p>
          <w:p w14:paraId="371F2ECC">
            <w:pPr>
              <w:snapToGrid w:val="0"/>
              <w:spacing w:line="360" w:lineRule="auto"/>
              <w:jc w:val="left"/>
              <w:rPr>
                <w:rFonts w:ascii="Times New Roman" w:hAnsi="Times New Roman" w:cs="Times New Roman"/>
                <w:color w:val="auto"/>
                <w:szCs w:val="21"/>
                <w:highlight w:val="none"/>
              </w:rPr>
            </w:pPr>
            <w:r>
              <w:rPr>
                <w:rFonts w:hint="eastAsia" w:ascii="Times New Roman" w:hAnsi="Times New Roman" w:cs="Times New Roman"/>
                <w:b/>
                <w:bCs/>
                <w:color w:val="auto"/>
                <w:szCs w:val="21"/>
                <w:highlight w:val="none"/>
              </w:rPr>
              <w:t>8.其他项目费应按下列规定报价（如有）</w:t>
            </w:r>
            <w:r>
              <w:rPr>
                <w:rFonts w:hint="eastAsia" w:ascii="Times New Roman" w:hAnsi="Times New Roman" w:cs="Times New Roman"/>
                <w:color w:val="auto"/>
                <w:szCs w:val="21"/>
                <w:highlight w:val="none"/>
              </w:rPr>
              <w:t>：</w:t>
            </w:r>
          </w:p>
          <w:p w14:paraId="33A1B511">
            <w:pPr>
              <w:snapToGrid w:val="0"/>
              <w:spacing w:line="360" w:lineRule="auto"/>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w:t>
            </w:r>
            <w:r>
              <w:rPr>
                <w:rFonts w:hint="eastAsia" w:ascii="Times New Roman" w:hAnsi="Times New Roman" w:cs="Times New Roman"/>
                <w:b/>
                <w:bCs/>
                <w:color w:val="auto"/>
                <w:szCs w:val="21"/>
                <w:highlight w:val="none"/>
              </w:rPr>
              <w:t>暂列金额</w:t>
            </w:r>
            <w:r>
              <w:rPr>
                <w:rFonts w:hint="eastAsia" w:ascii="Times New Roman" w:hAnsi="Times New Roman" w:cs="Times New Roman"/>
                <w:b/>
                <w:bCs/>
                <w:color w:val="auto"/>
                <w:szCs w:val="21"/>
                <w:highlight w:val="none"/>
                <w:lang w:eastAsia="zh-CN"/>
              </w:rPr>
              <w:t>（</w:t>
            </w:r>
            <w:r>
              <w:rPr>
                <w:rFonts w:hint="eastAsia" w:ascii="Times New Roman" w:hAnsi="Times New Roman" w:cs="Times New Roman"/>
                <w:b/>
                <w:bCs/>
                <w:color w:val="auto"/>
                <w:szCs w:val="21"/>
                <w:highlight w:val="none"/>
                <w:lang w:val="en-US" w:eastAsia="zh-CN"/>
              </w:rPr>
              <w:t>如有</w:t>
            </w:r>
            <w:r>
              <w:rPr>
                <w:rFonts w:hint="eastAsia" w:ascii="Times New Roman" w:hAnsi="Times New Roman" w:cs="Times New Roman"/>
                <w:b/>
                <w:bCs/>
                <w:color w:val="auto"/>
                <w:szCs w:val="21"/>
                <w:highlight w:val="none"/>
                <w:lang w:eastAsia="zh-CN"/>
              </w:rPr>
              <w:t>）</w:t>
            </w:r>
            <w:r>
              <w:rPr>
                <w:rFonts w:hint="eastAsia" w:ascii="Times New Roman" w:hAnsi="Times New Roman" w:cs="Times New Roman"/>
                <w:b/>
                <w:bCs/>
                <w:color w:val="auto"/>
                <w:szCs w:val="21"/>
                <w:highlight w:val="none"/>
              </w:rPr>
              <w:t>应按工程量清单中列出的金额填写，</w:t>
            </w:r>
            <w:r>
              <w:rPr>
                <w:rFonts w:ascii="Times New Roman" w:hAnsi="Times New Roman" w:cs="Times New Roman"/>
                <w:b/>
                <w:bCs/>
                <w:color w:val="auto"/>
                <w:highlight w:val="none"/>
              </w:rPr>
              <w:t>否则响应文件按无效响应处理</w:t>
            </w:r>
            <w:r>
              <w:rPr>
                <w:rFonts w:hint="eastAsia" w:ascii="Times New Roman" w:hAnsi="Times New Roman" w:cs="Times New Roman"/>
                <w:color w:val="auto"/>
                <w:szCs w:val="21"/>
                <w:highlight w:val="none"/>
              </w:rPr>
              <w:t>；</w:t>
            </w:r>
          </w:p>
          <w:p w14:paraId="1BED1BC6">
            <w:pPr>
              <w:snapToGrid w:val="0"/>
              <w:spacing w:line="360" w:lineRule="auto"/>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（2）材料、工程设备暂估价应按工程量清单中列出的单价计入综合单价；</w:t>
            </w:r>
          </w:p>
          <w:p w14:paraId="76832343">
            <w:pPr>
              <w:snapToGrid w:val="0"/>
              <w:spacing w:line="360" w:lineRule="auto"/>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w:t>
            </w:r>
            <w:r>
              <w:rPr>
                <w:rFonts w:hint="eastAsia" w:ascii="Times New Roman" w:hAnsi="Times New Roman" w:cs="Times New Roman"/>
                <w:b/>
                <w:bCs/>
                <w:color w:val="auto"/>
                <w:szCs w:val="21"/>
                <w:highlight w:val="none"/>
              </w:rPr>
              <w:t>专业工程暂估价应按工程量清单中列出的金额填写，</w:t>
            </w:r>
            <w:r>
              <w:rPr>
                <w:rFonts w:hint="eastAsia" w:ascii="Times New Roman" w:hAnsi="Times New Roman"/>
                <w:b/>
                <w:bCs/>
                <w:color w:val="auto"/>
                <w:highlight w:val="none"/>
              </w:rPr>
              <w:t>安全生产责任保险费暂估价应按工程量清单中列出的金额填写，</w:t>
            </w:r>
            <w:r>
              <w:rPr>
                <w:rFonts w:ascii="Times New Roman" w:hAnsi="Times New Roman" w:cs="Times New Roman"/>
                <w:b/>
                <w:bCs/>
                <w:color w:val="auto"/>
                <w:highlight w:val="none"/>
              </w:rPr>
              <w:t>否则响应文件按无效响应处理</w:t>
            </w:r>
            <w:r>
              <w:rPr>
                <w:rFonts w:hint="eastAsia" w:ascii="Times New Roman" w:hAnsi="Times New Roman" w:cs="Times New Roman"/>
                <w:color w:val="auto"/>
                <w:szCs w:val="21"/>
                <w:highlight w:val="none"/>
              </w:rPr>
              <w:t>；</w:t>
            </w:r>
          </w:p>
          <w:p w14:paraId="2440ECA0">
            <w:pPr>
              <w:snapToGrid w:val="0"/>
              <w:spacing w:line="360" w:lineRule="auto"/>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（4）计日工应按工程量清单中列出的项目和估算数量，自主确定综合单价并计算计日工总额；计日工单价均不含规费和税金；</w:t>
            </w:r>
          </w:p>
          <w:p w14:paraId="38D8B478">
            <w:pPr>
              <w:snapToGrid w:val="0"/>
              <w:spacing w:line="360" w:lineRule="auto"/>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（5）总承包服务费应根据工程量清单中列出的内容和供应材料、设备情况，按照采购人提出的协调、配合与服务要求和施工现场管理需要自主确定。</w:t>
            </w:r>
          </w:p>
          <w:p w14:paraId="4F64187E">
            <w:pPr>
              <w:pStyle w:val="88"/>
              <w:spacing w:line="360" w:lineRule="auto"/>
              <w:rPr>
                <w:rFonts w:ascii="Times New Roman" w:hAnsi="Times New Roman" w:cs="Times New Roman"/>
                <w:color w:val="auto"/>
                <w:highlight w:val="none"/>
              </w:rPr>
            </w:pPr>
            <w:r>
              <w:rPr>
                <w:rFonts w:hint="eastAsia" w:ascii="Times New Roman" w:hAnsi="Times New Roman" w:cs="Times New Roman"/>
                <w:b/>
                <w:bCs/>
                <w:color w:val="auto"/>
                <w:kern w:val="2"/>
                <w:szCs w:val="21"/>
                <w:highlight w:val="none"/>
              </w:rPr>
              <w:t>（6）安全文明施工费和规费、增值税按我区费用定额及造价管理相关文件规定报价（园林绿化及仿古建筑工程除外），否则响应文件按无效响应处理。</w:t>
            </w:r>
          </w:p>
          <w:p w14:paraId="3FA59F60">
            <w:pPr>
              <w:snapToGrid w:val="0"/>
              <w:spacing w:line="360" w:lineRule="auto"/>
              <w:jc w:val="left"/>
              <w:rPr>
                <w:rFonts w:ascii="Times New Roman" w:hAnsi="Times New Roman" w:cs="Times New Roman"/>
                <w:color w:val="auto"/>
                <w:highlight w:val="none"/>
              </w:rPr>
            </w:pPr>
            <w:r>
              <w:rPr>
                <w:rFonts w:hint="eastAsia" w:ascii="Times New Roman" w:hAnsi="Times New Roman" w:cs="Times New Roman"/>
                <w:color w:val="auto"/>
                <w:szCs w:val="21"/>
                <w:highlight w:val="none"/>
              </w:rPr>
              <w:t>9.</w:t>
            </w:r>
            <w:r>
              <w:rPr>
                <w:rFonts w:hint="eastAsia" w:ascii="Times New Roman" w:hAnsi="Times New Roman" w:cs="Times New Roman"/>
                <w:color w:val="auto"/>
                <w:highlight w:val="none"/>
              </w:rPr>
              <w:t>谈判</w:t>
            </w:r>
            <w:r>
              <w:rPr>
                <w:rFonts w:ascii="Times New Roman" w:hAnsi="Times New Roman" w:cs="Times New Roman"/>
                <w:color w:val="auto"/>
                <w:highlight w:val="none"/>
              </w:rPr>
              <w:t>总报价应当与分部分项工程费、措施项目费、其他项目费和规费、增值税的合计金额一致。</w:t>
            </w:r>
          </w:p>
          <w:p w14:paraId="3B9A5382">
            <w:pPr>
              <w:snapToGrid w:val="0"/>
              <w:spacing w:line="360" w:lineRule="auto"/>
              <w:jc w:val="left"/>
              <w:rPr>
                <w:rFonts w:ascii="Times New Roman" w:hAnsi="Times New Roman" w:cs="Times New Roman"/>
                <w:color w:val="auto"/>
                <w:highlight w:val="none"/>
              </w:rPr>
            </w:pPr>
            <w:r>
              <w:rPr>
                <w:rFonts w:hint="eastAsia" w:ascii="Times New Roman" w:hAnsi="Times New Roman" w:cs="Times New Roman"/>
                <w:color w:val="auto"/>
                <w:highlight w:val="none"/>
              </w:rPr>
              <w:t>10</w:t>
            </w:r>
            <w:r>
              <w:rPr>
                <w:rFonts w:ascii="Times New Roman" w:hAnsi="Times New Roman" w:cs="Times New Roman"/>
                <w:color w:val="auto"/>
                <w:highlight w:val="none"/>
              </w:rPr>
              <w:t>.供应商不得擅自调整材料和设备名称型号</w:t>
            </w:r>
            <w:r>
              <w:rPr>
                <w:rFonts w:hint="eastAsia" w:ascii="Times New Roman" w:hAnsi="Times New Roman" w:cs="Times New Roman"/>
                <w:color w:val="auto"/>
                <w:highlight w:val="none"/>
              </w:rPr>
              <w:t>+</w:t>
            </w:r>
            <w:r>
              <w:rPr>
                <w:rFonts w:ascii="Times New Roman" w:hAnsi="Times New Roman" w:cs="Times New Roman"/>
                <w:color w:val="auto"/>
                <w:highlight w:val="none"/>
              </w:rPr>
              <w:t>规格、单位、风险系数、基准单价。</w:t>
            </w:r>
          </w:p>
          <w:p w14:paraId="0443F6B5">
            <w:pPr>
              <w:snapToGrid w:val="0"/>
              <w:spacing w:line="360" w:lineRule="auto"/>
              <w:jc w:val="left"/>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1</w:t>
            </w:r>
            <w:r>
              <w:rPr>
                <w:rFonts w:ascii="Times New Roman" w:hAnsi="Times New Roman" w:cs="Times New Roman"/>
                <w:color w:val="auto"/>
                <w:highlight w:val="none"/>
              </w:rPr>
              <w:t>.已标价工程量清单表格按本项目工程量清单表格要求填写</w:t>
            </w:r>
            <w:r>
              <w:rPr>
                <w:rFonts w:hint="eastAsia" w:ascii="Times New Roman" w:hAnsi="Times New Roman" w:cs="Times New Roman"/>
                <w:color w:val="auto"/>
                <w:highlight w:val="none"/>
              </w:rPr>
              <w:t>。</w:t>
            </w:r>
          </w:p>
          <w:p w14:paraId="5F039101">
            <w:pPr>
              <w:snapToGrid w:val="0"/>
              <w:spacing w:line="360" w:lineRule="auto"/>
              <w:jc w:val="left"/>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r>
              <w:rPr>
                <w:rFonts w:ascii="Times New Roman" w:hAnsi="Times New Roman" w:cs="Times New Roman"/>
                <w:color w:val="auto"/>
                <w:highlight w:val="none"/>
              </w:rPr>
              <w:t>.未尽事宜详见本项目工程量清单以及现行《计价规范》等有关规定执行。</w:t>
            </w:r>
          </w:p>
          <w:p w14:paraId="2AAFE0F7">
            <w:pPr>
              <w:snapToGrid w:val="0"/>
              <w:spacing w:line="360" w:lineRule="auto"/>
              <w:jc w:val="left"/>
              <w:rPr>
                <w:rFonts w:ascii="Times New Roman" w:hAnsi="Times New Roman" w:cs="Times New Roman"/>
                <w:color w:val="auto"/>
                <w:highlight w:val="none"/>
              </w:rPr>
            </w:pPr>
            <w:r>
              <w:rPr>
                <w:rFonts w:hint="eastAsia" w:ascii="Times New Roman" w:hAnsi="Times New Roman" w:cs="Times New Roman"/>
                <w:color w:val="auto"/>
                <w:highlight w:val="none"/>
              </w:rPr>
              <w:t>13.本项目发布的工程量清单、图纸等材料的项目名称与本项目采购文件项目名称均不一致，各竞标人在编制清单报价及相关文件时，请统一使用本采购文件的项目名称进行编制，其他不变。</w:t>
            </w:r>
          </w:p>
          <w:p w14:paraId="5E9F38B4">
            <w:pPr>
              <w:spacing w:line="360" w:lineRule="auto"/>
              <w:jc w:val="left"/>
              <w:rPr>
                <w:rFonts w:ascii="宋体" w:hAnsi="宋体"/>
                <w:b/>
                <w:color w:val="auto"/>
                <w:szCs w:val="21"/>
                <w:highlight w:val="none"/>
              </w:rPr>
            </w:pPr>
            <w:r>
              <w:rPr>
                <w:rFonts w:hint="eastAsia" w:ascii="Times New Roman" w:hAnsi="Times New Roman" w:cs="Times New Roman"/>
                <w:color w:val="auto"/>
                <w:highlight w:val="none"/>
              </w:rPr>
              <w:t>14.</w:t>
            </w:r>
            <w:r>
              <w:rPr>
                <w:rFonts w:hint="eastAsia" w:ascii="Times New Roman" w:hAnsi="Times New Roman" w:cs="Times New Roman"/>
                <w:b/>
                <w:bCs/>
                <w:color w:val="auto"/>
                <w:highlight w:val="none"/>
              </w:rPr>
              <w:t>竞标报价</w:t>
            </w:r>
            <w:r>
              <w:rPr>
                <w:rFonts w:ascii="Times New Roman" w:hAnsi="Times New Roman" w:cs="Times New Roman"/>
                <w:b/>
                <w:bCs/>
                <w:color w:val="auto"/>
                <w:highlight w:val="none"/>
              </w:rPr>
              <w:t>（包含首次报价、最后报价）</w:t>
            </w:r>
            <w:r>
              <w:rPr>
                <w:rFonts w:hint="eastAsia" w:ascii="Times New Roman" w:hAnsi="Times New Roman" w:cs="Times New Roman"/>
                <w:b/>
                <w:bCs/>
                <w:color w:val="auto"/>
                <w:highlight w:val="none"/>
              </w:rPr>
              <w:t>应提交相应的已标价工程量清单</w:t>
            </w:r>
            <w:r>
              <w:rPr>
                <w:rFonts w:ascii="Times New Roman" w:hAnsi="Times New Roman" w:cs="Times New Roman"/>
                <w:b/>
                <w:bCs/>
                <w:color w:val="auto"/>
                <w:highlight w:val="none"/>
              </w:rPr>
              <w:t>，</w:t>
            </w:r>
            <w:r>
              <w:rPr>
                <w:rFonts w:hint="eastAsia" w:ascii="Times New Roman" w:hAnsi="Times New Roman" w:cs="Times New Roman"/>
                <w:b/>
                <w:bCs/>
                <w:color w:val="auto"/>
                <w:highlight w:val="none"/>
              </w:rPr>
              <w:t>最后报价</w:t>
            </w:r>
            <w:r>
              <w:rPr>
                <w:rFonts w:hint="eastAsia" w:ascii="宋体" w:hAnsi="宋体"/>
                <w:b/>
                <w:bCs/>
                <w:color w:val="auto"/>
                <w:szCs w:val="21"/>
                <w:highlight w:val="none"/>
              </w:rPr>
              <w:t>不得以总价下浮的方式做最后报价。供应商首次报价、最终报价不一致时，必须以</w:t>
            </w:r>
            <w:r>
              <w:rPr>
                <w:rFonts w:hint="eastAsia" w:ascii="Times New Roman" w:hAnsi="Times New Roman" w:cs="Times New Roman"/>
                <w:b/>
                <w:bCs/>
                <w:color w:val="auto"/>
                <w:szCs w:val="21"/>
                <w:highlight w:val="none"/>
              </w:rPr>
              <w:t>已标价工程量清单的形式提交最终报价，</w:t>
            </w:r>
            <w:r>
              <w:rPr>
                <w:rFonts w:ascii="Times New Roman" w:hAnsi="Times New Roman" w:cs="Times New Roman"/>
                <w:b/>
                <w:bCs/>
                <w:color w:val="auto"/>
                <w:highlight w:val="none"/>
              </w:rPr>
              <w:t>否则响应文件按无效响应处理</w:t>
            </w:r>
            <w:r>
              <w:rPr>
                <w:rFonts w:hint="eastAsia" w:ascii="Times New Roman" w:hAnsi="Times New Roman" w:cs="Times New Roman"/>
                <w:b/>
                <w:bCs/>
                <w:color w:val="auto"/>
                <w:highlight w:val="none"/>
              </w:rPr>
              <w:t>。</w:t>
            </w:r>
          </w:p>
        </w:tc>
      </w:tr>
      <w:tr w14:paraId="79BF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7F022D22">
            <w:pPr>
              <w:spacing w:line="360" w:lineRule="auto"/>
              <w:jc w:val="center"/>
              <w:rPr>
                <w:rFonts w:ascii="宋体" w:hAnsi="宋体"/>
                <w:color w:val="auto"/>
                <w:szCs w:val="21"/>
                <w:highlight w:val="none"/>
              </w:rPr>
            </w:pPr>
            <w:r>
              <w:rPr>
                <w:rFonts w:hint="eastAsia" w:ascii="宋体" w:hAnsi="宋体"/>
                <w:color w:val="auto"/>
                <w:szCs w:val="21"/>
                <w:highlight w:val="none"/>
              </w:rPr>
              <w:t>15.2</w:t>
            </w:r>
          </w:p>
        </w:tc>
        <w:tc>
          <w:tcPr>
            <w:tcW w:w="8356" w:type="dxa"/>
            <w:vAlign w:val="center"/>
          </w:tcPr>
          <w:p w14:paraId="6B280A06">
            <w:pPr>
              <w:spacing w:line="360" w:lineRule="auto"/>
              <w:jc w:val="left"/>
              <w:rPr>
                <w:rFonts w:ascii="宋体" w:hAnsi="宋体"/>
                <w:color w:val="auto"/>
                <w:szCs w:val="21"/>
                <w:highlight w:val="none"/>
              </w:rPr>
            </w:pPr>
            <w:r>
              <w:rPr>
                <w:rFonts w:hint="eastAsia" w:ascii="宋体" w:hAnsi="宋体"/>
                <w:color w:val="auto"/>
                <w:szCs w:val="21"/>
                <w:highlight w:val="none"/>
              </w:rPr>
              <w:t>竞争性谈判报价包括为实施和完成合同工程所需的劳务、材料、机械、质检（自检）、安装、缺陷修复、管理、保险、税费、利润以及安全文明施工费等费用，以及合同明示或暗示的所有责任、义务和一般风险。</w:t>
            </w:r>
          </w:p>
        </w:tc>
      </w:tr>
      <w:tr w14:paraId="570B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D8CFB9C">
            <w:pPr>
              <w:spacing w:line="360" w:lineRule="auto"/>
              <w:jc w:val="center"/>
              <w:rPr>
                <w:rFonts w:ascii="宋体" w:hAnsi="宋体"/>
                <w:color w:val="auto"/>
                <w:szCs w:val="21"/>
                <w:highlight w:val="none"/>
              </w:rPr>
            </w:pPr>
            <w:r>
              <w:rPr>
                <w:rFonts w:ascii="宋体" w:hAnsi="宋体"/>
                <w:color w:val="auto"/>
                <w:szCs w:val="21"/>
                <w:highlight w:val="none"/>
              </w:rPr>
              <w:t>15.3</w:t>
            </w:r>
          </w:p>
        </w:tc>
        <w:tc>
          <w:tcPr>
            <w:tcW w:w="8356" w:type="dxa"/>
            <w:vAlign w:val="center"/>
          </w:tcPr>
          <w:p w14:paraId="4CB89666">
            <w:pPr>
              <w:spacing w:line="360" w:lineRule="auto"/>
              <w:jc w:val="left"/>
              <w:rPr>
                <w:rFonts w:ascii="宋体" w:hAnsi="宋体"/>
                <w:color w:val="auto"/>
                <w:szCs w:val="21"/>
                <w:highlight w:val="none"/>
              </w:rPr>
            </w:pPr>
            <w:r>
              <w:rPr>
                <w:rFonts w:hint="eastAsia" w:ascii="宋体" w:hAnsi="宋体"/>
                <w:color w:val="auto"/>
                <w:szCs w:val="21"/>
                <w:highlight w:val="none"/>
              </w:rPr>
              <w:t>本工程增值税计税方法：☑一般计税法；□简易计税法</w:t>
            </w:r>
          </w:p>
        </w:tc>
      </w:tr>
      <w:tr w14:paraId="70CB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7CC50A71">
            <w:pPr>
              <w:spacing w:line="360" w:lineRule="auto"/>
              <w:jc w:val="center"/>
              <w:rPr>
                <w:rFonts w:ascii="宋体" w:hAnsi="宋体"/>
                <w:color w:val="auto"/>
                <w:szCs w:val="21"/>
                <w:highlight w:val="none"/>
              </w:rPr>
            </w:pPr>
            <w:r>
              <w:rPr>
                <w:rFonts w:hint="eastAsia" w:ascii="宋体" w:hAnsi="宋体"/>
                <w:color w:val="auto"/>
                <w:szCs w:val="21"/>
                <w:highlight w:val="none"/>
              </w:rPr>
              <w:t>16.2</w:t>
            </w:r>
          </w:p>
        </w:tc>
        <w:tc>
          <w:tcPr>
            <w:tcW w:w="8356" w:type="dxa"/>
            <w:vAlign w:val="center"/>
          </w:tcPr>
          <w:p w14:paraId="65E9761D">
            <w:pPr>
              <w:spacing w:line="360" w:lineRule="auto"/>
              <w:jc w:val="left"/>
              <w:rPr>
                <w:rFonts w:ascii="宋体" w:hAnsi="宋体"/>
                <w:color w:val="auto"/>
                <w:szCs w:val="21"/>
                <w:highlight w:val="none"/>
              </w:rPr>
            </w:pPr>
            <w:r>
              <w:rPr>
                <w:rFonts w:hint="eastAsia" w:ascii="宋体" w:hAnsi="宋体"/>
                <w:color w:val="auto"/>
                <w:szCs w:val="21"/>
                <w:highlight w:val="none"/>
              </w:rPr>
              <w:t>竞争性谈判有效期：自首次响应文件提交截止之日起90日历天。</w:t>
            </w:r>
          </w:p>
        </w:tc>
      </w:tr>
      <w:tr w14:paraId="3439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2FC8BC06">
            <w:pPr>
              <w:spacing w:line="360" w:lineRule="auto"/>
              <w:jc w:val="center"/>
              <w:rPr>
                <w:rFonts w:ascii="宋体" w:hAnsi="宋体"/>
                <w:color w:val="auto"/>
                <w:szCs w:val="21"/>
                <w:highlight w:val="none"/>
              </w:rPr>
            </w:pPr>
            <w:r>
              <w:rPr>
                <w:rFonts w:ascii="宋体" w:hAnsi="宋体"/>
                <w:color w:val="auto"/>
                <w:szCs w:val="21"/>
                <w:highlight w:val="none"/>
              </w:rPr>
              <w:t>17.1</w:t>
            </w:r>
          </w:p>
        </w:tc>
        <w:tc>
          <w:tcPr>
            <w:tcW w:w="8356" w:type="dxa"/>
            <w:vAlign w:val="center"/>
          </w:tcPr>
          <w:p w14:paraId="77D79772">
            <w:pPr>
              <w:spacing w:line="360" w:lineRule="auto"/>
              <w:jc w:val="left"/>
              <w:rPr>
                <w:rFonts w:ascii="宋体" w:hAnsi="宋体"/>
                <w:color w:val="auto"/>
                <w:szCs w:val="21"/>
                <w:highlight w:val="none"/>
              </w:rPr>
            </w:pPr>
            <w:r>
              <w:rPr>
                <w:rFonts w:hint="eastAsia" w:ascii="宋体" w:hAnsi="宋体"/>
                <w:color w:val="auto"/>
                <w:szCs w:val="21"/>
                <w:highlight w:val="none"/>
              </w:rPr>
              <w:t>☑本项目不收取谈判保证金。</w:t>
            </w:r>
          </w:p>
          <w:p w14:paraId="7D6B2942">
            <w:pPr>
              <w:spacing w:line="360" w:lineRule="auto"/>
              <w:jc w:val="left"/>
              <w:rPr>
                <w:rFonts w:ascii="宋体" w:hAnsi="宋体"/>
                <w:color w:val="auto"/>
                <w:szCs w:val="21"/>
                <w:highlight w:val="none"/>
              </w:rPr>
            </w:pPr>
            <w:r>
              <w:rPr>
                <w:rFonts w:hint="eastAsia" w:ascii="宋体" w:hAnsi="宋体"/>
                <w:color w:val="auto"/>
                <w:szCs w:val="21"/>
                <w:highlight w:val="none"/>
              </w:rPr>
              <w:t>本项目收取谈判保证金，具体规定如下：</w:t>
            </w:r>
          </w:p>
          <w:p w14:paraId="2863F9DE">
            <w:pPr>
              <w:spacing w:line="360" w:lineRule="auto"/>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分标竞标保证金人民币</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元。</w:t>
            </w:r>
          </w:p>
          <w:p w14:paraId="38217384">
            <w:pPr>
              <w:spacing w:line="360" w:lineRule="auto"/>
              <w:contextualSpacing/>
              <w:rPr>
                <w:rFonts w:ascii="宋体" w:hAnsi="宋体"/>
                <w:color w:val="auto"/>
                <w:kern w:val="0"/>
                <w:szCs w:val="21"/>
                <w:highlight w:val="none"/>
              </w:rPr>
            </w:pPr>
            <w:r>
              <w:rPr>
                <w:rFonts w:hint="eastAsia" w:ascii="宋体" w:hAnsi="宋体"/>
                <w:color w:val="auto"/>
                <w:kern w:val="0"/>
                <w:szCs w:val="21"/>
                <w:highlight w:val="none"/>
              </w:rPr>
              <w:t>竞标保证金的交纳方式：银行转账、支票、汇票、本票或者金融、担保机构出具的保函，禁止采用现钞方式。采用银行转账方式的，在响应文件提交截止时间前交至指定账户并且到账（开户银行：</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，开户名称：</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，银行账号：</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）；采用支票、汇票、本票或者保函等方式的，在响应文件提交截止时间前，供应商必须提交支票、汇票、本票或者保函原件。否则视为无效竞标保证金。</w:t>
            </w:r>
          </w:p>
          <w:p w14:paraId="20B9F281">
            <w:pPr>
              <w:spacing w:line="360" w:lineRule="auto"/>
              <w:contextualSpacing/>
              <w:rPr>
                <w:rFonts w:ascii="宋体" w:hAnsi="宋体"/>
                <w:color w:val="auto"/>
                <w:szCs w:val="21"/>
                <w:highlight w:val="none"/>
              </w:rPr>
            </w:pPr>
            <w:r>
              <w:rPr>
                <w:rFonts w:hint="eastAsia" w:ascii="宋体" w:hAnsi="宋体"/>
                <w:color w:val="auto"/>
                <w:szCs w:val="21"/>
                <w:highlight w:val="none"/>
              </w:rPr>
              <w:t>相关要求：</w:t>
            </w:r>
          </w:p>
          <w:p w14:paraId="0B83CCC9">
            <w:pPr>
              <w:spacing w:line="360" w:lineRule="auto"/>
              <w:contextualSpacing/>
              <w:rPr>
                <w:rFonts w:ascii="宋体" w:hAnsi="宋体"/>
                <w:color w:val="auto"/>
                <w:szCs w:val="21"/>
                <w:highlight w:val="none"/>
              </w:rPr>
            </w:pPr>
            <w:r>
              <w:rPr>
                <w:rFonts w:hint="eastAsia" w:ascii="宋体" w:hAnsi="宋体"/>
                <w:color w:val="auto"/>
                <w:szCs w:val="21"/>
                <w:highlight w:val="none"/>
              </w:rPr>
              <w:t>1.竞标保证金采用银行转账交纳方式的，在响应文件提交截止时间前交至指定账户并且到账，供应商应将银行转账底单的复印件作为竞标保证金提交凭证，放置于报价商务技术文件中，</w:t>
            </w:r>
            <w:r>
              <w:rPr>
                <w:rFonts w:hint="eastAsia" w:ascii="宋体" w:hAnsi="宋体"/>
                <w:b/>
                <w:color w:val="auto"/>
                <w:szCs w:val="21"/>
                <w:highlight w:val="none"/>
              </w:rPr>
              <w:t>否则响应文件按无效处理</w:t>
            </w:r>
            <w:r>
              <w:rPr>
                <w:rFonts w:hint="eastAsia" w:ascii="宋体" w:hAnsi="宋体"/>
                <w:color w:val="auto"/>
                <w:szCs w:val="21"/>
                <w:highlight w:val="none"/>
              </w:rPr>
              <w:t>。</w:t>
            </w:r>
          </w:p>
          <w:p w14:paraId="066A9053">
            <w:pPr>
              <w:spacing w:line="360" w:lineRule="auto"/>
              <w:contextualSpacing/>
              <w:rPr>
                <w:rFonts w:ascii="宋体" w:hAnsi="宋体"/>
                <w:color w:val="auto"/>
                <w:szCs w:val="21"/>
                <w:highlight w:val="none"/>
              </w:rPr>
            </w:pPr>
            <w:r>
              <w:rPr>
                <w:rFonts w:hint="eastAsia" w:ascii="宋体" w:hAnsi="宋体"/>
                <w:color w:val="auto"/>
                <w:szCs w:val="21"/>
                <w:highlight w:val="none"/>
              </w:rPr>
              <w:t>2.竞标保证金采用支票、汇票、本票或者金融、担保机构出具的保函交纳方式的，供应商应将支票、汇票、本票或者金融、担保机构出具的保函的复印件作为竞标保证金提交凭证，放置于报价商务技术文件中，</w:t>
            </w:r>
            <w:r>
              <w:rPr>
                <w:rFonts w:hint="eastAsia" w:ascii="宋体" w:hAnsi="宋体"/>
                <w:b/>
                <w:color w:val="auto"/>
                <w:szCs w:val="21"/>
                <w:highlight w:val="none"/>
              </w:rPr>
              <w:t>否则响应文件按无效处理</w:t>
            </w:r>
            <w:r>
              <w:rPr>
                <w:rFonts w:hint="eastAsia" w:ascii="宋体" w:hAnsi="宋体"/>
                <w:color w:val="auto"/>
                <w:szCs w:val="21"/>
                <w:highlight w:val="none"/>
              </w:rPr>
              <w:t>。供应商必须</w:t>
            </w:r>
            <w:r>
              <w:rPr>
                <w:rFonts w:hint="eastAsia"/>
                <w:color w:val="auto"/>
                <w:highlight w:val="none"/>
              </w:rPr>
              <w:t>在</w:t>
            </w:r>
            <w:r>
              <w:rPr>
                <w:rFonts w:hint="eastAsia" w:ascii="宋体" w:hAnsi="宋体"/>
                <w:color w:val="auto"/>
                <w:szCs w:val="21"/>
                <w:highlight w:val="none"/>
              </w:rPr>
              <w:t>响应文件提交截止时间</w:t>
            </w:r>
            <w:r>
              <w:rPr>
                <w:rFonts w:hint="eastAsia"/>
                <w:color w:val="auto"/>
                <w:highlight w:val="none"/>
              </w:rPr>
              <w:t>前</w:t>
            </w:r>
            <w:r>
              <w:rPr>
                <w:rFonts w:hint="eastAsia" w:ascii="宋体" w:hAnsi="宋体"/>
                <w:color w:val="auto"/>
                <w:szCs w:val="21"/>
                <w:highlight w:val="none"/>
              </w:rPr>
              <w:t>将支票、汇票、本票或者金融、担保机构出具的保函原件提交给采购人或者采购代理机构，由采购人或者采购代理机构向供应商出具回执，并妥善保管。</w:t>
            </w:r>
          </w:p>
          <w:p w14:paraId="0ED73375">
            <w:pPr>
              <w:spacing w:line="360" w:lineRule="auto"/>
              <w:contextualSpacing/>
              <w:rPr>
                <w:rFonts w:ascii="宋体" w:hAnsi="宋体"/>
                <w:b/>
                <w:color w:val="auto"/>
                <w:szCs w:val="21"/>
                <w:highlight w:val="none"/>
              </w:rPr>
            </w:pPr>
            <w:r>
              <w:rPr>
                <w:rFonts w:hint="eastAsia" w:ascii="宋体" w:hAnsi="宋体"/>
                <w:color w:val="auto"/>
                <w:szCs w:val="21"/>
                <w:highlight w:val="none"/>
              </w:rPr>
              <w:t>3.供应商为联合体的，可以由联合体中的一方或者多方共同交纳谈判保证金，其交纳的保证金对联合体各方均具有约束力。</w:t>
            </w:r>
          </w:p>
          <w:p w14:paraId="7A1BB0D4">
            <w:pPr>
              <w:spacing w:line="360" w:lineRule="auto"/>
              <w:contextualSpacing/>
              <w:rPr>
                <w:rFonts w:ascii="宋体" w:hAnsi="宋体"/>
                <w:b/>
                <w:color w:val="auto"/>
                <w:szCs w:val="21"/>
                <w:highlight w:val="none"/>
              </w:rPr>
            </w:pPr>
            <w:r>
              <w:rPr>
                <w:rFonts w:hint="eastAsia" w:ascii="宋体" w:hAnsi="宋体"/>
                <w:b/>
                <w:color w:val="auto"/>
                <w:szCs w:val="21"/>
                <w:highlight w:val="none"/>
              </w:rPr>
              <w:t xml:space="preserve">备注： </w:t>
            </w:r>
          </w:p>
          <w:p w14:paraId="41245C6D">
            <w:pPr>
              <w:spacing w:line="360" w:lineRule="auto"/>
              <w:contextualSpacing/>
              <w:rPr>
                <w:rFonts w:ascii="宋体" w:hAnsi="宋体"/>
                <w:b/>
                <w:color w:val="auto"/>
                <w:szCs w:val="21"/>
                <w:highlight w:val="none"/>
              </w:rPr>
            </w:pPr>
            <w:r>
              <w:rPr>
                <w:rFonts w:hint="eastAsia" w:ascii="宋体" w:hAnsi="宋体"/>
                <w:b/>
                <w:color w:val="auto"/>
                <w:szCs w:val="21"/>
                <w:highlight w:val="none"/>
              </w:rPr>
              <w:t>1. 响应文件提交截止时间后提交的，或者未足额交纳的，或者保函额度不足的，视为无效竞标保证金。</w:t>
            </w:r>
          </w:p>
          <w:p w14:paraId="50CB4956">
            <w:pPr>
              <w:spacing w:line="360" w:lineRule="auto"/>
              <w:contextualSpacing/>
              <w:rPr>
                <w:rFonts w:ascii="宋体" w:hAnsi="宋体"/>
                <w:b/>
                <w:color w:val="auto"/>
                <w:szCs w:val="21"/>
                <w:highlight w:val="none"/>
              </w:rPr>
            </w:pPr>
            <w:r>
              <w:rPr>
                <w:rFonts w:hint="eastAsia" w:ascii="宋体" w:hAnsi="宋体"/>
                <w:b/>
                <w:color w:val="auto"/>
                <w:szCs w:val="21"/>
                <w:highlight w:val="none"/>
              </w:rPr>
              <w:t>2.供应商采用现钞方式或者从个人账户（自然人竞标除外）转出的竞标保证金，视为无效竞标保证金。</w:t>
            </w:r>
          </w:p>
          <w:p w14:paraId="4B304FD2">
            <w:pPr>
              <w:spacing w:line="360" w:lineRule="auto"/>
              <w:contextualSpacing/>
              <w:rPr>
                <w:rFonts w:ascii="宋体" w:hAnsi="宋体"/>
                <w:b/>
                <w:color w:val="auto"/>
                <w:szCs w:val="21"/>
                <w:highlight w:val="none"/>
              </w:rPr>
            </w:pPr>
            <w:r>
              <w:rPr>
                <w:rFonts w:hint="eastAsia" w:ascii="宋体" w:hAnsi="宋体"/>
                <w:b/>
                <w:color w:val="auto"/>
                <w:szCs w:val="21"/>
                <w:highlight w:val="none"/>
              </w:rPr>
              <w:t>3.支票、汇票或者本票出现无效或者背书情形的，视为无效竞标保证金。</w:t>
            </w:r>
          </w:p>
          <w:p w14:paraId="639E013E">
            <w:pPr>
              <w:spacing w:line="360" w:lineRule="auto"/>
              <w:contextualSpacing/>
              <w:rPr>
                <w:rFonts w:ascii="宋体" w:hAnsi="宋体"/>
                <w:b/>
                <w:color w:val="auto"/>
                <w:szCs w:val="21"/>
                <w:highlight w:val="none"/>
              </w:rPr>
            </w:pPr>
            <w:r>
              <w:rPr>
                <w:rFonts w:hint="eastAsia" w:ascii="宋体" w:hAnsi="宋体"/>
                <w:b/>
                <w:color w:val="auto"/>
                <w:szCs w:val="21"/>
                <w:highlight w:val="none"/>
              </w:rPr>
              <w:t>4.保函有效期低于竞标有效期的，视为无效竞标保证金。</w:t>
            </w:r>
          </w:p>
          <w:p w14:paraId="2C7D8119">
            <w:pPr>
              <w:spacing w:line="360" w:lineRule="auto"/>
              <w:jc w:val="left"/>
              <w:rPr>
                <w:rFonts w:ascii="宋体" w:hAnsi="宋体"/>
                <w:color w:val="auto"/>
                <w:szCs w:val="21"/>
                <w:highlight w:val="none"/>
              </w:rPr>
            </w:pPr>
            <w:r>
              <w:rPr>
                <w:rFonts w:hint="eastAsia" w:ascii="宋体" w:hAnsi="宋体"/>
                <w:b/>
                <w:color w:val="auto"/>
                <w:szCs w:val="21"/>
                <w:highlight w:val="none"/>
              </w:rPr>
              <w:t>5.竞标保证金采用金融、担保机构出具的保函为有条件保函的，视为无效竞标保证金。</w:t>
            </w:r>
          </w:p>
        </w:tc>
      </w:tr>
      <w:tr w14:paraId="4714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6C55A3D0">
            <w:pPr>
              <w:spacing w:line="360" w:lineRule="auto"/>
              <w:jc w:val="center"/>
              <w:rPr>
                <w:rFonts w:ascii="宋体" w:hAnsi="宋体"/>
                <w:color w:val="auto"/>
                <w:szCs w:val="21"/>
                <w:highlight w:val="none"/>
              </w:rPr>
            </w:pPr>
            <w:r>
              <w:rPr>
                <w:rFonts w:hint="eastAsia" w:ascii="宋体" w:hAnsi="宋体"/>
                <w:color w:val="auto"/>
                <w:szCs w:val="21"/>
                <w:highlight w:val="none"/>
              </w:rPr>
              <w:t>19</w:t>
            </w:r>
          </w:p>
        </w:tc>
        <w:tc>
          <w:tcPr>
            <w:tcW w:w="8356" w:type="dxa"/>
            <w:vAlign w:val="center"/>
          </w:tcPr>
          <w:p w14:paraId="574E1E8E">
            <w:pPr>
              <w:spacing w:line="360" w:lineRule="auto"/>
              <w:jc w:val="left"/>
              <w:rPr>
                <w:rFonts w:ascii="宋体" w:hAnsi="宋体"/>
                <w:color w:val="auto"/>
                <w:szCs w:val="21"/>
                <w:highlight w:val="none"/>
              </w:rPr>
            </w:pPr>
            <w:r>
              <w:rPr>
                <w:rFonts w:hint="eastAsia" w:ascii="宋体" w:hAnsi="宋体"/>
                <w:color w:val="auto"/>
                <w:szCs w:val="21"/>
                <w:highlight w:val="none"/>
              </w:rPr>
              <w:t>本项目不接受电子备份响应文件。</w:t>
            </w:r>
          </w:p>
        </w:tc>
      </w:tr>
      <w:tr w14:paraId="171A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7D886226">
            <w:pPr>
              <w:spacing w:line="360" w:lineRule="auto"/>
              <w:jc w:val="center"/>
              <w:rPr>
                <w:rFonts w:ascii="宋体" w:hAnsi="宋体"/>
                <w:color w:val="auto"/>
                <w:szCs w:val="21"/>
                <w:highlight w:val="none"/>
              </w:rPr>
            </w:pPr>
            <w:r>
              <w:rPr>
                <w:rFonts w:hint="eastAsia" w:ascii="宋体" w:hAnsi="宋体"/>
                <w:color w:val="auto"/>
                <w:szCs w:val="21"/>
                <w:highlight w:val="none"/>
              </w:rPr>
              <w:t>20.1</w:t>
            </w:r>
          </w:p>
        </w:tc>
        <w:tc>
          <w:tcPr>
            <w:tcW w:w="8356" w:type="dxa"/>
            <w:vAlign w:val="center"/>
          </w:tcPr>
          <w:p w14:paraId="005D9017">
            <w:pPr>
              <w:spacing w:line="360" w:lineRule="auto"/>
              <w:jc w:val="left"/>
              <w:rPr>
                <w:rFonts w:ascii="宋体" w:hAnsi="宋体"/>
                <w:color w:val="auto"/>
                <w:szCs w:val="21"/>
                <w:highlight w:val="none"/>
              </w:rPr>
            </w:pPr>
            <w:r>
              <w:rPr>
                <w:rFonts w:hint="eastAsia" w:ascii="宋体" w:hAnsi="宋体"/>
                <w:color w:val="auto"/>
                <w:szCs w:val="21"/>
                <w:highlight w:val="none"/>
              </w:rPr>
              <w:t>响应文件提交截止时间：详见竞争性谈判公告。</w:t>
            </w:r>
          </w:p>
          <w:p w14:paraId="1C970879">
            <w:pPr>
              <w:spacing w:line="360" w:lineRule="auto"/>
              <w:jc w:val="left"/>
              <w:rPr>
                <w:rFonts w:ascii="宋体" w:hAnsi="宋体"/>
                <w:color w:val="auto"/>
                <w:szCs w:val="21"/>
                <w:highlight w:val="none"/>
              </w:rPr>
            </w:pPr>
            <w:r>
              <w:rPr>
                <w:rFonts w:hint="eastAsia" w:ascii="宋体" w:hAnsi="宋体"/>
                <w:color w:val="auto"/>
                <w:szCs w:val="21"/>
                <w:highlight w:val="none"/>
              </w:rPr>
              <w:t>响应文件提交地点：详见竞争性谈判公告。</w:t>
            </w:r>
          </w:p>
        </w:tc>
      </w:tr>
      <w:tr w14:paraId="4BB4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77B9DF87">
            <w:pPr>
              <w:spacing w:line="360" w:lineRule="auto"/>
              <w:jc w:val="center"/>
              <w:rPr>
                <w:rFonts w:ascii="宋体" w:hAnsi="宋体"/>
                <w:color w:val="auto"/>
                <w:szCs w:val="21"/>
                <w:highlight w:val="none"/>
              </w:rPr>
            </w:pPr>
            <w:r>
              <w:rPr>
                <w:rFonts w:hint="eastAsia" w:ascii="宋体" w:hAnsi="宋体"/>
                <w:color w:val="auto"/>
                <w:szCs w:val="21"/>
                <w:highlight w:val="none"/>
              </w:rPr>
              <w:t>24.1</w:t>
            </w:r>
          </w:p>
        </w:tc>
        <w:tc>
          <w:tcPr>
            <w:tcW w:w="8356" w:type="dxa"/>
            <w:vAlign w:val="center"/>
          </w:tcPr>
          <w:p w14:paraId="6165A9D3">
            <w:pPr>
              <w:spacing w:line="360" w:lineRule="auto"/>
              <w:jc w:val="left"/>
              <w:rPr>
                <w:rFonts w:ascii="宋体" w:hAnsi="宋体"/>
                <w:color w:val="auto"/>
                <w:szCs w:val="21"/>
                <w:highlight w:val="none"/>
              </w:rPr>
            </w:pPr>
            <w:r>
              <w:rPr>
                <w:rFonts w:hint="eastAsia" w:ascii="宋体" w:hAnsi="宋体"/>
                <w:color w:val="auto"/>
                <w:szCs w:val="21"/>
                <w:highlight w:val="none"/>
              </w:rPr>
              <w:t>谈判小组的人数：</w:t>
            </w:r>
            <w:r>
              <w:rPr>
                <w:rFonts w:ascii="宋体" w:hAnsi="宋体"/>
                <w:color w:val="auto"/>
                <w:szCs w:val="21"/>
                <w:highlight w:val="none"/>
              </w:rPr>
              <w:t>3</w:t>
            </w:r>
            <w:r>
              <w:rPr>
                <w:rFonts w:hint="eastAsia" w:ascii="宋体" w:hAnsi="宋体"/>
                <w:color w:val="auto"/>
                <w:szCs w:val="21"/>
                <w:highlight w:val="none"/>
              </w:rPr>
              <w:t>人。</w:t>
            </w:r>
          </w:p>
        </w:tc>
      </w:tr>
      <w:tr w14:paraId="3F44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74140A52">
            <w:pPr>
              <w:spacing w:line="360" w:lineRule="auto"/>
              <w:jc w:val="center"/>
              <w:rPr>
                <w:rFonts w:ascii="宋体" w:hAnsi="宋体"/>
                <w:color w:val="auto"/>
                <w:szCs w:val="21"/>
                <w:highlight w:val="none"/>
              </w:rPr>
            </w:pPr>
            <w:r>
              <w:rPr>
                <w:rFonts w:hint="eastAsia" w:ascii="宋体" w:hAnsi="宋体"/>
                <w:color w:val="auto"/>
                <w:szCs w:val="21"/>
                <w:highlight w:val="none"/>
              </w:rPr>
              <w:t>25</w:t>
            </w:r>
          </w:p>
        </w:tc>
        <w:tc>
          <w:tcPr>
            <w:tcW w:w="8356" w:type="dxa"/>
            <w:vAlign w:val="center"/>
          </w:tcPr>
          <w:p w14:paraId="019EC9B7">
            <w:pPr>
              <w:spacing w:line="360" w:lineRule="auto"/>
              <w:jc w:val="left"/>
              <w:rPr>
                <w:rFonts w:ascii="宋体" w:hAnsi="宋体"/>
                <w:color w:val="auto"/>
                <w:szCs w:val="21"/>
                <w:highlight w:val="none"/>
              </w:rPr>
            </w:pPr>
            <w:r>
              <w:rPr>
                <w:rFonts w:hint="eastAsia" w:ascii="宋体" w:hAnsi="宋体"/>
                <w:color w:val="auto"/>
                <w:szCs w:val="21"/>
                <w:highlight w:val="none"/>
              </w:rPr>
              <w:t>首次响应文件开启时间详见“竞争性谈判公告”。</w:t>
            </w:r>
          </w:p>
          <w:p w14:paraId="538C9951">
            <w:pPr>
              <w:spacing w:line="360" w:lineRule="auto"/>
              <w:jc w:val="left"/>
              <w:rPr>
                <w:rFonts w:ascii="宋体" w:hAnsi="宋体"/>
                <w:color w:val="auto"/>
                <w:szCs w:val="21"/>
                <w:highlight w:val="none"/>
              </w:rPr>
            </w:pPr>
            <w:r>
              <w:rPr>
                <w:rFonts w:hint="eastAsia" w:ascii="宋体" w:hAnsi="宋体"/>
                <w:color w:val="auto"/>
                <w:szCs w:val="21"/>
                <w:highlight w:val="none"/>
              </w:rPr>
              <w:t>首次响应文件解密时间：30分钟。</w:t>
            </w:r>
          </w:p>
        </w:tc>
      </w:tr>
      <w:tr w14:paraId="6281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Merge w:val="restart"/>
            <w:vAlign w:val="center"/>
          </w:tcPr>
          <w:p w14:paraId="27ED4BFC">
            <w:pPr>
              <w:spacing w:line="360" w:lineRule="auto"/>
              <w:jc w:val="center"/>
              <w:rPr>
                <w:rFonts w:ascii="宋体" w:hAnsi="宋体"/>
                <w:color w:val="auto"/>
                <w:szCs w:val="21"/>
                <w:highlight w:val="none"/>
              </w:rPr>
            </w:pPr>
            <w:r>
              <w:rPr>
                <w:rFonts w:hint="eastAsia" w:ascii="宋体" w:hAnsi="宋体"/>
                <w:color w:val="auto"/>
                <w:szCs w:val="21"/>
                <w:highlight w:val="none"/>
              </w:rPr>
              <w:t>26.2</w:t>
            </w:r>
          </w:p>
        </w:tc>
        <w:tc>
          <w:tcPr>
            <w:tcW w:w="8356" w:type="dxa"/>
            <w:vAlign w:val="center"/>
          </w:tcPr>
          <w:p w14:paraId="5031DB3F">
            <w:pPr>
              <w:spacing w:line="360" w:lineRule="auto"/>
              <w:jc w:val="left"/>
              <w:rPr>
                <w:rFonts w:ascii="宋体" w:hAnsi="宋体"/>
                <w:color w:val="auto"/>
                <w:szCs w:val="21"/>
                <w:highlight w:val="none"/>
              </w:rPr>
            </w:pPr>
            <w:r>
              <w:rPr>
                <w:rFonts w:hint="eastAsia" w:ascii="宋体" w:hAnsi="宋体"/>
                <w:color w:val="auto"/>
                <w:szCs w:val="21"/>
                <w:highlight w:val="none"/>
              </w:rPr>
              <w:t>商务要求评审中允许负偏离的条款数为0项。</w:t>
            </w:r>
          </w:p>
          <w:p w14:paraId="59A15ED4">
            <w:pPr>
              <w:spacing w:line="360" w:lineRule="auto"/>
              <w:jc w:val="left"/>
              <w:rPr>
                <w:rFonts w:ascii="宋体" w:hAnsi="宋体"/>
                <w:color w:val="auto"/>
                <w:szCs w:val="21"/>
                <w:highlight w:val="none"/>
              </w:rPr>
            </w:pPr>
            <w:r>
              <w:rPr>
                <w:rFonts w:hint="eastAsia" w:ascii="宋体" w:hAnsi="宋体"/>
                <w:color w:val="auto"/>
                <w:szCs w:val="21"/>
                <w:highlight w:val="none"/>
              </w:rPr>
              <w:t>技术要求评审中允许负偏离的条款数为0项。</w:t>
            </w:r>
          </w:p>
        </w:tc>
      </w:tr>
      <w:tr w14:paraId="3638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Merge w:val="continue"/>
            <w:vAlign w:val="center"/>
          </w:tcPr>
          <w:p w14:paraId="2154CFE8">
            <w:pPr>
              <w:spacing w:line="360" w:lineRule="auto"/>
              <w:jc w:val="center"/>
              <w:rPr>
                <w:rFonts w:ascii="宋体" w:hAnsi="宋体"/>
                <w:color w:val="auto"/>
                <w:szCs w:val="21"/>
                <w:highlight w:val="none"/>
              </w:rPr>
            </w:pPr>
          </w:p>
        </w:tc>
        <w:tc>
          <w:tcPr>
            <w:tcW w:w="8356" w:type="dxa"/>
            <w:vAlign w:val="center"/>
          </w:tcPr>
          <w:p w14:paraId="3DB170CC">
            <w:pPr>
              <w:spacing w:line="360" w:lineRule="auto"/>
              <w:contextualSpacing/>
              <w:rPr>
                <w:rFonts w:ascii="宋体" w:hAnsi="宋体"/>
                <w:color w:val="auto"/>
                <w:szCs w:val="21"/>
                <w:highlight w:val="none"/>
              </w:rPr>
            </w:pPr>
            <w:r>
              <w:rPr>
                <w:rFonts w:hint="eastAsia" w:ascii="宋体" w:hAnsi="宋体"/>
                <w:color w:val="auto"/>
                <w:szCs w:val="21"/>
                <w:highlight w:val="none"/>
              </w:rPr>
              <w:t>谈判的顺序：系统自动提取的顺序</w:t>
            </w:r>
          </w:p>
        </w:tc>
      </w:tr>
      <w:tr w14:paraId="0409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Merge w:val="continue"/>
            <w:vAlign w:val="center"/>
          </w:tcPr>
          <w:p w14:paraId="11BE4842">
            <w:pPr>
              <w:spacing w:line="360" w:lineRule="auto"/>
              <w:jc w:val="center"/>
              <w:rPr>
                <w:rFonts w:ascii="宋体" w:hAnsi="宋体"/>
                <w:color w:val="auto"/>
                <w:szCs w:val="21"/>
                <w:highlight w:val="none"/>
              </w:rPr>
            </w:pPr>
          </w:p>
        </w:tc>
        <w:tc>
          <w:tcPr>
            <w:tcW w:w="8356" w:type="dxa"/>
            <w:vAlign w:val="center"/>
          </w:tcPr>
          <w:p w14:paraId="752BFB44">
            <w:pPr>
              <w:spacing w:line="360" w:lineRule="auto"/>
              <w:contextualSpacing/>
              <w:rPr>
                <w:rFonts w:ascii="宋体" w:hAnsi="宋体"/>
                <w:color w:val="auto"/>
                <w:szCs w:val="21"/>
                <w:highlight w:val="none"/>
              </w:rPr>
            </w:pPr>
            <w:r>
              <w:rPr>
                <w:rFonts w:hint="eastAsia" w:ascii="宋体" w:hAnsi="宋体"/>
                <w:color w:val="auto"/>
                <w:szCs w:val="21"/>
                <w:highlight w:val="none"/>
              </w:rPr>
              <w:t>评审价相同时，按照最后报价由低到高顺序依次推荐；最后报价相同时，按施工组织设计优劣顺序依次推荐</w:t>
            </w:r>
          </w:p>
        </w:tc>
      </w:tr>
      <w:tr w14:paraId="3FBA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20E9E96F">
            <w:pPr>
              <w:spacing w:line="360" w:lineRule="auto"/>
              <w:jc w:val="center"/>
              <w:rPr>
                <w:rFonts w:ascii="宋体" w:hAnsi="宋体"/>
                <w:color w:val="auto"/>
                <w:szCs w:val="21"/>
                <w:highlight w:val="none"/>
              </w:rPr>
            </w:pPr>
            <w:r>
              <w:rPr>
                <w:rFonts w:ascii="宋体" w:hAnsi="宋体"/>
                <w:color w:val="auto"/>
                <w:szCs w:val="21"/>
                <w:highlight w:val="none"/>
              </w:rPr>
              <w:t>28.1</w:t>
            </w:r>
          </w:p>
        </w:tc>
        <w:tc>
          <w:tcPr>
            <w:tcW w:w="8356" w:type="dxa"/>
            <w:vAlign w:val="center"/>
          </w:tcPr>
          <w:p w14:paraId="05D0DCA5">
            <w:pPr>
              <w:spacing w:line="360" w:lineRule="auto"/>
              <w:jc w:val="lef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p w14:paraId="152B095F">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本项目收取履约保证金，具体规定如下：</w:t>
            </w:r>
          </w:p>
          <w:p w14:paraId="5D9B2477">
            <w:pPr>
              <w:spacing w:line="360" w:lineRule="auto"/>
              <w:contextualSpacing/>
              <w:rPr>
                <w:rFonts w:hint="eastAsia" w:ascii="宋体" w:hAnsi="宋体"/>
                <w:color w:val="auto"/>
                <w:szCs w:val="21"/>
                <w:highlight w:val="none"/>
              </w:rPr>
            </w:pPr>
            <w:r>
              <w:rPr>
                <w:rFonts w:hint="eastAsia" w:ascii="宋体" w:hAnsi="宋体"/>
                <w:color w:val="auto"/>
                <w:szCs w:val="21"/>
                <w:highlight w:val="none"/>
              </w:rPr>
              <w:t>履约保证金金额：成交供应商在</w:t>
            </w:r>
            <w:r>
              <w:rPr>
                <w:rFonts w:hint="eastAsia" w:ascii="宋体" w:hAnsi="宋体"/>
                <w:color w:val="auto"/>
                <w:szCs w:val="21"/>
                <w:highlight w:val="none"/>
                <w:lang w:val="en-US" w:eastAsia="zh-CN"/>
              </w:rPr>
              <w:t>中标通知书发出后</w:t>
            </w:r>
            <w:r>
              <w:rPr>
                <w:rFonts w:hint="eastAsia" w:ascii="宋体" w:hAnsi="宋体"/>
                <w:color w:val="auto"/>
                <w:szCs w:val="21"/>
                <w:highlight w:val="none"/>
              </w:rPr>
              <w:t>向采购人缴纳合同总金额5%（中小企业2%）的履约保证金。</w:t>
            </w:r>
            <w:bookmarkStart w:id="1290" w:name="_GoBack"/>
            <w:bookmarkEnd w:id="1290"/>
          </w:p>
          <w:p w14:paraId="127BE236">
            <w:pPr>
              <w:spacing w:line="360" w:lineRule="auto"/>
              <w:contextualSpacing/>
              <w:rPr>
                <w:rFonts w:ascii="宋体" w:hAnsi="宋体"/>
                <w:color w:val="auto"/>
                <w:szCs w:val="21"/>
                <w:highlight w:val="none"/>
              </w:rPr>
            </w:pPr>
            <w:r>
              <w:rPr>
                <w:rFonts w:hint="eastAsia" w:ascii="宋体" w:hAnsi="宋体"/>
                <w:color w:val="auto"/>
                <w:szCs w:val="21"/>
                <w:highlight w:val="none"/>
              </w:rPr>
              <w:t>履约保证金提交方式：银行转账、支票、汇票、本票或者金融、担保机构出具的保函等非现金方式（参照竞标保证金）。</w:t>
            </w:r>
          </w:p>
          <w:p w14:paraId="5E83E306">
            <w:pPr>
              <w:spacing w:line="360" w:lineRule="auto"/>
              <w:jc w:val="left"/>
              <w:rPr>
                <w:rFonts w:ascii="宋体" w:hAnsi="宋体"/>
                <w:color w:val="auto"/>
                <w:szCs w:val="21"/>
                <w:highlight w:val="none"/>
              </w:rPr>
            </w:pPr>
            <w:r>
              <w:rPr>
                <w:rFonts w:hint="eastAsia" w:ascii="宋体" w:hAnsi="宋体"/>
                <w:color w:val="auto"/>
                <w:szCs w:val="21"/>
                <w:highlight w:val="none"/>
              </w:rPr>
              <w:t>履约保证金退付方式、时间及条件：采购人在收到验收合格材料后，成交供应商提出书面申请，采购人在扣除成交供应商赔偿金或其他应从成交供应商扣回的款项后，20个工作日内，一次性向成交供应商返还剩余部分的履约保证金（无息）。合同履行期间，成交供应商存在违约的，采购人有权从履约保证金中先行抵扣，不足部分由成交供应商另行支付，采购人直接从履约保证金中扣除的，成交供应商应于接到采购人补足履约保证金通知之日起3个工作日内补足。</w:t>
            </w:r>
          </w:p>
          <w:p w14:paraId="26763FDF">
            <w:pPr>
              <w:spacing w:line="360" w:lineRule="auto"/>
              <w:contextualSpacing/>
              <w:rPr>
                <w:rFonts w:ascii="宋体" w:hAnsi="宋体"/>
                <w:color w:val="auto"/>
                <w:szCs w:val="21"/>
                <w:highlight w:val="none"/>
              </w:rPr>
            </w:pPr>
            <w:r>
              <w:rPr>
                <w:rFonts w:hint="eastAsia" w:ascii="宋体" w:hAnsi="宋体"/>
                <w:color w:val="auto"/>
                <w:szCs w:val="21"/>
                <w:highlight w:val="none"/>
              </w:rPr>
              <w:t>如：由成交供应商向履约保证金收取单位提供《广西壮族自治区政府采购项目合同验收书》（详见桂财采〔2015〕22号），保证金收取单位在收到合格材料后5个工作日内办理退还手续（不计利息）。</w:t>
            </w:r>
          </w:p>
          <w:p w14:paraId="080479DD">
            <w:pPr>
              <w:spacing w:line="360" w:lineRule="auto"/>
              <w:contextualSpacing/>
              <w:rPr>
                <w:rFonts w:ascii="宋体" w:hAnsi="宋体"/>
                <w:color w:val="auto"/>
                <w:szCs w:val="21"/>
                <w:highlight w:val="none"/>
              </w:rPr>
            </w:pPr>
            <w:r>
              <w:rPr>
                <w:rFonts w:hint="eastAsia" w:ascii="宋体" w:hAnsi="宋体"/>
                <w:color w:val="auto"/>
                <w:szCs w:val="21"/>
                <w:highlight w:val="none"/>
              </w:rPr>
              <w:t>履约保证金指定账户：</w:t>
            </w:r>
          </w:p>
          <w:p w14:paraId="5CD9EDA6">
            <w:pPr>
              <w:spacing w:line="360" w:lineRule="auto"/>
              <w:jc w:val="left"/>
              <w:rPr>
                <w:rFonts w:hint="eastAsia" w:ascii="宋体" w:hAnsi="宋体" w:eastAsia="宋体"/>
                <w:color w:val="auto"/>
                <w:szCs w:val="21"/>
                <w:highlight w:val="none"/>
                <w:lang w:eastAsia="zh-CN"/>
              </w:rPr>
            </w:pPr>
            <w:r>
              <w:rPr>
                <w:rFonts w:hint="eastAsia" w:ascii="宋体" w:hAnsi="宋体"/>
                <w:color w:val="auto"/>
                <w:szCs w:val="21"/>
                <w:highlight w:val="none"/>
              </w:rPr>
              <w:t>开户名称：</w:t>
            </w:r>
            <w:r>
              <w:rPr>
                <w:rFonts w:hint="eastAsia" w:ascii="宋体" w:hAnsi="宋体"/>
                <w:color w:val="auto"/>
                <w:szCs w:val="21"/>
                <w:highlight w:val="none"/>
                <w:lang w:eastAsia="zh-CN"/>
              </w:rPr>
              <w:t>广西壮族自治区人民医院</w:t>
            </w:r>
          </w:p>
          <w:p w14:paraId="644BA649">
            <w:pPr>
              <w:spacing w:line="360" w:lineRule="auto"/>
              <w:jc w:val="left"/>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s="宋体"/>
                <w:color w:val="auto"/>
                <w:highlight w:val="none"/>
                <w:lang w:eastAsia="zh-CN"/>
              </w:rPr>
              <w:t>中国民生银行股份有限公司南宁金湖支行</w:t>
            </w:r>
          </w:p>
          <w:p w14:paraId="407DF1E8">
            <w:pPr>
              <w:spacing w:line="360" w:lineRule="auto"/>
              <w:jc w:val="left"/>
              <w:rPr>
                <w:rFonts w:ascii="宋体" w:hAnsi="宋体"/>
                <w:color w:val="auto"/>
                <w:szCs w:val="21"/>
                <w:highlight w:val="none"/>
              </w:rPr>
            </w:pPr>
            <w:r>
              <w:rPr>
                <w:rFonts w:hint="eastAsia" w:ascii="宋体" w:hAnsi="宋体"/>
                <w:color w:val="auto"/>
                <w:szCs w:val="21"/>
                <w:highlight w:val="none"/>
              </w:rPr>
              <w:t>银行账号：</w:t>
            </w:r>
            <w:r>
              <w:rPr>
                <w:rFonts w:hint="eastAsia" w:ascii="宋体" w:hAnsi="宋体" w:cs="宋体"/>
                <w:color w:val="auto"/>
                <w:highlight w:val="none"/>
                <w:lang w:eastAsia="zh-CN"/>
              </w:rPr>
              <w:t>6313 33260</w:t>
            </w:r>
          </w:p>
          <w:p w14:paraId="1EFAB65A">
            <w:pPr>
              <w:spacing w:line="360" w:lineRule="auto"/>
              <w:contextualSpacing/>
              <w:rPr>
                <w:rFonts w:ascii="宋体" w:hAnsi="宋体"/>
                <w:b/>
                <w:color w:val="auto"/>
                <w:szCs w:val="21"/>
                <w:highlight w:val="none"/>
              </w:rPr>
            </w:pPr>
            <w:r>
              <w:rPr>
                <w:rFonts w:hint="eastAsia" w:ascii="宋体" w:hAnsi="宋体"/>
                <w:color w:val="auto"/>
                <w:szCs w:val="21"/>
                <w:highlight w:val="none"/>
              </w:rPr>
              <w:t>备注：</w:t>
            </w:r>
            <w:r>
              <w:rPr>
                <w:rFonts w:hint="eastAsia" w:ascii="宋体" w:hAnsi="宋体"/>
                <w:color w:val="auto"/>
                <w:szCs w:val="21"/>
                <w:highlight w:val="none"/>
              </w:rPr>
              <w:br w:type="textWrapping"/>
            </w:r>
            <w:r>
              <w:rPr>
                <w:rFonts w:hint="eastAsia" w:ascii="宋体" w:hAnsi="宋体"/>
                <w:b/>
                <w:color w:val="auto"/>
                <w:szCs w:val="21"/>
                <w:highlight w:val="none"/>
              </w:rPr>
              <w:t>1</w:t>
            </w:r>
            <w:r>
              <w:rPr>
                <w:rFonts w:ascii="宋体" w:hAnsi="宋体"/>
                <w:b/>
                <w:color w:val="auto"/>
                <w:szCs w:val="21"/>
                <w:highlight w:val="none"/>
              </w:rPr>
              <w:t>.</w:t>
            </w:r>
            <w:r>
              <w:rPr>
                <w:rFonts w:hint="eastAsia" w:ascii="宋体" w:hAnsi="宋体"/>
                <w:b/>
                <w:color w:val="auto"/>
                <w:szCs w:val="21"/>
                <w:highlight w:val="none"/>
              </w:rPr>
              <w:t xml:space="preserve"> </w:t>
            </w:r>
            <w:bookmarkStart w:id="8" w:name="_Hlk54170335"/>
            <w:bookmarkStart w:id="9" w:name="OLE_LINK1"/>
            <w:r>
              <w:rPr>
                <w:rFonts w:hint="eastAsia" w:ascii="宋体" w:hAnsi="宋体"/>
                <w:b/>
                <w:color w:val="auto"/>
                <w:szCs w:val="21"/>
                <w:highlight w:val="none"/>
              </w:rPr>
              <w:t>根据《西壮族自治区财政厅关于持续优化政府采购营商环境推动高质量发展的通知》（桂财采〔2024〕55号）规定，采购文件要求中标或者成交供应商提交履约保证金的，履约保证金数额不得超过政府采购合同金额的5%，对中小企业收取的履约保证金数额不得超过政府采购合同金额的2%。预算单位（采购人）可根据供应商的资信等情况减免履约保证金。政府采购工程以及与工程建设有关的货物、服务采用招标方式采购的，履约保证金减免从其规定。</w:t>
            </w:r>
            <w:bookmarkEnd w:id="8"/>
          </w:p>
          <w:bookmarkEnd w:id="9"/>
          <w:p w14:paraId="1B2C42BC">
            <w:pPr>
              <w:spacing w:line="360" w:lineRule="auto"/>
              <w:contextualSpacing/>
              <w:rPr>
                <w:rFonts w:ascii="宋体" w:hAnsi="宋体"/>
                <w:b/>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w:t>
            </w:r>
            <w:r>
              <w:rPr>
                <w:rFonts w:hint="eastAsia" w:ascii="宋体" w:hAnsi="宋体"/>
                <w:b/>
                <w:color w:val="auto"/>
                <w:szCs w:val="21"/>
                <w:highlight w:val="none"/>
              </w:rPr>
              <w:t>履约保证金不足额缴纳的，或者金融、担保机构出具的保函额度不足的或者保函有效期低于合同履行期限（即签订采购合同之日起至履行完合同约定的权利及义务之日止）的，不予签订合同。</w:t>
            </w:r>
            <w:r>
              <w:rPr>
                <w:rFonts w:hint="eastAsia" w:ascii="宋体" w:hAnsi="宋体"/>
                <w:b/>
                <w:color w:val="auto"/>
                <w:szCs w:val="21"/>
                <w:highlight w:val="none"/>
              </w:rPr>
              <w:br w:type="textWrapping"/>
            </w:r>
            <w:r>
              <w:rPr>
                <w:rFonts w:ascii="宋体" w:hAnsi="宋体"/>
                <w:b/>
                <w:color w:val="auto"/>
                <w:szCs w:val="21"/>
                <w:highlight w:val="none"/>
              </w:rPr>
              <w:t>3.</w:t>
            </w:r>
            <w:r>
              <w:rPr>
                <w:rFonts w:hint="eastAsia" w:ascii="宋体" w:hAnsi="宋体"/>
                <w:b/>
                <w:color w:val="auto"/>
                <w:szCs w:val="21"/>
                <w:highlight w:val="none"/>
              </w:rPr>
              <w:t>采用金融、担保机构出具的保函的，必须为无条件保函，否则不予签订合同。</w:t>
            </w:r>
          </w:p>
          <w:p w14:paraId="3CA863C4">
            <w:pPr>
              <w:spacing w:line="360" w:lineRule="auto"/>
              <w:jc w:val="left"/>
              <w:rPr>
                <w:rFonts w:ascii="宋体" w:hAnsi="宋体"/>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供应商为联合体的，由联合体任意一方按规定提交的履约保证金，视为有效履约保证金。</w:t>
            </w:r>
          </w:p>
        </w:tc>
      </w:tr>
      <w:tr w14:paraId="5BD2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F03827A">
            <w:pPr>
              <w:spacing w:line="360" w:lineRule="auto"/>
              <w:jc w:val="center"/>
              <w:rPr>
                <w:rFonts w:ascii="宋体" w:hAnsi="宋体"/>
                <w:color w:val="auto"/>
                <w:szCs w:val="21"/>
                <w:highlight w:val="none"/>
              </w:rPr>
            </w:pPr>
            <w:r>
              <w:rPr>
                <w:rFonts w:hint="eastAsia" w:ascii="宋体" w:hAnsi="宋体"/>
                <w:color w:val="auto"/>
                <w:szCs w:val="21"/>
                <w:highlight w:val="none"/>
              </w:rPr>
              <w:t>29.1</w:t>
            </w:r>
          </w:p>
        </w:tc>
        <w:tc>
          <w:tcPr>
            <w:tcW w:w="8356" w:type="dxa"/>
            <w:vAlign w:val="center"/>
          </w:tcPr>
          <w:p w14:paraId="4890DBE4">
            <w:pPr>
              <w:spacing w:line="360" w:lineRule="auto"/>
              <w:jc w:val="left"/>
              <w:rPr>
                <w:rFonts w:ascii="宋体" w:hAnsi="宋体"/>
                <w:color w:val="auto"/>
                <w:szCs w:val="21"/>
                <w:highlight w:val="none"/>
              </w:rPr>
            </w:pPr>
            <w:r>
              <w:rPr>
                <w:rFonts w:hint="eastAsia" w:ascii="宋体" w:hAnsi="宋体"/>
                <w:color w:val="auto"/>
                <w:szCs w:val="21"/>
                <w:highlight w:val="none"/>
              </w:rPr>
              <w:t>签订合同携带的证明材料：</w:t>
            </w:r>
          </w:p>
          <w:p w14:paraId="70BC7FD2">
            <w:pPr>
              <w:spacing w:line="360" w:lineRule="auto"/>
              <w:jc w:val="left"/>
              <w:rPr>
                <w:rFonts w:ascii="宋体" w:hAnsi="宋体"/>
                <w:color w:val="auto"/>
                <w:szCs w:val="21"/>
                <w:highlight w:val="none"/>
              </w:rPr>
            </w:pPr>
            <w:r>
              <w:rPr>
                <w:rFonts w:hint="eastAsia" w:ascii="宋体" w:hAnsi="宋体"/>
                <w:color w:val="auto"/>
                <w:szCs w:val="21"/>
                <w:highlight w:val="none"/>
              </w:rPr>
              <w:t>1.委托代理人负责签订合同的，须携带授权委托书及委托代理人身份证原件等其他资格证件。</w:t>
            </w:r>
          </w:p>
          <w:p w14:paraId="280FBA0B">
            <w:pPr>
              <w:spacing w:line="360" w:lineRule="auto"/>
              <w:jc w:val="left"/>
              <w:rPr>
                <w:rFonts w:ascii="宋体" w:hAnsi="宋体"/>
                <w:color w:val="auto"/>
                <w:szCs w:val="21"/>
                <w:highlight w:val="none"/>
              </w:rPr>
            </w:pPr>
            <w:r>
              <w:rPr>
                <w:rFonts w:hint="eastAsia" w:ascii="宋体" w:hAnsi="宋体"/>
                <w:color w:val="auto"/>
                <w:szCs w:val="21"/>
                <w:highlight w:val="none"/>
              </w:rPr>
              <w:t>2.法定代表人负责签订合同的，须携带法定代表人身份证明原件及身份证原件等其他证明材料。</w:t>
            </w:r>
          </w:p>
        </w:tc>
      </w:tr>
      <w:tr w14:paraId="1963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64668EB9">
            <w:pPr>
              <w:spacing w:line="360" w:lineRule="auto"/>
              <w:jc w:val="center"/>
              <w:rPr>
                <w:rFonts w:ascii="宋体" w:hAnsi="宋体"/>
                <w:color w:val="auto"/>
                <w:szCs w:val="21"/>
                <w:highlight w:val="none"/>
              </w:rPr>
            </w:pPr>
            <w:r>
              <w:rPr>
                <w:rFonts w:hint="eastAsia" w:ascii="宋体" w:hAnsi="宋体"/>
                <w:color w:val="auto"/>
                <w:szCs w:val="21"/>
                <w:highlight w:val="none"/>
              </w:rPr>
              <w:t>31.2</w:t>
            </w:r>
          </w:p>
        </w:tc>
        <w:tc>
          <w:tcPr>
            <w:tcW w:w="8356" w:type="dxa"/>
            <w:vAlign w:val="center"/>
          </w:tcPr>
          <w:p w14:paraId="52D0C142">
            <w:pPr>
              <w:spacing w:line="360" w:lineRule="auto"/>
              <w:jc w:val="left"/>
              <w:rPr>
                <w:rFonts w:ascii="宋体" w:hAnsi="宋体"/>
                <w:color w:val="auto"/>
                <w:szCs w:val="21"/>
                <w:highlight w:val="none"/>
              </w:rPr>
            </w:pPr>
            <w:r>
              <w:rPr>
                <w:rFonts w:hint="eastAsia" w:ascii="宋体" w:hAnsi="宋体"/>
                <w:color w:val="auto"/>
                <w:szCs w:val="21"/>
                <w:highlight w:val="none"/>
              </w:rPr>
              <w:t>接收质疑函方式：书面形式。</w:t>
            </w:r>
          </w:p>
          <w:p w14:paraId="127B9D0A">
            <w:pPr>
              <w:spacing w:line="360" w:lineRule="auto"/>
              <w:jc w:val="left"/>
              <w:rPr>
                <w:rFonts w:ascii="宋体" w:hAnsi="宋体"/>
                <w:color w:val="auto"/>
                <w:szCs w:val="21"/>
                <w:highlight w:val="none"/>
              </w:rPr>
            </w:pPr>
            <w:r>
              <w:rPr>
                <w:rFonts w:hint="eastAsia" w:ascii="宋体" w:hAnsi="宋体"/>
                <w:color w:val="auto"/>
                <w:szCs w:val="21"/>
                <w:highlight w:val="none"/>
              </w:rPr>
              <w:t>质疑联系部门及联系方式：联云项目管理咨询有限公司</w:t>
            </w:r>
          </w:p>
          <w:p w14:paraId="61F83145">
            <w:pPr>
              <w:spacing w:line="360" w:lineRule="auto"/>
              <w:jc w:val="left"/>
              <w:rPr>
                <w:rFonts w:ascii="宋体" w:hAnsi="宋体"/>
                <w:color w:val="auto"/>
                <w:szCs w:val="21"/>
                <w:highlight w:val="none"/>
              </w:rPr>
            </w:pPr>
            <w:r>
              <w:rPr>
                <w:rFonts w:hint="eastAsia" w:ascii="宋体" w:hAnsi="宋体"/>
                <w:color w:val="auto"/>
                <w:szCs w:val="21"/>
                <w:highlight w:val="none"/>
              </w:rPr>
              <w:t>联系电话：0771-3138688</w:t>
            </w:r>
          </w:p>
          <w:p w14:paraId="340208F8">
            <w:pPr>
              <w:spacing w:line="360" w:lineRule="auto"/>
              <w:jc w:val="left"/>
              <w:rPr>
                <w:rFonts w:ascii="宋体" w:hAnsi="宋体"/>
                <w:color w:val="auto"/>
                <w:szCs w:val="21"/>
                <w:highlight w:val="none"/>
              </w:rPr>
            </w:pPr>
            <w:r>
              <w:rPr>
                <w:rFonts w:hint="eastAsia" w:ascii="宋体" w:hAnsi="宋体"/>
                <w:color w:val="auto"/>
                <w:szCs w:val="21"/>
                <w:highlight w:val="none"/>
              </w:rPr>
              <w:t>通讯地址：中国（广西）自由贸易试验区南宁片区凯旋路18号广西合景国际金融广场1405、1406号</w:t>
            </w:r>
          </w:p>
          <w:p w14:paraId="47F20FE5">
            <w:pPr>
              <w:spacing w:line="360" w:lineRule="auto"/>
              <w:jc w:val="left"/>
              <w:rPr>
                <w:rFonts w:ascii="宋体" w:hAnsi="宋体"/>
                <w:color w:val="auto"/>
                <w:szCs w:val="21"/>
                <w:highlight w:val="none"/>
              </w:rPr>
            </w:pPr>
            <w:r>
              <w:rPr>
                <w:rFonts w:hint="eastAsia" w:ascii="宋体" w:hAnsi="宋体"/>
                <w:color w:val="auto"/>
                <w:szCs w:val="21"/>
                <w:highlight w:val="none"/>
              </w:rPr>
              <w:t>业务时间：工作日每天上午8：30到12：00，下午2：30到5：30。</w:t>
            </w:r>
          </w:p>
        </w:tc>
      </w:tr>
      <w:tr w14:paraId="6D17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10C110D">
            <w:pPr>
              <w:spacing w:line="360" w:lineRule="auto"/>
              <w:jc w:val="center"/>
              <w:rPr>
                <w:rFonts w:ascii="宋体" w:hAnsi="宋体"/>
                <w:color w:val="auto"/>
                <w:szCs w:val="21"/>
                <w:highlight w:val="none"/>
              </w:rPr>
            </w:pPr>
            <w:r>
              <w:rPr>
                <w:rFonts w:hint="eastAsia" w:ascii="宋体" w:hAnsi="宋体"/>
                <w:color w:val="auto"/>
                <w:szCs w:val="21"/>
                <w:highlight w:val="none"/>
              </w:rPr>
              <w:t>32.1</w:t>
            </w:r>
          </w:p>
        </w:tc>
        <w:tc>
          <w:tcPr>
            <w:tcW w:w="8356" w:type="dxa"/>
            <w:vAlign w:val="center"/>
          </w:tcPr>
          <w:p w14:paraId="09E73330">
            <w:pPr>
              <w:spacing w:line="360" w:lineRule="auto"/>
              <w:jc w:val="left"/>
              <w:rPr>
                <w:rFonts w:ascii="宋体" w:hAnsi="宋体"/>
                <w:color w:val="auto"/>
                <w:szCs w:val="21"/>
                <w:highlight w:val="none"/>
              </w:rPr>
            </w:pPr>
            <w:r>
              <w:rPr>
                <w:rFonts w:hint="eastAsia" w:ascii="宋体" w:hAnsi="宋体"/>
                <w:color w:val="auto"/>
                <w:szCs w:val="21"/>
                <w:highlight w:val="none"/>
              </w:rPr>
              <w:t>1.采购代理费支付方式：</w:t>
            </w:r>
          </w:p>
          <w:p w14:paraId="428E27EE">
            <w:pPr>
              <w:spacing w:line="360" w:lineRule="auto"/>
              <w:jc w:val="left"/>
              <w:rPr>
                <w:rFonts w:ascii="宋体" w:hAnsi="宋体"/>
                <w:color w:val="auto"/>
                <w:szCs w:val="21"/>
                <w:highlight w:val="none"/>
              </w:rPr>
            </w:pPr>
            <w:r>
              <w:rPr>
                <w:rFonts w:hint="eastAsia" w:ascii="宋体" w:hAnsi="宋体"/>
                <w:color w:val="auto"/>
                <w:szCs w:val="21"/>
                <w:highlight w:val="none"/>
              </w:rPr>
              <w:t>本项目代理服务费由成交供应商在领取成交通知书前，一次性向采购代理机构支付。</w:t>
            </w:r>
          </w:p>
          <w:p w14:paraId="46DA6E2F">
            <w:pPr>
              <w:spacing w:line="360" w:lineRule="auto"/>
              <w:jc w:val="left"/>
              <w:rPr>
                <w:rFonts w:ascii="宋体" w:hAnsi="宋体"/>
                <w:color w:val="auto"/>
                <w:szCs w:val="21"/>
                <w:highlight w:val="none"/>
              </w:rPr>
            </w:pPr>
            <w:r>
              <w:rPr>
                <w:rFonts w:hint="eastAsia" w:ascii="宋体" w:hAnsi="宋体"/>
                <w:color w:val="auto"/>
                <w:szCs w:val="21"/>
                <w:highlight w:val="none"/>
              </w:rPr>
              <w:t>2.采购代理费收取标准：</w:t>
            </w:r>
          </w:p>
          <w:p w14:paraId="3E267F4C">
            <w:pPr>
              <w:spacing w:line="360" w:lineRule="auto"/>
              <w:jc w:val="left"/>
              <w:rPr>
                <w:rFonts w:ascii="宋体" w:hAnsi="宋体"/>
                <w:color w:val="auto"/>
                <w:szCs w:val="21"/>
                <w:highlight w:val="none"/>
              </w:rPr>
            </w:pPr>
            <w:r>
              <w:rPr>
                <w:rFonts w:hint="eastAsia" w:ascii="宋体" w:hAnsi="宋体"/>
                <w:color w:val="auto"/>
                <w:szCs w:val="21"/>
                <w:highlight w:val="none"/>
              </w:rPr>
              <w:t>以成交金额为计费额，按本须知正文第</w:t>
            </w:r>
            <w:r>
              <w:rPr>
                <w:rFonts w:ascii="宋体" w:hAnsi="宋体"/>
                <w:color w:val="auto"/>
                <w:szCs w:val="21"/>
                <w:highlight w:val="none"/>
              </w:rPr>
              <w:t>32.2</w:t>
            </w:r>
            <w:r>
              <w:rPr>
                <w:rFonts w:hint="eastAsia" w:ascii="宋体" w:hAnsi="宋体"/>
                <w:color w:val="auto"/>
                <w:szCs w:val="21"/>
                <w:highlight w:val="none"/>
              </w:rPr>
              <w:t>条规定的工程类收费标准采用差额定率累进法计算出收费基准价格，采购代理收费以收费基准价格收取。</w:t>
            </w:r>
          </w:p>
          <w:p w14:paraId="6A9CDB54">
            <w:pPr>
              <w:spacing w:line="360" w:lineRule="auto"/>
              <w:jc w:val="left"/>
              <w:rPr>
                <w:rFonts w:ascii="宋体" w:hAnsi="宋体"/>
                <w:color w:val="auto"/>
                <w:szCs w:val="21"/>
                <w:highlight w:val="none"/>
              </w:rPr>
            </w:pPr>
            <w:r>
              <w:rPr>
                <w:rFonts w:hint="eastAsia" w:ascii="宋体" w:hAnsi="宋体"/>
                <w:color w:val="auto"/>
                <w:szCs w:val="21"/>
                <w:highlight w:val="none"/>
              </w:rPr>
              <w:t>3.采购代理费收取银行账户</w:t>
            </w:r>
          </w:p>
          <w:p w14:paraId="1E3EE0E1">
            <w:pPr>
              <w:spacing w:line="360" w:lineRule="auto"/>
              <w:jc w:val="left"/>
              <w:rPr>
                <w:rFonts w:hint="eastAsia" w:ascii="宋体" w:hAnsi="宋体"/>
                <w:color w:val="auto"/>
                <w:szCs w:val="21"/>
                <w:highlight w:val="none"/>
              </w:rPr>
            </w:pPr>
            <w:r>
              <w:rPr>
                <w:rFonts w:hint="eastAsia" w:ascii="宋体" w:hAnsi="宋体"/>
                <w:color w:val="auto"/>
                <w:szCs w:val="21"/>
                <w:highlight w:val="none"/>
              </w:rPr>
              <w:t>开户名称：联云项目管理咨询有限公司广西分公司</w:t>
            </w:r>
          </w:p>
          <w:p w14:paraId="3D9B4C0B">
            <w:pPr>
              <w:spacing w:line="360" w:lineRule="auto"/>
              <w:jc w:val="left"/>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eastAsia="宋体" w:cs="宋体"/>
                <w:color w:val="auto"/>
                <w:sz w:val="21"/>
                <w:highlight w:val="none"/>
              </w:rPr>
              <w:t>桂林银行股份有限公司南宁分行</w:t>
            </w:r>
          </w:p>
          <w:p w14:paraId="6DB0FD55">
            <w:pPr>
              <w:spacing w:line="360" w:lineRule="auto"/>
              <w:jc w:val="left"/>
              <w:rPr>
                <w:rFonts w:ascii="宋体" w:hAnsi="宋体"/>
                <w:color w:val="auto"/>
                <w:szCs w:val="21"/>
                <w:highlight w:val="none"/>
              </w:rPr>
            </w:pPr>
            <w:r>
              <w:rPr>
                <w:rFonts w:hint="eastAsia" w:ascii="宋体" w:hAnsi="宋体"/>
                <w:color w:val="auto"/>
                <w:szCs w:val="21"/>
                <w:highlight w:val="none"/>
              </w:rPr>
              <w:t>银行账号：</w:t>
            </w:r>
            <w:r>
              <w:rPr>
                <w:rFonts w:hint="eastAsia" w:ascii="宋体" w:hAnsi="宋体" w:eastAsia="宋体" w:cs="宋体"/>
                <w:color w:val="auto"/>
                <w:sz w:val="21"/>
                <w:highlight w:val="none"/>
              </w:rPr>
              <w:t>6600 0002 5126 7000 10</w:t>
            </w:r>
          </w:p>
        </w:tc>
      </w:tr>
      <w:tr w14:paraId="1F8B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459D4B9">
            <w:pPr>
              <w:spacing w:line="360" w:lineRule="auto"/>
              <w:jc w:val="center"/>
              <w:rPr>
                <w:rFonts w:ascii="宋体" w:hAnsi="宋体"/>
                <w:color w:val="auto"/>
                <w:szCs w:val="21"/>
                <w:highlight w:val="none"/>
              </w:rPr>
            </w:pPr>
            <w:r>
              <w:rPr>
                <w:rFonts w:hint="eastAsia" w:ascii="宋体" w:hAnsi="宋体"/>
                <w:color w:val="auto"/>
                <w:szCs w:val="21"/>
                <w:highlight w:val="none"/>
              </w:rPr>
              <w:t>33.1</w:t>
            </w:r>
          </w:p>
        </w:tc>
        <w:tc>
          <w:tcPr>
            <w:tcW w:w="8356" w:type="dxa"/>
            <w:vAlign w:val="center"/>
          </w:tcPr>
          <w:p w14:paraId="16866862">
            <w:pPr>
              <w:spacing w:line="360" w:lineRule="auto"/>
              <w:jc w:val="left"/>
              <w:rPr>
                <w:rFonts w:ascii="宋体" w:hAnsi="宋体"/>
                <w:color w:val="auto"/>
                <w:szCs w:val="21"/>
                <w:highlight w:val="none"/>
              </w:rPr>
            </w:pPr>
            <w:r>
              <w:rPr>
                <w:rFonts w:hint="eastAsia" w:ascii="宋体" w:hAnsi="宋体"/>
                <w:color w:val="auto"/>
                <w:szCs w:val="21"/>
                <w:highlight w:val="none"/>
              </w:rPr>
              <w:t>解释：</w:t>
            </w:r>
            <w:r>
              <w:rPr>
                <w:rFonts w:hAnsi="宋体"/>
                <w:color w:val="auto"/>
                <w:highlight w:val="none"/>
              </w:rPr>
              <w:t>构成本</w:t>
            </w:r>
            <w:r>
              <w:rPr>
                <w:rFonts w:hint="eastAsia" w:hAnsi="宋体"/>
                <w:color w:val="auto"/>
                <w:highlight w:val="none"/>
              </w:rPr>
              <w:t>谈判文件</w:t>
            </w:r>
            <w:r>
              <w:rPr>
                <w:rFonts w:hAnsi="宋体"/>
                <w:color w:val="auto"/>
                <w:highlight w:val="none"/>
              </w:rPr>
              <w:t>的各个组成文件应互为解释，互为说明；除</w:t>
            </w:r>
            <w:r>
              <w:rPr>
                <w:rFonts w:hint="eastAsia" w:hAnsi="宋体"/>
                <w:color w:val="auto"/>
                <w:highlight w:val="none"/>
              </w:rPr>
              <w:t>谈判文件</w:t>
            </w:r>
            <w:r>
              <w:rPr>
                <w:rFonts w:hAnsi="宋体"/>
                <w:color w:val="auto"/>
                <w:highlight w:val="none"/>
              </w:rPr>
              <w:t>中有特别规定外，仅适用于</w:t>
            </w:r>
            <w:r>
              <w:rPr>
                <w:rFonts w:hint="eastAsia" w:hAnsi="宋体"/>
                <w:color w:val="auto"/>
                <w:highlight w:val="none"/>
              </w:rPr>
              <w:t>竞标</w:t>
            </w:r>
            <w:r>
              <w:rPr>
                <w:rFonts w:hAnsi="宋体"/>
                <w:color w:val="auto"/>
                <w:highlight w:val="none"/>
              </w:rPr>
              <w:t>阶段的规定，按</w:t>
            </w:r>
            <w:r>
              <w:rPr>
                <w:rFonts w:hint="eastAsia" w:hAnsi="宋体"/>
                <w:color w:val="auto"/>
                <w:highlight w:val="none"/>
              </w:rPr>
              <w:t>更正公告（澄清公告）</w:t>
            </w:r>
            <w:r>
              <w:rPr>
                <w:rFonts w:hAnsi="宋体"/>
                <w:color w:val="auto"/>
                <w:highlight w:val="none"/>
              </w:rPr>
              <w:t>、</w:t>
            </w:r>
            <w:r>
              <w:rPr>
                <w:rFonts w:hint="eastAsia" w:hAnsi="宋体"/>
                <w:color w:val="auto"/>
                <w:highlight w:val="none"/>
              </w:rPr>
              <w:t>竞争性谈判</w:t>
            </w:r>
            <w:r>
              <w:rPr>
                <w:rFonts w:hAnsi="宋体"/>
                <w:color w:val="auto"/>
                <w:highlight w:val="none"/>
              </w:rPr>
              <w:t>公告、</w:t>
            </w:r>
            <w:r>
              <w:rPr>
                <w:rFonts w:hint="eastAsia" w:hAnsi="宋体"/>
                <w:color w:val="auto"/>
                <w:highlight w:val="none"/>
              </w:rPr>
              <w:t>供应商</w:t>
            </w:r>
            <w:r>
              <w:rPr>
                <w:rFonts w:hAnsi="宋体"/>
                <w:color w:val="auto"/>
                <w:highlight w:val="none"/>
              </w:rPr>
              <w:t>须知</w:t>
            </w:r>
            <w:r>
              <w:rPr>
                <w:rFonts w:hint="eastAsia" w:hAnsi="宋体"/>
                <w:color w:val="auto"/>
                <w:highlight w:val="none"/>
              </w:rPr>
              <w:t>、采购需求</w:t>
            </w:r>
            <w:r>
              <w:rPr>
                <w:rFonts w:hAnsi="宋体"/>
                <w:color w:val="auto"/>
                <w:highlight w:val="none"/>
              </w:rPr>
              <w:t>、</w:t>
            </w:r>
            <w:r>
              <w:rPr>
                <w:rFonts w:hint="eastAsia"/>
                <w:color w:val="auto"/>
                <w:highlight w:val="none"/>
              </w:rPr>
              <w:t>评审程序和评定成交的标准</w:t>
            </w:r>
            <w:r>
              <w:rPr>
                <w:rFonts w:hAnsi="宋体"/>
                <w:color w:val="auto"/>
                <w:highlight w:val="none"/>
              </w:rPr>
              <w:t>、</w:t>
            </w:r>
            <w:r>
              <w:rPr>
                <w:rFonts w:hint="eastAsia" w:hAnsi="宋体"/>
                <w:color w:val="auto"/>
                <w:highlight w:val="none"/>
              </w:rPr>
              <w:t>响应</w:t>
            </w:r>
            <w:r>
              <w:rPr>
                <w:rFonts w:hAnsi="宋体"/>
                <w:color w:val="auto"/>
                <w:highlight w:val="none"/>
              </w:rPr>
              <w:t>文件格式</w:t>
            </w:r>
            <w:r>
              <w:rPr>
                <w:rFonts w:hint="eastAsia" w:hAnsi="宋体"/>
                <w:color w:val="auto"/>
                <w:highlight w:val="none"/>
              </w:rPr>
              <w:t>、合同文本</w:t>
            </w:r>
            <w:r>
              <w:rPr>
                <w:rFonts w:hAnsi="宋体"/>
                <w:color w:val="auto"/>
                <w:highlight w:val="none"/>
              </w:rPr>
              <w:t>的先后顺序解释；同一组成文件中就同一事项的规定或约定不一致的，以编排顺序在后者为准；同一组成文件不同版本之间有不一致的，以形成时间在后者为准；</w:t>
            </w:r>
            <w:r>
              <w:rPr>
                <w:rFonts w:hint="eastAsia" w:hAnsi="宋体"/>
                <w:color w:val="auto"/>
                <w:highlight w:val="none"/>
              </w:rPr>
              <w:t>更正公告（澄清公告）</w:t>
            </w:r>
            <w:r>
              <w:rPr>
                <w:rFonts w:hAnsi="宋体"/>
                <w:color w:val="auto"/>
                <w:highlight w:val="none"/>
              </w:rPr>
              <w:t>与同步更新的</w:t>
            </w:r>
            <w:r>
              <w:rPr>
                <w:rFonts w:hint="eastAsia" w:hAnsi="宋体"/>
                <w:color w:val="auto"/>
                <w:highlight w:val="none"/>
              </w:rPr>
              <w:t>谈判文件</w:t>
            </w:r>
            <w:r>
              <w:rPr>
                <w:rFonts w:hAnsi="宋体"/>
                <w:color w:val="auto"/>
                <w:highlight w:val="none"/>
              </w:rPr>
              <w:t>不一致时以</w:t>
            </w:r>
            <w:r>
              <w:rPr>
                <w:rFonts w:hint="eastAsia" w:hAnsi="宋体"/>
                <w:color w:val="auto"/>
                <w:highlight w:val="none"/>
              </w:rPr>
              <w:t>更正公告（澄清公告）</w:t>
            </w:r>
            <w:r>
              <w:rPr>
                <w:rFonts w:hAnsi="宋体"/>
                <w:color w:val="auto"/>
                <w:highlight w:val="none"/>
              </w:rPr>
              <w:t>为准。按本款前述规定仍不能形成结论的，由</w:t>
            </w:r>
            <w:r>
              <w:rPr>
                <w:rFonts w:hint="eastAsia" w:hAnsi="宋体"/>
                <w:color w:val="auto"/>
                <w:highlight w:val="none"/>
              </w:rPr>
              <w:t>采购</w:t>
            </w:r>
            <w:r>
              <w:rPr>
                <w:rFonts w:hAnsi="宋体"/>
                <w:color w:val="auto"/>
                <w:highlight w:val="none"/>
              </w:rPr>
              <w:t>人</w:t>
            </w:r>
            <w:r>
              <w:rPr>
                <w:rFonts w:hint="eastAsia" w:hAnsi="宋体"/>
                <w:color w:val="auto"/>
                <w:highlight w:val="none"/>
              </w:rPr>
              <w:t>或者采购代理机构</w:t>
            </w:r>
            <w:r>
              <w:rPr>
                <w:rFonts w:hAnsi="宋体"/>
                <w:color w:val="auto"/>
                <w:highlight w:val="none"/>
              </w:rPr>
              <w:t>负责解释</w:t>
            </w:r>
            <w:r>
              <w:rPr>
                <w:rFonts w:hint="eastAsia" w:ascii="宋体" w:hAnsi="宋体"/>
                <w:color w:val="auto"/>
                <w:szCs w:val="21"/>
                <w:highlight w:val="none"/>
              </w:rPr>
              <w:t>。</w:t>
            </w:r>
          </w:p>
        </w:tc>
      </w:tr>
      <w:tr w14:paraId="03AA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FD492FF">
            <w:pPr>
              <w:spacing w:line="360" w:lineRule="auto"/>
              <w:jc w:val="center"/>
              <w:rPr>
                <w:rFonts w:ascii="宋体" w:hAnsi="宋体"/>
                <w:color w:val="auto"/>
                <w:szCs w:val="21"/>
                <w:highlight w:val="none"/>
              </w:rPr>
            </w:pPr>
            <w:r>
              <w:rPr>
                <w:rFonts w:hint="eastAsia" w:ascii="宋体" w:hAnsi="宋体"/>
                <w:color w:val="auto"/>
                <w:szCs w:val="21"/>
                <w:highlight w:val="none"/>
              </w:rPr>
              <w:t>33.2</w:t>
            </w:r>
          </w:p>
        </w:tc>
        <w:tc>
          <w:tcPr>
            <w:tcW w:w="8356" w:type="dxa"/>
            <w:vAlign w:val="center"/>
          </w:tcPr>
          <w:p w14:paraId="318A1A47">
            <w:pPr>
              <w:spacing w:line="360" w:lineRule="auto"/>
              <w:jc w:val="left"/>
              <w:rPr>
                <w:rFonts w:ascii="宋体" w:hAnsi="宋体"/>
                <w:color w:val="auto"/>
                <w:szCs w:val="21"/>
                <w:highlight w:val="none"/>
              </w:rPr>
            </w:pPr>
            <w:r>
              <w:rPr>
                <w:rFonts w:hint="eastAsia" w:ascii="宋体" w:hAnsi="宋体"/>
                <w:color w:val="auto"/>
                <w:szCs w:val="21"/>
                <w:highlight w:val="none"/>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成交供应商。</w:t>
            </w:r>
          </w:p>
        </w:tc>
      </w:tr>
      <w:tr w14:paraId="6BFB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7BFA3289">
            <w:pPr>
              <w:spacing w:line="360" w:lineRule="auto"/>
              <w:jc w:val="center"/>
              <w:rPr>
                <w:rFonts w:ascii="宋体" w:hAnsi="宋体"/>
                <w:color w:val="auto"/>
                <w:szCs w:val="21"/>
                <w:highlight w:val="none"/>
              </w:rPr>
            </w:pPr>
            <w:r>
              <w:rPr>
                <w:rFonts w:hint="eastAsia" w:ascii="宋体" w:hAnsi="宋体"/>
                <w:color w:val="auto"/>
                <w:szCs w:val="21"/>
                <w:highlight w:val="none"/>
              </w:rPr>
              <w:t>33.3</w:t>
            </w:r>
          </w:p>
        </w:tc>
        <w:tc>
          <w:tcPr>
            <w:tcW w:w="8356" w:type="dxa"/>
            <w:vAlign w:val="center"/>
          </w:tcPr>
          <w:p w14:paraId="2265F95A">
            <w:pPr>
              <w:spacing w:line="360" w:lineRule="auto"/>
              <w:jc w:val="left"/>
              <w:rPr>
                <w:rFonts w:ascii="宋体" w:hAnsi="宋体"/>
                <w:color w:val="auto"/>
                <w:szCs w:val="21"/>
                <w:highlight w:val="none"/>
              </w:rPr>
            </w:pPr>
            <w:r>
              <w:rPr>
                <w:rFonts w:hint="eastAsia" w:ascii="宋体" w:hAnsi="宋体"/>
                <w:color w:val="auto"/>
                <w:szCs w:val="21"/>
                <w:highlight w:val="none"/>
              </w:rPr>
              <w:t>1.本谈判文件中描述供应商的“公章”是指根据我国对公章的管理规定，用供应商法定主体名称制作的印章或供应商通过指定电子化政府采购平台办理数字证书（CA认证）获得的以法定主体名称制作的电子印章。除本谈判文件有特殊规定外，供应商的财务章、部门章、分公司章、工会章、合同章、投标专用章、业务专用章及银行的转账章、现金收讫章、现金付讫章等其他形式印章均不能代替公章。</w:t>
            </w:r>
          </w:p>
          <w:p w14:paraId="1B229764">
            <w:pPr>
              <w:spacing w:line="360" w:lineRule="auto"/>
              <w:jc w:val="left"/>
              <w:rPr>
                <w:rFonts w:ascii="宋体" w:hAnsi="宋体"/>
                <w:color w:val="auto"/>
                <w:szCs w:val="21"/>
                <w:highlight w:val="none"/>
              </w:rPr>
            </w:pPr>
            <w:r>
              <w:rPr>
                <w:rFonts w:hint="eastAsia" w:ascii="宋体" w:hAnsi="宋体"/>
                <w:color w:val="auto"/>
                <w:szCs w:val="21"/>
                <w:highlight w:val="none"/>
              </w:rPr>
              <w:t>2.供应商为其他组织或者自然人时，本谈判文件规定的法定代表人指负责人或者自然人。本谈判文件所称负责人是指参加谈判的其他组织营业执照或者执业许可证等证照上的负责人，本谈判文件所称自然人指参与谈判的自然人本人，且应具备独立承担民事责任能力，自然人应当为年满18岁以上成年人（十六周岁以上的未成年人，以自己的劳动收入为主要生活来源的，视为完全民事行为能力人）。</w:t>
            </w:r>
          </w:p>
          <w:p w14:paraId="1377080D">
            <w:pPr>
              <w:spacing w:line="360" w:lineRule="auto"/>
              <w:jc w:val="left"/>
              <w:rPr>
                <w:rFonts w:ascii="宋体" w:hAnsi="宋体"/>
                <w:color w:val="auto"/>
                <w:szCs w:val="21"/>
                <w:highlight w:val="none"/>
              </w:rPr>
            </w:pPr>
            <w:r>
              <w:rPr>
                <w:rFonts w:hint="eastAsia" w:ascii="宋体" w:hAnsi="宋体"/>
                <w:color w:val="auto"/>
                <w:szCs w:val="21"/>
                <w:highlight w:val="none"/>
              </w:rPr>
              <w:t>3.本谈判文件中描述供应商的“签字”是指供应商的法定代表人或者委托代理人在文件规定签署处签名或者指供应商通过指定电子化政府采购平台办理数字证书（CA认证）获得的以供应商法定代表人或者委托代理人姓名制作的电子印章签名的行为，私章、印鉴等其他形式均不能代替签字。</w:t>
            </w:r>
          </w:p>
          <w:p w14:paraId="5D82FBBF">
            <w:pPr>
              <w:spacing w:line="360" w:lineRule="auto"/>
              <w:jc w:val="left"/>
              <w:rPr>
                <w:rFonts w:ascii="宋体" w:hAnsi="宋体"/>
                <w:color w:val="auto"/>
                <w:szCs w:val="21"/>
                <w:highlight w:val="none"/>
              </w:rPr>
            </w:pPr>
            <w:r>
              <w:rPr>
                <w:rFonts w:hint="eastAsia" w:ascii="宋体" w:hAnsi="宋体"/>
                <w:color w:val="auto"/>
                <w:szCs w:val="21"/>
                <w:highlight w:val="none"/>
              </w:rPr>
              <w:t>4.本谈判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7428976D">
            <w:pPr>
              <w:spacing w:line="360" w:lineRule="auto"/>
              <w:jc w:val="left"/>
              <w:rPr>
                <w:rFonts w:ascii="宋体" w:hAnsi="宋体"/>
                <w:color w:val="auto"/>
                <w:szCs w:val="21"/>
                <w:highlight w:val="none"/>
              </w:rPr>
            </w:pPr>
            <w:r>
              <w:rPr>
                <w:rFonts w:hint="eastAsia" w:ascii="宋体" w:hAnsi="宋体"/>
                <w:color w:val="auto"/>
                <w:szCs w:val="21"/>
                <w:highlight w:val="none"/>
              </w:rPr>
              <w:t>5.自然人投标的，谈判文件规定盖公章处由自然人摁手指指印。</w:t>
            </w:r>
          </w:p>
          <w:p w14:paraId="3BB96B9C">
            <w:pPr>
              <w:spacing w:line="360" w:lineRule="auto"/>
              <w:jc w:val="left"/>
              <w:rPr>
                <w:rFonts w:ascii="宋体" w:hAnsi="宋体"/>
                <w:color w:val="auto"/>
                <w:szCs w:val="21"/>
                <w:highlight w:val="none"/>
              </w:rPr>
            </w:pPr>
            <w:r>
              <w:rPr>
                <w:rFonts w:hint="eastAsia" w:ascii="宋体" w:hAnsi="宋体"/>
                <w:color w:val="auto"/>
                <w:szCs w:val="21"/>
                <w:highlight w:val="none"/>
              </w:rPr>
              <w:t>6.本谈判文件所称的“以上”“以下”“以内”“届满”，包括本数；所称的“不满”“超过”“以外”，不包括本数。</w:t>
            </w:r>
          </w:p>
        </w:tc>
      </w:tr>
      <w:tr w14:paraId="1041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7D9F5CB">
            <w:pPr>
              <w:spacing w:line="360" w:lineRule="auto"/>
              <w:jc w:val="center"/>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3.5</w:t>
            </w:r>
          </w:p>
        </w:tc>
        <w:tc>
          <w:tcPr>
            <w:tcW w:w="8356" w:type="dxa"/>
            <w:vAlign w:val="center"/>
          </w:tcPr>
          <w:p w14:paraId="34CDFCC0">
            <w:pPr>
              <w:spacing w:line="360" w:lineRule="auto"/>
              <w:jc w:val="left"/>
              <w:rPr>
                <w:rFonts w:ascii="宋体" w:hAnsi="宋体"/>
                <w:color w:val="auto"/>
                <w:szCs w:val="21"/>
                <w:highlight w:val="none"/>
              </w:rPr>
            </w:pPr>
            <w:r>
              <w:rPr>
                <w:rFonts w:hint="eastAsia" w:ascii="宋体" w:hAnsi="宋体"/>
                <w:color w:val="auto"/>
                <w:szCs w:val="21"/>
                <w:highlight w:val="none"/>
              </w:rPr>
              <w:t>现场踏勘：</w:t>
            </w:r>
          </w:p>
          <w:p w14:paraId="1DA02F4D">
            <w:pPr>
              <w:spacing w:line="360" w:lineRule="auto"/>
              <w:jc w:val="left"/>
              <w:rPr>
                <w:rFonts w:ascii="宋体" w:hAnsi="宋体"/>
                <w:color w:val="auto"/>
                <w:szCs w:val="21"/>
                <w:highlight w:val="none"/>
              </w:rPr>
            </w:pPr>
            <w:r>
              <w:rPr>
                <w:rFonts w:hint="eastAsia" w:ascii="宋体" w:hAnsi="宋体"/>
                <w:color w:val="auto"/>
                <w:szCs w:val="21"/>
                <w:highlight w:val="none"/>
              </w:rPr>
              <w:t>1.本项目不统一组织现场踏勘，供应商如需全面了解项目现场情况，可自行前往现场踏勘。如因不了解现场导致投标失误由供应商自行承担后果。</w:t>
            </w:r>
          </w:p>
          <w:p w14:paraId="41474E33">
            <w:pPr>
              <w:spacing w:line="360" w:lineRule="auto"/>
              <w:jc w:val="left"/>
              <w:rPr>
                <w:rFonts w:ascii="宋体" w:hAnsi="宋体"/>
                <w:color w:val="auto"/>
                <w:szCs w:val="21"/>
                <w:highlight w:val="none"/>
              </w:rPr>
            </w:pPr>
            <w:r>
              <w:rPr>
                <w:rFonts w:hint="eastAsia" w:ascii="宋体" w:hAnsi="宋体"/>
                <w:color w:val="auto"/>
                <w:szCs w:val="21"/>
                <w:highlight w:val="none"/>
              </w:rPr>
              <w:t>2.供应商承担踏勘现场所发生的费用和自身安全责任。</w:t>
            </w:r>
          </w:p>
          <w:p w14:paraId="3EEFED0B">
            <w:pPr>
              <w:spacing w:line="360" w:lineRule="auto"/>
              <w:jc w:val="left"/>
              <w:rPr>
                <w:rFonts w:ascii="宋体" w:hAnsi="宋体"/>
                <w:color w:val="auto"/>
                <w:szCs w:val="21"/>
                <w:highlight w:val="none"/>
              </w:rPr>
            </w:pPr>
            <w:r>
              <w:rPr>
                <w:rFonts w:hint="eastAsia" w:ascii="宋体" w:hAnsi="宋体"/>
                <w:color w:val="auto"/>
                <w:szCs w:val="21"/>
                <w:highlight w:val="none"/>
              </w:rPr>
              <w:t>3.采购人不对供应商在踏勘现场后做出的判断和决策负责。</w:t>
            </w:r>
          </w:p>
        </w:tc>
      </w:tr>
    </w:tbl>
    <w:p w14:paraId="473659E2">
      <w:pPr>
        <w:pStyle w:val="3"/>
        <w:jc w:val="center"/>
        <w:rPr>
          <w:color w:val="auto"/>
          <w:highlight w:val="none"/>
        </w:rPr>
      </w:pPr>
      <w:bookmarkStart w:id="10" w:name="_Toc29101"/>
      <w:bookmarkStart w:id="11" w:name="_Toc22737"/>
      <w:r>
        <w:rPr>
          <w:rFonts w:hint="eastAsia"/>
          <w:color w:val="auto"/>
          <w:highlight w:val="none"/>
        </w:rPr>
        <w:t>供应商须知正文</w:t>
      </w:r>
      <w:bookmarkEnd w:id="10"/>
      <w:bookmarkEnd w:id="11"/>
    </w:p>
    <w:p w14:paraId="153DE7C8">
      <w:pPr>
        <w:pStyle w:val="4"/>
        <w:jc w:val="center"/>
        <w:rPr>
          <w:rFonts w:ascii="宋体" w:hAnsi="宋体"/>
          <w:color w:val="auto"/>
          <w:sz w:val="28"/>
          <w:szCs w:val="28"/>
          <w:highlight w:val="none"/>
        </w:rPr>
      </w:pPr>
      <w:bookmarkStart w:id="12" w:name="_Toc2178"/>
      <w:bookmarkStart w:id="13" w:name="_Toc30884"/>
      <w:r>
        <w:rPr>
          <w:rFonts w:hint="eastAsia" w:ascii="宋体" w:hAnsi="宋体"/>
          <w:color w:val="auto"/>
          <w:sz w:val="28"/>
          <w:szCs w:val="28"/>
          <w:highlight w:val="none"/>
        </w:rPr>
        <w:t>一、总则</w:t>
      </w:r>
      <w:bookmarkEnd w:id="12"/>
      <w:bookmarkEnd w:id="13"/>
    </w:p>
    <w:p w14:paraId="5FB3FC31">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1.适用范围</w:t>
      </w:r>
    </w:p>
    <w:p w14:paraId="1C26620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175CB4D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1.2本竞争性谈判文件（以下简称谈判文件）适用于本项目的所有采购程序和环节（法律、法规另有规定的，从其规定）。</w:t>
      </w:r>
    </w:p>
    <w:p w14:paraId="27D441E0">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2.定义</w:t>
      </w:r>
    </w:p>
    <w:p w14:paraId="2A47190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2.1“采购人”是指依法进行政府采购的国家机关、事业单位、团体组织。</w:t>
      </w:r>
    </w:p>
    <w:p w14:paraId="52CBAF6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2.2“采购代理机构”是指政府采购集中采购机构和集中采购机构以外的采购代理机构。</w:t>
      </w:r>
    </w:p>
    <w:p w14:paraId="4234759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2.3“供应商”是指向采购人提供货物、工程或者服务的法人、其他组织或者自然人。</w:t>
      </w:r>
    </w:p>
    <w:p w14:paraId="3C8C202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2.4“工程”是指建设工程，包括建筑物和构筑物的新建、改建、扩建、装修、拆除、修缮等。</w:t>
      </w:r>
    </w:p>
    <w:p w14:paraId="45DC913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2.5“竞标”是指按照本项目竞争性谈判公告或者邀请函规定的方式供应商获取谈判文件、提交响应文件并希望获得标的的行为。</w:t>
      </w:r>
    </w:p>
    <w:p w14:paraId="01C5B15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2.6“书面形式”是指合同书、信件和数据电文（包括电报、电传、传真、电子数据交换和电子邮件）等可以有形地表现所载内容的形式。</w:t>
      </w:r>
    </w:p>
    <w:p w14:paraId="5E15C79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2.7“响应文件”是指：供应商根据本谈判文件要求，编制包含报价、技术和服务等所有内容的文件。</w:t>
      </w:r>
    </w:p>
    <w:p w14:paraId="62B79A5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2.8“实质性要求”是指采购需求中带“▲”的条款或者不能负偏离的条款或者已经指明不满足按响应文件按无效处理的条款。</w:t>
      </w:r>
    </w:p>
    <w:p w14:paraId="689A8BC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2.9“正偏离”，是指响应文件对谈判文件“采购需求”中有关条款作出的响应优于条款要求并有利于采购人的响应情形。</w:t>
      </w:r>
    </w:p>
    <w:p w14:paraId="3B8F9CF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2.10“负偏离”，是指响应文件对谈判文件“采购需求”中有关条款作出的响应不满足条款要求，导致采购人要求不能得到满足的情形。</w:t>
      </w:r>
    </w:p>
    <w:p w14:paraId="07276BF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2.11“允许负偏离的条款”是指采购需求中的不属于“实质性要求”的条款。</w:t>
      </w:r>
    </w:p>
    <w:p w14:paraId="355D9F8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2.12“首次报价”是指供应商提交的首次响应文件中的竞标报价。</w:t>
      </w:r>
    </w:p>
    <w:p w14:paraId="4231911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2.13“评审报价”是指供应商提交的最后报价并经修正（如有）和政策功能价格扣除（如有）后的价格。</w:t>
      </w:r>
    </w:p>
    <w:p w14:paraId="30164466">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3.供应商的资格条件</w:t>
      </w:r>
    </w:p>
    <w:p w14:paraId="4E4100D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供应商的资格条件详见“供应商须知前附表”。</w:t>
      </w:r>
    </w:p>
    <w:p w14:paraId="3BF966AA">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4.竞标费用</w:t>
      </w:r>
    </w:p>
    <w:p w14:paraId="1BDCD96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307F69A6">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5.联合体竞标</w:t>
      </w:r>
    </w:p>
    <w:p w14:paraId="3BC8ACB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5.1本项目是否接受联合体参加竞争性谈判，详见“供应商须知前附表”。</w:t>
      </w:r>
    </w:p>
    <w:p w14:paraId="4478A9B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5.2如接受联合体参加竞争性谈判，相关要求详见“供应商须知前附表”。</w:t>
      </w:r>
    </w:p>
    <w:p w14:paraId="1E7CCA3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5.3根据《政府采购促进中小企业发展管理办法》（财库[2020]46号）第九条及《广西壮族自治区财政厅关于持续优化政府采购营商环境推动高质量发展的通知》（桂财采〔2024〕55号）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14:paraId="637CCEC2">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6.转包与分包</w:t>
      </w:r>
    </w:p>
    <w:p w14:paraId="0079D21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6.1本项目不允许转包。</w:t>
      </w:r>
    </w:p>
    <w:p w14:paraId="6B5071F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1C80588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6.3供应商根据谈判文件的规定和采购项目的实际情况，拟在成交后将成交项目的非主体、非关键性工作分包的，应当在响应文件中载明分包承担主体，分包承担主体应当具备相应资质条件且不得再次分包。</w:t>
      </w:r>
    </w:p>
    <w:p w14:paraId="7896718F">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7.特别说明</w:t>
      </w:r>
    </w:p>
    <w:p w14:paraId="599343A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7.1如果本谈判文件要求提供供应商或制造商的资格、信誉、荣誉、业绩与企业认证等材料的，资格、信誉、荣誉、业绩与企业认证等必须为供应商或者制造商所拥有或自身获得。</w:t>
      </w:r>
    </w:p>
    <w:p w14:paraId="46FCA09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2</w:t>
      </w:r>
      <w:r>
        <w:rPr>
          <w:rFonts w:hint="eastAsia" w:ascii="宋体" w:hAnsi="宋体"/>
          <w:color w:val="auto"/>
          <w:szCs w:val="21"/>
          <w:highlight w:val="none"/>
        </w:rPr>
        <w:t>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2DA722A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7.3供应商应仔细阅读谈判文件的所有内容，按照谈判文件的要求提交响应文件，并对所提供的全部资料的真实性承担法律责任。</w:t>
      </w:r>
    </w:p>
    <w:p w14:paraId="1DA218B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7.4在政府采购活动中，采购人员及相关人员与供应商有下列利害关系之一的，应当回避：</w:t>
      </w:r>
    </w:p>
    <w:p w14:paraId="02465DB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（1）参加采购活动前3年内与供应商存在劳动关系；</w:t>
      </w:r>
    </w:p>
    <w:p w14:paraId="52E0E16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（2）参加采购活动前3年内担任供应商的董事、监事；</w:t>
      </w:r>
    </w:p>
    <w:p w14:paraId="6369F0E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（3）参加采购活动前3年内是供应商的控股股东或者实际控制人；</w:t>
      </w:r>
    </w:p>
    <w:p w14:paraId="32E8495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（4）与供应商的法定代表人或者负责人有夫妻、直系血亲、三代以内旁系血亲或者近姻亲关系；</w:t>
      </w:r>
    </w:p>
    <w:p w14:paraId="08B8F8E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（5）与供应商有其他可能影响政府采购活动公平、公正进行的关系。</w:t>
      </w:r>
    </w:p>
    <w:p w14:paraId="17ED3EA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A95BA6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5</w:t>
      </w:r>
      <w:r>
        <w:rPr>
          <w:rFonts w:hint="eastAsia" w:ascii="宋体" w:hAnsi="宋体"/>
          <w:color w:val="auto"/>
          <w:szCs w:val="21"/>
          <w:highlight w:val="none"/>
        </w:rPr>
        <w:t>有下列情形之一的视为供应商相互串通竞标，响应文件将被视为无效：</w:t>
      </w:r>
    </w:p>
    <w:p w14:paraId="71664C5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（1）不同供应商的响应文件由同一单位或者个人编制；</w:t>
      </w:r>
    </w:p>
    <w:p w14:paraId="76A45FC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（2）不同供应商委托同一单位或者个人办理竞标事宜；</w:t>
      </w:r>
    </w:p>
    <w:p w14:paraId="3F8453E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（3）不同的供应商的响应文件载明的项目管理员为同一个人；</w:t>
      </w:r>
    </w:p>
    <w:p w14:paraId="2C5CE10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（4）不同供应商的响应文件异常一致或者报价呈规律性差异；</w:t>
      </w:r>
    </w:p>
    <w:p w14:paraId="6C63CE3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（5）不同供应商的响应文件相互混装；</w:t>
      </w:r>
    </w:p>
    <w:p w14:paraId="111920F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（6）不同供应商的竞标保证金从同一单位或者个人账户转出。</w:t>
      </w:r>
      <w:r>
        <w:rPr>
          <w:rFonts w:hint="eastAsia" w:ascii="宋体" w:hAnsi="宋体"/>
          <w:color w:val="auto"/>
          <w:szCs w:val="21"/>
          <w:highlight w:val="none"/>
        </w:rPr>
        <w:tab/>
      </w:r>
    </w:p>
    <w:p w14:paraId="7F0FE97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6</w:t>
      </w:r>
      <w:r>
        <w:rPr>
          <w:rFonts w:hint="eastAsia" w:ascii="宋体" w:hAnsi="宋体"/>
          <w:color w:val="auto"/>
          <w:szCs w:val="21"/>
          <w:highlight w:val="none"/>
        </w:rPr>
        <w:t>供应商有下列情形之一的，属于恶意串通行为</w:t>
      </w:r>
      <w:bookmarkStart w:id="14" w:name="_Hlk54682620"/>
      <w:r>
        <w:rPr>
          <w:rFonts w:hint="eastAsia" w:ascii="宋体" w:hAnsi="宋体"/>
          <w:color w:val="auto"/>
          <w:szCs w:val="21"/>
          <w:highlight w:val="none"/>
        </w:rPr>
        <w:t>，将报同级监督管理部门</w:t>
      </w:r>
      <w:bookmarkEnd w:id="14"/>
      <w:r>
        <w:rPr>
          <w:rFonts w:hint="eastAsia" w:ascii="宋体" w:hAnsi="宋体"/>
          <w:color w:val="auto"/>
          <w:szCs w:val="21"/>
          <w:highlight w:val="none"/>
        </w:rPr>
        <w:t>：</w:t>
      </w:r>
    </w:p>
    <w:p w14:paraId="2933C60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（1）供应商直接或者间接从采购人或者采购代理机构处获得其他供应商的相关信息并修改其响应文件；</w:t>
      </w:r>
    </w:p>
    <w:p w14:paraId="49B60C0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（2）供应商按照采购人或者采购代理机构的授意撤换、修改响应文件；</w:t>
      </w:r>
    </w:p>
    <w:p w14:paraId="659299E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（3）供应商之间协商报价、技术方案等响应文件或者响应文件的实质性内容；</w:t>
      </w:r>
    </w:p>
    <w:p w14:paraId="353612C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（4）属于同一集团、协会、商会等组织成员的供应商按照该组织要求协同参加政府采购活动；</w:t>
      </w:r>
    </w:p>
    <w:p w14:paraId="462408D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CCAB17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（6）供应商之间商定部分供应商放弃参加政府采购活动或者放弃成交；</w:t>
      </w:r>
    </w:p>
    <w:p w14:paraId="32D97E0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（7）供应商与采购人或者采购代理机构之间、供应商相互之间，为谋求特定供应商成交或者排斥其他供应商的其他串通行为。</w:t>
      </w:r>
    </w:p>
    <w:p w14:paraId="77A2911C">
      <w:pPr>
        <w:pStyle w:val="4"/>
        <w:jc w:val="center"/>
        <w:rPr>
          <w:rFonts w:ascii="宋体" w:hAnsi="宋体"/>
          <w:color w:val="auto"/>
          <w:sz w:val="28"/>
          <w:szCs w:val="28"/>
          <w:highlight w:val="none"/>
        </w:rPr>
      </w:pPr>
      <w:bookmarkStart w:id="15" w:name="_Toc3892"/>
      <w:bookmarkStart w:id="16" w:name="_Toc3550"/>
      <w:r>
        <w:rPr>
          <w:rFonts w:hint="eastAsia" w:ascii="宋体" w:hAnsi="宋体"/>
          <w:color w:val="auto"/>
          <w:sz w:val="28"/>
          <w:szCs w:val="28"/>
          <w:highlight w:val="none"/>
        </w:rPr>
        <w:t>二、谈判文件</w:t>
      </w:r>
      <w:bookmarkEnd w:id="15"/>
      <w:bookmarkEnd w:id="16"/>
    </w:p>
    <w:p w14:paraId="514C598E">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8.谈判文件的构成</w:t>
      </w:r>
    </w:p>
    <w:p w14:paraId="169E4FA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（1）竞争性谈判公告；</w:t>
      </w:r>
    </w:p>
    <w:p w14:paraId="1DDFC91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（2）供应商须知；</w:t>
      </w:r>
    </w:p>
    <w:p w14:paraId="12AE7FB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（3）采购需求（工程量清单、图纸）；</w:t>
      </w:r>
    </w:p>
    <w:p w14:paraId="5525EE2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（4）评审程序、评审方法和评审标准；</w:t>
      </w:r>
    </w:p>
    <w:p w14:paraId="6EF5B39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（5）响应文件格式；</w:t>
      </w:r>
    </w:p>
    <w:p w14:paraId="06C43E0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（6）合同文本。</w:t>
      </w:r>
    </w:p>
    <w:p w14:paraId="4685EED1">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9.供应商的询问</w:t>
      </w:r>
    </w:p>
    <w:p w14:paraId="4FC659E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供应商应认真阅读谈判文件的采购需求，如供应商对谈判文件有疑问的，如要求采购人作出澄清或者修改的，供应商尽可能在提交首次响应文件截止之日前，以书面形式向采购人、采购代理机构提出。</w:t>
      </w:r>
    </w:p>
    <w:p w14:paraId="7199C05C">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10.谈判文件的澄清和修改</w:t>
      </w:r>
    </w:p>
    <w:p w14:paraId="5A6612F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10.1</w:t>
      </w:r>
      <w:r>
        <w:rPr>
          <w:rFonts w:ascii="宋体" w:hAnsi="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r>
        <w:rPr>
          <w:rFonts w:hint="eastAsia" w:ascii="宋体" w:hAnsi="宋体"/>
          <w:color w:val="auto"/>
          <w:szCs w:val="21"/>
          <w:highlight w:val="none"/>
        </w:rPr>
        <w:t>。</w:t>
      </w:r>
    </w:p>
    <w:p w14:paraId="29BA06B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10.2采购人和采购代理机构可以视采购具体情况，变更首次响应文件提交截止时间和开启时间，并在原公告发布媒体上发布更正公告。</w:t>
      </w:r>
    </w:p>
    <w:p w14:paraId="7A8610F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10.3谈判文件澄清、答复、修改、补充的内容为谈判文件的组成部分。当谈判文件与谈判文件的澄清、答复、修改、补充通知就同一内容的表述不一致时，以最后发出的文件为准。</w:t>
      </w:r>
    </w:p>
    <w:p w14:paraId="63DA64D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10.4响应文件未按谈判文件的澄清、修改后的内容编制的，其响应文件作无效响应处理。</w:t>
      </w:r>
    </w:p>
    <w:p w14:paraId="02C06A45">
      <w:pPr>
        <w:pStyle w:val="4"/>
        <w:jc w:val="center"/>
        <w:rPr>
          <w:rFonts w:ascii="宋体" w:hAnsi="宋体"/>
          <w:color w:val="auto"/>
          <w:sz w:val="28"/>
          <w:szCs w:val="28"/>
          <w:highlight w:val="none"/>
        </w:rPr>
      </w:pPr>
      <w:bookmarkStart w:id="17" w:name="_Toc22970"/>
      <w:bookmarkStart w:id="18" w:name="_Toc13059"/>
      <w:r>
        <w:rPr>
          <w:rFonts w:hint="eastAsia" w:ascii="宋体" w:hAnsi="宋体"/>
          <w:color w:val="auto"/>
          <w:sz w:val="28"/>
          <w:szCs w:val="28"/>
          <w:highlight w:val="none"/>
        </w:rPr>
        <w:t>三、响应文件的编制</w:t>
      </w:r>
      <w:bookmarkEnd w:id="17"/>
      <w:bookmarkEnd w:id="18"/>
    </w:p>
    <w:p w14:paraId="6BA10E9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11.响应文件的编制原则</w:t>
      </w:r>
    </w:p>
    <w:p w14:paraId="59E293C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供应商必须按照谈判文件的要求编制响应文件，并对其提交的响应文件的真实性、合法性承担法律责任。响应文件必须对谈判文件作出实质性响应。</w:t>
      </w:r>
    </w:p>
    <w:p w14:paraId="652C9DB8">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12.响应文件的组成</w:t>
      </w:r>
    </w:p>
    <w:p w14:paraId="7D167C9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12.1响应文件由资格证明文件、报价文件、商务技术文件三部分组成。</w:t>
      </w:r>
    </w:p>
    <w:p w14:paraId="406A7E1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12.1.1资格证明文件：详见“供应商须知前附表”。</w:t>
      </w:r>
    </w:p>
    <w:p w14:paraId="250BD08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12.1.2报价文件：详见“供应商须知前附表”。</w:t>
      </w:r>
    </w:p>
    <w:p w14:paraId="6A3C885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12.1.3商务技术文件：详见“供应商须知前附表”。</w:t>
      </w:r>
    </w:p>
    <w:p w14:paraId="18FC2CFF">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13.计量单位</w:t>
      </w:r>
    </w:p>
    <w:p w14:paraId="5AE97F9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谈判文件已有明确规定的，使用谈判文件规定的计量单位；谈判文件没有规定的，应采用中华人民共和国法定计量单位，货币种类为人民币，否则视同未响应。</w:t>
      </w:r>
    </w:p>
    <w:p w14:paraId="42FF7FCB">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14.竞标的风险</w:t>
      </w:r>
    </w:p>
    <w:p w14:paraId="022519F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供应商没有按照谈判文件要求提供全部资料，或者供应商没有对谈判文件在各方面作出实质性响应可能导致其响应无效，是供应商应当考虑的风险。</w:t>
      </w:r>
    </w:p>
    <w:p w14:paraId="04AD328C">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15.竞标报价</w:t>
      </w:r>
    </w:p>
    <w:p w14:paraId="4CD539F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15.1竞标报价应按谈判文件中“竞标报价表”格式填写。</w:t>
      </w:r>
    </w:p>
    <w:p w14:paraId="3EB27A4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15.2竞标报价的内容见“供应商须知前附表”。</w:t>
      </w:r>
    </w:p>
    <w:p w14:paraId="47031EA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15.3本项目的增值税计税方法见“供应商须知前附表”。</w:t>
      </w:r>
    </w:p>
    <w:p w14:paraId="25E1C0B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15.4竞标报价要求：</w:t>
      </w:r>
    </w:p>
    <w:p w14:paraId="72A762D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15.4.1供应商的竞争性谈判报价应符合以下要求，否则响应文件按无效响应处理：</w:t>
      </w:r>
    </w:p>
    <w:p w14:paraId="1597105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（1）供应商必须就“采购需求”中所参加竞争性谈判的每个分标的全部内容分别作完整唯一报价，不得存在漏项报价；</w:t>
      </w:r>
    </w:p>
    <w:p w14:paraId="0B32405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（2）供应商必须就所参加竞争性谈判的分标的单项内容作唯一报价。</w:t>
      </w:r>
    </w:p>
    <w:p w14:paraId="2A9A569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15.4.2最后报价超过所竞标分标规定的采购预算金额或者最高限价的，其响应文件将按无效处理。</w:t>
      </w:r>
    </w:p>
    <w:p w14:paraId="1537C92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16.竞标有效期</w:t>
      </w:r>
    </w:p>
    <w:p w14:paraId="570644B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6076019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16.2竞标有效期应由供应商按“供应商须知前附表”规定的期限作出响应。</w:t>
      </w:r>
    </w:p>
    <w:p w14:paraId="5E5C12B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16.3供应商的响应文件在竞标有效期内均保持有效。</w:t>
      </w:r>
    </w:p>
    <w:p w14:paraId="43B4EFD1">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17.竞标保证金</w:t>
      </w:r>
    </w:p>
    <w:p w14:paraId="6885AEC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本项目不收取谈判保证金。</w:t>
      </w:r>
    </w:p>
    <w:p w14:paraId="160461D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18.响应文件编制的要求</w:t>
      </w:r>
    </w:p>
    <w:p w14:paraId="3B2B396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18.1供应商应安装客户端软件—“广西政府采购云平台新版客户端”，并按照谈判文件和电子交易平台的要求编制并加密响应文件。供应商未按规定加密的响应文件，电子交易平台将拒收并提示。响应文件内容不完整、编排混乱导致响应文件被误读、漏读或者查找不到相关内容的，由此引发的后果由供应商承担。</w:t>
      </w:r>
    </w:p>
    <w:p w14:paraId="4A4D2E1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18.2为确保网上操作合法、有效和安全，供应商应当在提交响应文件截止时间前完成在“广西政府采购云平台”的身份认证，确保在谈判过程中能够对相关数据电文进行加密和使用电子签章。使用“广西政府采购云平台电子交易客户端”需要提前申领CA数字证书。</w:t>
      </w:r>
    </w:p>
    <w:p w14:paraId="64E0AB2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18.3响应文件须由供应商按采购文件要求签字、盖章（具体以供应商须知前附表或响应文件格式规定为准），否则按无效响应处理。</w:t>
      </w:r>
    </w:p>
    <w:p w14:paraId="676504E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18.4响应文件中标注的供应商名称应与主体资格证明（如营业执照或者事业单位法人证书或者执业许可证或者登记证书等）及公章一致，否则其响应文件按无效处理。</w:t>
      </w:r>
    </w:p>
    <w:p w14:paraId="155470E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6A77FB02">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19.电子备份响应文件</w:t>
      </w:r>
    </w:p>
    <w:p w14:paraId="262A2DE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本项目不接受备份响应文件。</w:t>
      </w:r>
    </w:p>
    <w:p w14:paraId="46F57C4F">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20.响应文件的提交</w:t>
      </w:r>
    </w:p>
    <w:p w14:paraId="4706534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w:t>
      </w:r>
    </w:p>
    <w:p w14:paraId="1A60D5C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20.2未在规定时间内提交或者未按照谈判文件要求加密的电子响应文件，广西政府采购云平台将拒收。</w:t>
      </w:r>
    </w:p>
    <w:p w14:paraId="7D907AC4">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21.首次响应文件的补充、修改与撤回</w:t>
      </w:r>
    </w:p>
    <w:p w14:paraId="24DCE4B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21.1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注：补充、修改或者撤回方式可登陆广西政府采购云平台（https：//www.gcy.zfcg.gxzf.gov.cn/）中查看。）</w:t>
      </w:r>
    </w:p>
    <w:p w14:paraId="1EDD7D1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21.2在提交响应文件截止时间前，除供应商补充、修改或者撤回响应文件外，任何单位和个人不得解密或提取响应文件。</w:t>
      </w:r>
    </w:p>
    <w:p w14:paraId="6CF7A351">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22.首次响应文件的退回</w:t>
      </w:r>
    </w:p>
    <w:p w14:paraId="11231CA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采购人和采购代理机构对已提交的响应文件概不退回。</w:t>
      </w:r>
    </w:p>
    <w:p w14:paraId="00E7D1AC">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23.截止时间后的撤回</w:t>
      </w:r>
    </w:p>
    <w:p w14:paraId="25316DF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供应商在响应文件提交截止时间后向采购人、采购代理机构书面申请撤回响应文件的，将根据本须知正文第17.4条的规定不予退还其竞标保证金。</w:t>
      </w:r>
    </w:p>
    <w:p w14:paraId="4BF207B6">
      <w:pPr>
        <w:pStyle w:val="4"/>
        <w:jc w:val="center"/>
        <w:rPr>
          <w:rFonts w:ascii="宋体" w:hAnsi="宋体"/>
          <w:color w:val="auto"/>
          <w:sz w:val="28"/>
          <w:szCs w:val="28"/>
          <w:highlight w:val="none"/>
        </w:rPr>
      </w:pPr>
      <w:bookmarkStart w:id="19" w:name="_Toc11147"/>
      <w:bookmarkStart w:id="20" w:name="_Toc16009"/>
      <w:r>
        <w:rPr>
          <w:rFonts w:hint="eastAsia" w:ascii="宋体" w:hAnsi="宋体"/>
          <w:color w:val="auto"/>
          <w:sz w:val="28"/>
          <w:szCs w:val="28"/>
          <w:highlight w:val="none"/>
        </w:rPr>
        <w:t>四、评审及</w:t>
      </w:r>
      <w:bookmarkEnd w:id="19"/>
      <w:bookmarkEnd w:id="20"/>
      <w:r>
        <w:rPr>
          <w:rFonts w:hint="eastAsia" w:ascii="宋体" w:hAnsi="宋体"/>
          <w:color w:val="auto"/>
          <w:sz w:val="28"/>
          <w:szCs w:val="28"/>
          <w:highlight w:val="none"/>
        </w:rPr>
        <w:t>谈判</w:t>
      </w:r>
    </w:p>
    <w:p w14:paraId="775D967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24.谈判小组成立</w:t>
      </w:r>
    </w:p>
    <w:p w14:paraId="4DBCDEE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24.1竞争性谈判小组成立：谈判小组由采购人代表和评审专家共3人以上单数组成，具体人数详见“供应商须知前附表”，其中评审专家人数不得少于竞争性谈判小组成员总数的2/3。采购人代表不得以评审专家身份参加本部门或者本单位采购项目的评审。采购代理机构人员不得参加本机构代理的采购项目的评审。</w:t>
      </w:r>
    </w:p>
    <w:p w14:paraId="027D037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0B12D10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24.3采购代理机构应当基于广西政府采购云平台抽（选）取评审专家。</w:t>
      </w:r>
    </w:p>
    <w:p w14:paraId="41FC7B8B">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25.首次响应文件的开启和解密</w:t>
      </w:r>
    </w:p>
    <w:p w14:paraId="3484AC4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代理机构将在“供应商须知前附表”规定的时间通过电子交易平台组织响应文件开启，供应商的法定代表人或其委托代理人须携带加密时所用的CA锁，按平台提示和谈判文件的规定登录到广西政府采购云平台电子开标大厅签到，采购代理机构依托广西政府采购云平台向各供应商发出电子加密响应文件【开始解密】通知，由供应商按“供应商须知前附表”规定的时间内自行进行响应文件解密。供应商未在规定的时间内解密响应文件或者解密失败的，供应商的响应文件按无效处理。</w:t>
      </w:r>
    </w:p>
    <w:p w14:paraId="274F73BE">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26.评审程序、评审方法和评审标准</w:t>
      </w:r>
    </w:p>
    <w:p w14:paraId="14488D86">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26.1</w:t>
      </w:r>
      <w:r>
        <w:rPr>
          <w:rFonts w:hint="eastAsia"/>
          <w:color w:val="auto"/>
          <w:highlight w:val="none"/>
        </w:rPr>
        <w:t>谈判小组按照“第四章  评审程序和评定成交的标准”规定的评审程序对响应文件进行评审，并按照评定成交的标准推荐成交候选供应商。</w:t>
      </w:r>
    </w:p>
    <w:p w14:paraId="3458979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26.2商务/技术要求允许负偏离的条款数详见“供应商须知前附表”。</w:t>
      </w:r>
    </w:p>
    <w:p w14:paraId="6F9FF49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62CCDA0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26.4电子交易活动的中止。采购过程中出现以下情形，导致电子交易平台无法正常运行，或者无法保证电子交易的公平、公正和安全时，采购机构可中止电子交易活动：</w:t>
      </w:r>
    </w:p>
    <w:p w14:paraId="6EEDAE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（1）电子交易平台发生故障而无法登录访问的；</w:t>
      </w:r>
    </w:p>
    <w:p w14:paraId="01E9CA6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（2）电子交易平台应用或数据库出现错误，不能进行正常操作的；</w:t>
      </w:r>
    </w:p>
    <w:p w14:paraId="6B1A9BB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（3）电子交易平台发现严重安全漏洞，有潜在泄密危险的；</w:t>
      </w:r>
    </w:p>
    <w:p w14:paraId="1F9BB0F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（4）病毒发作导致不能进行正常操作的；</w:t>
      </w:r>
    </w:p>
    <w:p w14:paraId="6331B52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（5）其他无法保证电子交易的公平、公正和安全的情况。</w:t>
      </w:r>
    </w:p>
    <w:p w14:paraId="18FB568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26.5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3CBD04C0">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27.确定成交供应商及结果公告</w:t>
      </w:r>
    </w:p>
    <w:p w14:paraId="6B31E3A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27.1采购代理机构应当在评审结束后2个工作日内将评审报告送采购人确认。采购人应当在收到评审报告后5个工作日内，从评审报告提出的成交候选供应商中，按照排序由高到低的原则确定成交供应商，也可以书面授权谈判小组直接确定成交供应商。采购人逾期未确定成交供应商且不提出异议的，视为确定评审报告提出的排序第一的供应商为成交供应商。</w:t>
      </w:r>
    </w:p>
    <w:p w14:paraId="65B2645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成交供应商享受《政府采购促进中小企业发展管理办法》（财库〔2020〕46号）规定的中小企业扶持政策的，采购人、采购代理机构应当随成交结果公开成交供应商的《中小企业声明函》。</w:t>
      </w:r>
    </w:p>
    <w:p w14:paraId="391F746A">
      <w:pPr>
        <w:pStyle w:val="15"/>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27.3出现下列情形之一的，采购人或者采购代理机构应当终止竞争性谈判采购活动，发布项目终止公告并说明原因，重新开展采购活动：</w:t>
      </w:r>
      <w:r>
        <w:rPr>
          <w:rFonts w:hint="eastAsia" w:ascii="宋体" w:hAnsi="宋体" w:cs="Courier New"/>
          <w:color w:val="auto"/>
          <w:szCs w:val="21"/>
          <w:highlight w:val="none"/>
        </w:rPr>
        <w:br w:type="textWrapping"/>
      </w:r>
      <w:r>
        <w:rPr>
          <w:rFonts w:hint="eastAsia" w:ascii="宋体" w:hAnsi="宋体" w:cs="Courier New"/>
          <w:color w:val="auto"/>
          <w:szCs w:val="21"/>
          <w:highlight w:val="none"/>
        </w:rPr>
        <w:t>　　（一）因情况变化，不再符合规定的竞争性谈判采购方式适用情形的；</w:t>
      </w:r>
      <w:r>
        <w:rPr>
          <w:rFonts w:hint="eastAsia" w:ascii="宋体" w:hAnsi="宋体" w:cs="Courier New"/>
          <w:color w:val="auto"/>
          <w:szCs w:val="21"/>
          <w:highlight w:val="none"/>
        </w:rPr>
        <w:br w:type="textWrapping"/>
      </w:r>
      <w:r>
        <w:rPr>
          <w:rFonts w:hint="eastAsia" w:ascii="宋体" w:hAnsi="宋体" w:cs="Courier New"/>
          <w:color w:val="auto"/>
          <w:szCs w:val="21"/>
          <w:highlight w:val="none"/>
        </w:rPr>
        <w:t>　　（二）出现影响采购公正的违法、违规行为的；</w:t>
      </w:r>
      <w:r>
        <w:rPr>
          <w:rFonts w:hint="eastAsia" w:ascii="宋体" w:hAnsi="宋体" w:cs="Courier New"/>
          <w:color w:val="auto"/>
          <w:szCs w:val="21"/>
          <w:highlight w:val="none"/>
        </w:rPr>
        <w:br w:type="textWrapping"/>
      </w:r>
      <w:r>
        <w:rPr>
          <w:rFonts w:hint="eastAsia" w:ascii="宋体" w:hAnsi="宋体" w:cs="Courier New"/>
          <w:color w:val="auto"/>
          <w:szCs w:val="21"/>
          <w:highlight w:val="none"/>
        </w:rPr>
        <w:t>　　（三）在采购过程中符合竞争要求的供应商或者报价未超过采购预算的供应商不足3家的，但</w:t>
      </w:r>
      <w:r>
        <w:rPr>
          <w:rFonts w:hint="eastAsia" w:ascii="宋体" w:hAnsi="宋体"/>
          <w:color w:val="auto"/>
          <w:szCs w:val="21"/>
          <w:highlight w:val="none"/>
        </w:rPr>
        <w:t>“第四章 评审程序和评定成交的标准”第</w:t>
      </w:r>
      <w:r>
        <w:rPr>
          <w:rFonts w:ascii="宋体" w:hAnsi="宋体"/>
          <w:color w:val="auto"/>
          <w:szCs w:val="21"/>
          <w:highlight w:val="none"/>
        </w:rPr>
        <w:t>3</w:t>
      </w:r>
      <w:r>
        <w:rPr>
          <w:rFonts w:hint="eastAsia" w:ascii="宋体" w:hAnsi="宋体"/>
          <w:color w:val="auto"/>
          <w:szCs w:val="21"/>
          <w:highlight w:val="none"/>
        </w:rPr>
        <w:t>.7条规定的情形除外</w:t>
      </w:r>
      <w:r>
        <w:rPr>
          <w:rFonts w:hint="eastAsia" w:ascii="宋体" w:hAnsi="宋体" w:cs="Courier New"/>
          <w:color w:val="auto"/>
          <w:szCs w:val="21"/>
          <w:highlight w:val="none"/>
        </w:rPr>
        <w:t>。</w:t>
      </w:r>
    </w:p>
    <w:p w14:paraId="3B991AD0">
      <w:pPr>
        <w:pStyle w:val="15"/>
        <w:spacing w:line="360" w:lineRule="auto"/>
        <w:ind w:firstLine="420" w:firstLineChars="200"/>
        <w:contextualSpacing/>
        <w:rPr>
          <w:rFonts w:ascii="宋体" w:hAnsi="宋体"/>
          <w:bCs/>
          <w:color w:val="auto"/>
          <w:szCs w:val="21"/>
          <w:highlight w:val="none"/>
        </w:rPr>
      </w:pPr>
      <w:r>
        <w:rPr>
          <w:rFonts w:hint="eastAsia" w:ascii="宋体" w:hAnsi="宋体"/>
          <w:bCs/>
          <w:color w:val="auto"/>
          <w:szCs w:val="21"/>
          <w:highlight w:val="none"/>
        </w:rPr>
        <w:t>27.4在采购活动中因重大变故，采购任务取消的，采购人或者采购代理机构应当终止采购活动，通知所有参加采购活动的供应商，并将项目实施情况和采购任务取消原因报送本级财政部门。</w:t>
      </w:r>
    </w:p>
    <w:p w14:paraId="03F3D69D">
      <w:pPr>
        <w:pStyle w:val="15"/>
        <w:spacing w:line="360" w:lineRule="auto"/>
        <w:ind w:firstLine="420" w:firstLineChars="200"/>
        <w:contextualSpacing/>
        <w:rPr>
          <w:rFonts w:ascii="宋体" w:hAns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7.</w:t>
      </w:r>
      <w:r>
        <w:rPr>
          <w:rFonts w:hint="eastAsia" w:ascii="宋体" w:hAnsi="宋体"/>
          <w:bCs/>
          <w:color w:val="auto"/>
          <w:szCs w:val="21"/>
          <w:highlight w:val="none"/>
        </w:rPr>
        <w:t>5</w:t>
      </w:r>
      <w:r>
        <w:rPr>
          <w:rFonts w:hint="eastAsia" w:ascii="宋体" w:hAnsi="宋体" w:cs="Courier New"/>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p>
    <w:p w14:paraId="0D9C2C15">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28.履约保证金</w:t>
      </w:r>
    </w:p>
    <w:p w14:paraId="2BBABE06">
      <w:pPr>
        <w:pStyle w:val="15"/>
        <w:spacing w:line="360" w:lineRule="auto"/>
        <w:ind w:firstLine="420" w:firstLineChars="200"/>
        <w:contextualSpacing/>
        <w:rPr>
          <w:color w:val="auto"/>
          <w:highlight w:val="none"/>
        </w:rPr>
      </w:pPr>
      <w:r>
        <w:rPr>
          <w:rFonts w:ascii="宋体" w:hAnsi="宋体"/>
          <w:color w:val="auto"/>
          <w:szCs w:val="21"/>
          <w:highlight w:val="none"/>
        </w:rPr>
        <w:t>28</w:t>
      </w:r>
      <w:r>
        <w:rPr>
          <w:rFonts w:hint="eastAsia" w:ascii="宋体" w:hAnsi="宋体"/>
          <w:color w:val="auto"/>
          <w:szCs w:val="21"/>
          <w:highlight w:val="none"/>
        </w:rPr>
        <w:t>.1履约保证金的金额、提交方式、退付的时间和条件详见 “供应商须知前附表”。成交供应商未按规定提交履约保证金的，视为拒绝</w:t>
      </w:r>
      <w:r>
        <w:rPr>
          <w:color w:val="auto"/>
          <w:highlight w:val="none"/>
        </w:rPr>
        <w:t>与采购人</w:t>
      </w:r>
      <w:r>
        <w:rPr>
          <w:rFonts w:hint="eastAsia" w:ascii="宋体" w:hAnsi="宋体"/>
          <w:color w:val="auto"/>
          <w:szCs w:val="21"/>
          <w:highlight w:val="none"/>
        </w:rPr>
        <w:t>签订合同。</w:t>
      </w:r>
    </w:p>
    <w:p w14:paraId="5A94B764">
      <w:pPr>
        <w:spacing w:line="360" w:lineRule="auto"/>
        <w:ind w:firstLine="424" w:firstLineChars="202"/>
        <w:contextualSpacing/>
        <w:rPr>
          <w:rFonts w:ascii="宋体" w:hAnsi="宋体"/>
          <w:color w:val="auto"/>
          <w:szCs w:val="21"/>
          <w:highlight w:val="none"/>
        </w:rPr>
      </w:pPr>
      <w:r>
        <w:rPr>
          <w:rFonts w:ascii="宋体" w:hAnsi="宋体"/>
          <w:color w:val="auto"/>
          <w:szCs w:val="21"/>
          <w:highlight w:val="none"/>
        </w:rPr>
        <w:t>28</w:t>
      </w:r>
      <w:r>
        <w:rPr>
          <w:rFonts w:hint="eastAsia" w:ascii="宋体" w:hAnsi="宋体"/>
          <w:color w:val="auto"/>
          <w:szCs w:val="21"/>
          <w:highlight w:val="none"/>
        </w:rPr>
        <w:t>.2在履约保证金退还日期前，若成交供应商的开户名称、开户银行、帐号有变动的，请以书面形式通知履约保证金收取单位，否则由此产生的后果由成交供应商自负。</w:t>
      </w:r>
    </w:p>
    <w:p w14:paraId="4964F256">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29.签订合同</w:t>
      </w:r>
    </w:p>
    <w:p w14:paraId="7E17E53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29.1签订电子采购合同：成交供应商领取电子成交通知书后，在规定的日期、时间、地点，由法定代表人或其授权代表与采购人代表签订电子采购合同。如成交供应商为联合体的，由联合体成员各方法定代表人或其授权代表与采购人代表签订合同。</w:t>
      </w:r>
    </w:p>
    <w:p w14:paraId="2F8E99F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线下签订纸质合同：供应商领取成交通知书后，按“供应商须知前附表”规定向采购人出示相关证明材料，经采购人核验合格后方可签订合同。</w:t>
      </w:r>
    </w:p>
    <w:p w14:paraId="081E977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29.2签订合同时间：按成交通知书的规定与采购人签订政府采购合同。</w:t>
      </w:r>
    </w:p>
    <w:p w14:paraId="7E51A26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p>
    <w:p w14:paraId="2B5C71E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成交供应商放弃成交项目，拒绝与采购人签订合同，给采购人造成损失，或（并）因此延误采购人工期计划的，须依据《中华人民共和国民法典》第五百条、《政府采购非招标采购方式管理办法（财政部令第74号）》第二十二条、第五十四条规定、《工程建设项目施工招标投标办法（2013年修正）》第六十条和第八十一条等规定承担赔偿损失等法律责任，采购人有权将成交供应商的失信行为报财政部门记入诚信档案，以示惩戒。</w:t>
      </w:r>
    </w:p>
    <w:p w14:paraId="575CDFE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9502D5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714B87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29.6如签订合同并生效后，供应商无故拒绝或延期，除按照合同条款处理外，将承担相应的法律责任。</w:t>
      </w:r>
    </w:p>
    <w:p w14:paraId="0E007F54">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30.政府采购合同公告</w:t>
      </w:r>
    </w:p>
    <w:p w14:paraId="08A93F8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29103FD">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31.询问、质疑和投诉</w:t>
      </w:r>
    </w:p>
    <w:p w14:paraId="28AB8E8F">
      <w:pPr>
        <w:pStyle w:val="12"/>
        <w:spacing w:after="120" w:line="360" w:lineRule="auto"/>
        <w:rPr>
          <w:rFonts w:ascii="宋体" w:hAnsi="宋体"/>
          <w:color w:val="auto"/>
          <w:szCs w:val="21"/>
          <w:highlight w:val="none"/>
        </w:rPr>
      </w:pPr>
      <w:r>
        <w:rPr>
          <w:rFonts w:ascii="宋体" w:hAnsi="宋体" w:cs="宋体"/>
          <w:color w:val="auto"/>
          <w:highlight w:val="none"/>
        </w:rPr>
        <w:t>31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p>
    <w:p w14:paraId="7683B477">
      <w:pPr>
        <w:spacing w:line="360" w:lineRule="auto"/>
        <w:ind w:firstLine="420" w:firstLineChars="200"/>
        <w:contextualSpacing/>
        <w:rPr>
          <w:rFonts w:ascii="宋体" w:hAnsi="宋体"/>
          <w:color w:val="auto"/>
          <w:highlight w:val="none"/>
        </w:rPr>
      </w:pPr>
      <w:r>
        <w:rPr>
          <w:rFonts w:ascii="宋体" w:hAnsi="宋体"/>
          <w:color w:val="auto"/>
          <w:highlight w:val="none"/>
        </w:rPr>
        <w:t>31</w:t>
      </w:r>
      <w:r>
        <w:rPr>
          <w:rFonts w:hint="eastAsia" w:ascii="宋体" w:hAnsi="宋体"/>
          <w:color w:val="auto"/>
          <w:highlight w:val="none"/>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color w:val="auto"/>
          <w:highlight w:val="none"/>
          <w:shd w:val="clear" w:color="auto" w:fill="FFFFFF"/>
        </w:rPr>
        <w:t>接收质疑函的方式、联系部门、联系电话和通讯地址等信息</w:t>
      </w:r>
      <w:r>
        <w:rPr>
          <w:rFonts w:hint="eastAsia" w:ascii="宋体" w:hAnsi="宋体"/>
          <w:color w:val="auto"/>
          <w:szCs w:val="21"/>
          <w:highlight w:val="none"/>
        </w:rPr>
        <w:t>详见“供应商须知前附表”</w:t>
      </w:r>
      <w:r>
        <w:rPr>
          <w:rFonts w:hint="eastAsia" w:ascii="宋体" w:hAnsi="宋体"/>
          <w:color w:val="auto"/>
          <w:highlight w:val="none"/>
        </w:rPr>
        <w:t>。具体质疑起算时间如下：</w:t>
      </w:r>
    </w:p>
    <w:p w14:paraId="78A3696C">
      <w:pPr>
        <w:spacing w:line="360" w:lineRule="auto"/>
        <w:ind w:firstLine="420" w:firstLineChars="200"/>
        <w:contextualSpacing/>
        <w:rPr>
          <w:rFonts w:ascii="宋体" w:hAnsi="宋体"/>
          <w:color w:val="auto"/>
          <w:highlight w:val="none"/>
        </w:rPr>
      </w:pPr>
      <w:r>
        <w:rPr>
          <w:rFonts w:hint="eastAsia" w:ascii="宋体" w:hAnsi="宋体"/>
          <w:color w:val="auto"/>
          <w:highlight w:val="none"/>
        </w:rPr>
        <w:t>（1）对可以质疑的谈判文件提出质疑的，为获取谈判文件之日；</w:t>
      </w:r>
    </w:p>
    <w:p w14:paraId="5DE9D967">
      <w:pPr>
        <w:spacing w:line="360" w:lineRule="auto"/>
        <w:ind w:firstLine="420" w:firstLineChars="200"/>
        <w:contextualSpacing/>
        <w:rPr>
          <w:rFonts w:ascii="宋体" w:hAnsi="宋体"/>
          <w:color w:val="auto"/>
          <w:highlight w:val="none"/>
        </w:rPr>
      </w:pPr>
      <w:r>
        <w:rPr>
          <w:rFonts w:hint="eastAsia" w:ascii="宋体" w:hAnsi="宋体"/>
          <w:color w:val="auto"/>
          <w:highlight w:val="none"/>
        </w:rPr>
        <w:t>（2）对采购过程提出质疑的，为各采购程序环节结束之日；</w:t>
      </w:r>
    </w:p>
    <w:p w14:paraId="1BF9C259">
      <w:pPr>
        <w:spacing w:line="360" w:lineRule="auto"/>
        <w:ind w:firstLine="420" w:firstLineChars="200"/>
        <w:contextualSpacing/>
        <w:rPr>
          <w:rFonts w:ascii="宋体" w:hAnsi="宋体"/>
          <w:color w:val="auto"/>
          <w:highlight w:val="none"/>
        </w:rPr>
      </w:pPr>
      <w:r>
        <w:rPr>
          <w:rFonts w:hint="eastAsia" w:ascii="宋体" w:hAnsi="宋体"/>
          <w:color w:val="auto"/>
          <w:highlight w:val="none"/>
        </w:rPr>
        <w:t>（3）对成交结果提出质疑的，为成交结果公告期限届满之日。</w:t>
      </w:r>
    </w:p>
    <w:p w14:paraId="463178D7">
      <w:pPr>
        <w:spacing w:line="360" w:lineRule="auto"/>
        <w:ind w:firstLine="420" w:firstLineChars="200"/>
        <w:contextualSpacing/>
        <w:rPr>
          <w:rFonts w:ascii="宋体" w:hAnsi="宋体"/>
          <w:color w:val="auto"/>
          <w:highlight w:val="none"/>
        </w:rPr>
      </w:pPr>
      <w:r>
        <w:rPr>
          <w:rFonts w:ascii="宋体" w:hAnsi="宋体"/>
          <w:color w:val="auto"/>
          <w:highlight w:val="none"/>
        </w:rPr>
        <w:t>31</w:t>
      </w:r>
      <w:r>
        <w:rPr>
          <w:rFonts w:hint="eastAsia" w:ascii="宋体" w:hAnsi="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213CB859">
      <w:pPr>
        <w:spacing w:line="360" w:lineRule="auto"/>
        <w:ind w:firstLine="420" w:firstLineChars="200"/>
        <w:contextualSpacing/>
        <w:rPr>
          <w:rFonts w:ascii="宋体" w:hAnsi="宋体"/>
          <w:color w:val="auto"/>
          <w:highlight w:val="none"/>
        </w:rPr>
      </w:pPr>
      <w:r>
        <w:rPr>
          <w:rFonts w:ascii="宋体" w:hAnsi="宋体"/>
          <w:color w:val="auto"/>
          <w:highlight w:val="none"/>
        </w:rPr>
        <w:t>31</w:t>
      </w:r>
      <w:r>
        <w:rPr>
          <w:rFonts w:hint="eastAsia" w:ascii="宋体" w:hAnsi="宋体"/>
          <w:color w:val="auto"/>
          <w:highlight w:val="none"/>
        </w:rPr>
        <w:t>.4供应商提出质疑应当提交质疑函和必要的证明材料，针对同一采购程序环节的质疑必须在法定质疑期内一次性提出。质疑函应当包括下列内容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olor w:val="auto"/>
          <w:highlight w:val="none"/>
        </w:rPr>
        <w:t>：</w:t>
      </w:r>
    </w:p>
    <w:p w14:paraId="0BB40CD7">
      <w:pPr>
        <w:spacing w:line="360" w:lineRule="auto"/>
        <w:ind w:firstLine="420" w:firstLineChars="200"/>
        <w:contextualSpacing/>
        <w:rPr>
          <w:rFonts w:ascii="宋体" w:hAnsi="宋体"/>
          <w:color w:val="auto"/>
          <w:highlight w:val="none"/>
        </w:rPr>
      </w:pPr>
      <w:r>
        <w:rPr>
          <w:rFonts w:hint="eastAsia" w:ascii="宋体" w:hAnsi="宋体"/>
          <w:color w:val="auto"/>
          <w:highlight w:val="none"/>
        </w:rPr>
        <w:t>（1）供应商的姓名或者名称、地址、邮编、联系人及联系电话；</w:t>
      </w:r>
    </w:p>
    <w:p w14:paraId="15D2730B">
      <w:pPr>
        <w:spacing w:line="360" w:lineRule="auto"/>
        <w:ind w:firstLine="420" w:firstLineChars="200"/>
        <w:contextualSpacing/>
        <w:rPr>
          <w:rFonts w:ascii="宋体" w:hAnsi="宋体"/>
          <w:color w:val="auto"/>
          <w:highlight w:val="none"/>
        </w:rPr>
      </w:pPr>
      <w:r>
        <w:rPr>
          <w:rFonts w:hint="eastAsia" w:ascii="宋体" w:hAnsi="宋体"/>
          <w:color w:val="auto"/>
          <w:highlight w:val="none"/>
        </w:rPr>
        <w:t>（2）质疑项目的名称、编号；</w:t>
      </w:r>
    </w:p>
    <w:p w14:paraId="718764DA">
      <w:pPr>
        <w:spacing w:line="360" w:lineRule="auto"/>
        <w:ind w:firstLine="420" w:firstLineChars="200"/>
        <w:contextualSpacing/>
        <w:rPr>
          <w:rFonts w:ascii="宋体" w:hAnsi="宋体"/>
          <w:color w:val="auto"/>
          <w:highlight w:val="none"/>
        </w:rPr>
      </w:pPr>
      <w:r>
        <w:rPr>
          <w:rFonts w:hint="eastAsia" w:ascii="宋体" w:hAnsi="宋体"/>
          <w:color w:val="auto"/>
          <w:highlight w:val="none"/>
        </w:rPr>
        <w:t>（3）具体、明确的质疑事项和与质疑事项相关的请求；</w:t>
      </w:r>
    </w:p>
    <w:p w14:paraId="1D5E95B2">
      <w:pPr>
        <w:spacing w:line="360" w:lineRule="auto"/>
        <w:ind w:firstLine="420" w:firstLineChars="200"/>
        <w:contextualSpacing/>
        <w:rPr>
          <w:rFonts w:ascii="宋体" w:hAnsi="宋体"/>
          <w:color w:val="auto"/>
          <w:highlight w:val="none"/>
        </w:rPr>
      </w:pPr>
      <w:r>
        <w:rPr>
          <w:rFonts w:hint="eastAsia" w:ascii="宋体" w:hAnsi="宋体"/>
          <w:color w:val="auto"/>
          <w:highlight w:val="none"/>
        </w:rPr>
        <w:t>（4）事实依据；</w:t>
      </w:r>
    </w:p>
    <w:p w14:paraId="2578B61E">
      <w:pPr>
        <w:spacing w:line="360" w:lineRule="auto"/>
        <w:ind w:firstLine="420" w:firstLineChars="200"/>
        <w:contextualSpacing/>
        <w:rPr>
          <w:rFonts w:ascii="宋体" w:hAnsi="宋体"/>
          <w:color w:val="auto"/>
          <w:highlight w:val="none"/>
        </w:rPr>
      </w:pPr>
      <w:r>
        <w:rPr>
          <w:rFonts w:hint="eastAsia" w:ascii="宋体" w:hAnsi="宋体"/>
          <w:color w:val="auto"/>
          <w:highlight w:val="none"/>
        </w:rPr>
        <w:t>（5）必要的法律依据；</w:t>
      </w:r>
    </w:p>
    <w:p w14:paraId="2E2BD415">
      <w:pPr>
        <w:spacing w:line="360" w:lineRule="auto"/>
        <w:ind w:firstLine="420" w:firstLineChars="200"/>
        <w:contextualSpacing/>
        <w:rPr>
          <w:rFonts w:ascii="宋体" w:hAnsi="宋体"/>
          <w:color w:val="auto"/>
          <w:highlight w:val="none"/>
        </w:rPr>
      </w:pPr>
      <w:r>
        <w:rPr>
          <w:rFonts w:hint="eastAsia" w:ascii="宋体" w:hAnsi="宋体"/>
          <w:color w:val="auto"/>
          <w:highlight w:val="none"/>
        </w:rPr>
        <w:t>（6）提出质疑的日期。</w:t>
      </w:r>
    </w:p>
    <w:p w14:paraId="3BEE49AC">
      <w:pPr>
        <w:spacing w:line="360" w:lineRule="auto"/>
        <w:ind w:firstLine="420" w:firstLineChars="200"/>
        <w:contextualSpacing/>
        <w:rPr>
          <w:rFonts w:ascii="宋体" w:hAnsi="宋体"/>
          <w:color w:val="auto"/>
          <w:highlight w:val="none"/>
        </w:rPr>
      </w:pPr>
      <w:r>
        <w:rPr>
          <w:rFonts w:hint="eastAsia" w:ascii="宋体" w:hAnsi="宋体"/>
          <w:color w:val="auto"/>
          <w:highlight w:val="none"/>
        </w:rPr>
        <w:t>供应商为自然人的，应当由本人签字；供应商为法人或者其他组织的，应当由法定代表人、主要负责人，或者其委托代理人签字或者盖章，并加盖公章。</w:t>
      </w:r>
    </w:p>
    <w:p w14:paraId="0790A297">
      <w:pPr>
        <w:spacing w:line="360" w:lineRule="auto"/>
        <w:ind w:firstLine="420" w:firstLineChars="200"/>
        <w:contextualSpacing/>
        <w:rPr>
          <w:rFonts w:ascii="宋体" w:hAnsi="宋体"/>
          <w:color w:val="auto"/>
          <w:highlight w:val="none"/>
        </w:rPr>
      </w:pPr>
      <w:r>
        <w:rPr>
          <w:rFonts w:hint="eastAsia" w:ascii="宋体" w:hAnsi="宋体"/>
          <w:color w:val="auto"/>
          <w:highlight w:val="none"/>
        </w:rPr>
        <w:t>3</w:t>
      </w:r>
      <w:r>
        <w:rPr>
          <w:rFonts w:ascii="宋体" w:hAnsi="宋体"/>
          <w:color w:val="auto"/>
          <w:highlight w:val="none"/>
        </w:rPr>
        <w:t>1.5</w:t>
      </w:r>
      <w:r>
        <w:rPr>
          <w:rFonts w:hint="eastAsia" w:ascii="宋体" w:hAnsi="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71E5BF72">
      <w:pPr>
        <w:spacing w:line="360" w:lineRule="auto"/>
        <w:ind w:firstLine="420" w:firstLineChars="200"/>
        <w:contextualSpacing/>
        <w:rPr>
          <w:rFonts w:ascii="宋体" w:hAnsi="宋体"/>
          <w:color w:val="auto"/>
          <w:highlight w:val="none"/>
        </w:rPr>
      </w:pPr>
      <w:r>
        <w:rPr>
          <w:rFonts w:hint="eastAsia" w:ascii="宋体" w:hAnsi="宋体"/>
          <w:color w:val="auto"/>
          <w:highlight w:val="none"/>
        </w:rPr>
        <w:t>（1）对采购文件提出的质疑，依法通过澄清或者修改可以继续开展采购活动的，澄清或者修改采购文件后继续开展采购活动；否则应当修改采购文件后重新开展采购活动。</w:t>
      </w:r>
    </w:p>
    <w:p w14:paraId="1A8A6FE3">
      <w:pPr>
        <w:spacing w:line="360" w:lineRule="auto"/>
        <w:ind w:firstLine="420" w:firstLineChars="200"/>
        <w:contextualSpacing/>
        <w:rPr>
          <w:rFonts w:ascii="宋体" w:hAnsi="宋体"/>
          <w:color w:val="auto"/>
          <w:highlight w:val="none"/>
        </w:rPr>
      </w:pPr>
      <w:r>
        <w:rPr>
          <w:rFonts w:hint="eastAsia" w:ascii="宋体" w:hAnsi="宋体"/>
          <w:color w:val="auto"/>
          <w:highlight w:val="none"/>
        </w:rPr>
        <w:t>（2）对采购过程或者成交结果提出的质疑，合格供应商符合法定数量时，可以从合格的成交候选人中另行确定成交供应商的，应当依法另行确定成交供应商；否则应当重新开展采购活动。</w:t>
      </w:r>
    </w:p>
    <w:p w14:paraId="6F569309">
      <w:pPr>
        <w:spacing w:line="360" w:lineRule="auto"/>
        <w:ind w:firstLine="420" w:firstLineChars="200"/>
        <w:contextualSpacing/>
        <w:rPr>
          <w:rFonts w:ascii="宋体" w:hAnsi="宋体"/>
          <w:color w:val="auto"/>
          <w:highlight w:val="none"/>
        </w:rPr>
      </w:pPr>
      <w:r>
        <w:rPr>
          <w:rFonts w:hint="eastAsia" w:ascii="宋体" w:hAnsi="宋体"/>
          <w:color w:val="auto"/>
          <w:highlight w:val="none"/>
        </w:rPr>
        <w:t>质疑答复导致成交结果改变的，采购人或者采购代理机构应当将有关情况书面报告本级财政部门。</w:t>
      </w:r>
    </w:p>
    <w:p w14:paraId="28D3D5B0">
      <w:pPr>
        <w:spacing w:line="360" w:lineRule="auto"/>
        <w:ind w:firstLine="420" w:firstLineChars="200"/>
        <w:rPr>
          <w:rFonts w:ascii="宋体" w:hAnsi="宋体"/>
          <w:color w:val="auto"/>
          <w:szCs w:val="21"/>
          <w:highlight w:val="none"/>
        </w:rPr>
      </w:pPr>
      <w:r>
        <w:rPr>
          <w:rFonts w:ascii="宋体" w:hAnsi="宋体"/>
          <w:color w:val="auto"/>
          <w:highlight w:val="none"/>
        </w:rPr>
        <w:t>31</w:t>
      </w: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r>
        <w:rPr>
          <w:rFonts w:hint="eastAsia" w:ascii="宋体" w:hAnsi="宋体"/>
          <w:color w:val="auto"/>
          <w:szCs w:val="21"/>
          <w:highlight w:val="none"/>
        </w:rPr>
        <w:t>。</w:t>
      </w:r>
    </w:p>
    <w:p w14:paraId="4463946C">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32.其他内容</w:t>
      </w:r>
    </w:p>
    <w:p w14:paraId="5FE46AE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32.1代理服务费收取标准及缴费账户详见“供应商须知前附表”，供应商为联合体的，可以由联合体中的一方或者多方共同缴纳代理服务费。</w:t>
      </w:r>
    </w:p>
    <w:p w14:paraId="56684C0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32.2代理服务费收费计算标准：</w:t>
      </w:r>
    </w:p>
    <w:tbl>
      <w:tblPr>
        <w:tblStyle w:val="38"/>
        <w:tblW w:w="0" w:type="auto"/>
        <w:jc w:val="center"/>
        <w:tblLayout w:type="autofit"/>
        <w:tblCellMar>
          <w:top w:w="0" w:type="dxa"/>
          <w:left w:w="108" w:type="dxa"/>
          <w:bottom w:w="0" w:type="dxa"/>
          <w:right w:w="108" w:type="dxa"/>
        </w:tblCellMar>
      </w:tblPr>
      <w:tblGrid>
        <w:gridCol w:w="2336"/>
        <w:gridCol w:w="2336"/>
        <w:gridCol w:w="2336"/>
        <w:gridCol w:w="2336"/>
      </w:tblGrid>
      <w:tr w14:paraId="3D674C30">
        <w:tblPrEx>
          <w:tblCellMar>
            <w:top w:w="0" w:type="dxa"/>
            <w:left w:w="108" w:type="dxa"/>
            <w:bottom w:w="0" w:type="dxa"/>
            <w:right w:w="108" w:type="dxa"/>
          </w:tblCellMar>
        </w:tblPrEx>
        <w:trPr>
          <w:trHeight w:val="1509" w:hRule="atLeast"/>
          <w:jc w:val="center"/>
        </w:trPr>
        <w:tc>
          <w:tcPr>
            <w:tcW w:w="2336" w:type="dxa"/>
            <w:tcBorders>
              <w:top w:val="single" w:color="auto" w:sz="4" w:space="0"/>
              <w:left w:val="single" w:color="auto" w:sz="4" w:space="0"/>
              <w:bottom w:val="single" w:color="auto" w:sz="4" w:space="0"/>
              <w:right w:val="single" w:color="auto" w:sz="4" w:space="0"/>
              <w:tl2br w:val="single" w:color="auto" w:sz="4" w:space="0"/>
            </w:tcBorders>
            <w:vAlign w:val="center"/>
          </w:tcPr>
          <w:p w14:paraId="4E95C7B7">
            <w:pPr>
              <w:spacing w:line="360" w:lineRule="auto"/>
              <w:jc w:val="right"/>
              <w:rPr>
                <w:rFonts w:ascii="宋体" w:hAnsi="宋体"/>
                <w:color w:val="auto"/>
                <w:szCs w:val="21"/>
                <w:highlight w:val="none"/>
              </w:rPr>
            </w:pPr>
            <w:r>
              <w:rPr>
                <w:rFonts w:hint="eastAsia" w:ascii="宋体" w:hAnsi="宋体"/>
                <w:color w:val="auto"/>
                <w:szCs w:val="21"/>
                <w:highlight w:val="none"/>
              </w:rPr>
              <w:t>费率</w:t>
            </w:r>
          </w:p>
          <w:p w14:paraId="3A5D3B0D">
            <w:pPr>
              <w:spacing w:line="360" w:lineRule="auto"/>
              <w:jc w:val="left"/>
              <w:rPr>
                <w:rFonts w:ascii="宋体" w:hAnsi="宋体"/>
                <w:color w:val="auto"/>
                <w:szCs w:val="21"/>
                <w:highlight w:val="none"/>
              </w:rPr>
            </w:pPr>
          </w:p>
          <w:p w14:paraId="191C40A8">
            <w:pPr>
              <w:spacing w:line="360" w:lineRule="auto"/>
              <w:jc w:val="left"/>
              <w:rPr>
                <w:rFonts w:ascii="宋体" w:hAnsi="宋体"/>
                <w:color w:val="auto"/>
                <w:szCs w:val="21"/>
                <w:highlight w:val="none"/>
              </w:rPr>
            </w:pPr>
            <w:r>
              <w:rPr>
                <w:rFonts w:hint="eastAsia" w:ascii="宋体" w:hAnsi="宋体"/>
                <w:color w:val="auto"/>
                <w:szCs w:val="21"/>
                <w:highlight w:val="none"/>
              </w:rPr>
              <w:t>金额（人民币）</w:t>
            </w:r>
          </w:p>
        </w:tc>
        <w:tc>
          <w:tcPr>
            <w:tcW w:w="2336" w:type="dxa"/>
            <w:tcBorders>
              <w:top w:val="single" w:color="auto" w:sz="4" w:space="0"/>
              <w:left w:val="single" w:color="auto" w:sz="4" w:space="0"/>
              <w:bottom w:val="single" w:color="auto" w:sz="4" w:space="0"/>
              <w:right w:val="single" w:color="auto" w:sz="4" w:space="0"/>
            </w:tcBorders>
            <w:vAlign w:val="center"/>
          </w:tcPr>
          <w:p w14:paraId="2EB214D0">
            <w:pPr>
              <w:spacing w:line="360" w:lineRule="auto"/>
              <w:jc w:val="center"/>
              <w:rPr>
                <w:rFonts w:ascii="宋体" w:hAnsi="宋体"/>
                <w:color w:val="auto"/>
                <w:szCs w:val="21"/>
                <w:highlight w:val="none"/>
              </w:rPr>
            </w:pPr>
            <w:r>
              <w:rPr>
                <w:rFonts w:hint="eastAsia" w:ascii="宋体" w:hAnsi="宋体"/>
                <w:color w:val="auto"/>
                <w:szCs w:val="21"/>
                <w:highlight w:val="none"/>
              </w:rPr>
              <w:t>货物类</w:t>
            </w:r>
          </w:p>
        </w:tc>
        <w:tc>
          <w:tcPr>
            <w:tcW w:w="2336" w:type="dxa"/>
            <w:tcBorders>
              <w:top w:val="single" w:color="auto" w:sz="4" w:space="0"/>
              <w:left w:val="single" w:color="auto" w:sz="4" w:space="0"/>
              <w:bottom w:val="single" w:color="auto" w:sz="4" w:space="0"/>
              <w:right w:val="single" w:color="auto" w:sz="4" w:space="0"/>
            </w:tcBorders>
            <w:vAlign w:val="center"/>
          </w:tcPr>
          <w:p w14:paraId="392C2449">
            <w:pPr>
              <w:spacing w:line="360" w:lineRule="auto"/>
              <w:jc w:val="center"/>
              <w:rPr>
                <w:rFonts w:ascii="宋体" w:hAnsi="宋体"/>
                <w:color w:val="auto"/>
                <w:szCs w:val="21"/>
                <w:highlight w:val="none"/>
              </w:rPr>
            </w:pPr>
            <w:r>
              <w:rPr>
                <w:rFonts w:hint="eastAsia" w:ascii="宋体" w:hAnsi="宋体"/>
                <w:color w:val="auto"/>
                <w:szCs w:val="21"/>
                <w:highlight w:val="none"/>
              </w:rPr>
              <w:t>服务类</w:t>
            </w:r>
          </w:p>
        </w:tc>
        <w:tc>
          <w:tcPr>
            <w:tcW w:w="2336" w:type="dxa"/>
            <w:tcBorders>
              <w:top w:val="single" w:color="auto" w:sz="4" w:space="0"/>
              <w:left w:val="single" w:color="auto" w:sz="4" w:space="0"/>
              <w:bottom w:val="single" w:color="auto" w:sz="4" w:space="0"/>
              <w:right w:val="single" w:color="auto" w:sz="4" w:space="0"/>
            </w:tcBorders>
            <w:vAlign w:val="center"/>
          </w:tcPr>
          <w:p w14:paraId="1E85F70C">
            <w:pPr>
              <w:spacing w:line="360" w:lineRule="auto"/>
              <w:jc w:val="center"/>
              <w:rPr>
                <w:rFonts w:ascii="宋体" w:hAnsi="宋体"/>
                <w:color w:val="auto"/>
                <w:szCs w:val="21"/>
                <w:highlight w:val="none"/>
              </w:rPr>
            </w:pPr>
            <w:r>
              <w:rPr>
                <w:rFonts w:hint="eastAsia" w:ascii="宋体" w:hAnsi="宋体"/>
                <w:color w:val="auto"/>
                <w:szCs w:val="21"/>
                <w:highlight w:val="none"/>
              </w:rPr>
              <w:t>工程类</w:t>
            </w:r>
          </w:p>
        </w:tc>
      </w:tr>
      <w:tr w14:paraId="67B9B615">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6AA97B57">
            <w:pPr>
              <w:spacing w:line="360" w:lineRule="auto"/>
              <w:jc w:val="center"/>
              <w:rPr>
                <w:rFonts w:ascii="宋体" w:hAnsi="宋体"/>
                <w:color w:val="auto"/>
                <w:szCs w:val="21"/>
                <w:highlight w:val="none"/>
              </w:rPr>
            </w:pPr>
            <w:r>
              <w:rPr>
                <w:rFonts w:hint="eastAsia" w:ascii="宋体" w:hAnsi="宋体"/>
                <w:color w:val="auto"/>
                <w:szCs w:val="21"/>
                <w:highlight w:val="none"/>
              </w:rPr>
              <w:t>100万元以下</w:t>
            </w:r>
          </w:p>
        </w:tc>
        <w:tc>
          <w:tcPr>
            <w:tcW w:w="2336" w:type="dxa"/>
            <w:tcBorders>
              <w:top w:val="single" w:color="auto" w:sz="4" w:space="0"/>
              <w:left w:val="single" w:color="auto" w:sz="4" w:space="0"/>
              <w:bottom w:val="single" w:color="auto" w:sz="4" w:space="0"/>
              <w:right w:val="single" w:color="auto" w:sz="4" w:space="0"/>
            </w:tcBorders>
            <w:vAlign w:val="center"/>
          </w:tcPr>
          <w:p w14:paraId="40612568">
            <w:pPr>
              <w:spacing w:line="360" w:lineRule="auto"/>
              <w:jc w:val="center"/>
              <w:rPr>
                <w:rFonts w:ascii="宋体" w:hAnsi="宋体"/>
                <w:color w:val="auto"/>
                <w:szCs w:val="21"/>
                <w:highlight w:val="none"/>
              </w:rPr>
            </w:pPr>
            <w:r>
              <w:rPr>
                <w:rFonts w:hint="eastAsia" w:ascii="宋体" w:hAnsi="宋体"/>
                <w:color w:val="auto"/>
                <w:szCs w:val="21"/>
                <w:highlight w:val="none"/>
              </w:rPr>
              <w:t>1.5%</w:t>
            </w:r>
          </w:p>
        </w:tc>
        <w:tc>
          <w:tcPr>
            <w:tcW w:w="2336" w:type="dxa"/>
            <w:tcBorders>
              <w:top w:val="single" w:color="auto" w:sz="4" w:space="0"/>
              <w:left w:val="single" w:color="auto" w:sz="4" w:space="0"/>
              <w:bottom w:val="single" w:color="auto" w:sz="4" w:space="0"/>
              <w:right w:val="single" w:color="auto" w:sz="4" w:space="0"/>
            </w:tcBorders>
            <w:vAlign w:val="center"/>
          </w:tcPr>
          <w:p w14:paraId="432AC539">
            <w:pPr>
              <w:spacing w:line="360" w:lineRule="auto"/>
              <w:jc w:val="center"/>
              <w:rPr>
                <w:rFonts w:ascii="宋体" w:hAnsi="宋体"/>
                <w:color w:val="auto"/>
                <w:szCs w:val="21"/>
                <w:highlight w:val="none"/>
              </w:rPr>
            </w:pPr>
            <w:r>
              <w:rPr>
                <w:rFonts w:hint="eastAsia" w:ascii="宋体" w:hAnsi="宋体"/>
                <w:color w:val="auto"/>
                <w:szCs w:val="21"/>
                <w:highlight w:val="none"/>
              </w:rPr>
              <w:t>1.5%</w:t>
            </w:r>
          </w:p>
        </w:tc>
        <w:tc>
          <w:tcPr>
            <w:tcW w:w="2336" w:type="dxa"/>
            <w:tcBorders>
              <w:top w:val="single" w:color="auto" w:sz="4" w:space="0"/>
              <w:left w:val="single" w:color="auto" w:sz="4" w:space="0"/>
              <w:bottom w:val="single" w:color="auto" w:sz="4" w:space="0"/>
              <w:right w:val="single" w:color="auto" w:sz="4" w:space="0"/>
            </w:tcBorders>
            <w:vAlign w:val="center"/>
          </w:tcPr>
          <w:p w14:paraId="3C60ACDB">
            <w:pPr>
              <w:spacing w:line="360" w:lineRule="auto"/>
              <w:jc w:val="center"/>
              <w:rPr>
                <w:rFonts w:ascii="宋体" w:hAnsi="宋体"/>
                <w:color w:val="auto"/>
                <w:szCs w:val="21"/>
                <w:highlight w:val="none"/>
              </w:rPr>
            </w:pPr>
            <w:r>
              <w:rPr>
                <w:rFonts w:hint="eastAsia" w:ascii="宋体" w:hAnsi="宋体"/>
                <w:color w:val="auto"/>
                <w:szCs w:val="21"/>
                <w:highlight w:val="none"/>
              </w:rPr>
              <w:t>1.0%</w:t>
            </w:r>
          </w:p>
        </w:tc>
      </w:tr>
      <w:tr w14:paraId="5BA0EC3D">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7EE17F42">
            <w:pPr>
              <w:spacing w:line="360" w:lineRule="auto"/>
              <w:jc w:val="center"/>
              <w:rPr>
                <w:rFonts w:ascii="宋体" w:hAnsi="宋体"/>
                <w:color w:val="auto"/>
                <w:szCs w:val="21"/>
                <w:highlight w:val="none"/>
              </w:rPr>
            </w:pPr>
            <w:r>
              <w:rPr>
                <w:rFonts w:hint="eastAsia" w:ascii="宋体" w:hAnsi="宋体"/>
                <w:color w:val="auto"/>
                <w:szCs w:val="21"/>
                <w:highlight w:val="none"/>
              </w:rPr>
              <w:t>100～500万元</w:t>
            </w:r>
          </w:p>
        </w:tc>
        <w:tc>
          <w:tcPr>
            <w:tcW w:w="2336" w:type="dxa"/>
            <w:tcBorders>
              <w:top w:val="single" w:color="auto" w:sz="4" w:space="0"/>
              <w:left w:val="single" w:color="auto" w:sz="4" w:space="0"/>
              <w:bottom w:val="single" w:color="auto" w:sz="4" w:space="0"/>
              <w:right w:val="single" w:color="auto" w:sz="4" w:space="0"/>
            </w:tcBorders>
            <w:vAlign w:val="center"/>
          </w:tcPr>
          <w:p w14:paraId="51AFBAF9">
            <w:pPr>
              <w:spacing w:line="360" w:lineRule="auto"/>
              <w:jc w:val="center"/>
              <w:rPr>
                <w:rFonts w:ascii="宋体" w:hAnsi="宋体"/>
                <w:color w:val="auto"/>
                <w:szCs w:val="21"/>
                <w:highlight w:val="none"/>
              </w:rPr>
            </w:pPr>
            <w:r>
              <w:rPr>
                <w:rFonts w:hint="eastAsia" w:ascii="宋体" w:hAnsi="宋体"/>
                <w:color w:val="auto"/>
                <w:szCs w:val="21"/>
                <w:highlight w:val="none"/>
              </w:rPr>
              <w:t>1.1%</w:t>
            </w:r>
          </w:p>
        </w:tc>
        <w:tc>
          <w:tcPr>
            <w:tcW w:w="2336" w:type="dxa"/>
            <w:tcBorders>
              <w:top w:val="single" w:color="auto" w:sz="4" w:space="0"/>
              <w:left w:val="single" w:color="auto" w:sz="4" w:space="0"/>
              <w:bottom w:val="single" w:color="auto" w:sz="4" w:space="0"/>
              <w:right w:val="single" w:color="auto" w:sz="4" w:space="0"/>
            </w:tcBorders>
            <w:vAlign w:val="center"/>
          </w:tcPr>
          <w:p w14:paraId="12D483AF">
            <w:pPr>
              <w:spacing w:line="360" w:lineRule="auto"/>
              <w:jc w:val="center"/>
              <w:rPr>
                <w:rFonts w:ascii="宋体" w:hAnsi="宋体"/>
                <w:color w:val="auto"/>
                <w:szCs w:val="21"/>
                <w:highlight w:val="none"/>
              </w:rPr>
            </w:pPr>
            <w:r>
              <w:rPr>
                <w:rFonts w:hint="eastAsia" w:ascii="宋体" w:hAnsi="宋体"/>
                <w:color w:val="auto"/>
                <w:szCs w:val="21"/>
                <w:highlight w:val="none"/>
              </w:rPr>
              <w:t>0.8%</w:t>
            </w:r>
          </w:p>
        </w:tc>
        <w:tc>
          <w:tcPr>
            <w:tcW w:w="2336" w:type="dxa"/>
            <w:tcBorders>
              <w:top w:val="single" w:color="auto" w:sz="4" w:space="0"/>
              <w:left w:val="single" w:color="auto" w:sz="4" w:space="0"/>
              <w:bottom w:val="single" w:color="auto" w:sz="4" w:space="0"/>
              <w:right w:val="single" w:color="auto" w:sz="4" w:space="0"/>
            </w:tcBorders>
            <w:vAlign w:val="center"/>
          </w:tcPr>
          <w:p w14:paraId="632895C5">
            <w:pPr>
              <w:spacing w:line="360" w:lineRule="auto"/>
              <w:jc w:val="center"/>
              <w:rPr>
                <w:rFonts w:ascii="宋体" w:hAnsi="宋体"/>
                <w:color w:val="auto"/>
                <w:szCs w:val="21"/>
                <w:highlight w:val="none"/>
              </w:rPr>
            </w:pPr>
            <w:r>
              <w:rPr>
                <w:rFonts w:hint="eastAsia" w:ascii="宋体" w:hAnsi="宋体"/>
                <w:color w:val="auto"/>
                <w:szCs w:val="21"/>
                <w:highlight w:val="none"/>
              </w:rPr>
              <w:t>0.7%</w:t>
            </w:r>
          </w:p>
        </w:tc>
      </w:tr>
      <w:tr w14:paraId="47303D31">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23A8C412">
            <w:pPr>
              <w:spacing w:line="360" w:lineRule="auto"/>
              <w:jc w:val="center"/>
              <w:rPr>
                <w:rFonts w:ascii="宋体" w:hAnsi="宋体"/>
                <w:color w:val="auto"/>
                <w:szCs w:val="21"/>
                <w:highlight w:val="none"/>
              </w:rPr>
            </w:pPr>
            <w:r>
              <w:rPr>
                <w:rFonts w:hint="eastAsia" w:ascii="宋体" w:hAnsi="宋体"/>
                <w:color w:val="auto"/>
                <w:szCs w:val="21"/>
                <w:highlight w:val="none"/>
              </w:rPr>
              <w:t>500～1000万元</w:t>
            </w:r>
          </w:p>
        </w:tc>
        <w:tc>
          <w:tcPr>
            <w:tcW w:w="2336" w:type="dxa"/>
            <w:tcBorders>
              <w:top w:val="single" w:color="auto" w:sz="4" w:space="0"/>
              <w:left w:val="single" w:color="auto" w:sz="4" w:space="0"/>
              <w:bottom w:val="single" w:color="auto" w:sz="4" w:space="0"/>
              <w:right w:val="single" w:color="auto" w:sz="4" w:space="0"/>
            </w:tcBorders>
            <w:vAlign w:val="center"/>
          </w:tcPr>
          <w:p w14:paraId="5A49ABFA">
            <w:pPr>
              <w:spacing w:line="360" w:lineRule="auto"/>
              <w:jc w:val="center"/>
              <w:rPr>
                <w:rFonts w:ascii="宋体" w:hAnsi="宋体"/>
                <w:color w:val="auto"/>
                <w:szCs w:val="21"/>
                <w:highlight w:val="none"/>
              </w:rPr>
            </w:pPr>
            <w:r>
              <w:rPr>
                <w:rFonts w:hint="eastAsia" w:ascii="宋体" w:hAnsi="宋体"/>
                <w:color w:val="auto"/>
                <w:szCs w:val="21"/>
                <w:highlight w:val="none"/>
              </w:rPr>
              <w:t>0.8%</w:t>
            </w:r>
          </w:p>
        </w:tc>
        <w:tc>
          <w:tcPr>
            <w:tcW w:w="2336" w:type="dxa"/>
            <w:tcBorders>
              <w:top w:val="single" w:color="auto" w:sz="4" w:space="0"/>
              <w:left w:val="single" w:color="auto" w:sz="4" w:space="0"/>
              <w:bottom w:val="single" w:color="auto" w:sz="4" w:space="0"/>
              <w:right w:val="single" w:color="auto" w:sz="4" w:space="0"/>
            </w:tcBorders>
            <w:vAlign w:val="center"/>
          </w:tcPr>
          <w:p w14:paraId="3AED0894">
            <w:pPr>
              <w:spacing w:line="360" w:lineRule="auto"/>
              <w:jc w:val="center"/>
              <w:rPr>
                <w:rFonts w:ascii="宋体" w:hAnsi="宋体"/>
                <w:color w:val="auto"/>
                <w:szCs w:val="21"/>
                <w:highlight w:val="none"/>
              </w:rPr>
            </w:pPr>
            <w:r>
              <w:rPr>
                <w:rFonts w:hint="eastAsia" w:ascii="宋体" w:hAnsi="宋体"/>
                <w:color w:val="auto"/>
                <w:szCs w:val="21"/>
                <w:highlight w:val="none"/>
              </w:rPr>
              <w:t>0.45%</w:t>
            </w:r>
          </w:p>
        </w:tc>
        <w:tc>
          <w:tcPr>
            <w:tcW w:w="2336" w:type="dxa"/>
            <w:tcBorders>
              <w:top w:val="single" w:color="auto" w:sz="4" w:space="0"/>
              <w:left w:val="single" w:color="auto" w:sz="4" w:space="0"/>
              <w:bottom w:val="single" w:color="auto" w:sz="4" w:space="0"/>
              <w:right w:val="single" w:color="auto" w:sz="4" w:space="0"/>
            </w:tcBorders>
            <w:vAlign w:val="center"/>
          </w:tcPr>
          <w:p w14:paraId="6F7B8500">
            <w:pPr>
              <w:spacing w:line="360" w:lineRule="auto"/>
              <w:jc w:val="center"/>
              <w:rPr>
                <w:rFonts w:ascii="宋体" w:hAnsi="宋体"/>
                <w:color w:val="auto"/>
                <w:szCs w:val="21"/>
                <w:highlight w:val="none"/>
              </w:rPr>
            </w:pPr>
            <w:r>
              <w:rPr>
                <w:rFonts w:hint="eastAsia" w:ascii="宋体" w:hAnsi="宋体"/>
                <w:color w:val="auto"/>
                <w:szCs w:val="21"/>
                <w:highlight w:val="none"/>
              </w:rPr>
              <w:t>0.55%</w:t>
            </w:r>
          </w:p>
        </w:tc>
      </w:tr>
      <w:tr w14:paraId="5B738DD0">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05D7E2EA">
            <w:pPr>
              <w:spacing w:line="360" w:lineRule="auto"/>
              <w:jc w:val="center"/>
              <w:rPr>
                <w:rFonts w:ascii="宋体" w:hAnsi="宋体"/>
                <w:color w:val="auto"/>
                <w:szCs w:val="21"/>
                <w:highlight w:val="none"/>
              </w:rPr>
            </w:pPr>
            <w:r>
              <w:rPr>
                <w:rFonts w:hint="eastAsia" w:ascii="宋体" w:hAnsi="宋体"/>
                <w:color w:val="auto"/>
                <w:szCs w:val="21"/>
                <w:highlight w:val="none"/>
              </w:rPr>
              <w:t>1000～5000万元</w:t>
            </w:r>
          </w:p>
        </w:tc>
        <w:tc>
          <w:tcPr>
            <w:tcW w:w="2336" w:type="dxa"/>
            <w:tcBorders>
              <w:top w:val="single" w:color="auto" w:sz="4" w:space="0"/>
              <w:left w:val="single" w:color="auto" w:sz="4" w:space="0"/>
              <w:bottom w:val="single" w:color="auto" w:sz="4" w:space="0"/>
              <w:right w:val="single" w:color="auto" w:sz="4" w:space="0"/>
            </w:tcBorders>
            <w:vAlign w:val="center"/>
          </w:tcPr>
          <w:p w14:paraId="7748FD9E">
            <w:pPr>
              <w:spacing w:line="360" w:lineRule="auto"/>
              <w:jc w:val="center"/>
              <w:rPr>
                <w:rFonts w:ascii="宋体" w:hAnsi="宋体"/>
                <w:color w:val="auto"/>
                <w:szCs w:val="21"/>
                <w:highlight w:val="none"/>
              </w:rPr>
            </w:pPr>
            <w:r>
              <w:rPr>
                <w:rFonts w:hint="eastAsia" w:ascii="宋体" w:hAnsi="宋体"/>
                <w:color w:val="auto"/>
                <w:szCs w:val="21"/>
                <w:highlight w:val="none"/>
              </w:rPr>
              <w:t>0.5%</w:t>
            </w:r>
          </w:p>
        </w:tc>
        <w:tc>
          <w:tcPr>
            <w:tcW w:w="2336" w:type="dxa"/>
            <w:tcBorders>
              <w:top w:val="single" w:color="auto" w:sz="4" w:space="0"/>
              <w:left w:val="single" w:color="auto" w:sz="4" w:space="0"/>
              <w:bottom w:val="single" w:color="auto" w:sz="4" w:space="0"/>
              <w:right w:val="single" w:color="auto" w:sz="4" w:space="0"/>
            </w:tcBorders>
            <w:vAlign w:val="center"/>
          </w:tcPr>
          <w:p w14:paraId="13417DB2">
            <w:pPr>
              <w:spacing w:line="360" w:lineRule="auto"/>
              <w:jc w:val="center"/>
              <w:rPr>
                <w:rFonts w:ascii="宋体" w:hAnsi="宋体"/>
                <w:color w:val="auto"/>
                <w:szCs w:val="21"/>
                <w:highlight w:val="none"/>
              </w:rPr>
            </w:pPr>
            <w:r>
              <w:rPr>
                <w:rFonts w:hint="eastAsia" w:ascii="宋体" w:hAnsi="宋体"/>
                <w:color w:val="auto"/>
                <w:szCs w:val="21"/>
                <w:highlight w:val="none"/>
              </w:rPr>
              <w:t>0.25%</w:t>
            </w:r>
          </w:p>
        </w:tc>
        <w:tc>
          <w:tcPr>
            <w:tcW w:w="2336" w:type="dxa"/>
            <w:tcBorders>
              <w:top w:val="single" w:color="auto" w:sz="4" w:space="0"/>
              <w:left w:val="single" w:color="auto" w:sz="4" w:space="0"/>
              <w:bottom w:val="single" w:color="auto" w:sz="4" w:space="0"/>
              <w:right w:val="single" w:color="auto" w:sz="4" w:space="0"/>
            </w:tcBorders>
            <w:vAlign w:val="center"/>
          </w:tcPr>
          <w:p w14:paraId="5F635308">
            <w:pPr>
              <w:spacing w:line="360" w:lineRule="auto"/>
              <w:jc w:val="center"/>
              <w:rPr>
                <w:rFonts w:ascii="宋体" w:hAnsi="宋体"/>
                <w:color w:val="auto"/>
                <w:szCs w:val="21"/>
                <w:highlight w:val="none"/>
              </w:rPr>
            </w:pPr>
            <w:r>
              <w:rPr>
                <w:rFonts w:hint="eastAsia" w:ascii="宋体" w:hAnsi="宋体"/>
                <w:color w:val="auto"/>
                <w:szCs w:val="21"/>
                <w:highlight w:val="none"/>
              </w:rPr>
              <w:t>0.35%</w:t>
            </w:r>
          </w:p>
        </w:tc>
      </w:tr>
      <w:tr w14:paraId="68D71DCE">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389B418B">
            <w:pPr>
              <w:spacing w:line="360" w:lineRule="auto"/>
              <w:jc w:val="center"/>
              <w:rPr>
                <w:rFonts w:ascii="宋体" w:hAnsi="宋体"/>
                <w:color w:val="auto"/>
                <w:szCs w:val="21"/>
                <w:highlight w:val="none"/>
              </w:rPr>
            </w:pPr>
            <w:r>
              <w:rPr>
                <w:rFonts w:hint="eastAsia" w:ascii="宋体" w:hAnsi="宋体"/>
                <w:color w:val="auto"/>
                <w:szCs w:val="21"/>
                <w:highlight w:val="none"/>
              </w:rPr>
              <w:t>5000万元～1亿元</w:t>
            </w:r>
          </w:p>
        </w:tc>
        <w:tc>
          <w:tcPr>
            <w:tcW w:w="2336" w:type="dxa"/>
            <w:tcBorders>
              <w:top w:val="single" w:color="auto" w:sz="4" w:space="0"/>
              <w:left w:val="single" w:color="auto" w:sz="4" w:space="0"/>
              <w:bottom w:val="single" w:color="auto" w:sz="4" w:space="0"/>
              <w:right w:val="single" w:color="auto" w:sz="4" w:space="0"/>
            </w:tcBorders>
            <w:vAlign w:val="center"/>
          </w:tcPr>
          <w:p w14:paraId="09ED98D3">
            <w:pPr>
              <w:spacing w:line="360" w:lineRule="auto"/>
              <w:jc w:val="center"/>
              <w:rPr>
                <w:rFonts w:ascii="宋体" w:hAnsi="宋体"/>
                <w:color w:val="auto"/>
                <w:szCs w:val="21"/>
                <w:highlight w:val="none"/>
              </w:rPr>
            </w:pPr>
            <w:r>
              <w:rPr>
                <w:rFonts w:hint="eastAsia" w:ascii="宋体" w:hAnsi="宋体"/>
                <w:color w:val="auto"/>
                <w:szCs w:val="21"/>
                <w:highlight w:val="none"/>
              </w:rPr>
              <w:t>0.25%</w:t>
            </w:r>
          </w:p>
        </w:tc>
        <w:tc>
          <w:tcPr>
            <w:tcW w:w="2336" w:type="dxa"/>
            <w:tcBorders>
              <w:top w:val="single" w:color="auto" w:sz="4" w:space="0"/>
              <w:left w:val="single" w:color="auto" w:sz="4" w:space="0"/>
              <w:bottom w:val="single" w:color="auto" w:sz="4" w:space="0"/>
              <w:right w:val="single" w:color="auto" w:sz="4" w:space="0"/>
            </w:tcBorders>
            <w:vAlign w:val="center"/>
          </w:tcPr>
          <w:p w14:paraId="24146DE1">
            <w:pPr>
              <w:spacing w:line="360" w:lineRule="auto"/>
              <w:jc w:val="center"/>
              <w:rPr>
                <w:rFonts w:ascii="宋体" w:hAnsi="宋体"/>
                <w:color w:val="auto"/>
                <w:szCs w:val="21"/>
                <w:highlight w:val="none"/>
              </w:rPr>
            </w:pPr>
            <w:r>
              <w:rPr>
                <w:rFonts w:hint="eastAsia" w:ascii="宋体" w:hAnsi="宋体"/>
                <w:color w:val="auto"/>
                <w:szCs w:val="21"/>
                <w:highlight w:val="none"/>
              </w:rPr>
              <w:t>0.1%</w:t>
            </w:r>
          </w:p>
        </w:tc>
        <w:tc>
          <w:tcPr>
            <w:tcW w:w="2336" w:type="dxa"/>
            <w:tcBorders>
              <w:top w:val="single" w:color="auto" w:sz="4" w:space="0"/>
              <w:left w:val="single" w:color="auto" w:sz="4" w:space="0"/>
              <w:bottom w:val="single" w:color="auto" w:sz="4" w:space="0"/>
              <w:right w:val="single" w:color="auto" w:sz="4" w:space="0"/>
            </w:tcBorders>
            <w:vAlign w:val="center"/>
          </w:tcPr>
          <w:p w14:paraId="23A00D8A">
            <w:pPr>
              <w:spacing w:line="360" w:lineRule="auto"/>
              <w:jc w:val="center"/>
              <w:rPr>
                <w:rFonts w:ascii="宋体" w:hAnsi="宋体"/>
                <w:color w:val="auto"/>
                <w:szCs w:val="21"/>
                <w:highlight w:val="none"/>
              </w:rPr>
            </w:pPr>
            <w:r>
              <w:rPr>
                <w:rFonts w:hint="eastAsia" w:ascii="宋体" w:hAnsi="宋体"/>
                <w:color w:val="auto"/>
                <w:szCs w:val="21"/>
                <w:highlight w:val="none"/>
              </w:rPr>
              <w:t>0.2%</w:t>
            </w:r>
          </w:p>
        </w:tc>
      </w:tr>
      <w:tr w14:paraId="161E5D9A">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172181B4">
            <w:pPr>
              <w:spacing w:line="360" w:lineRule="auto"/>
              <w:jc w:val="center"/>
              <w:rPr>
                <w:rFonts w:ascii="宋体" w:hAnsi="宋体"/>
                <w:color w:val="auto"/>
                <w:szCs w:val="21"/>
                <w:highlight w:val="none"/>
              </w:rPr>
            </w:pPr>
            <w:r>
              <w:rPr>
                <w:rFonts w:hint="eastAsia" w:ascii="宋体" w:hAnsi="宋体"/>
                <w:color w:val="auto"/>
                <w:szCs w:val="21"/>
                <w:highlight w:val="none"/>
              </w:rPr>
              <w:t>1～5亿元</w:t>
            </w:r>
          </w:p>
        </w:tc>
        <w:tc>
          <w:tcPr>
            <w:tcW w:w="2336" w:type="dxa"/>
            <w:tcBorders>
              <w:top w:val="single" w:color="auto" w:sz="4" w:space="0"/>
              <w:left w:val="single" w:color="auto" w:sz="4" w:space="0"/>
              <w:bottom w:val="single" w:color="auto" w:sz="4" w:space="0"/>
              <w:right w:val="single" w:color="auto" w:sz="4" w:space="0"/>
            </w:tcBorders>
            <w:vAlign w:val="center"/>
          </w:tcPr>
          <w:p w14:paraId="2DEB508D">
            <w:pPr>
              <w:spacing w:line="360" w:lineRule="auto"/>
              <w:jc w:val="center"/>
              <w:rPr>
                <w:rFonts w:ascii="宋体" w:hAnsi="宋体"/>
                <w:color w:val="auto"/>
                <w:szCs w:val="21"/>
                <w:highlight w:val="none"/>
              </w:rPr>
            </w:pPr>
            <w:r>
              <w:rPr>
                <w:rFonts w:hint="eastAsia" w:ascii="宋体" w:hAnsi="宋体"/>
                <w:color w:val="auto"/>
                <w:szCs w:val="21"/>
                <w:highlight w:val="none"/>
              </w:rPr>
              <w:t>0.05%</w:t>
            </w:r>
          </w:p>
        </w:tc>
        <w:tc>
          <w:tcPr>
            <w:tcW w:w="2336" w:type="dxa"/>
            <w:tcBorders>
              <w:top w:val="single" w:color="auto" w:sz="4" w:space="0"/>
              <w:left w:val="single" w:color="auto" w:sz="4" w:space="0"/>
              <w:bottom w:val="single" w:color="auto" w:sz="4" w:space="0"/>
              <w:right w:val="single" w:color="auto" w:sz="4" w:space="0"/>
            </w:tcBorders>
            <w:vAlign w:val="center"/>
          </w:tcPr>
          <w:p w14:paraId="2E6F6C0F">
            <w:pPr>
              <w:spacing w:line="360" w:lineRule="auto"/>
              <w:jc w:val="center"/>
              <w:rPr>
                <w:rFonts w:ascii="宋体" w:hAnsi="宋体"/>
                <w:color w:val="auto"/>
                <w:szCs w:val="21"/>
                <w:highlight w:val="none"/>
              </w:rPr>
            </w:pPr>
            <w:r>
              <w:rPr>
                <w:rFonts w:hint="eastAsia" w:ascii="宋体" w:hAnsi="宋体"/>
                <w:color w:val="auto"/>
                <w:szCs w:val="21"/>
                <w:highlight w:val="none"/>
              </w:rPr>
              <w:t>0.05%</w:t>
            </w:r>
          </w:p>
        </w:tc>
        <w:tc>
          <w:tcPr>
            <w:tcW w:w="2336" w:type="dxa"/>
            <w:tcBorders>
              <w:top w:val="single" w:color="auto" w:sz="4" w:space="0"/>
              <w:left w:val="single" w:color="auto" w:sz="4" w:space="0"/>
              <w:bottom w:val="single" w:color="auto" w:sz="4" w:space="0"/>
              <w:right w:val="single" w:color="auto" w:sz="4" w:space="0"/>
            </w:tcBorders>
            <w:vAlign w:val="center"/>
          </w:tcPr>
          <w:p w14:paraId="10791897">
            <w:pPr>
              <w:spacing w:line="360" w:lineRule="auto"/>
              <w:jc w:val="center"/>
              <w:rPr>
                <w:rFonts w:ascii="宋体" w:hAnsi="宋体"/>
                <w:color w:val="auto"/>
                <w:szCs w:val="21"/>
                <w:highlight w:val="none"/>
              </w:rPr>
            </w:pPr>
            <w:r>
              <w:rPr>
                <w:rFonts w:hint="eastAsia" w:ascii="宋体" w:hAnsi="宋体"/>
                <w:color w:val="auto"/>
                <w:szCs w:val="21"/>
                <w:highlight w:val="none"/>
              </w:rPr>
              <w:t>0.05%</w:t>
            </w:r>
          </w:p>
        </w:tc>
      </w:tr>
      <w:tr w14:paraId="1C412339">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7C583CAF">
            <w:pPr>
              <w:spacing w:line="360" w:lineRule="auto"/>
              <w:jc w:val="center"/>
              <w:rPr>
                <w:rFonts w:ascii="宋体" w:hAnsi="宋体"/>
                <w:color w:val="auto"/>
                <w:szCs w:val="21"/>
                <w:highlight w:val="none"/>
              </w:rPr>
            </w:pPr>
            <w:r>
              <w:rPr>
                <w:rFonts w:hint="eastAsia" w:ascii="宋体" w:hAnsi="宋体"/>
                <w:color w:val="auto"/>
                <w:szCs w:val="21"/>
                <w:highlight w:val="none"/>
              </w:rPr>
              <w:t>5～10亿元</w:t>
            </w:r>
          </w:p>
        </w:tc>
        <w:tc>
          <w:tcPr>
            <w:tcW w:w="2336" w:type="dxa"/>
            <w:tcBorders>
              <w:top w:val="single" w:color="auto" w:sz="4" w:space="0"/>
              <w:left w:val="single" w:color="auto" w:sz="4" w:space="0"/>
              <w:bottom w:val="single" w:color="auto" w:sz="4" w:space="0"/>
              <w:right w:val="single" w:color="auto" w:sz="4" w:space="0"/>
            </w:tcBorders>
            <w:vAlign w:val="center"/>
          </w:tcPr>
          <w:p w14:paraId="0DCB9A4D">
            <w:pPr>
              <w:spacing w:line="360" w:lineRule="auto"/>
              <w:jc w:val="center"/>
              <w:rPr>
                <w:rFonts w:ascii="宋体" w:hAnsi="宋体"/>
                <w:color w:val="auto"/>
                <w:szCs w:val="21"/>
                <w:highlight w:val="none"/>
              </w:rPr>
            </w:pPr>
            <w:r>
              <w:rPr>
                <w:rFonts w:hint="eastAsia" w:ascii="宋体" w:hAnsi="宋体"/>
                <w:color w:val="auto"/>
                <w:szCs w:val="21"/>
                <w:highlight w:val="none"/>
              </w:rPr>
              <w:t>0.035%</w:t>
            </w:r>
          </w:p>
        </w:tc>
        <w:tc>
          <w:tcPr>
            <w:tcW w:w="2336" w:type="dxa"/>
            <w:tcBorders>
              <w:top w:val="single" w:color="auto" w:sz="4" w:space="0"/>
              <w:left w:val="single" w:color="auto" w:sz="4" w:space="0"/>
              <w:bottom w:val="single" w:color="auto" w:sz="4" w:space="0"/>
              <w:right w:val="single" w:color="auto" w:sz="4" w:space="0"/>
            </w:tcBorders>
            <w:vAlign w:val="center"/>
          </w:tcPr>
          <w:p w14:paraId="2E163898">
            <w:pPr>
              <w:spacing w:line="360" w:lineRule="auto"/>
              <w:jc w:val="center"/>
              <w:rPr>
                <w:rFonts w:ascii="宋体" w:hAnsi="宋体"/>
                <w:color w:val="auto"/>
                <w:szCs w:val="21"/>
                <w:highlight w:val="none"/>
              </w:rPr>
            </w:pPr>
            <w:r>
              <w:rPr>
                <w:rFonts w:hint="eastAsia" w:ascii="宋体" w:hAnsi="宋体"/>
                <w:color w:val="auto"/>
                <w:szCs w:val="21"/>
                <w:highlight w:val="none"/>
              </w:rPr>
              <w:t>0.035%</w:t>
            </w:r>
          </w:p>
        </w:tc>
        <w:tc>
          <w:tcPr>
            <w:tcW w:w="2336" w:type="dxa"/>
            <w:tcBorders>
              <w:top w:val="single" w:color="auto" w:sz="4" w:space="0"/>
              <w:left w:val="single" w:color="auto" w:sz="4" w:space="0"/>
              <w:bottom w:val="single" w:color="auto" w:sz="4" w:space="0"/>
              <w:right w:val="single" w:color="auto" w:sz="4" w:space="0"/>
            </w:tcBorders>
            <w:vAlign w:val="center"/>
          </w:tcPr>
          <w:p w14:paraId="3E52AEDE">
            <w:pPr>
              <w:spacing w:line="360" w:lineRule="auto"/>
              <w:jc w:val="center"/>
              <w:rPr>
                <w:rFonts w:ascii="宋体" w:hAnsi="宋体"/>
                <w:color w:val="auto"/>
                <w:szCs w:val="21"/>
                <w:highlight w:val="none"/>
              </w:rPr>
            </w:pPr>
            <w:r>
              <w:rPr>
                <w:rFonts w:hint="eastAsia" w:ascii="宋体" w:hAnsi="宋体"/>
                <w:color w:val="auto"/>
                <w:szCs w:val="21"/>
                <w:highlight w:val="none"/>
              </w:rPr>
              <w:t>0.035%</w:t>
            </w:r>
          </w:p>
        </w:tc>
      </w:tr>
      <w:tr w14:paraId="6BF1DF10">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42591607">
            <w:pPr>
              <w:spacing w:line="360" w:lineRule="auto"/>
              <w:jc w:val="center"/>
              <w:rPr>
                <w:rFonts w:ascii="宋体" w:hAnsi="宋体"/>
                <w:color w:val="auto"/>
                <w:szCs w:val="21"/>
                <w:highlight w:val="none"/>
              </w:rPr>
            </w:pPr>
            <w:r>
              <w:rPr>
                <w:rFonts w:hint="eastAsia" w:ascii="宋体" w:hAnsi="宋体"/>
                <w:color w:val="auto"/>
                <w:szCs w:val="21"/>
                <w:highlight w:val="none"/>
              </w:rPr>
              <w:t>10～50亿元</w:t>
            </w:r>
          </w:p>
        </w:tc>
        <w:tc>
          <w:tcPr>
            <w:tcW w:w="2336" w:type="dxa"/>
            <w:tcBorders>
              <w:top w:val="single" w:color="auto" w:sz="4" w:space="0"/>
              <w:left w:val="single" w:color="auto" w:sz="4" w:space="0"/>
              <w:bottom w:val="single" w:color="auto" w:sz="4" w:space="0"/>
              <w:right w:val="single" w:color="auto" w:sz="4" w:space="0"/>
            </w:tcBorders>
            <w:vAlign w:val="center"/>
          </w:tcPr>
          <w:p w14:paraId="1AD75EC3">
            <w:pPr>
              <w:spacing w:line="360" w:lineRule="auto"/>
              <w:jc w:val="center"/>
              <w:rPr>
                <w:rFonts w:ascii="宋体" w:hAnsi="宋体"/>
                <w:color w:val="auto"/>
                <w:szCs w:val="21"/>
                <w:highlight w:val="none"/>
              </w:rPr>
            </w:pPr>
            <w:r>
              <w:rPr>
                <w:rFonts w:hint="eastAsia" w:ascii="宋体" w:hAnsi="宋体"/>
                <w:color w:val="auto"/>
                <w:szCs w:val="21"/>
                <w:highlight w:val="none"/>
              </w:rPr>
              <w:t>0.008%</w:t>
            </w:r>
          </w:p>
        </w:tc>
        <w:tc>
          <w:tcPr>
            <w:tcW w:w="2336" w:type="dxa"/>
            <w:tcBorders>
              <w:top w:val="single" w:color="auto" w:sz="4" w:space="0"/>
              <w:left w:val="single" w:color="auto" w:sz="4" w:space="0"/>
              <w:bottom w:val="single" w:color="auto" w:sz="4" w:space="0"/>
              <w:right w:val="single" w:color="auto" w:sz="4" w:space="0"/>
            </w:tcBorders>
            <w:vAlign w:val="center"/>
          </w:tcPr>
          <w:p w14:paraId="54533E0E">
            <w:pPr>
              <w:spacing w:line="360" w:lineRule="auto"/>
              <w:jc w:val="center"/>
              <w:rPr>
                <w:rFonts w:ascii="宋体" w:hAnsi="宋体"/>
                <w:color w:val="auto"/>
                <w:szCs w:val="21"/>
                <w:highlight w:val="none"/>
              </w:rPr>
            </w:pPr>
            <w:r>
              <w:rPr>
                <w:rFonts w:hint="eastAsia" w:ascii="宋体" w:hAnsi="宋体"/>
                <w:color w:val="auto"/>
                <w:szCs w:val="21"/>
                <w:highlight w:val="none"/>
              </w:rPr>
              <w:t>0.008%</w:t>
            </w:r>
          </w:p>
        </w:tc>
        <w:tc>
          <w:tcPr>
            <w:tcW w:w="2336" w:type="dxa"/>
            <w:tcBorders>
              <w:top w:val="single" w:color="auto" w:sz="4" w:space="0"/>
              <w:left w:val="single" w:color="auto" w:sz="4" w:space="0"/>
              <w:bottom w:val="single" w:color="auto" w:sz="4" w:space="0"/>
              <w:right w:val="single" w:color="auto" w:sz="4" w:space="0"/>
            </w:tcBorders>
            <w:vAlign w:val="center"/>
          </w:tcPr>
          <w:p w14:paraId="1C1A7606">
            <w:pPr>
              <w:spacing w:line="360" w:lineRule="auto"/>
              <w:jc w:val="center"/>
              <w:rPr>
                <w:rFonts w:ascii="宋体" w:hAnsi="宋体"/>
                <w:color w:val="auto"/>
                <w:szCs w:val="21"/>
                <w:highlight w:val="none"/>
              </w:rPr>
            </w:pPr>
            <w:r>
              <w:rPr>
                <w:rFonts w:hint="eastAsia" w:ascii="宋体" w:hAnsi="宋体"/>
                <w:color w:val="auto"/>
                <w:szCs w:val="21"/>
                <w:highlight w:val="none"/>
              </w:rPr>
              <w:t>0.008%</w:t>
            </w:r>
          </w:p>
        </w:tc>
      </w:tr>
      <w:tr w14:paraId="4C7A25BD">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56BDE5A8">
            <w:pPr>
              <w:spacing w:line="360" w:lineRule="auto"/>
              <w:jc w:val="center"/>
              <w:rPr>
                <w:rFonts w:ascii="宋体" w:hAnsi="宋体"/>
                <w:color w:val="auto"/>
                <w:szCs w:val="21"/>
                <w:highlight w:val="none"/>
              </w:rPr>
            </w:pPr>
            <w:r>
              <w:rPr>
                <w:rFonts w:hint="eastAsia" w:ascii="宋体" w:hAnsi="宋体"/>
                <w:color w:val="auto"/>
                <w:szCs w:val="21"/>
                <w:highlight w:val="none"/>
              </w:rPr>
              <w:t>50～100亿元</w:t>
            </w:r>
          </w:p>
        </w:tc>
        <w:tc>
          <w:tcPr>
            <w:tcW w:w="2336" w:type="dxa"/>
            <w:tcBorders>
              <w:top w:val="single" w:color="auto" w:sz="4" w:space="0"/>
              <w:left w:val="single" w:color="auto" w:sz="4" w:space="0"/>
              <w:bottom w:val="single" w:color="auto" w:sz="4" w:space="0"/>
              <w:right w:val="single" w:color="auto" w:sz="4" w:space="0"/>
            </w:tcBorders>
            <w:vAlign w:val="center"/>
          </w:tcPr>
          <w:p w14:paraId="3C0268AE">
            <w:pPr>
              <w:spacing w:line="360" w:lineRule="auto"/>
              <w:jc w:val="center"/>
              <w:rPr>
                <w:rFonts w:ascii="宋体" w:hAnsi="宋体"/>
                <w:color w:val="auto"/>
                <w:szCs w:val="21"/>
                <w:highlight w:val="none"/>
              </w:rPr>
            </w:pPr>
            <w:r>
              <w:rPr>
                <w:rFonts w:hint="eastAsia" w:ascii="宋体" w:hAnsi="宋体"/>
                <w:color w:val="auto"/>
                <w:szCs w:val="21"/>
                <w:highlight w:val="none"/>
              </w:rPr>
              <w:t>0.006%</w:t>
            </w:r>
          </w:p>
        </w:tc>
        <w:tc>
          <w:tcPr>
            <w:tcW w:w="2336" w:type="dxa"/>
            <w:tcBorders>
              <w:top w:val="single" w:color="auto" w:sz="4" w:space="0"/>
              <w:left w:val="single" w:color="auto" w:sz="4" w:space="0"/>
              <w:bottom w:val="single" w:color="auto" w:sz="4" w:space="0"/>
              <w:right w:val="single" w:color="auto" w:sz="4" w:space="0"/>
            </w:tcBorders>
            <w:vAlign w:val="center"/>
          </w:tcPr>
          <w:p w14:paraId="3936B441">
            <w:pPr>
              <w:spacing w:line="360" w:lineRule="auto"/>
              <w:jc w:val="center"/>
              <w:rPr>
                <w:rFonts w:ascii="宋体" w:hAnsi="宋体"/>
                <w:color w:val="auto"/>
                <w:szCs w:val="21"/>
                <w:highlight w:val="none"/>
              </w:rPr>
            </w:pPr>
            <w:r>
              <w:rPr>
                <w:rFonts w:hint="eastAsia" w:ascii="宋体" w:hAnsi="宋体"/>
                <w:color w:val="auto"/>
                <w:szCs w:val="21"/>
                <w:highlight w:val="none"/>
              </w:rPr>
              <w:t>0.006%</w:t>
            </w:r>
          </w:p>
        </w:tc>
        <w:tc>
          <w:tcPr>
            <w:tcW w:w="2336" w:type="dxa"/>
            <w:tcBorders>
              <w:top w:val="single" w:color="auto" w:sz="4" w:space="0"/>
              <w:left w:val="single" w:color="auto" w:sz="4" w:space="0"/>
              <w:bottom w:val="single" w:color="auto" w:sz="4" w:space="0"/>
              <w:right w:val="single" w:color="auto" w:sz="4" w:space="0"/>
            </w:tcBorders>
            <w:vAlign w:val="center"/>
          </w:tcPr>
          <w:p w14:paraId="0FBF0C9B">
            <w:pPr>
              <w:spacing w:line="360" w:lineRule="auto"/>
              <w:jc w:val="center"/>
              <w:rPr>
                <w:rFonts w:ascii="宋体" w:hAnsi="宋体"/>
                <w:color w:val="auto"/>
                <w:szCs w:val="21"/>
                <w:highlight w:val="none"/>
              </w:rPr>
            </w:pPr>
            <w:r>
              <w:rPr>
                <w:rFonts w:hint="eastAsia" w:ascii="宋体" w:hAnsi="宋体"/>
                <w:color w:val="auto"/>
                <w:szCs w:val="21"/>
                <w:highlight w:val="none"/>
              </w:rPr>
              <w:t>0.006%</w:t>
            </w:r>
          </w:p>
        </w:tc>
      </w:tr>
      <w:tr w14:paraId="05C7150A">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6A552A61">
            <w:pPr>
              <w:spacing w:line="360" w:lineRule="auto"/>
              <w:jc w:val="center"/>
              <w:rPr>
                <w:rFonts w:ascii="宋体" w:hAnsi="宋体"/>
                <w:color w:val="auto"/>
                <w:szCs w:val="21"/>
                <w:highlight w:val="none"/>
              </w:rPr>
            </w:pPr>
            <w:r>
              <w:rPr>
                <w:rFonts w:hint="eastAsia" w:ascii="宋体" w:hAnsi="宋体"/>
                <w:color w:val="auto"/>
                <w:szCs w:val="21"/>
                <w:highlight w:val="none"/>
              </w:rPr>
              <w:t>100亿元以上</w:t>
            </w:r>
          </w:p>
        </w:tc>
        <w:tc>
          <w:tcPr>
            <w:tcW w:w="2336" w:type="dxa"/>
            <w:tcBorders>
              <w:top w:val="single" w:color="auto" w:sz="4" w:space="0"/>
              <w:left w:val="single" w:color="auto" w:sz="4" w:space="0"/>
              <w:bottom w:val="single" w:color="auto" w:sz="4" w:space="0"/>
              <w:right w:val="single" w:color="auto" w:sz="4" w:space="0"/>
            </w:tcBorders>
            <w:vAlign w:val="center"/>
          </w:tcPr>
          <w:p w14:paraId="216556E9">
            <w:pPr>
              <w:spacing w:line="360" w:lineRule="auto"/>
              <w:jc w:val="center"/>
              <w:rPr>
                <w:rFonts w:ascii="宋体" w:hAnsi="宋体"/>
                <w:color w:val="auto"/>
                <w:szCs w:val="21"/>
                <w:highlight w:val="none"/>
              </w:rPr>
            </w:pPr>
            <w:r>
              <w:rPr>
                <w:rFonts w:hint="eastAsia" w:ascii="宋体" w:hAnsi="宋体"/>
                <w:color w:val="auto"/>
                <w:szCs w:val="21"/>
                <w:highlight w:val="none"/>
              </w:rPr>
              <w:t>0.004%</w:t>
            </w:r>
          </w:p>
        </w:tc>
        <w:tc>
          <w:tcPr>
            <w:tcW w:w="2336" w:type="dxa"/>
            <w:tcBorders>
              <w:top w:val="single" w:color="auto" w:sz="4" w:space="0"/>
              <w:left w:val="single" w:color="auto" w:sz="4" w:space="0"/>
              <w:bottom w:val="single" w:color="auto" w:sz="4" w:space="0"/>
              <w:right w:val="single" w:color="auto" w:sz="4" w:space="0"/>
            </w:tcBorders>
            <w:vAlign w:val="center"/>
          </w:tcPr>
          <w:p w14:paraId="1B77C36A">
            <w:pPr>
              <w:spacing w:line="360" w:lineRule="auto"/>
              <w:jc w:val="center"/>
              <w:rPr>
                <w:rFonts w:ascii="宋体" w:hAnsi="宋体"/>
                <w:color w:val="auto"/>
                <w:szCs w:val="21"/>
                <w:highlight w:val="none"/>
              </w:rPr>
            </w:pPr>
            <w:r>
              <w:rPr>
                <w:rFonts w:hint="eastAsia" w:ascii="宋体" w:hAnsi="宋体"/>
                <w:color w:val="auto"/>
                <w:szCs w:val="21"/>
                <w:highlight w:val="none"/>
              </w:rPr>
              <w:t>0.004%</w:t>
            </w:r>
          </w:p>
        </w:tc>
        <w:tc>
          <w:tcPr>
            <w:tcW w:w="2336" w:type="dxa"/>
            <w:tcBorders>
              <w:top w:val="single" w:color="auto" w:sz="4" w:space="0"/>
              <w:left w:val="single" w:color="auto" w:sz="4" w:space="0"/>
              <w:bottom w:val="single" w:color="auto" w:sz="4" w:space="0"/>
              <w:right w:val="single" w:color="auto" w:sz="4" w:space="0"/>
            </w:tcBorders>
            <w:vAlign w:val="center"/>
          </w:tcPr>
          <w:p w14:paraId="1B06BAE0">
            <w:pPr>
              <w:spacing w:line="360" w:lineRule="auto"/>
              <w:jc w:val="center"/>
              <w:rPr>
                <w:rFonts w:ascii="宋体" w:hAnsi="宋体"/>
                <w:color w:val="auto"/>
                <w:szCs w:val="21"/>
                <w:highlight w:val="none"/>
              </w:rPr>
            </w:pPr>
            <w:r>
              <w:rPr>
                <w:rFonts w:hint="eastAsia" w:ascii="宋体" w:hAnsi="宋体"/>
                <w:color w:val="auto"/>
                <w:szCs w:val="21"/>
                <w:highlight w:val="none"/>
              </w:rPr>
              <w:t>0.004%</w:t>
            </w:r>
          </w:p>
        </w:tc>
      </w:tr>
    </w:tbl>
    <w:p w14:paraId="0F734B4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w:t>
      </w:r>
    </w:p>
    <w:p w14:paraId="7AF2992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（1）按本表费率计算的收费为采购代理的收费基准价格；</w:t>
      </w:r>
    </w:p>
    <w:p w14:paraId="55682EF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（2）采购代理收费按差额定率累进法计算。</w:t>
      </w:r>
    </w:p>
    <w:p w14:paraId="75AE7A2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例如：某工程项目采购代理业务成交金额为150万元，计算采购代理收费额如下：</w:t>
      </w:r>
    </w:p>
    <w:p w14:paraId="5DD4EF4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100万元×l.0%＝1.0万元</w:t>
      </w:r>
    </w:p>
    <w:p w14:paraId="5E75EE2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（150-100）万元×0.7%＝0.35万元</w:t>
      </w:r>
    </w:p>
    <w:p w14:paraId="41D4B19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合计收费＝1.0+0.35＝1.35万元</w:t>
      </w:r>
    </w:p>
    <w:p w14:paraId="1D16CB28">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33.需要补充的其他内容</w:t>
      </w:r>
    </w:p>
    <w:p w14:paraId="179E03C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33.1本谈判文件解释规则详见“供应商须知前附表”。</w:t>
      </w:r>
    </w:p>
    <w:p w14:paraId="40E2DF9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33.2农民工工资保证金见“供应商须知前附表”。</w:t>
      </w:r>
    </w:p>
    <w:p w14:paraId="2DAA39C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33.3其他事项详见“供应商须知前附表”。</w:t>
      </w:r>
    </w:p>
    <w:p w14:paraId="3900EA8A">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33.4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43083B5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（1）在货物采购项目中，货物由中小企业制造，即货物由中小企业生产且使用该中小企业商号或者注册商标，不对其中涉及的工程承建商和服务的承接商作出要求；</w:t>
      </w:r>
    </w:p>
    <w:p w14:paraId="6062563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（2）在工程采购项目中，工程由中小企业承建，即工程施工单位为中小企业，不对其中涉及的货物的制造商和服务的承接商作出要求；</w:t>
      </w:r>
    </w:p>
    <w:p w14:paraId="70F678C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44ECF06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0A37D9B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依据本谈判文件规定享受扶持政策获得政府采购合同的，小微企业不得将合同分包给大中型企业，中型企业不得将合同分包给大型企业。</w:t>
      </w:r>
    </w:p>
    <w:p w14:paraId="20DE6202">
      <w:pPr>
        <w:spacing w:line="360" w:lineRule="auto"/>
        <w:ind w:firstLine="420" w:firstLineChars="200"/>
        <w:rPr>
          <w:rFonts w:ascii="宋体" w:hAnsi="宋体"/>
          <w:color w:val="auto"/>
          <w:szCs w:val="21"/>
          <w:highlight w:val="none"/>
        </w:rPr>
      </w:pPr>
      <w:r>
        <w:rPr>
          <w:rFonts w:ascii="宋体" w:hAnsi="宋体"/>
          <w:color w:val="auto"/>
          <w:szCs w:val="21"/>
          <w:highlight w:val="none"/>
        </w:rPr>
        <w:t>33.5</w:t>
      </w:r>
      <w:r>
        <w:rPr>
          <w:rFonts w:hint="eastAsia" w:ascii="宋体" w:hAnsi="宋体"/>
          <w:color w:val="auto"/>
          <w:szCs w:val="21"/>
          <w:highlight w:val="none"/>
        </w:rPr>
        <w:t>现场踏勘：见“供应商须知前附表”。</w:t>
      </w:r>
    </w:p>
    <w:p w14:paraId="21E6F3D8">
      <w:pPr>
        <w:pStyle w:val="2"/>
        <w:jc w:val="center"/>
        <w:rPr>
          <w:rFonts w:ascii="宋体" w:hAnsi="宋体"/>
          <w:color w:val="auto"/>
          <w:highlight w:val="none"/>
        </w:rPr>
        <w:sectPr>
          <w:pgSz w:w="11906" w:h="16838"/>
          <w:pgMar w:top="1440" w:right="1080" w:bottom="1440" w:left="1080" w:header="851" w:footer="992" w:gutter="0"/>
          <w:cols w:space="425" w:num="1"/>
          <w:docGrid w:type="lines" w:linePitch="312" w:charSpace="0"/>
        </w:sectPr>
      </w:pPr>
    </w:p>
    <w:p w14:paraId="2FADA5CA">
      <w:pPr>
        <w:pStyle w:val="2"/>
        <w:jc w:val="center"/>
        <w:rPr>
          <w:rFonts w:ascii="宋体" w:hAnsi="宋体"/>
          <w:color w:val="auto"/>
          <w:highlight w:val="none"/>
        </w:rPr>
      </w:pPr>
      <w:bookmarkStart w:id="21" w:name="_Toc25193"/>
      <w:bookmarkStart w:id="22" w:name="_Toc3367"/>
      <w:r>
        <w:rPr>
          <w:rFonts w:hint="eastAsia" w:ascii="宋体" w:hAnsi="宋体"/>
          <w:color w:val="auto"/>
          <w:highlight w:val="none"/>
        </w:rPr>
        <w:t>第三</w:t>
      </w:r>
      <w:r>
        <w:rPr>
          <w:rFonts w:hint="eastAsia" w:ascii="宋体" w:hAnsi="宋体"/>
          <w:color w:val="auto"/>
          <w:spacing w:val="100"/>
          <w:highlight w:val="none"/>
        </w:rPr>
        <w:t>章</w:t>
      </w:r>
      <w:r>
        <w:rPr>
          <w:rFonts w:hint="eastAsia" w:ascii="宋体" w:hAnsi="宋体"/>
          <w:color w:val="auto"/>
          <w:highlight w:val="none"/>
        </w:rPr>
        <w:t>采购需求</w:t>
      </w:r>
      <w:bookmarkEnd w:id="21"/>
      <w:r>
        <w:rPr>
          <w:rFonts w:hint="eastAsia" w:ascii="宋体" w:hAnsi="宋体"/>
          <w:color w:val="auto"/>
          <w:highlight w:val="none"/>
        </w:rPr>
        <w:t>（工程量清单、图纸）</w:t>
      </w:r>
      <w:bookmarkEnd w:id="22"/>
    </w:p>
    <w:p w14:paraId="690750E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说明：</w:t>
      </w:r>
    </w:p>
    <w:p w14:paraId="68DABAD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1.为落实政府采购政策需满足的要求（根据项目实际情况填写内容）</w:t>
      </w:r>
    </w:p>
    <w:p w14:paraId="04BDC6B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（1）本竞争性谈判采购文件所称中小企业必须符合《政府采购促进中小企业发展管理办法》（财库〔2020〕46号）的规定。</w:t>
      </w:r>
    </w:p>
    <w:p w14:paraId="068D43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工程（服务）项目中包含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评审程序和评定成交的标准”。</w:t>
      </w:r>
    </w:p>
    <w:p w14:paraId="70256DE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2.“实质性要求”是指采购需求中带“▲”的条款或者不能负偏离的条款或者已经指明不满足按响应文件作无效处理的条款。</w:t>
      </w:r>
    </w:p>
    <w:p w14:paraId="180D2B0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3.如竞标人竞标产品存在侵犯他人的知识产权或者专利成果行为的，应承担相应法律责任。</w:t>
      </w:r>
    </w:p>
    <w:p w14:paraId="37FE9DC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项目需求一览表：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286"/>
        <w:gridCol w:w="664"/>
        <w:gridCol w:w="664"/>
        <w:gridCol w:w="6098"/>
      </w:tblGrid>
      <w:tr w14:paraId="3CCF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23414156">
            <w:pPr>
              <w:spacing w:line="360" w:lineRule="auto"/>
              <w:jc w:val="center"/>
              <w:rPr>
                <w:rFonts w:ascii="宋体" w:hAnsi="宋体"/>
                <w:b/>
                <w:color w:val="auto"/>
                <w:szCs w:val="21"/>
                <w:highlight w:val="none"/>
              </w:rPr>
            </w:pPr>
            <w:r>
              <w:rPr>
                <w:rFonts w:hint="eastAsia" w:ascii="宋体" w:hAnsi="宋体"/>
                <w:b/>
                <w:color w:val="auto"/>
                <w:szCs w:val="21"/>
                <w:highlight w:val="none"/>
              </w:rPr>
              <w:t>序号</w:t>
            </w:r>
          </w:p>
        </w:tc>
        <w:tc>
          <w:tcPr>
            <w:tcW w:w="1286" w:type="dxa"/>
            <w:vAlign w:val="center"/>
          </w:tcPr>
          <w:p w14:paraId="71E1F200">
            <w:pPr>
              <w:spacing w:line="360" w:lineRule="auto"/>
              <w:jc w:val="center"/>
              <w:rPr>
                <w:rFonts w:ascii="宋体" w:hAnsi="宋体"/>
                <w:b/>
                <w:color w:val="auto"/>
                <w:szCs w:val="21"/>
                <w:highlight w:val="none"/>
              </w:rPr>
            </w:pPr>
            <w:r>
              <w:rPr>
                <w:rFonts w:hint="eastAsia" w:ascii="宋体" w:hAnsi="宋体"/>
                <w:b/>
                <w:color w:val="auto"/>
                <w:szCs w:val="21"/>
                <w:highlight w:val="none"/>
              </w:rPr>
              <w:t>标的名称</w:t>
            </w:r>
          </w:p>
        </w:tc>
        <w:tc>
          <w:tcPr>
            <w:tcW w:w="664" w:type="dxa"/>
            <w:vAlign w:val="center"/>
          </w:tcPr>
          <w:p w14:paraId="7B88A220">
            <w:pPr>
              <w:spacing w:line="360" w:lineRule="auto"/>
              <w:jc w:val="center"/>
              <w:rPr>
                <w:rFonts w:ascii="宋体" w:hAnsi="宋体"/>
                <w:b/>
                <w:color w:val="auto"/>
                <w:szCs w:val="21"/>
                <w:highlight w:val="none"/>
              </w:rPr>
            </w:pPr>
            <w:r>
              <w:rPr>
                <w:rFonts w:hint="eastAsia" w:ascii="宋体" w:hAnsi="宋体"/>
                <w:b/>
                <w:color w:val="auto"/>
                <w:szCs w:val="21"/>
                <w:highlight w:val="none"/>
              </w:rPr>
              <w:t>数量及单位</w:t>
            </w:r>
          </w:p>
        </w:tc>
        <w:tc>
          <w:tcPr>
            <w:tcW w:w="664" w:type="dxa"/>
            <w:vAlign w:val="center"/>
          </w:tcPr>
          <w:p w14:paraId="4FCB8742">
            <w:pPr>
              <w:spacing w:line="360" w:lineRule="auto"/>
              <w:jc w:val="center"/>
              <w:rPr>
                <w:rFonts w:ascii="宋体" w:hAnsi="宋体"/>
                <w:b/>
                <w:color w:val="auto"/>
                <w:szCs w:val="21"/>
                <w:highlight w:val="none"/>
              </w:rPr>
            </w:pPr>
            <w:r>
              <w:rPr>
                <w:rFonts w:hint="eastAsia" w:ascii="宋体" w:hAnsi="宋体"/>
                <w:b/>
                <w:color w:val="auto"/>
                <w:szCs w:val="21"/>
                <w:highlight w:val="none"/>
              </w:rPr>
              <w:t>所属行业</w:t>
            </w:r>
          </w:p>
        </w:tc>
        <w:tc>
          <w:tcPr>
            <w:tcW w:w="6098" w:type="dxa"/>
            <w:vAlign w:val="center"/>
          </w:tcPr>
          <w:p w14:paraId="0A375751">
            <w:pPr>
              <w:spacing w:line="360" w:lineRule="auto"/>
              <w:jc w:val="center"/>
              <w:rPr>
                <w:rFonts w:ascii="宋体" w:hAnsi="宋体"/>
                <w:b/>
                <w:color w:val="auto"/>
                <w:szCs w:val="21"/>
                <w:highlight w:val="none"/>
              </w:rPr>
            </w:pPr>
            <w:r>
              <w:rPr>
                <w:rFonts w:hint="eastAsia" w:ascii="宋体" w:hAnsi="宋体"/>
                <w:b/>
                <w:color w:val="auto"/>
                <w:szCs w:val="21"/>
                <w:highlight w:val="none"/>
              </w:rPr>
              <w:t>技术要求</w:t>
            </w:r>
          </w:p>
        </w:tc>
      </w:tr>
      <w:tr w14:paraId="1DC0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5FA3DF7B">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286" w:type="dxa"/>
            <w:vAlign w:val="center"/>
          </w:tcPr>
          <w:p w14:paraId="2A6BDC42">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广西壮族自治区人民医院桃源院区产科三区装修改造工程</w:t>
            </w:r>
          </w:p>
        </w:tc>
        <w:tc>
          <w:tcPr>
            <w:tcW w:w="664" w:type="dxa"/>
            <w:vAlign w:val="center"/>
          </w:tcPr>
          <w:p w14:paraId="5E3770F4">
            <w:pPr>
              <w:spacing w:line="360" w:lineRule="auto"/>
              <w:jc w:val="center"/>
              <w:rPr>
                <w:rFonts w:ascii="宋体" w:hAnsi="宋体"/>
                <w:color w:val="auto"/>
                <w:szCs w:val="21"/>
                <w:highlight w:val="none"/>
              </w:rPr>
            </w:pPr>
            <w:r>
              <w:rPr>
                <w:rFonts w:hint="eastAsia" w:ascii="宋体" w:hAnsi="宋体"/>
                <w:color w:val="auto"/>
                <w:szCs w:val="21"/>
                <w:highlight w:val="none"/>
              </w:rPr>
              <w:t>1项</w:t>
            </w:r>
          </w:p>
        </w:tc>
        <w:tc>
          <w:tcPr>
            <w:tcW w:w="664" w:type="dxa"/>
            <w:vAlign w:val="center"/>
          </w:tcPr>
          <w:p w14:paraId="7B200B58">
            <w:pPr>
              <w:spacing w:line="360" w:lineRule="auto"/>
              <w:jc w:val="center"/>
              <w:rPr>
                <w:rFonts w:ascii="宋体" w:hAnsi="宋体"/>
                <w:color w:val="auto"/>
                <w:szCs w:val="21"/>
                <w:highlight w:val="none"/>
              </w:rPr>
            </w:pPr>
            <w:r>
              <w:rPr>
                <w:rFonts w:hint="eastAsia" w:ascii="宋体" w:hAnsi="宋体"/>
                <w:color w:val="auto"/>
                <w:szCs w:val="21"/>
                <w:highlight w:val="none"/>
              </w:rPr>
              <w:t>建筑业</w:t>
            </w:r>
          </w:p>
        </w:tc>
        <w:tc>
          <w:tcPr>
            <w:tcW w:w="6098" w:type="dxa"/>
            <w:vAlign w:val="center"/>
          </w:tcPr>
          <w:p w14:paraId="0E26B761">
            <w:pPr>
              <w:spacing w:line="360" w:lineRule="auto"/>
              <w:ind w:firstLine="422" w:firstLineChars="200"/>
              <w:jc w:val="left"/>
              <w:rPr>
                <w:rFonts w:ascii="宋体" w:hAnsi="宋体"/>
                <w:b/>
                <w:bCs/>
                <w:color w:val="auto"/>
                <w:szCs w:val="21"/>
                <w:highlight w:val="none"/>
              </w:rPr>
            </w:pPr>
            <w:r>
              <w:rPr>
                <w:rFonts w:hint="eastAsia" w:ascii="宋体" w:hAnsi="宋体"/>
                <w:b/>
                <w:bCs/>
                <w:color w:val="auto"/>
                <w:szCs w:val="21"/>
                <w:highlight w:val="none"/>
              </w:rPr>
              <w:t>一、</w:t>
            </w:r>
            <w:r>
              <w:rPr>
                <w:rFonts w:hint="eastAsia" w:ascii="宋体" w:hAnsi="宋体"/>
                <w:b/>
                <w:bCs/>
                <w:color w:val="auto"/>
                <w:szCs w:val="21"/>
                <w:highlight w:val="none"/>
                <w:lang w:val="en-US" w:eastAsia="zh-CN"/>
              </w:rPr>
              <w:t>建设内容</w:t>
            </w:r>
            <w:r>
              <w:rPr>
                <w:rFonts w:hint="eastAsia" w:ascii="宋体" w:hAnsi="宋体"/>
                <w:b/>
                <w:bCs/>
                <w:color w:val="auto"/>
                <w:szCs w:val="21"/>
                <w:highlight w:val="none"/>
              </w:rPr>
              <w:t>：</w:t>
            </w:r>
          </w:p>
          <w:p w14:paraId="568A744C">
            <w:pPr>
              <w:numPr>
                <w:ilvl w:val="0"/>
                <w:numId w:val="1"/>
              </w:numPr>
              <w:spacing w:line="360" w:lineRule="auto"/>
              <w:jc w:val="left"/>
              <w:rPr>
                <w:rFonts w:hint="eastAsia" w:ascii="宋体" w:hAnsi="宋体" w:eastAsia="宋体"/>
                <w:color w:val="auto"/>
                <w:szCs w:val="21"/>
                <w:highlight w:val="none"/>
                <w:lang w:val="en-US" w:eastAsia="zh-CN"/>
              </w:rPr>
            </w:pPr>
            <w:r>
              <w:rPr>
                <w:rFonts w:hint="eastAsia" w:ascii="宋体" w:hAnsi="宋体"/>
                <w:color w:val="auto"/>
                <w:szCs w:val="21"/>
                <w:highlight w:val="none"/>
              </w:rPr>
              <w:t>该项目建设地点位于</w:t>
            </w:r>
            <w:r>
              <w:rPr>
                <w:rFonts w:hint="eastAsia" w:ascii="宋体" w:hAnsi="宋体"/>
                <w:color w:val="auto"/>
                <w:szCs w:val="21"/>
                <w:highlight w:val="none"/>
                <w:lang w:eastAsia="zh-CN"/>
              </w:rPr>
              <w:t>南宁市青秀区桃源路6号</w:t>
            </w:r>
            <w:r>
              <w:rPr>
                <w:rFonts w:hint="eastAsia" w:ascii="宋体" w:hAnsi="宋体"/>
                <w:color w:val="auto"/>
                <w:szCs w:val="21"/>
                <w:highlight w:val="none"/>
              </w:rPr>
              <w:t>，主要改造十三层约1020㎡，包含装修拆除、安装拆除、装饰装修、水电、通风等</w:t>
            </w:r>
            <w:r>
              <w:rPr>
                <w:rFonts w:hint="eastAsia" w:ascii="宋体" w:hAnsi="宋体"/>
                <w:color w:val="auto"/>
                <w:szCs w:val="21"/>
                <w:highlight w:val="none"/>
                <w:lang w:val="en-US" w:eastAsia="zh-CN"/>
              </w:rPr>
              <w:t>内容，具</w:t>
            </w:r>
            <w:r>
              <w:rPr>
                <w:rFonts w:hint="eastAsia" w:ascii="宋体" w:hAnsi="宋体" w:cs="宋体"/>
                <w:color w:val="auto"/>
                <w:szCs w:val="22"/>
                <w:highlight w:val="none"/>
              </w:rPr>
              <w:t>体以施工图及工程量清单包含的内容为准。</w:t>
            </w:r>
          </w:p>
          <w:p w14:paraId="2D89699B">
            <w:pPr>
              <w:spacing w:line="360" w:lineRule="auto"/>
              <w:ind w:firstLine="420" w:firstLineChars="200"/>
              <w:jc w:val="left"/>
              <w:rPr>
                <w:rFonts w:ascii="宋体" w:hAnsi="宋体"/>
                <w:b/>
                <w:bCs/>
                <w:color w:val="auto"/>
                <w:szCs w:val="21"/>
                <w:highlight w:val="none"/>
              </w:rPr>
            </w:pPr>
            <w:r>
              <w:rPr>
                <w:rFonts w:hint="eastAsia" w:ascii="宋体" w:hAnsi="宋体"/>
                <w:color w:val="auto"/>
                <w:szCs w:val="21"/>
                <w:highlight w:val="none"/>
              </w:rPr>
              <w:t>▲</w:t>
            </w:r>
            <w:r>
              <w:rPr>
                <w:rFonts w:hint="eastAsia" w:ascii="宋体" w:hAnsi="宋体"/>
                <w:b/>
                <w:bCs/>
                <w:color w:val="auto"/>
                <w:szCs w:val="21"/>
                <w:highlight w:val="none"/>
                <w:lang w:val="en-US" w:eastAsia="zh-CN"/>
              </w:rPr>
              <w:t>二</w:t>
            </w:r>
            <w:r>
              <w:rPr>
                <w:rFonts w:hint="eastAsia" w:ascii="宋体" w:hAnsi="宋体"/>
                <w:b/>
                <w:bCs/>
                <w:color w:val="auto"/>
                <w:szCs w:val="21"/>
                <w:highlight w:val="none"/>
              </w:rPr>
              <w:t>、质量要求</w:t>
            </w:r>
          </w:p>
          <w:p w14:paraId="1D7F75DC">
            <w:pPr>
              <w:adjustRightInd w:val="0"/>
              <w:snapToGrid w:val="0"/>
              <w:spacing w:line="360" w:lineRule="auto"/>
              <w:ind w:firstLine="420"/>
              <w:rPr>
                <w:rFonts w:hint="eastAsia" w:ascii="宋体" w:hAnsi="宋体"/>
                <w:color w:val="auto"/>
                <w:highlight w:val="none"/>
              </w:rPr>
            </w:pPr>
            <w:r>
              <w:rPr>
                <w:rFonts w:hint="eastAsia" w:ascii="宋体" w:hAnsi="宋体"/>
                <w:color w:val="auto"/>
                <w:highlight w:val="none"/>
              </w:rPr>
              <w:t>1.质量要求：完工验收的质量评定达到合格标准。</w:t>
            </w:r>
          </w:p>
          <w:p w14:paraId="019E95D4">
            <w:pPr>
              <w:adjustRightInd w:val="0"/>
              <w:snapToGrid w:val="0"/>
              <w:spacing w:line="360" w:lineRule="auto"/>
              <w:ind w:firstLine="420"/>
              <w:rPr>
                <w:rFonts w:hint="eastAsia" w:ascii="宋体" w:hAnsi="宋体"/>
                <w:color w:val="auto"/>
                <w:highlight w:val="none"/>
              </w:rPr>
            </w:pPr>
            <w:r>
              <w:rPr>
                <w:rFonts w:hint="eastAsia" w:ascii="宋体" w:hAnsi="宋体"/>
                <w:color w:val="auto"/>
                <w:highlight w:val="none"/>
              </w:rPr>
              <w:t>2.技术要求：符合国家及行业现行工程施工规范、验收标准及强制性标准条文以及地方现行标准、规范和规程，并达到本项目的设计标准。</w:t>
            </w:r>
          </w:p>
          <w:p w14:paraId="5D763359">
            <w:pPr>
              <w:adjustRightInd w:val="0"/>
              <w:snapToGrid w:val="0"/>
              <w:spacing w:line="360" w:lineRule="auto"/>
              <w:ind w:firstLine="420"/>
              <w:rPr>
                <w:rFonts w:hint="eastAsia" w:ascii="宋体" w:hAnsi="宋体"/>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.总体技术要求：</w:t>
            </w:r>
          </w:p>
          <w:p w14:paraId="0ACF94C6">
            <w:pPr>
              <w:adjustRightInd w:val="0"/>
              <w:snapToGrid w:val="0"/>
              <w:spacing w:line="360" w:lineRule="auto"/>
              <w:ind w:firstLine="420"/>
              <w:rPr>
                <w:rFonts w:hint="eastAsia" w:ascii="宋体" w:hAnsi="宋体"/>
                <w:color w:val="auto"/>
                <w:szCs w:val="21"/>
                <w:highlight w:val="none"/>
              </w:rPr>
            </w:pPr>
            <w:r>
              <w:rPr>
                <w:rFonts w:hint="eastAsia" w:ascii="宋体" w:hAnsi="宋体"/>
                <w:color w:val="auto"/>
                <w:szCs w:val="21"/>
                <w:highlight w:val="none"/>
              </w:rPr>
              <w:t>（1）总体原则是：绿色环保节能。</w:t>
            </w:r>
          </w:p>
          <w:p w14:paraId="06532B6C">
            <w:pPr>
              <w:adjustRightInd w:val="0"/>
              <w:snapToGrid w:val="0"/>
              <w:spacing w:line="360" w:lineRule="auto"/>
              <w:ind w:firstLine="420"/>
              <w:rPr>
                <w:rFonts w:hint="eastAsia" w:ascii="宋体" w:hAnsi="宋体"/>
                <w:color w:val="auto"/>
                <w:szCs w:val="21"/>
                <w:highlight w:val="none"/>
              </w:rPr>
            </w:pPr>
            <w:r>
              <w:rPr>
                <w:rFonts w:hint="eastAsia" w:ascii="宋体" w:hAnsi="宋体"/>
                <w:color w:val="auto"/>
                <w:szCs w:val="21"/>
                <w:highlight w:val="none"/>
              </w:rPr>
              <w:t>（2）项目采用的材料、施工工艺等，必须符合本竞争性谈判文件及国家规范的相关要求。包括但不限于下列规范：</w:t>
            </w:r>
          </w:p>
          <w:p w14:paraId="64BEBB0F">
            <w:pPr>
              <w:adjustRightInd w:val="0"/>
              <w:snapToGrid w:val="0"/>
              <w:spacing w:line="360" w:lineRule="auto"/>
              <w:ind w:firstLine="420"/>
              <w:rPr>
                <w:rFonts w:hint="eastAsia" w:ascii="宋体" w:hAnsi="宋体"/>
                <w:color w:val="auto"/>
                <w:szCs w:val="21"/>
                <w:highlight w:val="none"/>
              </w:rPr>
            </w:pPr>
            <w:r>
              <w:rPr>
                <w:rFonts w:hint="eastAsia" w:ascii="宋体" w:hAnsi="宋体"/>
                <w:color w:val="auto"/>
                <w:szCs w:val="21"/>
                <w:highlight w:val="none"/>
              </w:rPr>
              <w:t>《建筑装饰装修工程质量验收标准》（GB50210-2018）</w:t>
            </w:r>
          </w:p>
          <w:p w14:paraId="213B3E5D">
            <w:pPr>
              <w:adjustRightInd w:val="0"/>
              <w:snapToGrid w:val="0"/>
              <w:spacing w:line="360" w:lineRule="auto"/>
              <w:ind w:firstLine="420"/>
              <w:rPr>
                <w:rFonts w:hint="eastAsia" w:ascii="宋体" w:hAnsi="宋体"/>
                <w:color w:val="auto"/>
                <w:szCs w:val="21"/>
                <w:highlight w:val="none"/>
              </w:rPr>
            </w:pPr>
            <w:r>
              <w:rPr>
                <w:rFonts w:ascii="宋体" w:hAnsi="宋体"/>
                <w:color w:val="auto"/>
                <w:highlight w:val="none"/>
              </w:rPr>
              <w:t>《</w:t>
            </w:r>
            <w:r>
              <w:rPr>
                <w:rFonts w:hint="eastAsia" w:ascii="宋体" w:hAnsi="宋体"/>
                <w:color w:val="auto"/>
                <w:highlight w:val="none"/>
              </w:rPr>
              <w:t>民用建筑工程室内环境污染控制标准</w:t>
            </w:r>
            <w:r>
              <w:rPr>
                <w:rFonts w:ascii="宋体" w:hAnsi="宋体"/>
                <w:color w:val="auto"/>
                <w:highlight w:val="none"/>
              </w:rPr>
              <w:t>》（GB 50325-2020）</w:t>
            </w:r>
          </w:p>
          <w:p w14:paraId="3F36606A">
            <w:pPr>
              <w:adjustRightInd w:val="0"/>
              <w:snapToGrid w:val="0"/>
              <w:spacing w:line="360" w:lineRule="auto"/>
              <w:ind w:firstLine="420"/>
              <w:rPr>
                <w:rFonts w:hint="eastAsia" w:ascii="宋体" w:hAnsi="宋体"/>
                <w:color w:val="auto"/>
                <w:szCs w:val="21"/>
                <w:highlight w:val="none"/>
              </w:rPr>
            </w:pPr>
            <w:r>
              <w:rPr>
                <w:rFonts w:hint="eastAsia" w:ascii="宋体" w:hAnsi="宋体"/>
                <w:color w:val="auto"/>
                <w:szCs w:val="21"/>
                <w:highlight w:val="none"/>
              </w:rPr>
              <w:t>《建筑设计防火规范》（GB50016-2014）</w:t>
            </w:r>
          </w:p>
          <w:p w14:paraId="1DB34DB7">
            <w:pPr>
              <w:adjustRightInd w:val="0"/>
              <w:snapToGrid w:val="0"/>
              <w:spacing w:line="360" w:lineRule="auto"/>
              <w:ind w:firstLine="420"/>
              <w:rPr>
                <w:rFonts w:hint="eastAsia" w:ascii="宋体" w:hAnsi="宋体"/>
                <w:color w:val="auto"/>
                <w:szCs w:val="21"/>
                <w:highlight w:val="none"/>
              </w:rPr>
            </w:pPr>
            <w:r>
              <w:rPr>
                <w:rFonts w:hint="eastAsia" w:ascii="宋体" w:hAnsi="宋体"/>
                <w:color w:val="auto"/>
                <w:szCs w:val="21"/>
                <w:highlight w:val="none"/>
              </w:rPr>
              <w:t>其它与本工程相关的技术规范。</w:t>
            </w:r>
          </w:p>
          <w:p w14:paraId="217AFEFA">
            <w:pPr>
              <w:adjustRightInd w:val="0"/>
              <w:snapToGrid w:val="0"/>
              <w:spacing w:line="360" w:lineRule="auto"/>
              <w:ind w:firstLine="420"/>
              <w:rPr>
                <w:rFonts w:hint="eastAsia" w:ascii="宋体" w:hAnsi="宋体"/>
                <w:color w:val="auto"/>
                <w:szCs w:val="21"/>
                <w:highlight w:val="none"/>
              </w:rPr>
            </w:pPr>
            <w:r>
              <w:rPr>
                <w:rFonts w:hint="eastAsia" w:ascii="宋体" w:hAnsi="宋体"/>
                <w:color w:val="auto"/>
                <w:szCs w:val="21"/>
                <w:highlight w:val="none"/>
              </w:rPr>
              <w:t>如果国家有新的行业标准公布，则按新标准执行。</w:t>
            </w:r>
          </w:p>
          <w:p w14:paraId="62B547BC">
            <w:pPr>
              <w:adjustRightInd w:val="0"/>
              <w:snapToGrid w:val="0"/>
              <w:spacing w:line="360" w:lineRule="auto"/>
              <w:ind w:firstLine="42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.建筑装修材料技术、质量要求：</w:t>
            </w:r>
          </w:p>
          <w:p w14:paraId="2F484BCB">
            <w:pPr>
              <w:adjustRightInd w:val="0"/>
              <w:snapToGrid w:val="0"/>
              <w:spacing w:line="360" w:lineRule="auto"/>
              <w:ind w:firstLine="420"/>
              <w:rPr>
                <w:rFonts w:hint="eastAsia" w:ascii="宋体" w:hAnsi="宋体"/>
                <w:color w:val="auto"/>
                <w:szCs w:val="21"/>
                <w:highlight w:val="none"/>
              </w:rPr>
            </w:pPr>
            <w:r>
              <w:rPr>
                <w:rFonts w:hint="eastAsia" w:ascii="宋体" w:hAnsi="宋体"/>
                <w:color w:val="auto"/>
                <w:szCs w:val="21"/>
                <w:highlight w:val="none"/>
              </w:rPr>
              <w:t>（1）建筑装修材料选择应遵循不产尘、不积尘、耐腐蚀、防潮防霉、容易清洁和符合防火、环保要求的总原则。</w:t>
            </w:r>
          </w:p>
          <w:p w14:paraId="0E4B7769">
            <w:pPr>
              <w:adjustRightInd w:val="0"/>
              <w:snapToGrid w:val="0"/>
              <w:spacing w:line="360" w:lineRule="auto"/>
              <w:ind w:firstLine="420"/>
              <w:rPr>
                <w:rFonts w:hint="eastAsia" w:ascii="宋体" w:hAnsi="宋体"/>
                <w:color w:val="auto"/>
                <w:szCs w:val="21"/>
                <w:highlight w:val="none"/>
              </w:rPr>
            </w:pPr>
            <w:r>
              <w:rPr>
                <w:rFonts w:hint="eastAsia" w:ascii="宋体" w:hAnsi="宋体"/>
                <w:color w:val="auto"/>
                <w:szCs w:val="21"/>
                <w:highlight w:val="none"/>
              </w:rPr>
              <w:t>（2）所有材料必须为品质优良、全新的正品，按材料表规格型号选用，用料档次不得低于所列品牌。</w:t>
            </w:r>
          </w:p>
          <w:p w14:paraId="75E99ACE">
            <w:pPr>
              <w:adjustRightInd w:val="0"/>
              <w:snapToGrid w:val="0"/>
              <w:spacing w:line="360" w:lineRule="auto"/>
              <w:ind w:firstLine="420"/>
              <w:rPr>
                <w:rFonts w:hint="eastAsia" w:ascii="宋体" w:hAnsi="宋体"/>
                <w:color w:val="auto"/>
                <w:szCs w:val="21"/>
                <w:highlight w:val="none"/>
              </w:rPr>
            </w:pPr>
            <w:r>
              <w:rPr>
                <w:rFonts w:hint="eastAsia" w:ascii="宋体" w:hAnsi="宋体"/>
                <w:color w:val="auto"/>
                <w:szCs w:val="21"/>
                <w:highlight w:val="none"/>
              </w:rPr>
              <w:t>（3）所有装饰完成面须干净完整统一，所有钉头要隐蔽，不同材料交接位要处理得干净利落，不得用灰或玻璃胶灌缝（防水或防震除外）。</w:t>
            </w:r>
          </w:p>
          <w:p w14:paraId="10BD1DB2">
            <w:pPr>
              <w:adjustRightInd w:val="0"/>
              <w:snapToGrid w:val="0"/>
              <w:spacing w:line="360" w:lineRule="auto"/>
              <w:ind w:firstLine="420"/>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.施工时应进行现场测量，实际尺寸与图纸不符，应按实际尺寸进行适当调整，如尺寸相差较大，应与采购人联系沟通，取得采购人确认后进行修改。</w:t>
            </w:r>
          </w:p>
          <w:p w14:paraId="6155390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7</w:t>
            </w:r>
            <w:r>
              <w:rPr>
                <w:rFonts w:ascii="宋体" w:hAnsi="宋体"/>
                <w:color w:val="auto"/>
                <w:szCs w:val="21"/>
                <w:highlight w:val="none"/>
              </w:rPr>
              <w:t>.</w:t>
            </w:r>
            <w:r>
              <w:rPr>
                <w:rFonts w:hint="eastAsia" w:ascii="宋体" w:hAnsi="宋体"/>
                <w:color w:val="auto"/>
                <w:szCs w:val="21"/>
                <w:highlight w:val="none"/>
              </w:rPr>
              <w:t>每项工序开工前，均要做好施工样板，待样板通过验收，施工人员按样板进行施工，避免返工，加快施工进度。</w:t>
            </w:r>
          </w:p>
          <w:p w14:paraId="3D61A0B8">
            <w:pPr>
              <w:spacing w:line="360" w:lineRule="auto"/>
              <w:ind w:firstLine="420" w:firstLineChars="200"/>
              <w:jc w:val="left"/>
              <w:rPr>
                <w:rFonts w:ascii="宋体" w:hAnsi="宋体"/>
                <w:b/>
                <w:bCs/>
                <w:color w:val="auto"/>
                <w:szCs w:val="21"/>
                <w:highlight w:val="none"/>
              </w:rPr>
            </w:pPr>
            <w:r>
              <w:rPr>
                <w:rFonts w:hint="eastAsia" w:ascii="宋体" w:hAnsi="宋体"/>
                <w:color w:val="auto"/>
                <w:szCs w:val="21"/>
                <w:highlight w:val="none"/>
              </w:rPr>
              <w:t>▲</w:t>
            </w:r>
            <w:r>
              <w:rPr>
                <w:rFonts w:hint="eastAsia" w:ascii="宋体" w:hAnsi="宋体"/>
                <w:b/>
                <w:bCs/>
                <w:color w:val="auto"/>
                <w:szCs w:val="21"/>
                <w:highlight w:val="none"/>
                <w:lang w:val="en-US" w:eastAsia="zh-CN"/>
              </w:rPr>
              <w:t>三</w:t>
            </w:r>
            <w:r>
              <w:rPr>
                <w:rFonts w:hint="eastAsia" w:ascii="宋体" w:hAnsi="宋体"/>
                <w:b/>
                <w:bCs/>
                <w:color w:val="auto"/>
                <w:szCs w:val="21"/>
                <w:highlight w:val="none"/>
              </w:rPr>
              <w:t>、安全文明施工要求</w:t>
            </w:r>
          </w:p>
          <w:p w14:paraId="734387D3">
            <w:pPr>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安全管理：施工单位应严格遵守国家及地方有关安全生产的法律法规，制定并落实安全生产责任制和安全操作规程。在施工现场设置明显的安全警示标志，采取有效的安全防护措施，确保施工人员及</w:t>
            </w:r>
            <w:r>
              <w:rPr>
                <w:rFonts w:hint="eastAsia" w:ascii="宋体" w:hAnsi="宋体"/>
                <w:color w:val="auto"/>
                <w:szCs w:val="21"/>
                <w:highlight w:val="none"/>
                <w:lang w:val="en-US" w:eastAsia="zh-CN"/>
              </w:rPr>
              <w:t>医院人员</w:t>
            </w:r>
            <w:r>
              <w:rPr>
                <w:rFonts w:hint="eastAsia" w:ascii="宋体" w:hAnsi="宋体"/>
                <w:color w:val="auto"/>
                <w:szCs w:val="21"/>
                <w:highlight w:val="none"/>
              </w:rPr>
              <w:t>的人身安全。如发生安全事故，施工单位应承担全部责任及相关费用。</w:t>
            </w:r>
          </w:p>
          <w:p w14:paraId="48C6D569">
            <w:pPr>
              <w:spacing w:line="360" w:lineRule="auto"/>
              <w:ind w:firstLine="211" w:firstLineChars="100"/>
              <w:jc w:val="left"/>
              <w:rPr>
                <w:rFonts w:hint="eastAsia" w:ascii="Times New Roman" w:hAnsi="Times New Roman" w:eastAsia="宋体" w:cs="Times New Roman"/>
                <w:b/>
                <w:bCs/>
                <w:color w:val="auto"/>
                <w:sz w:val="21"/>
                <w:szCs w:val="22"/>
                <w:highlight w:val="none"/>
              </w:rPr>
            </w:pPr>
            <w:r>
              <w:rPr>
                <w:rFonts w:hint="eastAsia" w:ascii="宋体" w:hAnsi="宋体"/>
                <w:b/>
                <w:bCs/>
                <w:color w:val="auto"/>
                <w:szCs w:val="21"/>
                <w:highlight w:val="none"/>
                <w:lang w:val="en-US" w:eastAsia="zh-CN"/>
              </w:rPr>
              <w:t>四</w:t>
            </w:r>
            <w:r>
              <w:rPr>
                <w:rFonts w:hint="eastAsia" w:ascii="宋体" w:hAnsi="宋体"/>
                <w:b/>
                <w:bCs/>
                <w:color w:val="auto"/>
                <w:szCs w:val="21"/>
                <w:highlight w:val="none"/>
              </w:rPr>
              <w:t>、</w:t>
            </w:r>
            <w:r>
              <w:rPr>
                <w:rFonts w:hint="eastAsia" w:ascii="Times New Roman" w:hAnsi="Times New Roman" w:eastAsia="宋体" w:cs="Times New Roman"/>
                <w:b/>
                <w:bCs/>
                <w:color w:val="auto"/>
                <w:sz w:val="21"/>
                <w:szCs w:val="22"/>
                <w:highlight w:val="none"/>
                <w:lang w:eastAsia="zh-CN"/>
              </w:rPr>
              <w:t>项目</w:t>
            </w:r>
            <w:r>
              <w:rPr>
                <w:rFonts w:hint="eastAsia" w:ascii="Times New Roman" w:hAnsi="Times New Roman" w:eastAsia="宋体" w:cs="Times New Roman"/>
                <w:b/>
                <w:bCs/>
                <w:color w:val="auto"/>
                <w:sz w:val="21"/>
                <w:szCs w:val="22"/>
                <w:highlight w:val="none"/>
              </w:rPr>
              <w:t>人员</w:t>
            </w:r>
            <w:r>
              <w:rPr>
                <w:rFonts w:hint="eastAsia" w:ascii="Times New Roman" w:hAnsi="Times New Roman" w:eastAsia="宋体" w:cs="Times New Roman"/>
                <w:b/>
                <w:bCs/>
                <w:color w:val="auto"/>
                <w:sz w:val="21"/>
                <w:szCs w:val="22"/>
                <w:highlight w:val="none"/>
                <w:lang w:eastAsia="zh-CN"/>
              </w:rPr>
              <w:t>最低</w:t>
            </w:r>
            <w:r>
              <w:rPr>
                <w:rFonts w:hint="eastAsia" w:ascii="Times New Roman" w:hAnsi="Times New Roman" w:eastAsia="宋体" w:cs="Times New Roman"/>
                <w:b/>
                <w:bCs/>
                <w:color w:val="auto"/>
                <w:sz w:val="21"/>
                <w:szCs w:val="22"/>
                <w:highlight w:val="none"/>
              </w:rPr>
              <w:t>配备要求</w:t>
            </w:r>
          </w:p>
          <w:p w14:paraId="2F97F35E">
            <w:pPr>
              <w:spacing w:line="360" w:lineRule="auto"/>
              <w:ind w:firstLine="210" w:firstLineChars="100"/>
              <w:jc w:val="left"/>
              <w:rPr>
                <w:rFonts w:hint="eastAsia" w:ascii="Times New Roman" w:hAnsi="Times New Roman" w:eastAsia="宋体" w:cs="Times New Roman"/>
                <w:color w:val="auto"/>
                <w:sz w:val="21"/>
                <w:szCs w:val="22"/>
                <w:highlight w:val="none"/>
              </w:rPr>
            </w:pPr>
            <w:r>
              <w:rPr>
                <w:rFonts w:hint="eastAsia" w:ascii="Times New Roman" w:hAnsi="Times New Roman" w:eastAsia="宋体" w:cs="Times New Roman"/>
                <w:color w:val="auto"/>
                <w:sz w:val="21"/>
                <w:szCs w:val="22"/>
                <w:highlight w:val="none"/>
              </w:rPr>
              <w:t>拟投入本工程的人员必须是</w:t>
            </w:r>
            <w:r>
              <w:rPr>
                <w:rFonts w:hint="eastAsia" w:ascii="Times New Roman" w:hAnsi="Times New Roman" w:eastAsia="宋体" w:cs="Times New Roman"/>
                <w:color w:val="auto"/>
                <w:sz w:val="21"/>
                <w:szCs w:val="22"/>
                <w:highlight w:val="none"/>
                <w:lang w:val="en-US" w:eastAsia="zh-CN"/>
              </w:rPr>
              <w:t>竞标单位</w:t>
            </w:r>
            <w:r>
              <w:rPr>
                <w:rFonts w:hint="eastAsia" w:ascii="Times New Roman" w:hAnsi="Times New Roman" w:eastAsia="宋体" w:cs="Times New Roman"/>
                <w:color w:val="auto"/>
                <w:sz w:val="21"/>
                <w:szCs w:val="22"/>
                <w:highlight w:val="none"/>
              </w:rPr>
              <w:t>的在岗人员，并持有</w:t>
            </w:r>
            <w:r>
              <w:rPr>
                <w:rFonts w:hint="eastAsia" w:ascii="Times New Roman" w:hAnsi="Times New Roman" w:eastAsia="宋体" w:cs="Times New Roman"/>
                <w:color w:val="auto"/>
                <w:sz w:val="21"/>
                <w:szCs w:val="22"/>
                <w:highlight w:val="none"/>
                <w:lang w:eastAsia="zh-CN"/>
              </w:rPr>
              <w:t>有效的相应</w:t>
            </w:r>
            <w:r>
              <w:rPr>
                <w:rFonts w:hint="eastAsia" w:ascii="Times New Roman" w:hAnsi="Times New Roman" w:eastAsia="宋体" w:cs="Times New Roman"/>
                <w:color w:val="auto"/>
                <w:sz w:val="21"/>
                <w:szCs w:val="22"/>
                <w:highlight w:val="none"/>
              </w:rPr>
              <w:t>资格证书，对相关人员的具体条件要求如下：</w:t>
            </w:r>
          </w:p>
          <w:p w14:paraId="5E6A0312">
            <w:pPr>
              <w:spacing w:line="360" w:lineRule="auto"/>
              <w:ind w:firstLine="210" w:firstLineChars="100"/>
              <w:jc w:val="left"/>
              <w:rPr>
                <w:rFonts w:hint="eastAsia" w:ascii="Times New Roman" w:hAnsi="Times New Roman" w:eastAsia="宋体" w:cs="Times New Roman"/>
                <w:color w:val="auto"/>
                <w:sz w:val="21"/>
                <w:szCs w:val="22"/>
                <w:highlight w:val="none"/>
              </w:rPr>
            </w:pPr>
            <w:r>
              <w:rPr>
                <w:rFonts w:hint="eastAsia" w:ascii="Times New Roman" w:hAnsi="Times New Roman" w:eastAsia="宋体" w:cs="Times New Roman"/>
                <w:color w:val="auto"/>
                <w:sz w:val="21"/>
                <w:szCs w:val="22"/>
                <w:highlight w:val="none"/>
                <w:lang w:eastAsia="zh-CN"/>
              </w:rPr>
              <w:t>（</w:t>
            </w:r>
            <w:r>
              <w:rPr>
                <w:rFonts w:hint="eastAsia" w:ascii="Times New Roman" w:hAnsi="Times New Roman" w:eastAsia="宋体" w:cs="Times New Roman"/>
                <w:color w:val="auto"/>
                <w:sz w:val="21"/>
                <w:szCs w:val="22"/>
                <w:highlight w:val="none"/>
                <w:lang w:val="en-US" w:eastAsia="zh-CN"/>
              </w:rPr>
              <w:t>1）</w:t>
            </w:r>
            <w:r>
              <w:rPr>
                <w:rFonts w:hint="eastAsia" w:ascii="Times New Roman" w:hAnsi="Times New Roman" w:eastAsia="宋体" w:cs="Times New Roman"/>
                <w:color w:val="auto"/>
                <w:sz w:val="21"/>
                <w:szCs w:val="22"/>
                <w:highlight w:val="none"/>
              </w:rPr>
              <w:t>项目经理：拟投入本项目的项目经理必须在本单位注册，并持有</w:t>
            </w:r>
            <w:r>
              <w:rPr>
                <w:rFonts w:hint="eastAsia" w:ascii="Times New Roman" w:hAnsi="Times New Roman" w:eastAsia="宋体" w:cs="Times New Roman"/>
                <w:color w:val="auto"/>
                <w:sz w:val="21"/>
                <w:szCs w:val="22"/>
                <w:highlight w:val="none"/>
                <w:lang w:val="en-US" w:eastAsia="zh-CN"/>
              </w:rPr>
              <w:t>建筑工程</w:t>
            </w:r>
            <w:r>
              <w:rPr>
                <w:rFonts w:hint="eastAsia" w:ascii="Times New Roman" w:hAnsi="Times New Roman" w:eastAsia="宋体" w:cs="Times New Roman"/>
                <w:color w:val="auto"/>
                <w:sz w:val="21"/>
                <w:szCs w:val="22"/>
                <w:highlight w:val="none"/>
              </w:rPr>
              <w:t>专业二级（含二级）以上注册建造师证书（以注册建造师证书中“专业类别”栏所填写的专业为准）；具备中级及以上技术职称</w:t>
            </w:r>
            <w:r>
              <w:rPr>
                <w:rFonts w:hint="eastAsia" w:ascii="Times New Roman" w:hAnsi="Times New Roman" w:eastAsia="宋体" w:cs="Times New Roman"/>
                <w:color w:val="auto"/>
                <w:sz w:val="21"/>
                <w:szCs w:val="22"/>
                <w:highlight w:val="none"/>
                <w:lang w:eastAsia="zh-CN"/>
              </w:rPr>
              <w:t>，</w:t>
            </w:r>
            <w:r>
              <w:rPr>
                <w:rFonts w:hint="eastAsia" w:ascii="Times New Roman" w:hAnsi="Times New Roman" w:eastAsia="宋体" w:cs="Times New Roman"/>
                <w:color w:val="auto"/>
                <w:sz w:val="21"/>
                <w:szCs w:val="22"/>
                <w:highlight w:val="none"/>
                <w:lang w:val="en-US" w:eastAsia="zh-CN"/>
              </w:rPr>
              <w:t>具备有效的安全生产考核合格证书（B类）。</w:t>
            </w:r>
          </w:p>
          <w:p w14:paraId="5533A44C">
            <w:pPr>
              <w:spacing w:line="360" w:lineRule="auto"/>
              <w:ind w:firstLine="210" w:firstLineChars="100"/>
              <w:jc w:val="left"/>
              <w:rPr>
                <w:rFonts w:hint="eastAsia" w:ascii="Times New Roman" w:hAnsi="Times New Roman" w:eastAsia="宋体" w:cs="Times New Roman"/>
                <w:color w:val="auto"/>
                <w:sz w:val="21"/>
                <w:szCs w:val="22"/>
                <w:highlight w:val="none"/>
              </w:rPr>
            </w:pPr>
            <w:r>
              <w:rPr>
                <w:rFonts w:hint="eastAsia" w:ascii="Times New Roman" w:hAnsi="Times New Roman" w:eastAsia="宋体" w:cs="Times New Roman"/>
                <w:color w:val="auto"/>
                <w:sz w:val="21"/>
                <w:szCs w:val="22"/>
                <w:highlight w:val="none"/>
              </w:rPr>
              <w:t>（2）技术负责人：具备</w:t>
            </w:r>
            <w:r>
              <w:rPr>
                <w:rFonts w:hint="eastAsia" w:ascii="Times New Roman" w:hAnsi="Times New Roman" w:eastAsia="宋体" w:cs="Times New Roman"/>
                <w:color w:val="auto"/>
                <w:sz w:val="21"/>
                <w:szCs w:val="22"/>
                <w:highlight w:val="none"/>
                <w:lang w:eastAsia="zh-CN"/>
              </w:rPr>
              <w:t>工程</w:t>
            </w:r>
            <w:r>
              <w:rPr>
                <w:rFonts w:hint="eastAsia" w:ascii="Times New Roman" w:hAnsi="Times New Roman" w:eastAsia="宋体" w:cs="Times New Roman"/>
                <w:color w:val="auto"/>
                <w:sz w:val="21"/>
                <w:szCs w:val="22"/>
                <w:highlight w:val="none"/>
                <w:lang w:val="en-US" w:eastAsia="zh-CN"/>
              </w:rPr>
              <w:t>类</w:t>
            </w:r>
            <w:r>
              <w:rPr>
                <w:rFonts w:hint="default" w:ascii="Times New Roman" w:hAnsi="Times New Roman" w:eastAsia="宋体" w:cs="Times New Roman"/>
                <w:color w:val="auto"/>
                <w:sz w:val="21"/>
                <w:szCs w:val="22"/>
                <w:highlight w:val="none"/>
              </w:rPr>
              <w:t>相关专业中级</w:t>
            </w:r>
            <w:r>
              <w:rPr>
                <w:rFonts w:hint="eastAsia" w:ascii="Times New Roman" w:hAnsi="Times New Roman" w:eastAsia="宋体" w:cs="Times New Roman"/>
                <w:color w:val="auto"/>
                <w:sz w:val="21"/>
                <w:szCs w:val="22"/>
                <w:highlight w:val="none"/>
                <w:lang w:val="en-US" w:eastAsia="zh-CN"/>
              </w:rPr>
              <w:t>及</w:t>
            </w:r>
            <w:r>
              <w:rPr>
                <w:rFonts w:hint="default" w:ascii="Times New Roman" w:hAnsi="Times New Roman" w:eastAsia="宋体" w:cs="Times New Roman"/>
                <w:color w:val="auto"/>
                <w:sz w:val="21"/>
                <w:szCs w:val="22"/>
                <w:highlight w:val="none"/>
              </w:rPr>
              <w:t>以上职称</w:t>
            </w:r>
            <w:r>
              <w:rPr>
                <w:rFonts w:hint="eastAsia" w:ascii="Times New Roman" w:hAnsi="Times New Roman" w:eastAsia="宋体" w:cs="Times New Roman"/>
                <w:color w:val="auto"/>
                <w:sz w:val="21"/>
                <w:szCs w:val="22"/>
                <w:highlight w:val="none"/>
              </w:rPr>
              <w:t>。</w:t>
            </w:r>
          </w:p>
          <w:p w14:paraId="51630A1B">
            <w:pPr>
              <w:spacing w:line="360" w:lineRule="auto"/>
              <w:ind w:firstLine="210" w:firstLineChars="100"/>
              <w:jc w:val="left"/>
              <w:rPr>
                <w:rFonts w:hint="eastAsia" w:ascii="Times New Roman" w:hAnsi="Times New Roman" w:eastAsia="宋体" w:cs="Times New Roman"/>
                <w:color w:val="auto"/>
                <w:sz w:val="21"/>
                <w:szCs w:val="22"/>
                <w:highlight w:val="none"/>
              </w:rPr>
            </w:pPr>
            <w:r>
              <w:rPr>
                <w:rFonts w:hint="eastAsia" w:ascii="Times New Roman" w:hAnsi="Times New Roman" w:eastAsia="宋体" w:cs="Times New Roman"/>
                <w:color w:val="auto"/>
                <w:sz w:val="21"/>
                <w:szCs w:val="22"/>
                <w:highlight w:val="none"/>
              </w:rPr>
              <w:t>（</w:t>
            </w:r>
            <w:r>
              <w:rPr>
                <w:rFonts w:hint="eastAsia" w:ascii="Times New Roman" w:hAnsi="Times New Roman" w:eastAsia="宋体" w:cs="Times New Roman"/>
                <w:color w:val="auto"/>
                <w:sz w:val="21"/>
                <w:szCs w:val="22"/>
                <w:highlight w:val="none"/>
                <w:lang w:val="en-US" w:eastAsia="zh-CN"/>
              </w:rPr>
              <w:t>3</w:t>
            </w:r>
            <w:r>
              <w:rPr>
                <w:rFonts w:hint="eastAsia" w:ascii="Times New Roman" w:hAnsi="Times New Roman" w:eastAsia="宋体" w:cs="Times New Roman"/>
                <w:color w:val="auto"/>
                <w:sz w:val="21"/>
                <w:szCs w:val="22"/>
                <w:highlight w:val="none"/>
              </w:rPr>
              <w:t>）安全管理员：拟投入本项目的专职安全生产管理人员须具备有效的安全生产考核合格证书(C类)，人数符合住房和城乡建设部《建筑施工企业安全生产管理机构设置及专职安全生产管理人员配备办法》（建质〔2008〕91号)的规定不少于1人。</w:t>
            </w:r>
          </w:p>
          <w:p w14:paraId="753E6074">
            <w:pPr>
              <w:spacing w:line="360" w:lineRule="auto"/>
              <w:ind w:firstLine="210" w:firstLineChars="100"/>
              <w:jc w:val="left"/>
              <w:rPr>
                <w:rFonts w:hint="eastAsia" w:ascii="Times New Roman" w:hAnsi="Times New Roman" w:eastAsia="宋体" w:cs="Times New Roman"/>
                <w:color w:val="auto"/>
                <w:sz w:val="21"/>
                <w:szCs w:val="22"/>
                <w:highlight w:val="none"/>
                <w:lang w:eastAsia="zh-CN"/>
              </w:rPr>
            </w:pPr>
            <w:r>
              <w:rPr>
                <w:rFonts w:hint="eastAsia" w:ascii="Times New Roman" w:hAnsi="Times New Roman" w:eastAsia="宋体" w:cs="Times New Roman"/>
                <w:color w:val="auto"/>
                <w:sz w:val="21"/>
                <w:szCs w:val="22"/>
                <w:highlight w:val="none"/>
                <w:lang w:eastAsia="zh-CN"/>
              </w:rPr>
              <w:t>（</w:t>
            </w:r>
            <w:r>
              <w:rPr>
                <w:rFonts w:hint="eastAsia" w:ascii="Times New Roman" w:hAnsi="Times New Roman" w:eastAsia="宋体" w:cs="Times New Roman"/>
                <w:color w:val="auto"/>
                <w:sz w:val="21"/>
                <w:szCs w:val="22"/>
                <w:highlight w:val="none"/>
                <w:lang w:val="en-US" w:eastAsia="zh-CN"/>
              </w:rPr>
              <w:t>4</w:t>
            </w:r>
            <w:r>
              <w:rPr>
                <w:rFonts w:hint="eastAsia" w:ascii="Times New Roman" w:hAnsi="Times New Roman" w:eastAsia="宋体" w:cs="Times New Roman"/>
                <w:color w:val="auto"/>
                <w:sz w:val="21"/>
                <w:szCs w:val="22"/>
                <w:highlight w:val="none"/>
                <w:lang w:eastAsia="zh-CN"/>
              </w:rPr>
              <w:t>）</w:t>
            </w:r>
            <w:r>
              <w:rPr>
                <w:rFonts w:hint="eastAsia" w:ascii="Times New Roman" w:hAnsi="Times New Roman" w:eastAsia="宋体" w:cs="Times New Roman"/>
                <w:color w:val="auto"/>
                <w:sz w:val="21"/>
                <w:szCs w:val="22"/>
                <w:highlight w:val="none"/>
                <w:lang w:val="en-US" w:eastAsia="zh-CN"/>
              </w:rPr>
              <w:t>施工员、质量员、材料员至少各1名，应具有有效的相应岗位资格证书。</w:t>
            </w:r>
          </w:p>
          <w:p w14:paraId="23241AF1">
            <w:pPr>
              <w:spacing w:line="360" w:lineRule="auto"/>
              <w:ind w:firstLine="420" w:firstLineChars="200"/>
              <w:jc w:val="left"/>
              <w:rPr>
                <w:rFonts w:hint="eastAsia" w:ascii="Times New Roman" w:hAnsi="Times New Roman" w:eastAsia="宋体" w:cs="Times New Roman"/>
                <w:color w:val="auto"/>
                <w:sz w:val="21"/>
                <w:szCs w:val="22"/>
                <w:highlight w:val="none"/>
                <w:lang w:val="en-US" w:eastAsia="zh-CN"/>
              </w:rPr>
            </w:pPr>
            <w:r>
              <w:rPr>
                <w:rFonts w:hint="eastAsia" w:ascii="Times New Roman" w:hAnsi="Times New Roman" w:eastAsia="宋体" w:cs="Times New Roman"/>
                <w:color w:val="auto"/>
                <w:sz w:val="21"/>
                <w:szCs w:val="22"/>
                <w:highlight w:val="none"/>
              </w:rPr>
              <w:t>上述（1）－（</w:t>
            </w:r>
            <w:r>
              <w:rPr>
                <w:rFonts w:hint="eastAsia" w:ascii="Times New Roman" w:hAnsi="Times New Roman" w:eastAsia="宋体" w:cs="Times New Roman"/>
                <w:color w:val="auto"/>
                <w:sz w:val="21"/>
                <w:szCs w:val="22"/>
                <w:highlight w:val="none"/>
                <w:lang w:val="en-US" w:eastAsia="zh-CN"/>
              </w:rPr>
              <w:t>4</w:t>
            </w:r>
            <w:r>
              <w:rPr>
                <w:rFonts w:hint="eastAsia" w:ascii="Times New Roman" w:hAnsi="Times New Roman" w:eastAsia="宋体" w:cs="Times New Roman"/>
                <w:color w:val="auto"/>
                <w:sz w:val="21"/>
                <w:szCs w:val="22"/>
                <w:highlight w:val="none"/>
              </w:rPr>
              <w:t>）项人员应附相关证书的复印件，并提供上述人员</w:t>
            </w:r>
            <w:r>
              <w:rPr>
                <w:rFonts w:hint="eastAsia" w:ascii="Times New Roman" w:hAnsi="Times New Roman" w:eastAsia="宋体" w:cs="Times New Roman"/>
                <w:color w:val="auto"/>
                <w:sz w:val="21"/>
                <w:szCs w:val="22"/>
                <w:highlight w:val="none"/>
                <w:lang w:val="en-US" w:eastAsia="zh-CN"/>
              </w:rPr>
              <w:t>响应文件递交截止时间前半年内</w:t>
            </w:r>
            <w:r>
              <w:rPr>
                <w:rFonts w:hint="eastAsia" w:ascii="Times New Roman" w:hAnsi="Times New Roman" w:eastAsia="宋体" w:cs="Times New Roman"/>
                <w:color w:val="auto"/>
                <w:sz w:val="21"/>
                <w:szCs w:val="22"/>
                <w:highlight w:val="none"/>
              </w:rPr>
              <w:t>任意连续三个月的依法缴纳社会保障资金的缴费凭证复印件（从取得营业执照时间起到投标截止时间为止不足要求月数的只需提供从取得营业执照起的证明材料）。</w:t>
            </w:r>
          </w:p>
        </w:tc>
      </w:tr>
      <w:tr w14:paraId="048F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2" w:type="dxa"/>
            <w:gridSpan w:val="5"/>
            <w:vAlign w:val="center"/>
          </w:tcPr>
          <w:p w14:paraId="1D7F2D27">
            <w:pPr>
              <w:spacing w:line="360" w:lineRule="auto"/>
              <w:jc w:val="center"/>
              <w:rPr>
                <w:rFonts w:ascii="宋体" w:hAnsi="宋体"/>
                <w:b/>
                <w:color w:val="auto"/>
                <w:szCs w:val="21"/>
                <w:highlight w:val="none"/>
              </w:rPr>
            </w:pPr>
            <w:r>
              <w:rPr>
                <w:rFonts w:hint="eastAsia" w:ascii="宋体" w:hAnsi="宋体"/>
                <w:b/>
                <w:color w:val="auto"/>
                <w:szCs w:val="21"/>
                <w:highlight w:val="none"/>
              </w:rPr>
              <w:t>商务要求</w:t>
            </w:r>
          </w:p>
        </w:tc>
      </w:tr>
      <w:tr w14:paraId="27D7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126A28A9">
            <w:pPr>
              <w:spacing w:line="360" w:lineRule="auto"/>
              <w:jc w:val="center"/>
              <w:rPr>
                <w:rFonts w:ascii="宋体" w:hAnsi="宋体"/>
                <w:color w:val="auto"/>
                <w:szCs w:val="21"/>
                <w:highlight w:val="none"/>
              </w:rPr>
            </w:pPr>
            <w:r>
              <w:rPr>
                <w:rFonts w:hint="eastAsia" w:ascii="宋体" w:hAnsi="宋体"/>
                <w:color w:val="auto"/>
                <w:szCs w:val="21"/>
                <w:highlight w:val="none"/>
              </w:rPr>
              <w:t>施工工期</w:t>
            </w:r>
          </w:p>
        </w:tc>
        <w:tc>
          <w:tcPr>
            <w:tcW w:w="7426" w:type="dxa"/>
            <w:gridSpan w:val="3"/>
            <w:vAlign w:val="center"/>
          </w:tcPr>
          <w:p w14:paraId="0A81E8BF">
            <w:pPr>
              <w:spacing w:line="360" w:lineRule="auto"/>
              <w:jc w:val="left"/>
              <w:rPr>
                <w:rFonts w:ascii="宋体" w:hAnsi="宋体"/>
                <w:color w:val="auto"/>
                <w:szCs w:val="21"/>
                <w:highlight w:val="none"/>
              </w:rPr>
            </w:pPr>
            <w:r>
              <w:rPr>
                <w:rFonts w:hint="eastAsia" w:ascii="宋体" w:hAnsi="宋体"/>
                <w:color w:val="auto"/>
                <w:szCs w:val="21"/>
                <w:highlight w:val="none"/>
              </w:rPr>
              <w:t>本项目计划工期为</w:t>
            </w:r>
            <w:r>
              <w:rPr>
                <w:rFonts w:hint="eastAsia" w:ascii="宋体" w:hAnsi="宋体"/>
                <w:color w:val="auto"/>
                <w:szCs w:val="21"/>
                <w:highlight w:val="none"/>
                <w:lang w:val="en-US" w:eastAsia="zh-CN"/>
              </w:rPr>
              <w:t>120</w:t>
            </w:r>
            <w:r>
              <w:rPr>
                <w:rFonts w:hint="eastAsia" w:ascii="宋体" w:hAnsi="宋体"/>
                <w:color w:val="auto"/>
                <w:szCs w:val="21"/>
                <w:highlight w:val="none"/>
              </w:rPr>
              <w:t>日历天，具体开工日期以采购人书面通知为准。</w:t>
            </w:r>
          </w:p>
        </w:tc>
      </w:tr>
      <w:tr w14:paraId="59F1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shd w:val="clear" w:color="auto" w:fill="auto"/>
            <w:vAlign w:val="center"/>
          </w:tcPr>
          <w:p w14:paraId="0ED0C337">
            <w:pPr>
              <w:spacing w:line="360" w:lineRule="auto"/>
              <w:jc w:val="center"/>
              <w:rPr>
                <w:rFonts w:ascii="宋体" w:hAnsi="宋体"/>
                <w:color w:val="auto"/>
                <w:szCs w:val="21"/>
                <w:highlight w:val="none"/>
              </w:rPr>
            </w:pPr>
            <w:r>
              <w:rPr>
                <w:rFonts w:hint="eastAsia" w:ascii="宋体" w:hAnsi="宋体"/>
                <w:color w:val="auto"/>
                <w:szCs w:val="21"/>
                <w:highlight w:val="none"/>
              </w:rPr>
              <w:t>合同签订时间</w:t>
            </w:r>
          </w:p>
        </w:tc>
        <w:tc>
          <w:tcPr>
            <w:tcW w:w="7426" w:type="dxa"/>
            <w:gridSpan w:val="3"/>
            <w:shd w:val="clear" w:color="auto" w:fill="auto"/>
            <w:vAlign w:val="center"/>
          </w:tcPr>
          <w:p w14:paraId="35520AE8">
            <w:pPr>
              <w:spacing w:line="360" w:lineRule="auto"/>
              <w:jc w:val="left"/>
              <w:rPr>
                <w:rFonts w:ascii="宋体" w:hAnsi="宋体"/>
                <w:color w:val="auto"/>
                <w:szCs w:val="21"/>
                <w:highlight w:val="none"/>
              </w:rPr>
            </w:pPr>
            <w:r>
              <w:rPr>
                <w:rFonts w:hint="eastAsia" w:ascii="宋体" w:hAnsi="宋体"/>
                <w:color w:val="auto"/>
                <w:szCs w:val="21"/>
                <w:highlight w:val="none"/>
              </w:rPr>
              <w:t>自成交通知书发出之日起</w:t>
            </w:r>
            <w:r>
              <w:rPr>
                <w:rFonts w:hint="eastAsia" w:ascii="宋体" w:hAnsi="宋体"/>
                <w:color w:val="auto"/>
                <w:szCs w:val="21"/>
                <w:highlight w:val="none"/>
                <w:lang w:val="en-US" w:eastAsia="zh-CN"/>
              </w:rPr>
              <w:t>25</w:t>
            </w:r>
            <w:r>
              <w:rPr>
                <w:rFonts w:hint="eastAsia" w:ascii="宋体" w:hAnsi="宋体"/>
                <w:color w:val="auto"/>
                <w:szCs w:val="21"/>
                <w:highlight w:val="none"/>
              </w:rPr>
              <w:t>日内。</w:t>
            </w:r>
          </w:p>
        </w:tc>
      </w:tr>
      <w:tr w14:paraId="5820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shd w:val="clear" w:color="auto" w:fill="auto"/>
            <w:vAlign w:val="center"/>
          </w:tcPr>
          <w:p w14:paraId="07BCBEC3">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项目</w:t>
            </w:r>
            <w:r>
              <w:rPr>
                <w:rFonts w:hint="eastAsia" w:ascii="宋体" w:hAnsi="宋体"/>
                <w:color w:val="auto"/>
                <w:szCs w:val="21"/>
                <w:highlight w:val="none"/>
              </w:rPr>
              <w:t>地点</w:t>
            </w:r>
          </w:p>
        </w:tc>
        <w:tc>
          <w:tcPr>
            <w:tcW w:w="7426" w:type="dxa"/>
            <w:gridSpan w:val="3"/>
            <w:shd w:val="clear" w:color="auto" w:fill="auto"/>
            <w:vAlign w:val="center"/>
          </w:tcPr>
          <w:p w14:paraId="63C21AB8">
            <w:pPr>
              <w:spacing w:line="360" w:lineRule="auto"/>
              <w:jc w:val="left"/>
              <w:rPr>
                <w:rFonts w:ascii="宋体" w:hAnsi="宋体"/>
                <w:color w:val="auto"/>
                <w:szCs w:val="21"/>
                <w:highlight w:val="none"/>
              </w:rPr>
            </w:pPr>
            <w:r>
              <w:rPr>
                <w:rFonts w:hint="eastAsia" w:ascii="宋体" w:hAnsi="宋体"/>
                <w:color w:val="auto"/>
                <w:szCs w:val="21"/>
                <w:highlight w:val="none"/>
                <w:lang w:eastAsia="zh-CN"/>
              </w:rPr>
              <w:t>南宁市青秀区桃源路6号</w:t>
            </w:r>
          </w:p>
        </w:tc>
      </w:tr>
      <w:tr w14:paraId="0E95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13B8B9A8">
            <w:pPr>
              <w:spacing w:line="360" w:lineRule="auto"/>
              <w:jc w:val="center"/>
              <w:rPr>
                <w:rFonts w:ascii="宋体" w:hAnsi="宋体"/>
                <w:color w:val="auto"/>
                <w:szCs w:val="21"/>
                <w:highlight w:val="none"/>
              </w:rPr>
            </w:pPr>
            <w:r>
              <w:rPr>
                <w:rFonts w:hint="eastAsia" w:ascii="宋体" w:hAnsi="宋体"/>
                <w:color w:val="auto"/>
                <w:szCs w:val="21"/>
                <w:highlight w:val="none"/>
              </w:rPr>
              <w:t>报价要求</w:t>
            </w:r>
          </w:p>
        </w:tc>
        <w:tc>
          <w:tcPr>
            <w:tcW w:w="7426" w:type="dxa"/>
            <w:gridSpan w:val="3"/>
            <w:vAlign w:val="center"/>
          </w:tcPr>
          <w:p w14:paraId="5F46F9DE">
            <w:pPr>
              <w:spacing w:line="360" w:lineRule="auto"/>
              <w:jc w:val="left"/>
              <w:rPr>
                <w:rFonts w:ascii="宋体" w:hAnsi="宋体"/>
                <w:color w:val="auto"/>
                <w:szCs w:val="21"/>
                <w:highlight w:val="none"/>
              </w:rPr>
            </w:pPr>
            <w:r>
              <w:rPr>
                <w:rFonts w:hint="eastAsia" w:ascii="宋体" w:hAnsi="宋体"/>
                <w:color w:val="auto"/>
                <w:szCs w:val="21"/>
                <w:highlight w:val="none"/>
              </w:rPr>
              <w:t>1、竞标报价包括了为实施和完成合同工程所需的劳务、材料、机械、质检（自检）、安装、缺陷修复、管理、保险、税费、利润等费用，以及合同明示或暗示的所有责任、义务和一般风险。</w:t>
            </w:r>
          </w:p>
          <w:p w14:paraId="3007B0AF">
            <w:pPr>
              <w:spacing w:line="360" w:lineRule="auto"/>
              <w:jc w:val="left"/>
              <w:rPr>
                <w:rFonts w:ascii="宋体" w:hAnsi="宋体"/>
                <w:color w:val="auto"/>
                <w:szCs w:val="21"/>
                <w:highlight w:val="none"/>
              </w:rPr>
            </w:pPr>
            <w:r>
              <w:rPr>
                <w:rFonts w:hint="eastAsia" w:ascii="宋体" w:hAnsi="宋体"/>
                <w:color w:val="auto"/>
                <w:szCs w:val="21"/>
                <w:highlight w:val="none"/>
              </w:rPr>
              <w:t>2、本项目采用固定综合单价合同，工程量按实际结算，供应商工程量清单中项目的工程量无论增减，均按原单价结算。本工程最终结算价以采购人或采购人选定的第三方工程咨询单位审定金额为准。</w:t>
            </w:r>
          </w:p>
        </w:tc>
      </w:tr>
      <w:tr w14:paraId="4F9B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415853AA">
            <w:pPr>
              <w:spacing w:line="360" w:lineRule="auto"/>
              <w:jc w:val="center"/>
              <w:rPr>
                <w:rFonts w:ascii="宋体" w:hAnsi="宋体"/>
                <w:color w:val="auto"/>
                <w:szCs w:val="21"/>
                <w:highlight w:val="none"/>
              </w:rPr>
            </w:pPr>
            <w:r>
              <w:rPr>
                <w:rFonts w:hint="eastAsia" w:ascii="宋体" w:hAnsi="宋体"/>
                <w:color w:val="auto"/>
                <w:szCs w:val="21"/>
                <w:highlight w:val="none"/>
              </w:rPr>
              <w:t>付款方式</w:t>
            </w:r>
          </w:p>
        </w:tc>
        <w:tc>
          <w:tcPr>
            <w:tcW w:w="7426" w:type="dxa"/>
            <w:gridSpan w:val="3"/>
            <w:vAlign w:val="center"/>
          </w:tcPr>
          <w:p w14:paraId="7DB7819D">
            <w:pPr>
              <w:spacing w:line="360" w:lineRule="auto"/>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具体详见合同条款。</w:t>
            </w:r>
          </w:p>
        </w:tc>
      </w:tr>
      <w:tr w14:paraId="0D6D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4DF88449">
            <w:pPr>
              <w:spacing w:line="360" w:lineRule="auto"/>
              <w:jc w:val="center"/>
              <w:rPr>
                <w:rFonts w:ascii="宋体" w:hAnsi="宋体"/>
                <w:color w:val="auto"/>
                <w:szCs w:val="21"/>
                <w:highlight w:val="none"/>
              </w:rPr>
            </w:pPr>
            <w:r>
              <w:rPr>
                <w:rFonts w:hint="eastAsia" w:ascii="宋体" w:hAnsi="宋体"/>
                <w:color w:val="auto"/>
                <w:szCs w:val="21"/>
                <w:highlight w:val="none"/>
              </w:rPr>
              <w:t>验收标准与方式</w:t>
            </w:r>
          </w:p>
        </w:tc>
        <w:tc>
          <w:tcPr>
            <w:tcW w:w="7426" w:type="dxa"/>
            <w:gridSpan w:val="3"/>
            <w:vAlign w:val="center"/>
          </w:tcPr>
          <w:p w14:paraId="7B3402BC">
            <w:pPr>
              <w:spacing w:line="360" w:lineRule="auto"/>
              <w:jc w:val="left"/>
              <w:rPr>
                <w:rFonts w:ascii="宋体" w:hAnsi="宋体"/>
                <w:color w:val="auto"/>
                <w:szCs w:val="21"/>
                <w:highlight w:val="none"/>
              </w:rPr>
            </w:pPr>
            <w:r>
              <w:rPr>
                <w:rFonts w:hint="eastAsia" w:ascii="宋体" w:hAnsi="宋体"/>
                <w:color w:val="auto"/>
                <w:szCs w:val="21"/>
                <w:highlight w:val="none"/>
              </w:rPr>
              <w:t>1、验收标准：依据国家及地方现行消防规范、设计文件以及本采购需求中的技术要求进行验收。验收内容包括工程实体质量、材料设备质量、系统功能测试等。</w:t>
            </w:r>
          </w:p>
          <w:p w14:paraId="63434B43">
            <w:pPr>
              <w:spacing w:line="360" w:lineRule="auto"/>
              <w:jc w:val="left"/>
              <w:rPr>
                <w:rFonts w:ascii="宋体" w:hAnsi="宋体"/>
                <w:color w:val="auto"/>
                <w:szCs w:val="21"/>
                <w:highlight w:val="none"/>
              </w:rPr>
            </w:pPr>
            <w:r>
              <w:rPr>
                <w:rFonts w:hint="eastAsia" w:ascii="宋体" w:hAnsi="宋体"/>
                <w:color w:val="auto"/>
                <w:szCs w:val="21"/>
                <w:highlight w:val="none"/>
              </w:rPr>
              <w:t>2、验收方式：工程竣工后，施工单位应向采购人提交竣工验收申请报告及完整的竣工资料。采购人组织相关部门和专业人员进行验收，必要时可邀请第三方检测机构参与。验收合格后，双方签署竣工验收报告；验收不合格的，施工单位应负责限期整改，整改后重新申请验收。</w:t>
            </w:r>
          </w:p>
        </w:tc>
      </w:tr>
      <w:tr w14:paraId="31D2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70877812">
            <w:pPr>
              <w:spacing w:line="360" w:lineRule="auto"/>
              <w:jc w:val="center"/>
              <w:rPr>
                <w:rFonts w:ascii="宋体" w:hAnsi="宋体"/>
                <w:color w:val="auto"/>
                <w:szCs w:val="21"/>
                <w:highlight w:val="none"/>
              </w:rPr>
            </w:pPr>
            <w:r>
              <w:rPr>
                <w:rFonts w:hint="eastAsia" w:ascii="宋体" w:hAnsi="宋体"/>
                <w:color w:val="auto"/>
                <w:szCs w:val="21"/>
                <w:highlight w:val="none"/>
              </w:rPr>
              <w:t>售后服务承诺</w:t>
            </w:r>
          </w:p>
        </w:tc>
        <w:tc>
          <w:tcPr>
            <w:tcW w:w="7426" w:type="dxa"/>
            <w:gridSpan w:val="3"/>
            <w:vAlign w:val="center"/>
          </w:tcPr>
          <w:p w14:paraId="738BDAF6">
            <w:pPr>
              <w:spacing w:line="360" w:lineRule="auto"/>
              <w:jc w:val="left"/>
              <w:rPr>
                <w:rFonts w:ascii="宋体" w:hAnsi="宋体"/>
                <w:color w:val="auto"/>
                <w:szCs w:val="21"/>
                <w:highlight w:val="none"/>
              </w:rPr>
            </w:pPr>
            <w:r>
              <w:rPr>
                <w:rFonts w:hint="eastAsia" w:ascii="宋体" w:hAnsi="宋体"/>
                <w:color w:val="auto"/>
                <w:szCs w:val="21"/>
                <w:highlight w:val="none"/>
              </w:rPr>
              <w:t>1、质保期2年（自提交成果并验收合格之日起计），使用年限应符合国家建设相关要求</w:t>
            </w:r>
          </w:p>
          <w:p w14:paraId="32B0C46C">
            <w:pPr>
              <w:spacing w:line="360" w:lineRule="auto"/>
              <w:jc w:val="left"/>
              <w:rPr>
                <w:rFonts w:ascii="宋体" w:hAnsi="宋体"/>
                <w:color w:val="auto"/>
                <w:szCs w:val="21"/>
                <w:highlight w:val="none"/>
              </w:rPr>
            </w:pPr>
            <w:r>
              <w:rPr>
                <w:rFonts w:hint="eastAsia" w:ascii="宋体" w:hAnsi="宋体"/>
                <w:color w:val="auto"/>
                <w:szCs w:val="21"/>
                <w:highlight w:val="none"/>
              </w:rPr>
              <w:t>2、响应时间：接到采购人保修通知之日起</w:t>
            </w:r>
            <w:r>
              <w:rPr>
                <w:rFonts w:hint="eastAsia" w:ascii="宋体" w:hAnsi="宋体"/>
                <w:color w:val="auto"/>
                <w:szCs w:val="21"/>
                <w:highlight w:val="none"/>
                <w:lang w:val="en-US" w:eastAsia="zh-CN"/>
              </w:rPr>
              <w:t>24</w:t>
            </w:r>
            <w:r>
              <w:rPr>
                <w:rFonts w:hint="eastAsia" w:ascii="宋体" w:hAnsi="宋体"/>
                <w:color w:val="auto"/>
                <w:szCs w:val="21"/>
                <w:highlight w:val="none"/>
              </w:rPr>
              <w:t>小时内赶赴现场进行维修，</w:t>
            </w:r>
            <w:r>
              <w:rPr>
                <w:rFonts w:hint="eastAsia" w:ascii="宋体" w:hAnsi="宋体"/>
                <w:color w:val="auto"/>
                <w:szCs w:val="21"/>
                <w:highlight w:val="none"/>
                <w:lang w:val="en-US" w:eastAsia="zh-CN"/>
              </w:rPr>
              <w:t>24</w:t>
            </w:r>
            <w:r>
              <w:rPr>
                <w:rFonts w:hint="eastAsia" w:ascii="宋体" w:hAnsi="宋体"/>
                <w:color w:val="auto"/>
                <w:szCs w:val="21"/>
                <w:highlight w:val="none"/>
              </w:rPr>
              <w:t>小时内排除故障；发生紧急抢修事故的，供应商应在接到事故通知后</w:t>
            </w:r>
            <w:r>
              <w:rPr>
                <w:rFonts w:hint="eastAsia" w:ascii="宋体" w:hAnsi="宋体"/>
                <w:color w:val="auto"/>
                <w:szCs w:val="21"/>
                <w:highlight w:val="none"/>
                <w:lang w:val="en-US" w:eastAsia="zh-CN"/>
              </w:rPr>
              <w:t>8</w:t>
            </w:r>
            <w:r>
              <w:rPr>
                <w:rFonts w:hint="eastAsia" w:ascii="宋体" w:hAnsi="宋体"/>
                <w:color w:val="auto"/>
                <w:szCs w:val="21"/>
                <w:highlight w:val="none"/>
              </w:rPr>
              <w:t>小时内到达事故现场抢修。在工程质量保修期期限内发生质量问题，必须在收到质保通知后的3个日历天内整改完毕。</w:t>
            </w:r>
          </w:p>
          <w:p w14:paraId="3D8A14FE">
            <w:pPr>
              <w:spacing w:line="360" w:lineRule="auto"/>
              <w:jc w:val="left"/>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r>
              <w:rPr>
                <w:rFonts w:hint="eastAsia" w:ascii="宋体" w:hAnsi="宋体"/>
                <w:color w:val="auto"/>
                <w:szCs w:val="21"/>
                <w:highlight w:val="none"/>
              </w:rPr>
              <w:t>、售后服务技术人员要求：专职人员</w:t>
            </w:r>
            <w:r>
              <w:rPr>
                <w:rFonts w:hint="eastAsia" w:ascii="宋体" w:hAnsi="宋体"/>
                <w:color w:val="auto"/>
                <w:szCs w:val="21"/>
                <w:highlight w:val="none"/>
                <w:lang w:eastAsia="zh-CN"/>
              </w:rPr>
              <w:t>。</w:t>
            </w:r>
          </w:p>
        </w:tc>
      </w:tr>
      <w:tr w14:paraId="6DB6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23DCD1ED">
            <w:pPr>
              <w:spacing w:line="360" w:lineRule="auto"/>
              <w:jc w:val="center"/>
              <w:rPr>
                <w:rFonts w:ascii="宋体" w:hAnsi="宋体"/>
                <w:color w:val="auto"/>
                <w:szCs w:val="21"/>
                <w:highlight w:val="none"/>
              </w:rPr>
            </w:pPr>
            <w:r>
              <w:rPr>
                <w:rFonts w:hint="eastAsia" w:ascii="宋体" w:hAnsi="宋体"/>
                <w:color w:val="auto"/>
                <w:szCs w:val="21"/>
                <w:highlight w:val="none"/>
              </w:rPr>
              <w:t>其他</w:t>
            </w:r>
          </w:p>
        </w:tc>
        <w:tc>
          <w:tcPr>
            <w:tcW w:w="7426" w:type="dxa"/>
            <w:gridSpan w:val="3"/>
            <w:vAlign w:val="center"/>
          </w:tcPr>
          <w:p w14:paraId="09F15466">
            <w:pPr>
              <w:pStyle w:val="135"/>
              <w:spacing w:after="0" w:line="360" w:lineRule="auto"/>
              <w:rPr>
                <w:rFonts w:ascii="宋体" w:hAnsi="宋体"/>
                <w:color w:val="auto"/>
                <w:sz w:val="21"/>
                <w:szCs w:val="21"/>
                <w:highlight w:val="none"/>
                <w:lang w:eastAsia="zh-CN"/>
              </w:rPr>
            </w:pPr>
            <w:r>
              <w:rPr>
                <w:rFonts w:hint="eastAsia" w:ascii="宋体" w:hAnsi="宋体"/>
                <w:color w:val="auto"/>
                <w:sz w:val="21"/>
                <w:szCs w:val="21"/>
                <w:highlight w:val="none"/>
                <w:lang w:eastAsia="zh-CN"/>
              </w:rPr>
              <w:t>1、</w:t>
            </w:r>
            <w:r>
              <w:rPr>
                <w:rFonts w:hint="eastAsia" w:ascii="宋体" w:hAnsi="宋体"/>
                <w:b/>
                <w:bCs/>
                <w:color w:val="auto"/>
                <w:sz w:val="21"/>
                <w:szCs w:val="21"/>
                <w:highlight w:val="none"/>
                <w:lang w:eastAsia="zh-CN"/>
              </w:rPr>
              <w:t>供应商已标价工程量清单的项目编码、项目名称、项目特征、计量单位、工程量任何一处与工程量清单不一致的，响应文件作无效响应处理</w:t>
            </w:r>
            <w:r>
              <w:rPr>
                <w:rFonts w:hint="eastAsia" w:ascii="宋体" w:hAnsi="宋体"/>
                <w:color w:val="auto"/>
                <w:sz w:val="21"/>
                <w:szCs w:val="21"/>
                <w:highlight w:val="none"/>
                <w:lang w:eastAsia="zh-CN"/>
              </w:rPr>
              <w:t>；</w:t>
            </w:r>
          </w:p>
          <w:p w14:paraId="1801077A">
            <w:pPr>
              <w:pStyle w:val="135"/>
              <w:spacing w:after="0" w:line="360" w:lineRule="auto"/>
              <w:rPr>
                <w:rFonts w:ascii="宋体" w:hAnsi="宋体"/>
                <w:color w:val="auto"/>
                <w:sz w:val="21"/>
                <w:szCs w:val="21"/>
                <w:highlight w:val="none"/>
                <w:lang w:eastAsia="zh-CN"/>
              </w:rPr>
            </w:pPr>
            <w:r>
              <w:rPr>
                <w:rFonts w:hint="eastAsia" w:ascii="宋体" w:hAnsi="宋体"/>
                <w:color w:val="auto"/>
                <w:sz w:val="21"/>
                <w:szCs w:val="21"/>
                <w:highlight w:val="none"/>
                <w:lang w:eastAsia="zh-CN"/>
              </w:rPr>
              <w:t>2、本项目采用多次报价方式，作最终报价时采购人将书面告知各供应商，供应商的最终报价如有变动，则必须以工程量清单报价表（已标价工程量清单）的格式编制重新提交，供应商须提前做好相关准备并按时递交最终报价文件，</w:t>
            </w:r>
            <w:r>
              <w:rPr>
                <w:rFonts w:hint="eastAsia" w:ascii="宋体" w:hAnsi="宋体"/>
                <w:b/>
                <w:bCs/>
                <w:color w:val="auto"/>
                <w:sz w:val="21"/>
                <w:szCs w:val="21"/>
                <w:highlight w:val="none"/>
                <w:lang w:eastAsia="zh-CN"/>
              </w:rPr>
              <w:t>否则其响应文件按无效响应处理</w:t>
            </w:r>
            <w:r>
              <w:rPr>
                <w:rFonts w:hint="eastAsia" w:ascii="宋体" w:hAnsi="宋体"/>
                <w:color w:val="auto"/>
                <w:sz w:val="21"/>
                <w:szCs w:val="21"/>
                <w:highlight w:val="none"/>
                <w:lang w:eastAsia="zh-CN"/>
              </w:rPr>
              <w:t>。</w:t>
            </w:r>
          </w:p>
          <w:p w14:paraId="33A28C39">
            <w:pPr>
              <w:pStyle w:val="135"/>
              <w:spacing w:after="0" w:line="360" w:lineRule="auto"/>
              <w:rPr>
                <w:rFonts w:ascii="宋体" w:hAnsi="宋体"/>
                <w:color w:val="auto"/>
                <w:szCs w:val="21"/>
                <w:highlight w:val="none"/>
              </w:rPr>
            </w:pPr>
            <w:r>
              <w:rPr>
                <w:rFonts w:hint="eastAsia" w:ascii="宋体" w:hAnsi="宋体"/>
                <w:color w:val="auto"/>
                <w:sz w:val="21"/>
                <w:szCs w:val="21"/>
                <w:highlight w:val="none"/>
                <w:lang w:eastAsia="zh-CN"/>
              </w:rPr>
              <w:t>3、</w:t>
            </w:r>
            <w:r>
              <w:rPr>
                <w:rFonts w:hint="eastAsia" w:ascii="宋体" w:hAnsi="宋体" w:cs="宋体"/>
                <w:color w:val="auto"/>
                <w:sz w:val="21"/>
                <w:szCs w:val="21"/>
                <w:highlight w:val="none"/>
              </w:rPr>
              <w:t>本项目不发放工程量清单及图纸</w:t>
            </w:r>
            <w:r>
              <w:rPr>
                <w:rFonts w:hint="eastAsia" w:ascii="宋体" w:hAnsi="宋体" w:cs="宋体"/>
                <w:color w:val="auto"/>
                <w:sz w:val="21"/>
                <w:szCs w:val="21"/>
                <w:highlight w:val="none"/>
                <w:lang w:eastAsia="zh-CN"/>
              </w:rPr>
              <w:t>纸质版</w:t>
            </w:r>
            <w:r>
              <w:rPr>
                <w:rFonts w:hint="eastAsia" w:ascii="宋体" w:hAnsi="宋体" w:cs="宋体"/>
                <w:color w:val="auto"/>
                <w:sz w:val="21"/>
                <w:szCs w:val="21"/>
                <w:highlight w:val="none"/>
              </w:rPr>
              <w:t>，由潜在供应商自行在</w:t>
            </w:r>
            <w:r>
              <w:rPr>
                <w:rFonts w:hint="eastAsia" w:ascii="宋体" w:hAnsi="宋体" w:cs="宋体"/>
                <w:color w:val="auto"/>
                <w:sz w:val="21"/>
                <w:szCs w:val="21"/>
                <w:highlight w:val="none"/>
                <w:lang w:eastAsia="zh-CN"/>
              </w:rPr>
              <w:t>“广西政府采购云平台”（https://www.gcy.zfcg.gxzf.gov.cn/）</w:t>
            </w:r>
            <w:r>
              <w:rPr>
                <w:rFonts w:hint="eastAsia" w:ascii="宋体" w:hAnsi="宋体" w:cs="宋体"/>
                <w:color w:val="auto"/>
                <w:sz w:val="21"/>
                <w:szCs w:val="21"/>
                <w:highlight w:val="none"/>
              </w:rPr>
              <w:t>下载</w:t>
            </w:r>
            <w:r>
              <w:rPr>
                <w:rFonts w:hint="eastAsia" w:ascii="宋体" w:hAnsi="宋体" w:cs="宋体"/>
                <w:color w:val="auto"/>
                <w:sz w:val="21"/>
                <w:szCs w:val="21"/>
                <w:highlight w:val="none"/>
                <w:lang w:eastAsia="zh-CN"/>
              </w:rPr>
              <w:t>。</w:t>
            </w:r>
          </w:p>
        </w:tc>
      </w:tr>
    </w:tbl>
    <w:p w14:paraId="2C0D0586">
      <w:pPr>
        <w:rPr>
          <w:rFonts w:ascii="微软雅黑" w:hAnsi="微软雅黑" w:eastAsia="微软雅黑"/>
          <w:color w:val="auto"/>
          <w:sz w:val="32"/>
          <w:szCs w:val="32"/>
          <w:highlight w:val="none"/>
        </w:rPr>
      </w:pPr>
      <w:r>
        <w:rPr>
          <w:rFonts w:hint="eastAsia" w:ascii="微软雅黑" w:hAnsi="微软雅黑" w:eastAsia="微软雅黑"/>
          <w:color w:val="auto"/>
          <w:sz w:val="32"/>
          <w:szCs w:val="32"/>
          <w:highlight w:val="none"/>
        </w:rPr>
        <w:br w:type="page"/>
      </w:r>
    </w:p>
    <w:p w14:paraId="5737B27C">
      <w:pPr>
        <w:rPr>
          <w:rFonts w:ascii="微软雅黑" w:hAnsi="微软雅黑" w:eastAsia="微软雅黑"/>
          <w:color w:val="auto"/>
          <w:sz w:val="32"/>
          <w:szCs w:val="32"/>
          <w:highlight w:val="none"/>
        </w:rPr>
      </w:pPr>
      <w:r>
        <w:rPr>
          <w:rFonts w:hint="eastAsia" w:ascii="微软雅黑" w:hAnsi="微软雅黑" w:eastAsia="微软雅黑"/>
          <w:color w:val="auto"/>
          <w:sz w:val="32"/>
          <w:szCs w:val="32"/>
          <w:highlight w:val="none"/>
        </w:rPr>
        <w:t>附件：</w:t>
      </w:r>
    </w:p>
    <w:p w14:paraId="3BAFB32B">
      <w:pPr>
        <w:spacing w:line="360" w:lineRule="auto"/>
        <w:jc w:val="center"/>
        <w:rPr>
          <w:rFonts w:ascii="微软雅黑" w:hAnsi="微软雅黑" w:eastAsia="微软雅黑"/>
          <w:color w:val="auto"/>
          <w:sz w:val="40"/>
          <w:szCs w:val="40"/>
          <w:highlight w:val="none"/>
        </w:rPr>
      </w:pPr>
      <w:r>
        <w:rPr>
          <w:rFonts w:hint="eastAsia" w:ascii="微软雅黑" w:hAnsi="微软雅黑" w:eastAsia="微软雅黑"/>
          <w:color w:val="auto"/>
          <w:sz w:val="40"/>
          <w:szCs w:val="40"/>
          <w:highlight w:val="none"/>
        </w:rPr>
        <w:t>中小微企业划型标准</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8"/>
        <w:gridCol w:w="1563"/>
        <w:gridCol w:w="1662"/>
        <w:gridCol w:w="1663"/>
        <w:gridCol w:w="1662"/>
        <w:gridCol w:w="1654"/>
      </w:tblGrid>
      <w:tr w14:paraId="772CE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jc w:val="center"/>
        </w:trPr>
        <w:tc>
          <w:tcPr>
            <w:tcW w:w="1764" w:type="dxa"/>
            <w:vAlign w:val="center"/>
          </w:tcPr>
          <w:p w14:paraId="5134793D">
            <w:pPr>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行业名称</w:t>
            </w:r>
          </w:p>
        </w:tc>
        <w:tc>
          <w:tcPr>
            <w:tcW w:w="1568" w:type="dxa"/>
            <w:vAlign w:val="center"/>
          </w:tcPr>
          <w:p w14:paraId="254C5581">
            <w:pPr>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指标名称</w:t>
            </w:r>
          </w:p>
        </w:tc>
        <w:tc>
          <w:tcPr>
            <w:tcW w:w="1668" w:type="dxa"/>
            <w:vAlign w:val="center"/>
          </w:tcPr>
          <w:p w14:paraId="540A0AA9">
            <w:pPr>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计量单位</w:t>
            </w:r>
          </w:p>
        </w:tc>
        <w:tc>
          <w:tcPr>
            <w:tcW w:w="1668" w:type="dxa"/>
            <w:vAlign w:val="center"/>
          </w:tcPr>
          <w:p w14:paraId="47CD3AC6">
            <w:pPr>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中型</w:t>
            </w:r>
          </w:p>
        </w:tc>
        <w:tc>
          <w:tcPr>
            <w:tcW w:w="1668" w:type="dxa"/>
            <w:vAlign w:val="center"/>
          </w:tcPr>
          <w:p w14:paraId="20F3F8DA">
            <w:pPr>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小型</w:t>
            </w:r>
          </w:p>
        </w:tc>
        <w:tc>
          <w:tcPr>
            <w:tcW w:w="1660" w:type="dxa"/>
            <w:vAlign w:val="center"/>
          </w:tcPr>
          <w:p w14:paraId="123C7353">
            <w:pPr>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微型</w:t>
            </w:r>
          </w:p>
        </w:tc>
      </w:tr>
      <w:tr w14:paraId="2197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Align w:val="center"/>
          </w:tcPr>
          <w:p w14:paraId="351D6594">
            <w:pPr>
              <w:jc w:val="center"/>
              <w:rPr>
                <w:rFonts w:ascii="宋体" w:hAnsi="宋体"/>
                <w:b/>
                <w:color w:val="auto"/>
                <w:sz w:val="18"/>
                <w:szCs w:val="18"/>
                <w:highlight w:val="none"/>
              </w:rPr>
            </w:pPr>
            <w:r>
              <w:rPr>
                <w:rFonts w:hint="eastAsia" w:ascii="宋体" w:hAnsi="宋体"/>
                <w:b/>
                <w:color w:val="auto"/>
                <w:sz w:val="18"/>
                <w:szCs w:val="18"/>
                <w:highlight w:val="none"/>
              </w:rPr>
              <w:t>农、林、牧、渔</w:t>
            </w:r>
          </w:p>
        </w:tc>
        <w:tc>
          <w:tcPr>
            <w:tcW w:w="1568" w:type="dxa"/>
            <w:vAlign w:val="center"/>
          </w:tcPr>
          <w:p w14:paraId="32BD0078">
            <w:pPr>
              <w:jc w:val="center"/>
              <w:rPr>
                <w:rFonts w:ascii="宋体" w:hAnsi="宋体"/>
                <w:color w:val="auto"/>
                <w:sz w:val="18"/>
                <w:szCs w:val="18"/>
                <w:highlight w:val="none"/>
              </w:rPr>
            </w:pPr>
            <w:r>
              <w:rPr>
                <w:rFonts w:hint="eastAsia" w:ascii="宋体" w:hAnsi="宋体"/>
                <w:color w:val="auto"/>
                <w:sz w:val="18"/>
                <w:szCs w:val="18"/>
                <w:highlight w:val="none"/>
              </w:rPr>
              <w:t>营业收入（Y）</w:t>
            </w:r>
          </w:p>
        </w:tc>
        <w:tc>
          <w:tcPr>
            <w:tcW w:w="1668" w:type="dxa"/>
            <w:vAlign w:val="center"/>
          </w:tcPr>
          <w:p w14:paraId="24F07F4A">
            <w:pPr>
              <w:jc w:val="center"/>
              <w:rPr>
                <w:rFonts w:ascii="宋体" w:hAnsi="宋体"/>
                <w:color w:val="auto"/>
                <w:sz w:val="18"/>
                <w:szCs w:val="18"/>
                <w:highlight w:val="none"/>
              </w:rPr>
            </w:pPr>
            <w:r>
              <w:rPr>
                <w:rFonts w:hint="eastAsia" w:ascii="宋体" w:hAnsi="宋体"/>
                <w:color w:val="auto"/>
                <w:sz w:val="18"/>
                <w:szCs w:val="18"/>
                <w:highlight w:val="none"/>
              </w:rPr>
              <w:t>万元</w:t>
            </w:r>
          </w:p>
        </w:tc>
        <w:tc>
          <w:tcPr>
            <w:tcW w:w="1668" w:type="dxa"/>
            <w:vAlign w:val="center"/>
          </w:tcPr>
          <w:p w14:paraId="5FE41624">
            <w:pPr>
              <w:jc w:val="center"/>
              <w:rPr>
                <w:rFonts w:ascii="宋体" w:hAnsi="宋体"/>
                <w:color w:val="auto"/>
                <w:sz w:val="18"/>
                <w:szCs w:val="18"/>
                <w:highlight w:val="none"/>
              </w:rPr>
            </w:pPr>
            <w:r>
              <w:rPr>
                <w:rFonts w:hint="eastAsia" w:ascii="宋体" w:hAnsi="宋体"/>
                <w:color w:val="auto"/>
                <w:sz w:val="18"/>
                <w:szCs w:val="18"/>
                <w:highlight w:val="none"/>
              </w:rPr>
              <w:t>500≤Y＜20000</w:t>
            </w:r>
          </w:p>
        </w:tc>
        <w:tc>
          <w:tcPr>
            <w:tcW w:w="1668" w:type="dxa"/>
            <w:vAlign w:val="center"/>
          </w:tcPr>
          <w:p w14:paraId="343E3141">
            <w:pPr>
              <w:jc w:val="center"/>
              <w:rPr>
                <w:rFonts w:ascii="宋体" w:hAnsi="宋体"/>
                <w:color w:val="auto"/>
                <w:sz w:val="18"/>
                <w:szCs w:val="18"/>
                <w:highlight w:val="none"/>
              </w:rPr>
            </w:pPr>
            <w:r>
              <w:rPr>
                <w:rFonts w:hint="eastAsia" w:ascii="宋体" w:hAnsi="宋体"/>
                <w:color w:val="auto"/>
                <w:sz w:val="18"/>
                <w:szCs w:val="18"/>
                <w:highlight w:val="none"/>
              </w:rPr>
              <w:t>50≤Y＜500</w:t>
            </w:r>
          </w:p>
        </w:tc>
        <w:tc>
          <w:tcPr>
            <w:tcW w:w="1660" w:type="dxa"/>
            <w:vAlign w:val="center"/>
          </w:tcPr>
          <w:p w14:paraId="40DFDE02">
            <w:pPr>
              <w:jc w:val="center"/>
              <w:rPr>
                <w:rFonts w:ascii="宋体" w:hAnsi="宋体"/>
                <w:color w:val="auto"/>
                <w:sz w:val="18"/>
                <w:szCs w:val="18"/>
                <w:highlight w:val="none"/>
              </w:rPr>
            </w:pPr>
            <w:r>
              <w:rPr>
                <w:rFonts w:hint="eastAsia" w:ascii="宋体" w:hAnsi="宋体"/>
                <w:color w:val="auto"/>
                <w:sz w:val="18"/>
                <w:szCs w:val="18"/>
                <w:highlight w:val="none"/>
              </w:rPr>
              <w:t>Y＜50</w:t>
            </w:r>
          </w:p>
        </w:tc>
      </w:tr>
      <w:tr w14:paraId="0112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restart"/>
            <w:vAlign w:val="center"/>
          </w:tcPr>
          <w:p w14:paraId="2060D24F">
            <w:pPr>
              <w:jc w:val="center"/>
              <w:rPr>
                <w:rFonts w:ascii="宋体" w:hAnsi="宋体"/>
                <w:b/>
                <w:color w:val="auto"/>
                <w:sz w:val="18"/>
                <w:szCs w:val="18"/>
                <w:highlight w:val="none"/>
              </w:rPr>
            </w:pPr>
            <w:r>
              <w:rPr>
                <w:rFonts w:hint="eastAsia" w:ascii="宋体" w:hAnsi="宋体"/>
                <w:b/>
                <w:color w:val="auto"/>
                <w:sz w:val="18"/>
                <w:szCs w:val="18"/>
                <w:highlight w:val="none"/>
              </w:rPr>
              <w:t>工业</w:t>
            </w:r>
          </w:p>
        </w:tc>
        <w:tc>
          <w:tcPr>
            <w:tcW w:w="1568" w:type="dxa"/>
            <w:vAlign w:val="center"/>
          </w:tcPr>
          <w:p w14:paraId="069017B4">
            <w:pPr>
              <w:jc w:val="center"/>
              <w:rPr>
                <w:rFonts w:ascii="宋体" w:hAnsi="宋体"/>
                <w:color w:val="auto"/>
                <w:sz w:val="18"/>
                <w:szCs w:val="18"/>
                <w:highlight w:val="none"/>
              </w:rPr>
            </w:pPr>
            <w:r>
              <w:rPr>
                <w:rFonts w:hint="eastAsia" w:ascii="宋体" w:hAnsi="宋体"/>
                <w:color w:val="auto"/>
                <w:sz w:val="18"/>
                <w:szCs w:val="18"/>
                <w:highlight w:val="none"/>
              </w:rPr>
              <w:t>从业人员（X）</w:t>
            </w:r>
          </w:p>
        </w:tc>
        <w:tc>
          <w:tcPr>
            <w:tcW w:w="1668" w:type="dxa"/>
            <w:vAlign w:val="center"/>
          </w:tcPr>
          <w:p w14:paraId="179D87B7">
            <w:pPr>
              <w:jc w:val="center"/>
              <w:rPr>
                <w:rFonts w:ascii="宋体" w:hAnsi="宋体"/>
                <w:color w:val="auto"/>
                <w:sz w:val="18"/>
                <w:szCs w:val="18"/>
                <w:highlight w:val="none"/>
              </w:rPr>
            </w:pPr>
            <w:r>
              <w:rPr>
                <w:rFonts w:hint="eastAsia" w:ascii="宋体" w:hAnsi="宋体"/>
                <w:color w:val="auto"/>
                <w:sz w:val="18"/>
                <w:szCs w:val="18"/>
                <w:highlight w:val="none"/>
              </w:rPr>
              <w:t>人</w:t>
            </w:r>
          </w:p>
        </w:tc>
        <w:tc>
          <w:tcPr>
            <w:tcW w:w="1668" w:type="dxa"/>
            <w:vAlign w:val="center"/>
          </w:tcPr>
          <w:p w14:paraId="7CBAFA3B">
            <w:pPr>
              <w:jc w:val="center"/>
              <w:rPr>
                <w:rFonts w:ascii="宋体" w:hAnsi="宋体"/>
                <w:color w:val="auto"/>
                <w:sz w:val="18"/>
                <w:szCs w:val="18"/>
                <w:highlight w:val="none"/>
              </w:rPr>
            </w:pPr>
            <w:r>
              <w:rPr>
                <w:rFonts w:hint="eastAsia" w:ascii="宋体" w:hAnsi="宋体"/>
                <w:color w:val="auto"/>
                <w:sz w:val="18"/>
                <w:szCs w:val="18"/>
                <w:highlight w:val="none"/>
              </w:rPr>
              <w:t>300≤X＜1000</w:t>
            </w:r>
          </w:p>
        </w:tc>
        <w:tc>
          <w:tcPr>
            <w:tcW w:w="1668" w:type="dxa"/>
            <w:vAlign w:val="center"/>
          </w:tcPr>
          <w:p w14:paraId="65D10A32">
            <w:pPr>
              <w:jc w:val="center"/>
              <w:rPr>
                <w:rFonts w:ascii="宋体" w:hAnsi="宋体"/>
                <w:color w:val="auto"/>
                <w:sz w:val="18"/>
                <w:szCs w:val="18"/>
                <w:highlight w:val="none"/>
              </w:rPr>
            </w:pPr>
            <w:r>
              <w:rPr>
                <w:rFonts w:hint="eastAsia" w:ascii="宋体" w:hAnsi="宋体"/>
                <w:color w:val="auto"/>
                <w:sz w:val="18"/>
                <w:szCs w:val="18"/>
                <w:highlight w:val="none"/>
              </w:rPr>
              <w:t>20≤X＜300</w:t>
            </w:r>
          </w:p>
        </w:tc>
        <w:tc>
          <w:tcPr>
            <w:tcW w:w="1660" w:type="dxa"/>
            <w:vAlign w:val="center"/>
          </w:tcPr>
          <w:p w14:paraId="3170BC0F">
            <w:pPr>
              <w:jc w:val="center"/>
              <w:rPr>
                <w:rFonts w:ascii="宋体" w:hAnsi="宋体"/>
                <w:color w:val="auto"/>
                <w:sz w:val="18"/>
                <w:szCs w:val="18"/>
                <w:highlight w:val="none"/>
              </w:rPr>
            </w:pPr>
            <w:r>
              <w:rPr>
                <w:rFonts w:hint="eastAsia" w:ascii="宋体" w:hAnsi="宋体"/>
                <w:color w:val="auto"/>
                <w:sz w:val="18"/>
                <w:szCs w:val="18"/>
                <w:highlight w:val="none"/>
              </w:rPr>
              <w:t>X＜20</w:t>
            </w:r>
          </w:p>
        </w:tc>
      </w:tr>
      <w:tr w14:paraId="621E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continue"/>
            <w:vAlign w:val="center"/>
          </w:tcPr>
          <w:p w14:paraId="668F3251">
            <w:pPr>
              <w:jc w:val="center"/>
              <w:rPr>
                <w:rFonts w:ascii="宋体" w:hAnsi="宋体"/>
                <w:b/>
                <w:color w:val="auto"/>
                <w:sz w:val="18"/>
                <w:szCs w:val="18"/>
                <w:highlight w:val="none"/>
              </w:rPr>
            </w:pPr>
          </w:p>
        </w:tc>
        <w:tc>
          <w:tcPr>
            <w:tcW w:w="1568" w:type="dxa"/>
            <w:vAlign w:val="center"/>
          </w:tcPr>
          <w:p w14:paraId="5C6EBED8">
            <w:pPr>
              <w:jc w:val="center"/>
              <w:rPr>
                <w:rFonts w:ascii="宋体" w:hAnsi="宋体"/>
                <w:color w:val="auto"/>
                <w:sz w:val="18"/>
                <w:szCs w:val="18"/>
                <w:highlight w:val="none"/>
              </w:rPr>
            </w:pPr>
            <w:r>
              <w:rPr>
                <w:rFonts w:hint="eastAsia" w:ascii="宋体" w:hAnsi="宋体"/>
                <w:color w:val="auto"/>
                <w:sz w:val="18"/>
                <w:szCs w:val="18"/>
                <w:highlight w:val="none"/>
              </w:rPr>
              <w:t>营业收入（Y）</w:t>
            </w:r>
          </w:p>
        </w:tc>
        <w:tc>
          <w:tcPr>
            <w:tcW w:w="1668" w:type="dxa"/>
            <w:vAlign w:val="center"/>
          </w:tcPr>
          <w:p w14:paraId="1EAF05BD">
            <w:pPr>
              <w:jc w:val="center"/>
              <w:rPr>
                <w:rFonts w:ascii="宋体" w:hAnsi="宋体"/>
                <w:color w:val="auto"/>
                <w:sz w:val="18"/>
                <w:szCs w:val="18"/>
                <w:highlight w:val="none"/>
              </w:rPr>
            </w:pPr>
            <w:r>
              <w:rPr>
                <w:rFonts w:hint="eastAsia" w:ascii="宋体" w:hAnsi="宋体"/>
                <w:color w:val="auto"/>
                <w:sz w:val="18"/>
                <w:szCs w:val="18"/>
                <w:highlight w:val="none"/>
              </w:rPr>
              <w:t>万元</w:t>
            </w:r>
          </w:p>
        </w:tc>
        <w:tc>
          <w:tcPr>
            <w:tcW w:w="1668" w:type="dxa"/>
            <w:vAlign w:val="center"/>
          </w:tcPr>
          <w:p w14:paraId="4297FEDA">
            <w:pPr>
              <w:jc w:val="center"/>
              <w:rPr>
                <w:rFonts w:ascii="宋体" w:hAnsi="宋体"/>
                <w:color w:val="auto"/>
                <w:sz w:val="18"/>
                <w:szCs w:val="18"/>
                <w:highlight w:val="none"/>
              </w:rPr>
            </w:pPr>
            <w:r>
              <w:rPr>
                <w:rFonts w:hint="eastAsia" w:ascii="宋体" w:hAnsi="宋体"/>
                <w:color w:val="auto"/>
                <w:sz w:val="18"/>
                <w:szCs w:val="18"/>
                <w:highlight w:val="none"/>
              </w:rPr>
              <w:t>2000≤Y＜40000</w:t>
            </w:r>
          </w:p>
        </w:tc>
        <w:tc>
          <w:tcPr>
            <w:tcW w:w="1668" w:type="dxa"/>
            <w:vAlign w:val="center"/>
          </w:tcPr>
          <w:p w14:paraId="41093BC5">
            <w:pPr>
              <w:jc w:val="center"/>
              <w:rPr>
                <w:rFonts w:ascii="宋体" w:hAnsi="宋体"/>
                <w:color w:val="auto"/>
                <w:sz w:val="18"/>
                <w:szCs w:val="18"/>
                <w:highlight w:val="none"/>
              </w:rPr>
            </w:pPr>
            <w:r>
              <w:rPr>
                <w:rFonts w:hint="eastAsia" w:ascii="宋体" w:hAnsi="宋体"/>
                <w:color w:val="auto"/>
                <w:sz w:val="18"/>
                <w:szCs w:val="18"/>
                <w:highlight w:val="none"/>
              </w:rPr>
              <w:t>300≤Y＜2000</w:t>
            </w:r>
          </w:p>
        </w:tc>
        <w:tc>
          <w:tcPr>
            <w:tcW w:w="1660" w:type="dxa"/>
            <w:vAlign w:val="center"/>
          </w:tcPr>
          <w:p w14:paraId="0DE03FB1">
            <w:pPr>
              <w:jc w:val="center"/>
              <w:rPr>
                <w:rFonts w:ascii="宋体" w:hAnsi="宋体"/>
                <w:color w:val="auto"/>
                <w:sz w:val="18"/>
                <w:szCs w:val="18"/>
                <w:highlight w:val="none"/>
              </w:rPr>
            </w:pPr>
            <w:r>
              <w:rPr>
                <w:rFonts w:hint="eastAsia" w:ascii="宋体" w:hAnsi="宋体"/>
                <w:color w:val="auto"/>
                <w:sz w:val="18"/>
                <w:szCs w:val="18"/>
                <w:highlight w:val="none"/>
              </w:rPr>
              <w:t>Y＜300</w:t>
            </w:r>
          </w:p>
        </w:tc>
      </w:tr>
      <w:tr w14:paraId="15C1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restart"/>
            <w:vAlign w:val="center"/>
          </w:tcPr>
          <w:p w14:paraId="7E2EF29C">
            <w:pPr>
              <w:jc w:val="center"/>
              <w:rPr>
                <w:rFonts w:ascii="宋体" w:hAnsi="宋体"/>
                <w:b/>
                <w:color w:val="auto"/>
                <w:sz w:val="18"/>
                <w:szCs w:val="18"/>
                <w:highlight w:val="none"/>
              </w:rPr>
            </w:pPr>
            <w:r>
              <w:rPr>
                <w:rFonts w:hint="eastAsia" w:ascii="宋体" w:hAnsi="宋体"/>
                <w:b/>
                <w:color w:val="auto"/>
                <w:sz w:val="18"/>
                <w:szCs w:val="18"/>
                <w:highlight w:val="none"/>
              </w:rPr>
              <w:t>建筑业</w:t>
            </w:r>
          </w:p>
        </w:tc>
        <w:tc>
          <w:tcPr>
            <w:tcW w:w="1568" w:type="dxa"/>
            <w:vAlign w:val="center"/>
          </w:tcPr>
          <w:p w14:paraId="45D34095">
            <w:pPr>
              <w:jc w:val="center"/>
              <w:rPr>
                <w:rFonts w:ascii="宋体" w:hAnsi="宋体"/>
                <w:color w:val="auto"/>
                <w:sz w:val="18"/>
                <w:szCs w:val="18"/>
                <w:highlight w:val="none"/>
              </w:rPr>
            </w:pPr>
            <w:r>
              <w:rPr>
                <w:rFonts w:hint="eastAsia" w:ascii="宋体" w:hAnsi="宋体"/>
                <w:color w:val="auto"/>
                <w:sz w:val="18"/>
                <w:szCs w:val="18"/>
                <w:highlight w:val="none"/>
              </w:rPr>
              <w:t>营业收入（Y）</w:t>
            </w:r>
          </w:p>
        </w:tc>
        <w:tc>
          <w:tcPr>
            <w:tcW w:w="1668" w:type="dxa"/>
            <w:vAlign w:val="center"/>
          </w:tcPr>
          <w:p w14:paraId="74F5A69D">
            <w:pPr>
              <w:jc w:val="center"/>
              <w:rPr>
                <w:rFonts w:ascii="宋体" w:hAnsi="宋体"/>
                <w:color w:val="auto"/>
                <w:sz w:val="18"/>
                <w:szCs w:val="18"/>
                <w:highlight w:val="none"/>
              </w:rPr>
            </w:pPr>
            <w:r>
              <w:rPr>
                <w:rFonts w:hint="eastAsia" w:ascii="宋体" w:hAnsi="宋体"/>
                <w:color w:val="auto"/>
                <w:sz w:val="18"/>
                <w:szCs w:val="18"/>
                <w:highlight w:val="none"/>
              </w:rPr>
              <w:t>万元</w:t>
            </w:r>
          </w:p>
        </w:tc>
        <w:tc>
          <w:tcPr>
            <w:tcW w:w="1668" w:type="dxa"/>
            <w:vAlign w:val="center"/>
          </w:tcPr>
          <w:p w14:paraId="408FA675">
            <w:pPr>
              <w:jc w:val="center"/>
              <w:rPr>
                <w:rFonts w:ascii="宋体" w:hAnsi="宋体"/>
                <w:color w:val="auto"/>
                <w:sz w:val="18"/>
                <w:szCs w:val="18"/>
                <w:highlight w:val="none"/>
              </w:rPr>
            </w:pPr>
            <w:r>
              <w:rPr>
                <w:rFonts w:hint="eastAsia" w:ascii="宋体" w:hAnsi="宋体"/>
                <w:color w:val="auto"/>
                <w:sz w:val="18"/>
                <w:szCs w:val="18"/>
                <w:highlight w:val="none"/>
              </w:rPr>
              <w:t>6000≤Y＜80000</w:t>
            </w:r>
          </w:p>
        </w:tc>
        <w:tc>
          <w:tcPr>
            <w:tcW w:w="1668" w:type="dxa"/>
            <w:vAlign w:val="center"/>
          </w:tcPr>
          <w:p w14:paraId="7E46E854">
            <w:pPr>
              <w:jc w:val="center"/>
              <w:rPr>
                <w:rFonts w:ascii="宋体" w:hAnsi="宋体"/>
                <w:color w:val="auto"/>
                <w:sz w:val="18"/>
                <w:szCs w:val="18"/>
                <w:highlight w:val="none"/>
              </w:rPr>
            </w:pPr>
            <w:r>
              <w:rPr>
                <w:rFonts w:hint="eastAsia" w:ascii="宋体" w:hAnsi="宋体"/>
                <w:color w:val="auto"/>
                <w:sz w:val="18"/>
                <w:szCs w:val="18"/>
                <w:highlight w:val="none"/>
              </w:rPr>
              <w:t>300≤Y＜6000</w:t>
            </w:r>
          </w:p>
        </w:tc>
        <w:tc>
          <w:tcPr>
            <w:tcW w:w="1660" w:type="dxa"/>
            <w:vAlign w:val="center"/>
          </w:tcPr>
          <w:p w14:paraId="0A16C0D7">
            <w:pPr>
              <w:jc w:val="center"/>
              <w:rPr>
                <w:rFonts w:ascii="宋体" w:hAnsi="宋体"/>
                <w:color w:val="auto"/>
                <w:sz w:val="18"/>
                <w:szCs w:val="18"/>
                <w:highlight w:val="none"/>
              </w:rPr>
            </w:pPr>
            <w:r>
              <w:rPr>
                <w:rFonts w:hint="eastAsia" w:ascii="宋体" w:hAnsi="宋体"/>
                <w:color w:val="auto"/>
                <w:sz w:val="18"/>
                <w:szCs w:val="18"/>
                <w:highlight w:val="none"/>
              </w:rPr>
              <w:t>Y＜300</w:t>
            </w:r>
          </w:p>
        </w:tc>
      </w:tr>
      <w:tr w14:paraId="1247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continue"/>
            <w:vAlign w:val="center"/>
          </w:tcPr>
          <w:p w14:paraId="4FC2B596">
            <w:pPr>
              <w:jc w:val="center"/>
              <w:rPr>
                <w:rFonts w:ascii="宋体" w:hAnsi="宋体"/>
                <w:b/>
                <w:color w:val="auto"/>
                <w:sz w:val="18"/>
                <w:szCs w:val="18"/>
                <w:highlight w:val="none"/>
              </w:rPr>
            </w:pPr>
          </w:p>
        </w:tc>
        <w:tc>
          <w:tcPr>
            <w:tcW w:w="1568" w:type="dxa"/>
            <w:vAlign w:val="center"/>
          </w:tcPr>
          <w:p w14:paraId="30DA3548">
            <w:pPr>
              <w:jc w:val="center"/>
              <w:rPr>
                <w:rFonts w:ascii="宋体" w:hAnsi="宋体"/>
                <w:color w:val="auto"/>
                <w:sz w:val="18"/>
                <w:szCs w:val="18"/>
                <w:highlight w:val="none"/>
              </w:rPr>
            </w:pPr>
            <w:r>
              <w:rPr>
                <w:rFonts w:hint="eastAsia" w:ascii="宋体" w:hAnsi="宋体"/>
                <w:color w:val="auto"/>
                <w:sz w:val="18"/>
                <w:szCs w:val="18"/>
                <w:highlight w:val="none"/>
              </w:rPr>
              <w:t>资产总额（Z）</w:t>
            </w:r>
          </w:p>
        </w:tc>
        <w:tc>
          <w:tcPr>
            <w:tcW w:w="1668" w:type="dxa"/>
            <w:vAlign w:val="center"/>
          </w:tcPr>
          <w:p w14:paraId="54B990DC">
            <w:pPr>
              <w:jc w:val="center"/>
              <w:rPr>
                <w:rFonts w:ascii="宋体" w:hAnsi="宋体"/>
                <w:color w:val="auto"/>
                <w:sz w:val="18"/>
                <w:szCs w:val="18"/>
                <w:highlight w:val="none"/>
              </w:rPr>
            </w:pPr>
            <w:r>
              <w:rPr>
                <w:rFonts w:hint="eastAsia" w:ascii="宋体" w:hAnsi="宋体"/>
                <w:color w:val="auto"/>
                <w:sz w:val="18"/>
                <w:szCs w:val="18"/>
                <w:highlight w:val="none"/>
              </w:rPr>
              <w:t>万元</w:t>
            </w:r>
          </w:p>
        </w:tc>
        <w:tc>
          <w:tcPr>
            <w:tcW w:w="1668" w:type="dxa"/>
            <w:vAlign w:val="center"/>
          </w:tcPr>
          <w:p w14:paraId="0BAD4560">
            <w:pPr>
              <w:jc w:val="center"/>
              <w:rPr>
                <w:rFonts w:ascii="宋体" w:hAnsi="宋体"/>
                <w:color w:val="auto"/>
                <w:sz w:val="18"/>
                <w:szCs w:val="18"/>
                <w:highlight w:val="none"/>
              </w:rPr>
            </w:pPr>
            <w:r>
              <w:rPr>
                <w:rFonts w:hint="eastAsia" w:ascii="宋体" w:hAnsi="宋体"/>
                <w:color w:val="auto"/>
                <w:sz w:val="18"/>
                <w:szCs w:val="18"/>
                <w:highlight w:val="none"/>
              </w:rPr>
              <w:t>5000≤Z＜80000</w:t>
            </w:r>
          </w:p>
        </w:tc>
        <w:tc>
          <w:tcPr>
            <w:tcW w:w="1668" w:type="dxa"/>
            <w:vAlign w:val="center"/>
          </w:tcPr>
          <w:p w14:paraId="6413600C">
            <w:pPr>
              <w:jc w:val="center"/>
              <w:rPr>
                <w:rFonts w:ascii="宋体" w:hAnsi="宋体"/>
                <w:color w:val="auto"/>
                <w:sz w:val="18"/>
                <w:szCs w:val="18"/>
                <w:highlight w:val="none"/>
              </w:rPr>
            </w:pPr>
            <w:r>
              <w:rPr>
                <w:rFonts w:hint="eastAsia" w:ascii="宋体" w:hAnsi="宋体"/>
                <w:color w:val="auto"/>
                <w:sz w:val="18"/>
                <w:szCs w:val="18"/>
                <w:highlight w:val="none"/>
              </w:rPr>
              <w:t>300≤Z＜5000</w:t>
            </w:r>
          </w:p>
        </w:tc>
        <w:tc>
          <w:tcPr>
            <w:tcW w:w="1660" w:type="dxa"/>
            <w:vAlign w:val="center"/>
          </w:tcPr>
          <w:p w14:paraId="258B602F">
            <w:pPr>
              <w:jc w:val="center"/>
              <w:rPr>
                <w:rFonts w:ascii="宋体" w:hAnsi="宋体"/>
                <w:color w:val="auto"/>
                <w:sz w:val="18"/>
                <w:szCs w:val="18"/>
                <w:highlight w:val="none"/>
              </w:rPr>
            </w:pPr>
            <w:r>
              <w:rPr>
                <w:rFonts w:hint="eastAsia" w:ascii="宋体" w:hAnsi="宋体"/>
                <w:color w:val="auto"/>
                <w:sz w:val="18"/>
                <w:szCs w:val="18"/>
                <w:highlight w:val="none"/>
              </w:rPr>
              <w:t>Z＜300</w:t>
            </w:r>
          </w:p>
        </w:tc>
      </w:tr>
      <w:tr w14:paraId="658B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restart"/>
            <w:vAlign w:val="center"/>
          </w:tcPr>
          <w:p w14:paraId="4F0B49C1">
            <w:pPr>
              <w:jc w:val="center"/>
              <w:rPr>
                <w:rFonts w:ascii="宋体" w:hAnsi="宋体"/>
                <w:b/>
                <w:color w:val="auto"/>
                <w:sz w:val="18"/>
                <w:szCs w:val="18"/>
                <w:highlight w:val="none"/>
              </w:rPr>
            </w:pPr>
            <w:r>
              <w:rPr>
                <w:rFonts w:hint="eastAsia" w:ascii="宋体" w:hAnsi="宋体"/>
                <w:b/>
                <w:color w:val="auto"/>
                <w:sz w:val="18"/>
                <w:szCs w:val="18"/>
                <w:highlight w:val="none"/>
              </w:rPr>
              <w:t>批发业</w:t>
            </w:r>
          </w:p>
        </w:tc>
        <w:tc>
          <w:tcPr>
            <w:tcW w:w="1568" w:type="dxa"/>
            <w:vAlign w:val="center"/>
          </w:tcPr>
          <w:p w14:paraId="70429CD6">
            <w:pPr>
              <w:jc w:val="center"/>
              <w:rPr>
                <w:rFonts w:ascii="宋体" w:hAnsi="宋体"/>
                <w:color w:val="auto"/>
                <w:sz w:val="18"/>
                <w:szCs w:val="18"/>
                <w:highlight w:val="none"/>
              </w:rPr>
            </w:pPr>
            <w:r>
              <w:rPr>
                <w:rFonts w:hint="eastAsia" w:ascii="宋体" w:hAnsi="宋体"/>
                <w:color w:val="auto"/>
                <w:sz w:val="18"/>
                <w:szCs w:val="18"/>
                <w:highlight w:val="none"/>
              </w:rPr>
              <w:t>从业人员（X）</w:t>
            </w:r>
          </w:p>
        </w:tc>
        <w:tc>
          <w:tcPr>
            <w:tcW w:w="1668" w:type="dxa"/>
            <w:vAlign w:val="center"/>
          </w:tcPr>
          <w:p w14:paraId="0BEA735B">
            <w:pPr>
              <w:jc w:val="center"/>
              <w:rPr>
                <w:rFonts w:ascii="宋体" w:hAnsi="宋体"/>
                <w:color w:val="auto"/>
                <w:sz w:val="18"/>
                <w:szCs w:val="18"/>
                <w:highlight w:val="none"/>
              </w:rPr>
            </w:pPr>
            <w:r>
              <w:rPr>
                <w:rFonts w:hint="eastAsia" w:ascii="宋体" w:hAnsi="宋体"/>
                <w:color w:val="auto"/>
                <w:sz w:val="18"/>
                <w:szCs w:val="18"/>
                <w:highlight w:val="none"/>
              </w:rPr>
              <w:t>人</w:t>
            </w:r>
          </w:p>
        </w:tc>
        <w:tc>
          <w:tcPr>
            <w:tcW w:w="1668" w:type="dxa"/>
            <w:vAlign w:val="center"/>
          </w:tcPr>
          <w:p w14:paraId="211E9526">
            <w:pPr>
              <w:jc w:val="center"/>
              <w:rPr>
                <w:rFonts w:ascii="宋体" w:hAnsi="宋体"/>
                <w:color w:val="auto"/>
                <w:sz w:val="18"/>
                <w:szCs w:val="18"/>
                <w:highlight w:val="none"/>
              </w:rPr>
            </w:pPr>
            <w:r>
              <w:rPr>
                <w:rFonts w:hint="eastAsia" w:ascii="宋体" w:hAnsi="宋体"/>
                <w:color w:val="auto"/>
                <w:sz w:val="18"/>
                <w:szCs w:val="18"/>
                <w:highlight w:val="none"/>
              </w:rPr>
              <w:t>20≤X＜200</w:t>
            </w:r>
          </w:p>
        </w:tc>
        <w:tc>
          <w:tcPr>
            <w:tcW w:w="1668" w:type="dxa"/>
            <w:vAlign w:val="center"/>
          </w:tcPr>
          <w:p w14:paraId="09725719">
            <w:pPr>
              <w:jc w:val="center"/>
              <w:rPr>
                <w:rFonts w:ascii="宋体" w:hAnsi="宋体"/>
                <w:color w:val="auto"/>
                <w:sz w:val="18"/>
                <w:szCs w:val="18"/>
                <w:highlight w:val="none"/>
              </w:rPr>
            </w:pPr>
            <w:r>
              <w:rPr>
                <w:rFonts w:hint="eastAsia" w:ascii="宋体" w:hAnsi="宋体"/>
                <w:color w:val="auto"/>
                <w:sz w:val="18"/>
                <w:szCs w:val="18"/>
                <w:highlight w:val="none"/>
              </w:rPr>
              <w:t>5≤X＜20</w:t>
            </w:r>
          </w:p>
        </w:tc>
        <w:tc>
          <w:tcPr>
            <w:tcW w:w="1660" w:type="dxa"/>
            <w:vAlign w:val="center"/>
          </w:tcPr>
          <w:p w14:paraId="1E860F2A">
            <w:pPr>
              <w:jc w:val="center"/>
              <w:rPr>
                <w:rFonts w:ascii="宋体" w:hAnsi="宋体"/>
                <w:color w:val="auto"/>
                <w:sz w:val="18"/>
                <w:szCs w:val="18"/>
                <w:highlight w:val="none"/>
              </w:rPr>
            </w:pPr>
            <w:r>
              <w:rPr>
                <w:rFonts w:hint="eastAsia" w:ascii="宋体" w:hAnsi="宋体"/>
                <w:color w:val="auto"/>
                <w:sz w:val="18"/>
                <w:szCs w:val="18"/>
                <w:highlight w:val="none"/>
              </w:rPr>
              <w:t>X＜5</w:t>
            </w:r>
          </w:p>
        </w:tc>
      </w:tr>
      <w:tr w14:paraId="44CA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continue"/>
            <w:vAlign w:val="center"/>
          </w:tcPr>
          <w:p w14:paraId="169AF892">
            <w:pPr>
              <w:jc w:val="center"/>
              <w:rPr>
                <w:rFonts w:ascii="宋体" w:hAnsi="宋体"/>
                <w:b/>
                <w:color w:val="auto"/>
                <w:sz w:val="18"/>
                <w:szCs w:val="18"/>
                <w:highlight w:val="none"/>
              </w:rPr>
            </w:pPr>
          </w:p>
        </w:tc>
        <w:tc>
          <w:tcPr>
            <w:tcW w:w="1568" w:type="dxa"/>
            <w:vAlign w:val="center"/>
          </w:tcPr>
          <w:p w14:paraId="12BAE0A3">
            <w:pPr>
              <w:jc w:val="center"/>
              <w:rPr>
                <w:rFonts w:ascii="宋体" w:hAnsi="宋体"/>
                <w:color w:val="auto"/>
                <w:sz w:val="18"/>
                <w:szCs w:val="18"/>
                <w:highlight w:val="none"/>
              </w:rPr>
            </w:pPr>
            <w:r>
              <w:rPr>
                <w:rFonts w:hint="eastAsia" w:ascii="宋体" w:hAnsi="宋体"/>
                <w:color w:val="auto"/>
                <w:sz w:val="18"/>
                <w:szCs w:val="18"/>
                <w:highlight w:val="none"/>
              </w:rPr>
              <w:t>营业收入（Y）</w:t>
            </w:r>
          </w:p>
        </w:tc>
        <w:tc>
          <w:tcPr>
            <w:tcW w:w="1668" w:type="dxa"/>
            <w:vAlign w:val="center"/>
          </w:tcPr>
          <w:p w14:paraId="0495A322">
            <w:pPr>
              <w:jc w:val="center"/>
              <w:rPr>
                <w:rFonts w:ascii="宋体" w:hAnsi="宋体"/>
                <w:color w:val="auto"/>
                <w:sz w:val="18"/>
                <w:szCs w:val="18"/>
                <w:highlight w:val="none"/>
              </w:rPr>
            </w:pPr>
            <w:r>
              <w:rPr>
                <w:rFonts w:hint="eastAsia" w:ascii="宋体" w:hAnsi="宋体"/>
                <w:color w:val="auto"/>
                <w:sz w:val="18"/>
                <w:szCs w:val="18"/>
                <w:highlight w:val="none"/>
              </w:rPr>
              <w:t>万元</w:t>
            </w:r>
          </w:p>
        </w:tc>
        <w:tc>
          <w:tcPr>
            <w:tcW w:w="1668" w:type="dxa"/>
            <w:vAlign w:val="center"/>
          </w:tcPr>
          <w:p w14:paraId="2B64FC83">
            <w:pPr>
              <w:jc w:val="center"/>
              <w:rPr>
                <w:rFonts w:ascii="宋体" w:hAnsi="宋体"/>
                <w:color w:val="auto"/>
                <w:sz w:val="18"/>
                <w:szCs w:val="18"/>
                <w:highlight w:val="none"/>
              </w:rPr>
            </w:pPr>
            <w:r>
              <w:rPr>
                <w:rFonts w:hint="eastAsia" w:ascii="宋体" w:hAnsi="宋体"/>
                <w:color w:val="auto"/>
                <w:sz w:val="18"/>
                <w:szCs w:val="18"/>
                <w:highlight w:val="none"/>
              </w:rPr>
              <w:t>5000≤Y＜40000</w:t>
            </w:r>
          </w:p>
        </w:tc>
        <w:tc>
          <w:tcPr>
            <w:tcW w:w="1668" w:type="dxa"/>
            <w:vAlign w:val="center"/>
          </w:tcPr>
          <w:p w14:paraId="41973525">
            <w:pPr>
              <w:jc w:val="center"/>
              <w:rPr>
                <w:rFonts w:ascii="宋体" w:hAnsi="宋体"/>
                <w:color w:val="auto"/>
                <w:sz w:val="18"/>
                <w:szCs w:val="18"/>
                <w:highlight w:val="none"/>
              </w:rPr>
            </w:pPr>
            <w:r>
              <w:rPr>
                <w:rFonts w:hint="eastAsia" w:ascii="宋体" w:hAnsi="宋体"/>
                <w:color w:val="auto"/>
                <w:sz w:val="18"/>
                <w:szCs w:val="18"/>
                <w:highlight w:val="none"/>
              </w:rPr>
              <w:t>1000≤Y＜5000</w:t>
            </w:r>
          </w:p>
        </w:tc>
        <w:tc>
          <w:tcPr>
            <w:tcW w:w="1660" w:type="dxa"/>
            <w:vAlign w:val="center"/>
          </w:tcPr>
          <w:p w14:paraId="703F086B">
            <w:pPr>
              <w:jc w:val="center"/>
              <w:rPr>
                <w:rFonts w:ascii="宋体" w:hAnsi="宋体"/>
                <w:color w:val="auto"/>
                <w:sz w:val="18"/>
                <w:szCs w:val="18"/>
                <w:highlight w:val="none"/>
              </w:rPr>
            </w:pPr>
            <w:r>
              <w:rPr>
                <w:rFonts w:hint="eastAsia" w:ascii="宋体" w:hAnsi="宋体"/>
                <w:color w:val="auto"/>
                <w:sz w:val="18"/>
                <w:szCs w:val="18"/>
                <w:highlight w:val="none"/>
              </w:rPr>
              <w:t>Y＜1000</w:t>
            </w:r>
          </w:p>
        </w:tc>
      </w:tr>
      <w:tr w14:paraId="3FC8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restart"/>
            <w:vAlign w:val="center"/>
          </w:tcPr>
          <w:p w14:paraId="3D4F945E">
            <w:pPr>
              <w:jc w:val="center"/>
              <w:rPr>
                <w:rFonts w:ascii="宋体" w:hAnsi="宋体"/>
                <w:b/>
                <w:color w:val="auto"/>
                <w:sz w:val="18"/>
                <w:szCs w:val="18"/>
                <w:highlight w:val="none"/>
              </w:rPr>
            </w:pPr>
            <w:r>
              <w:rPr>
                <w:rFonts w:hint="eastAsia" w:ascii="宋体" w:hAnsi="宋体"/>
                <w:b/>
                <w:color w:val="auto"/>
                <w:sz w:val="18"/>
                <w:szCs w:val="18"/>
                <w:highlight w:val="none"/>
              </w:rPr>
              <w:t>零售业</w:t>
            </w:r>
          </w:p>
        </w:tc>
        <w:tc>
          <w:tcPr>
            <w:tcW w:w="1568" w:type="dxa"/>
            <w:vAlign w:val="center"/>
          </w:tcPr>
          <w:p w14:paraId="7525AA8D">
            <w:pPr>
              <w:jc w:val="center"/>
              <w:rPr>
                <w:rFonts w:ascii="宋体" w:hAnsi="宋体"/>
                <w:color w:val="auto"/>
                <w:sz w:val="18"/>
                <w:szCs w:val="18"/>
                <w:highlight w:val="none"/>
              </w:rPr>
            </w:pPr>
            <w:r>
              <w:rPr>
                <w:rFonts w:hint="eastAsia" w:ascii="宋体" w:hAnsi="宋体"/>
                <w:color w:val="auto"/>
                <w:sz w:val="18"/>
                <w:szCs w:val="18"/>
                <w:highlight w:val="none"/>
              </w:rPr>
              <w:t>从业人员（X）</w:t>
            </w:r>
          </w:p>
        </w:tc>
        <w:tc>
          <w:tcPr>
            <w:tcW w:w="1668" w:type="dxa"/>
            <w:vAlign w:val="center"/>
          </w:tcPr>
          <w:p w14:paraId="20A2B835">
            <w:pPr>
              <w:jc w:val="center"/>
              <w:rPr>
                <w:rFonts w:ascii="宋体" w:hAnsi="宋体"/>
                <w:color w:val="auto"/>
                <w:sz w:val="18"/>
                <w:szCs w:val="18"/>
                <w:highlight w:val="none"/>
              </w:rPr>
            </w:pPr>
            <w:r>
              <w:rPr>
                <w:rFonts w:hint="eastAsia" w:ascii="宋体" w:hAnsi="宋体"/>
                <w:color w:val="auto"/>
                <w:sz w:val="18"/>
                <w:szCs w:val="18"/>
                <w:highlight w:val="none"/>
              </w:rPr>
              <w:t>人</w:t>
            </w:r>
          </w:p>
        </w:tc>
        <w:tc>
          <w:tcPr>
            <w:tcW w:w="1668" w:type="dxa"/>
            <w:vAlign w:val="center"/>
          </w:tcPr>
          <w:p w14:paraId="5FBB3127">
            <w:pPr>
              <w:jc w:val="center"/>
              <w:rPr>
                <w:rFonts w:ascii="宋体" w:hAnsi="宋体"/>
                <w:color w:val="auto"/>
                <w:sz w:val="18"/>
                <w:szCs w:val="18"/>
                <w:highlight w:val="none"/>
              </w:rPr>
            </w:pPr>
            <w:r>
              <w:rPr>
                <w:rFonts w:hint="eastAsia" w:ascii="宋体" w:hAnsi="宋体"/>
                <w:color w:val="auto"/>
                <w:sz w:val="18"/>
                <w:szCs w:val="18"/>
                <w:highlight w:val="none"/>
              </w:rPr>
              <w:t>50≤X＜300</w:t>
            </w:r>
          </w:p>
        </w:tc>
        <w:tc>
          <w:tcPr>
            <w:tcW w:w="1668" w:type="dxa"/>
            <w:vAlign w:val="center"/>
          </w:tcPr>
          <w:p w14:paraId="0E8AF89D">
            <w:pPr>
              <w:jc w:val="center"/>
              <w:rPr>
                <w:rFonts w:ascii="宋体" w:hAnsi="宋体"/>
                <w:color w:val="auto"/>
                <w:sz w:val="18"/>
                <w:szCs w:val="18"/>
                <w:highlight w:val="none"/>
              </w:rPr>
            </w:pPr>
            <w:r>
              <w:rPr>
                <w:rFonts w:hint="eastAsia" w:ascii="宋体" w:hAnsi="宋体"/>
                <w:color w:val="auto"/>
                <w:sz w:val="18"/>
                <w:szCs w:val="18"/>
                <w:highlight w:val="none"/>
              </w:rPr>
              <w:t>10≤X＜50</w:t>
            </w:r>
          </w:p>
        </w:tc>
        <w:tc>
          <w:tcPr>
            <w:tcW w:w="1660" w:type="dxa"/>
            <w:vAlign w:val="center"/>
          </w:tcPr>
          <w:p w14:paraId="3330CF9D">
            <w:pPr>
              <w:jc w:val="center"/>
              <w:rPr>
                <w:rFonts w:ascii="宋体" w:hAnsi="宋体"/>
                <w:color w:val="auto"/>
                <w:sz w:val="18"/>
                <w:szCs w:val="18"/>
                <w:highlight w:val="none"/>
              </w:rPr>
            </w:pPr>
            <w:r>
              <w:rPr>
                <w:rFonts w:hint="eastAsia" w:ascii="宋体" w:hAnsi="宋体"/>
                <w:color w:val="auto"/>
                <w:sz w:val="18"/>
                <w:szCs w:val="18"/>
                <w:highlight w:val="none"/>
              </w:rPr>
              <w:t>X＜10</w:t>
            </w:r>
          </w:p>
        </w:tc>
      </w:tr>
      <w:tr w14:paraId="5552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continue"/>
            <w:vAlign w:val="center"/>
          </w:tcPr>
          <w:p w14:paraId="7222E7C3">
            <w:pPr>
              <w:jc w:val="center"/>
              <w:rPr>
                <w:rFonts w:ascii="宋体" w:hAnsi="宋体"/>
                <w:b/>
                <w:color w:val="auto"/>
                <w:sz w:val="18"/>
                <w:szCs w:val="18"/>
                <w:highlight w:val="none"/>
              </w:rPr>
            </w:pPr>
          </w:p>
        </w:tc>
        <w:tc>
          <w:tcPr>
            <w:tcW w:w="1568" w:type="dxa"/>
            <w:vAlign w:val="center"/>
          </w:tcPr>
          <w:p w14:paraId="2E7EAD2E">
            <w:pPr>
              <w:jc w:val="center"/>
              <w:rPr>
                <w:rFonts w:ascii="宋体" w:hAnsi="宋体"/>
                <w:color w:val="auto"/>
                <w:sz w:val="18"/>
                <w:szCs w:val="18"/>
                <w:highlight w:val="none"/>
              </w:rPr>
            </w:pPr>
            <w:r>
              <w:rPr>
                <w:rFonts w:hint="eastAsia" w:ascii="宋体" w:hAnsi="宋体"/>
                <w:color w:val="auto"/>
                <w:sz w:val="18"/>
                <w:szCs w:val="18"/>
                <w:highlight w:val="none"/>
              </w:rPr>
              <w:t>营业收入（Y）</w:t>
            </w:r>
          </w:p>
        </w:tc>
        <w:tc>
          <w:tcPr>
            <w:tcW w:w="1668" w:type="dxa"/>
            <w:vAlign w:val="center"/>
          </w:tcPr>
          <w:p w14:paraId="4334B274">
            <w:pPr>
              <w:jc w:val="center"/>
              <w:rPr>
                <w:rFonts w:ascii="宋体" w:hAnsi="宋体"/>
                <w:color w:val="auto"/>
                <w:sz w:val="18"/>
                <w:szCs w:val="18"/>
                <w:highlight w:val="none"/>
              </w:rPr>
            </w:pPr>
            <w:r>
              <w:rPr>
                <w:rFonts w:hint="eastAsia" w:ascii="宋体" w:hAnsi="宋体"/>
                <w:color w:val="auto"/>
                <w:sz w:val="18"/>
                <w:szCs w:val="18"/>
                <w:highlight w:val="none"/>
              </w:rPr>
              <w:t>万元</w:t>
            </w:r>
          </w:p>
        </w:tc>
        <w:tc>
          <w:tcPr>
            <w:tcW w:w="1668" w:type="dxa"/>
            <w:vAlign w:val="center"/>
          </w:tcPr>
          <w:p w14:paraId="47A2C7B5">
            <w:pPr>
              <w:jc w:val="center"/>
              <w:rPr>
                <w:rFonts w:ascii="宋体" w:hAnsi="宋体"/>
                <w:color w:val="auto"/>
                <w:sz w:val="18"/>
                <w:szCs w:val="18"/>
                <w:highlight w:val="none"/>
              </w:rPr>
            </w:pPr>
            <w:r>
              <w:rPr>
                <w:rFonts w:hint="eastAsia" w:ascii="宋体" w:hAnsi="宋体"/>
                <w:color w:val="auto"/>
                <w:sz w:val="18"/>
                <w:szCs w:val="18"/>
                <w:highlight w:val="none"/>
              </w:rPr>
              <w:t>500≤Y＜20000</w:t>
            </w:r>
          </w:p>
        </w:tc>
        <w:tc>
          <w:tcPr>
            <w:tcW w:w="1668" w:type="dxa"/>
            <w:vAlign w:val="center"/>
          </w:tcPr>
          <w:p w14:paraId="214022C2">
            <w:pPr>
              <w:jc w:val="center"/>
              <w:rPr>
                <w:rFonts w:ascii="宋体" w:hAnsi="宋体"/>
                <w:color w:val="auto"/>
                <w:sz w:val="18"/>
                <w:szCs w:val="18"/>
                <w:highlight w:val="none"/>
              </w:rPr>
            </w:pPr>
            <w:r>
              <w:rPr>
                <w:rFonts w:hint="eastAsia" w:ascii="宋体" w:hAnsi="宋体"/>
                <w:color w:val="auto"/>
                <w:sz w:val="18"/>
                <w:szCs w:val="18"/>
                <w:highlight w:val="none"/>
              </w:rPr>
              <w:t>100≤Y＜500</w:t>
            </w:r>
          </w:p>
        </w:tc>
        <w:tc>
          <w:tcPr>
            <w:tcW w:w="1660" w:type="dxa"/>
            <w:vAlign w:val="center"/>
          </w:tcPr>
          <w:p w14:paraId="749F58AD">
            <w:pPr>
              <w:jc w:val="center"/>
              <w:rPr>
                <w:rFonts w:ascii="宋体" w:hAnsi="宋体"/>
                <w:color w:val="auto"/>
                <w:sz w:val="18"/>
                <w:szCs w:val="18"/>
                <w:highlight w:val="none"/>
              </w:rPr>
            </w:pPr>
            <w:r>
              <w:rPr>
                <w:rFonts w:hint="eastAsia" w:ascii="宋体" w:hAnsi="宋体"/>
                <w:color w:val="auto"/>
                <w:sz w:val="18"/>
                <w:szCs w:val="18"/>
                <w:highlight w:val="none"/>
              </w:rPr>
              <w:t>Y＜100</w:t>
            </w:r>
          </w:p>
        </w:tc>
      </w:tr>
      <w:tr w14:paraId="517C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restart"/>
            <w:vAlign w:val="center"/>
          </w:tcPr>
          <w:p w14:paraId="43145A85">
            <w:pPr>
              <w:jc w:val="center"/>
              <w:rPr>
                <w:rFonts w:ascii="宋体" w:hAnsi="宋体"/>
                <w:b/>
                <w:color w:val="auto"/>
                <w:sz w:val="18"/>
                <w:szCs w:val="18"/>
                <w:highlight w:val="none"/>
              </w:rPr>
            </w:pPr>
            <w:r>
              <w:rPr>
                <w:rFonts w:hint="eastAsia" w:ascii="宋体" w:hAnsi="宋体"/>
                <w:b/>
                <w:color w:val="auto"/>
                <w:sz w:val="18"/>
                <w:szCs w:val="18"/>
                <w:highlight w:val="none"/>
              </w:rPr>
              <w:t>交通运输业</w:t>
            </w:r>
          </w:p>
        </w:tc>
        <w:tc>
          <w:tcPr>
            <w:tcW w:w="1568" w:type="dxa"/>
            <w:vAlign w:val="center"/>
          </w:tcPr>
          <w:p w14:paraId="6296BEA5">
            <w:pPr>
              <w:jc w:val="center"/>
              <w:rPr>
                <w:rFonts w:ascii="宋体" w:hAnsi="宋体"/>
                <w:color w:val="auto"/>
                <w:sz w:val="18"/>
                <w:szCs w:val="18"/>
                <w:highlight w:val="none"/>
              </w:rPr>
            </w:pPr>
            <w:r>
              <w:rPr>
                <w:rFonts w:hint="eastAsia" w:ascii="宋体" w:hAnsi="宋体"/>
                <w:color w:val="auto"/>
                <w:sz w:val="18"/>
                <w:szCs w:val="18"/>
                <w:highlight w:val="none"/>
              </w:rPr>
              <w:t>从业人员（X）</w:t>
            </w:r>
          </w:p>
        </w:tc>
        <w:tc>
          <w:tcPr>
            <w:tcW w:w="1668" w:type="dxa"/>
            <w:vAlign w:val="center"/>
          </w:tcPr>
          <w:p w14:paraId="66615BFA">
            <w:pPr>
              <w:jc w:val="center"/>
              <w:rPr>
                <w:rFonts w:ascii="宋体" w:hAnsi="宋体"/>
                <w:color w:val="auto"/>
                <w:sz w:val="18"/>
                <w:szCs w:val="18"/>
                <w:highlight w:val="none"/>
              </w:rPr>
            </w:pPr>
            <w:r>
              <w:rPr>
                <w:rFonts w:hint="eastAsia" w:ascii="宋体" w:hAnsi="宋体"/>
                <w:color w:val="auto"/>
                <w:sz w:val="18"/>
                <w:szCs w:val="18"/>
                <w:highlight w:val="none"/>
              </w:rPr>
              <w:t>人</w:t>
            </w:r>
          </w:p>
        </w:tc>
        <w:tc>
          <w:tcPr>
            <w:tcW w:w="1668" w:type="dxa"/>
            <w:vAlign w:val="center"/>
          </w:tcPr>
          <w:p w14:paraId="7FFED658">
            <w:pPr>
              <w:jc w:val="center"/>
              <w:rPr>
                <w:rFonts w:ascii="宋体" w:hAnsi="宋体"/>
                <w:color w:val="auto"/>
                <w:sz w:val="18"/>
                <w:szCs w:val="18"/>
                <w:highlight w:val="none"/>
              </w:rPr>
            </w:pPr>
            <w:r>
              <w:rPr>
                <w:rFonts w:hint="eastAsia" w:ascii="宋体" w:hAnsi="宋体"/>
                <w:color w:val="auto"/>
                <w:sz w:val="18"/>
                <w:szCs w:val="18"/>
                <w:highlight w:val="none"/>
              </w:rPr>
              <w:t>300≤X＜1000</w:t>
            </w:r>
          </w:p>
        </w:tc>
        <w:tc>
          <w:tcPr>
            <w:tcW w:w="1668" w:type="dxa"/>
            <w:vAlign w:val="center"/>
          </w:tcPr>
          <w:p w14:paraId="4AD7CB67">
            <w:pPr>
              <w:jc w:val="center"/>
              <w:rPr>
                <w:rFonts w:ascii="宋体" w:hAnsi="宋体"/>
                <w:color w:val="auto"/>
                <w:sz w:val="18"/>
                <w:szCs w:val="18"/>
                <w:highlight w:val="none"/>
              </w:rPr>
            </w:pPr>
            <w:r>
              <w:rPr>
                <w:rFonts w:hint="eastAsia" w:ascii="宋体" w:hAnsi="宋体"/>
                <w:color w:val="auto"/>
                <w:sz w:val="18"/>
                <w:szCs w:val="18"/>
                <w:highlight w:val="none"/>
              </w:rPr>
              <w:t>20≤X＜300</w:t>
            </w:r>
          </w:p>
        </w:tc>
        <w:tc>
          <w:tcPr>
            <w:tcW w:w="1660" w:type="dxa"/>
            <w:vAlign w:val="center"/>
          </w:tcPr>
          <w:p w14:paraId="4EE0EED9">
            <w:pPr>
              <w:jc w:val="center"/>
              <w:rPr>
                <w:rFonts w:ascii="宋体" w:hAnsi="宋体"/>
                <w:color w:val="auto"/>
                <w:sz w:val="18"/>
                <w:szCs w:val="18"/>
                <w:highlight w:val="none"/>
              </w:rPr>
            </w:pPr>
            <w:r>
              <w:rPr>
                <w:rFonts w:hint="eastAsia" w:ascii="宋体" w:hAnsi="宋体"/>
                <w:color w:val="auto"/>
                <w:sz w:val="18"/>
                <w:szCs w:val="18"/>
                <w:highlight w:val="none"/>
              </w:rPr>
              <w:t>X＜20</w:t>
            </w:r>
          </w:p>
        </w:tc>
      </w:tr>
      <w:tr w14:paraId="7821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continue"/>
            <w:vAlign w:val="center"/>
          </w:tcPr>
          <w:p w14:paraId="4A62BFBE">
            <w:pPr>
              <w:jc w:val="center"/>
              <w:rPr>
                <w:rFonts w:ascii="宋体" w:hAnsi="宋体"/>
                <w:b/>
                <w:color w:val="auto"/>
                <w:sz w:val="18"/>
                <w:szCs w:val="18"/>
                <w:highlight w:val="none"/>
              </w:rPr>
            </w:pPr>
          </w:p>
        </w:tc>
        <w:tc>
          <w:tcPr>
            <w:tcW w:w="1568" w:type="dxa"/>
            <w:vAlign w:val="center"/>
          </w:tcPr>
          <w:p w14:paraId="7AFBC19B">
            <w:pPr>
              <w:jc w:val="center"/>
              <w:rPr>
                <w:rFonts w:ascii="宋体" w:hAnsi="宋体"/>
                <w:color w:val="auto"/>
                <w:sz w:val="18"/>
                <w:szCs w:val="18"/>
                <w:highlight w:val="none"/>
              </w:rPr>
            </w:pPr>
            <w:r>
              <w:rPr>
                <w:rFonts w:hint="eastAsia" w:ascii="宋体" w:hAnsi="宋体"/>
                <w:color w:val="auto"/>
                <w:sz w:val="18"/>
                <w:szCs w:val="18"/>
                <w:highlight w:val="none"/>
              </w:rPr>
              <w:t>营业收入（Y）</w:t>
            </w:r>
          </w:p>
        </w:tc>
        <w:tc>
          <w:tcPr>
            <w:tcW w:w="1668" w:type="dxa"/>
            <w:vAlign w:val="center"/>
          </w:tcPr>
          <w:p w14:paraId="29EAF053">
            <w:pPr>
              <w:jc w:val="center"/>
              <w:rPr>
                <w:rFonts w:ascii="宋体" w:hAnsi="宋体"/>
                <w:color w:val="auto"/>
                <w:sz w:val="18"/>
                <w:szCs w:val="18"/>
                <w:highlight w:val="none"/>
              </w:rPr>
            </w:pPr>
            <w:r>
              <w:rPr>
                <w:rFonts w:hint="eastAsia" w:ascii="宋体" w:hAnsi="宋体"/>
                <w:color w:val="auto"/>
                <w:sz w:val="18"/>
                <w:szCs w:val="18"/>
                <w:highlight w:val="none"/>
              </w:rPr>
              <w:t>万元</w:t>
            </w:r>
          </w:p>
        </w:tc>
        <w:tc>
          <w:tcPr>
            <w:tcW w:w="1668" w:type="dxa"/>
            <w:vAlign w:val="center"/>
          </w:tcPr>
          <w:p w14:paraId="121B561A">
            <w:pPr>
              <w:jc w:val="center"/>
              <w:rPr>
                <w:rFonts w:ascii="宋体" w:hAnsi="宋体"/>
                <w:color w:val="auto"/>
                <w:sz w:val="18"/>
                <w:szCs w:val="18"/>
                <w:highlight w:val="none"/>
              </w:rPr>
            </w:pPr>
            <w:r>
              <w:rPr>
                <w:rFonts w:hint="eastAsia" w:ascii="宋体" w:hAnsi="宋体"/>
                <w:color w:val="auto"/>
                <w:sz w:val="18"/>
                <w:szCs w:val="18"/>
                <w:highlight w:val="none"/>
              </w:rPr>
              <w:t>3000≤Y＜30000</w:t>
            </w:r>
          </w:p>
        </w:tc>
        <w:tc>
          <w:tcPr>
            <w:tcW w:w="1668" w:type="dxa"/>
            <w:vAlign w:val="center"/>
          </w:tcPr>
          <w:p w14:paraId="423DAD12">
            <w:pPr>
              <w:jc w:val="center"/>
              <w:rPr>
                <w:rFonts w:ascii="宋体" w:hAnsi="宋体"/>
                <w:color w:val="auto"/>
                <w:sz w:val="18"/>
                <w:szCs w:val="18"/>
                <w:highlight w:val="none"/>
              </w:rPr>
            </w:pPr>
            <w:r>
              <w:rPr>
                <w:rFonts w:hint="eastAsia" w:ascii="宋体" w:hAnsi="宋体"/>
                <w:color w:val="auto"/>
                <w:sz w:val="18"/>
                <w:szCs w:val="18"/>
                <w:highlight w:val="none"/>
              </w:rPr>
              <w:t>200≤Y＜3000</w:t>
            </w:r>
          </w:p>
        </w:tc>
        <w:tc>
          <w:tcPr>
            <w:tcW w:w="1660" w:type="dxa"/>
            <w:vAlign w:val="center"/>
          </w:tcPr>
          <w:p w14:paraId="08C76E77">
            <w:pPr>
              <w:jc w:val="center"/>
              <w:rPr>
                <w:rFonts w:ascii="宋体" w:hAnsi="宋体"/>
                <w:color w:val="auto"/>
                <w:sz w:val="18"/>
                <w:szCs w:val="18"/>
                <w:highlight w:val="none"/>
              </w:rPr>
            </w:pPr>
            <w:r>
              <w:rPr>
                <w:rFonts w:hint="eastAsia" w:ascii="宋体" w:hAnsi="宋体"/>
                <w:color w:val="auto"/>
                <w:sz w:val="18"/>
                <w:szCs w:val="18"/>
                <w:highlight w:val="none"/>
              </w:rPr>
              <w:t>Y＜200</w:t>
            </w:r>
          </w:p>
        </w:tc>
      </w:tr>
      <w:tr w14:paraId="6C5A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restart"/>
            <w:vAlign w:val="center"/>
          </w:tcPr>
          <w:p w14:paraId="3524F3CA">
            <w:pPr>
              <w:jc w:val="center"/>
              <w:rPr>
                <w:rFonts w:ascii="宋体" w:hAnsi="宋体"/>
                <w:b/>
                <w:color w:val="auto"/>
                <w:sz w:val="18"/>
                <w:szCs w:val="18"/>
                <w:highlight w:val="none"/>
              </w:rPr>
            </w:pPr>
            <w:r>
              <w:rPr>
                <w:rFonts w:hint="eastAsia" w:ascii="宋体" w:hAnsi="宋体"/>
                <w:b/>
                <w:color w:val="auto"/>
                <w:sz w:val="18"/>
                <w:szCs w:val="18"/>
                <w:highlight w:val="none"/>
              </w:rPr>
              <w:t>仓储业</w:t>
            </w:r>
          </w:p>
        </w:tc>
        <w:tc>
          <w:tcPr>
            <w:tcW w:w="1568" w:type="dxa"/>
            <w:vAlign w:val="center"/>
          </w:tcPr>
          <w:p w14:paraId="63E9654F">
            <w:pPr>
              <w:jc w:val="center"/>
              <w:rPr>
                <w:rFonts w:ascii="宋体" w:hAnsi="宋体"/>
                <w:color w:val="auto"/>
                <w:sz w:val="18"/>
                <w:szCs w:val="18"/>
                <w:highlight w:val="none"/>
              </w:rPr>
            </w:pPr>
            <w:r>
              <w:rPr>
                <w:rFonts w:hint="eastAsia" w:ascii="宋体" w:hAnsi="宋体"/>
                <w:color w:val="auto"/>
                <w:sz w:val="18"/>
                <w:szCs w:val="18"/>
                <w:highlight w:val="none"/>
              </w:rPr>
              <w:t>从业人员（X）</w:t>
            </w:r>
          </w:p>
        </w:tc>
        <w:tc>
          <w:tcPr>
            <w:tcW w:w="1668" w:type="dxa"/>
            <w:vAlign w:val="center"/>
          </w:tcPr>
          <w:p w14:paraId="0588F52B">
            <w:pPr>
              <w:jc w:val="center"/>
              <w:rPr>
                <w:rFonts w:ascii="宋体" w:hAnsi="宋体"/>
                <w:color w:val="auto"/>
                <w:sz w:val="18"/>
                <w:szCs w:val="18"/>
                <w:highlight w:val="none"/>
              </w:rPr>
            </w:pPr>
            <w:r>
              <w:rPr>
                <w:rFonts w:hint="eastAsia" w:ascii="宋体" w:hAnsi="宋体"/>
                <w:color w:val="auto"/>
                <w:sz w:val="18"/>
                <w:szCs w:val="18"/>
                <w:highlight w:val="none"/>
              </w:rPr>
              <w:t>人</w:t>
            </w:r>
          </w:p>
        </w:tc>
        <w:tc>
          <w:tcPr>
            <w:tcW w:w="1668" w:type="dxa"/>
            <w:vAlign w:val="center"/>
          </w:tcPr>
          <w:p w14:paraId="082481FB">
            <w:pPr>
              <w:jc w:val="center"/>
              <w:rPr>
                <w:rFonts w:ascii="宋体" w:hAnsi="宋体"/>
                <w:color w:val="auto"/>
                <w:sz w:val="18"/>
                <w:szCs w:val="18"/>
                <w:highlight w:val="none"/>
              </w:rPr>
            </w:pPr>
            <w:r>
              <w:rPr>
                <w:rFonts w:hint="eastAsia" w:ascii="宋体" w:hAnsi="宋体"/>
                <w:color w:val="auto"/>
                <w:sz w:val="18"/>
                <w:szCs w:val="18"/>
                <w:highlight w:val="none"/>
              </w:rPr>
              <w:t>100≤X＜200</w:t>
            </w:r>
          </w:p>
        </w:tc>
        <w:tc>
          <w:tcPr>
            <w:tcW w:w="1668" w:type="dxa"/>
            <w:vAlign w:val="center"/>
          </w:tcPr>
          <w:p w14:paraId="4D395C81">
            <w:pPr>
              <w:jc w:val="center"/>
              <w:rPr>
                <w:rFonts w:ascii="宋体" w:hAnsi="宋体"/>
                <w:color w:val="auto"/>
                <w:sz w:val="18"/>
                <w:szCs w:val="18"/>
                <w:highlight w:val="none"/>
              </w:rPr>
            </w:pPr>
            <w:r>
              <w:rPr>
                <w:rFonts w:hint="eastAsia" w:ascii="宋体" w:hAnsi="宋体"/>
                <w:color w:val="auto"/>
                <w:sz w:val="18"/>
                <w:szCs w:val="18"/>
                <w:highlight w:val="none"/>
              </w:rPr>
              <w:t>20≤X＜100</w:t>
            </w:r>
          </w:p>
        </w:tc>
        <w:tc>
          <w:tcPr>
            <w:tcW w:w="1660" w:type="dxa"/>
            <w:vAlign w:val="center"/>
          </w:tcPr>
          <w:p w14:paraId="2C5E7FD1">
            <w:pPr>
              <w:jc w:val="center"/>
              <w:rPr>
                <w:rFonts w:ascii="宋体" w:hAnsi="宋体"/>
                <w:color w:val="auto"/>
                <w:sz w:val="18"/>
                <w:szCs w:val="18"/>
                <w:highlight w:val="none"/>
              </w:rPr>
            </w:pPr>
            <w:r>
              <w:rPr>
                <w:rFonts w:hint="eastAsia" w:ascii="宋体" w:hAnsi="宋体"/>
                <w:color w:val="auto"/>
                <w:sz w:val="18"/>
                <w:szCs w:val="18"/>
                <w:highlight w:val="none"/>
              </w:rPr>
              <w:t>X＜20</w:t>
            </w:r>
          </w:p>
        </w:tc>
      </w:tr>
      <w:tr w14:paraId="726C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continue"/>
            <w:vAlign w:val="center"/>
          </w:tcPr>
          <w:p w14:paraId="21D988D2">
            <w:pPr>
              <w:jc w:val="center"/>
              <w:rPr>
                <w:rFonts w:ascii="宋体" w:hAnsi="宋体"/>
                <w:b/>
                <w:color w:val="auto"/>
                <w:sz w:val="18"/>
                <w:szCs w:val="18"/>
                <w:highlight w:val="none"/>
              </w:rPr>
            </w:pPr>
          </w:p>
        </w:tc>
        <w:tc>
          <w:tcPr>
            <w:tcW w:w="1568" w:type="dxa"/>
            <w:vAlign w:val="center"/>
          </w:tcPr>
          <w:p w14:paraId="44F31831">
            <w:pPr>
              <w:jc w:val="center"/>
              <w:rPr>
                <w:rFonts w:ascii="宋体" w:hAnsi="宋体"/>
                <w:color w:val="auto"/>
                <w:sz w:val="18"/>
                <w:szCs w:val="18"/>
                <w:highlight w:val="none"/>
              </w:rPr>
            </w:pPr>
            <w:r>
              <w:rPr>
                <w:rFonts w:hint="eastAsia" w:ascii="宋体" w:hAnsi="宋体"/>
                <w:color w:val="auto"/>
                <w:sz w:val="18"/>
                <w:szCs w:val="18"/>
                <w:highlight w:val="none"/>
              </w:rPr>
              <w:t>营业收入（Y）</w:t>
            </w:r>
          </w:p>
        </w:tc>
        <w:tc>
          <w:tcPr>
            <w:tcW w:w="1668" w:type="dxa"/>
            <w:vAlign w:val="center"/>
          </w:tcPr>
          <w:p w14:paraId="28B8D969">
            <w:pPr>
              <w:jc w:val="center"/>
              <w:rPr>
                <w:rFonts w:ascii="宋体" w:hAnsi="宋体"/>
                <w:color w:val="auto"/>
                <w:sz w:val="18"/>
                <w:szCs w:val="18"/>
                <w:highlight w:val="none"/>
              </w:rPr>
            </w:pPr>
            <w:r>
              <w:rPr>
                <w:rFonts w:hint="eastAsia" w:ascii="宋体" w:hAnsi="宋体"/>
                <w:color w:val="auto"/>
                <w:sz w:val="18"/>
                <w:szCs w:val="18"/>
                <w:highlight w:val="none"/>
              </w:rPr>
              <w:t>万元</w:t>
            </w:r>
          </w:p>
        </w:tc>
        <w:tc>
          <w:tcPr>
            <w:tcW w:w="1668" w:type="dxa"/>
            <w:vAlign w:val="center"/>
          </w:tcPr>
          <w:p w14:paraId="6E84371B">
            <w:pPr>
              <w:jc w:val="center"/>
              <w:rPr>
                <w:rFonts w:ascii="宋体" w:hAnsi="宋体"/>
                <w:color w:val="auto"/>
                <w:sz w:val="18"/>
                <w:szCs w:val="18"/>
                <w:highlight w:val="none"/>
              </w:rPr>
            </w:pPr>
            <w:r>
              <w:rPr>
                <w:rFonts w:hint="eastAsia" w:ascii="宋体" w:hAnsi="宋体"/>
                <w:color w:val="auto"/>
                <w:sz w:val="18"/>
                <w:szCs w:val="18"/>
                <w:highlight w:val="none"/>
              </w:rPr>
              <w:t>1000≤Y＜30000</w:t>
            </w:r>
          </w:p>
        </w:tc>
        <w:tc>
          <w:tcPr>
            <w:tcW w:w="1668" w:type="dxa"/>
            <w:vAlign w:val="center"/>
          </w:tcPr>
          <w:p w14:paraId="59817EF1">
            <w:pPr>
              <w:jc w:val="center"/>
              <w:rPr>
                <w:rFonts w:ascii="宋体" w:hAnsi="宋体"/>
                <w:color w:val="auto"/>
                <w:sz w:val="18"/>
                <w:szCs w:val="18"/>
                <w:highlight w:val="none"/>
              </w:rPr>
            </w:pPr>
            <w:r>
              <w:rPr>
                <w:rFonts w:hint="eastAsia" w:ascii="宋体" w:hAnsi="宋体"/>
                <w:color w:val="auto"/>
                <w:sz w:val="18"/>
                <w:szCs w:val="18"/>
                <w:highlight w:val="none"/>
              </w:rPr>
              <w:t>100≤Y＜1000</w:t>
            </w:r>
          </w:p>
        </w:tc>
        <w:tc>
          <w:tcPr>
            <w:tcW w:w="1660" w:type="dxa"/>
            <w:vAlign w:val="center"/>
          </w:tcPr>
          <w:p w14:paraId="70A8BEA0">
            <w:pPr>
              <w:jc w:val="center"/>
              <w:rPr>
                <w:rFonts w:ascii="宋体" w:hAnsi="宋体"/>
                <w:color w:val="auto"/>
                <w:sz w:val="18"/>
                <w:szCs w:val="18"/>
                <w:highlight w:val="none"/>
              </w:rPr>
            </w:pPr>
            <w:r>
              <w:rPr>
                <w:rFonts w:hint="eastAsia" w:ascii="宋体" w:hAnsi="宋体"/>
                <w:color w:val="auto"/>
                <w:sz w:val="18"/>
                <w:szCs w:val="18"/>
                <w:highlight w:val="none"/>
              </w:rPr>
              <w:t>Y＜100</w:t>
            </w:r>
          </w:p>
        </w:tc>
      </w:tr>
      <w:tr w14:paraId="44D2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restart"/>
            <w:vAlign w:val="center"/>
          </w:tcPr>
          <w:p w14:paraId="28074E4D">
            <w:pPr>
              <w:jc w:val="center"/>
              <w:rPr>
                <w:rFonts w:ascii="宋体" w:hAnsi="宋体"/>
                <w:b/>
                <w:color w:val="auto"/>
                <w:sz w:val="18"/>
                <w:szCs w:val="18"/>
                <w:highlight w:val="none"/>
              </w:rPr>
            </w:pPr>
            <w:r>
              <w:rPr>
                <w:rFonts w:hint="eastAsia" w:ascii="宋体" w:hAnsi="宋体"/>
                <w:b/>
                <w:color w:val="auto"/>
                <w:sz w:val="18"/>
                <w:szCs w:val="18"/>
                <w:highlight w:val="none"/>
              </w:rPr>
              <w:t>邮政业</w:t>
            </w:r>
          </w:p>
        </w:tc>
        <w:tc>
          <w:tcPr>
            <w:tcW w:w="1568" w:type="dxa"/>
            <w:vAlign w:val="center"/>
          </w:tcPr>
          <w:p w14:paraId="145DEC47">
            <w:pPr>
              <w:jc w:val="center"/>
              <w:rPr>
                <w:rFonts w:ascii="宋体" w:hAnsi="宋体"/>
                <w:color w:val="auto"/>
                <w:sz w:val="18"/>
                <w:szCs w:val="18"/>
                <w:highlight w:val="none"/>
              </w:rPr>
            </w:pPr>
            <w:r>
              <w:rPr>
                <w:rFonts w:hint="eastAsia" w:ascii="宋体" w:hAnsi="宋体"/>
                <w:color w:val="auto"/>
                <w:sz w:val="18"/>
                <w:szCs w:val="18"/>
                <w:highlight w:val="none"/>
              </w:rPr>
              <w:t>从业人员（X）</w:t>
            </w:r>
          </w:p>
        </w:tc>
        <w:tc>
          <w:tcPr>
            <w:tcW w:w="1668" w:type="dxa"/>
            <w:vAlign w:val="center"/>
          </w:tcPr>
          <w:p w14:paraId="733F1AB3">
            <w:pPr>
              <w:jc w:val="center"/>
              <w:rPr>
                <w:rFonts w:ascii="宋体" w:hAnsi="宋体"/>
                <w:color w:val="auto"/>
                <w:sz w:val="18"/>
                <w:szCs w:val="18"/>
                <w:highlight w:val="none"/>
              </w:rPr>
            </w:pPr>
            <w:r>
              <w:rPr>
                <w:rFonts w:hint="eastAsia" w:ascii="宋体" w:hAnsi="宋体"/>
                <w:color w:val="auto"/>
                <w:sz w:val="18"/>
                <w:szCs w:val="18"/>
                <w:highlight w:val="none"/>
              </w:rPr>
              <w:t>人</w:t>
            </w:r>
          </w:p>
        </w:tc>
        <w:tc>
          <w:tcPr>
            <w:tcW w:w="1668" w:type="dxa"/>
            <w:vAlign w:val="center"/>
          </w:tcPr>
          <w:p w14:paraId="29CEA643">
            <w:pPr>
              <w:jc w:val="center"/>
              <w:rPr>
                <w:rFonts w:ascii="宋体" w:hAnsi="宋体"/>
                <w:color w:val="auto"/>
                <w:sz w:val="18"/>
                <w:szCs w:val="18"/>
                <w:highlight w:val="none"/>
              </w:rPr>
            </w:pPr>
            <w:r>
              <w:rPr>
                <w:rFonts w:hint="eastAsia" w:ascii="宋体" w:hAnsi="宋体"/>
                <w:color w:val="auto"/>
                <w:sz w:val="18"/>
                <w:szCs w:val="18"/>
                <w:highlight w:val="none"/>
              </w:rPr>
              <w:t>300≤X＜1000</w:t>
            </w:r>
          </w:p>
        </w:tc>
        <w:tc>
          <w:tcPr>
            <w:tcW w:w="1668" w:type="dxa"/>
            <w:vAlign w:val="center"/>
          </w:tcPr>
          <w:p w14:paraId="641C24EB">
            <w:pPr>
              <w:jc w:val="center"/>
              <w:rPr>
                <w:rFonts w:ascii="宋体" w:hAnsi="宋体"/>
                <w:color w:val="auto"/>
                <w:sz w:val="18"/>
                <w:szCs w:val="18"/>
                <w:highlight w:val="none"/>
              </w:rPr>
            </w:pPr>
            <w:r>
              <w:rPr>
                <w:rFonts w:hint="eastAsia" w:ascii="宋体" w:hAnsi="宋体"/>
                <w:color w:val="auto"/>
                <w:sz w:val="18"/>
                <w:szCs w:val="18"/>
                <w:highlight w:val="none"/>
              </w:rPr>
              <w:t>20≤X＜300</w:t>
            </w:r>
          </w:p>
        </w:tc>
        <w:tc>
          <w:tcPr>
            <w:tcW w:w="1660" w:type="dxa"/>
            <w:vAlign w:val="center"/>
          </w:tcPr>
          <w:p w14:paraId="661E85ED">
            <w:pPr>
              <w:jc w:val="center"/>
              <w:rPr>
                <w:rFonts w:ascii="宋体" w:hAnsi="宋体"/>
                <w:color w:val="auto"/>
                <w:sz w:val="18"/>
                <w:szCs w:val="18"/>
                <w:highlight w:val="none"/>
              </w:rPr>
            </w:pPr>
            <w:r>
              <w:rPr>
                <w:rFonts w:hint="eastAsia" w:ascii="宋体" w:hAnsi="宋体"/>
                <w:color w:val="auto"/>
                <w:sz w:val="18"/>
                <w:szCs w:val="18"/>
                <w:highlight w:val="none"/>
              </w:rPr>
              <w:t>X＜20</w:t>
            </w:r>
          </w:p>
        </w:tc>
      </w:tr>
      <w:tr w14:paraId="3322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continue"/>
            <w:vAlign w:val="center"/>
          </w:tcPr>
          <w:p w14:paraId="21132856">
            <w:pPr>
              <w:jc w:val="center"/>
              <w:rPr>
                <w:rFonts w:ascii="宋体" w:hAnsi="宋体"/>
                <w:b/>
                <w:color w:val="auto"/>
                <w:sz w:val="18"/>
                <w:szCs w:val="18"/>
                <w:highlight w:val="none"/>
              </w:rPr>
            </w:pPr>
          </w:p>
        </w:tc>
        <w:tc>
          <w:tcPr>
            <w:tcW w:w="1568" w:type="dxa"/>
            <w:vAlign w:val="center"/>
          </w:tcPr>
          <w:p w14:paraId="6A5B51C4">
            <w:pPr>
              <w:jc w:val="center"/>
              <w:rPr>
                <w:rFonts w:ascii="宋体" w:hAnsi="宋体"/>
                <w:color w:val="auto"/>
                <w:sz w:val="18"/>
                <w:szCs w:val="18"/>
                <w:highlight w:val="none"/>
              </w:rPr>
            </w:pPr>
            <w:r>
              <w:rPr>
                <w:rFonts w:hint="eastAsia" w:ascii="宋体" w:hAnsi="宋体"/>
                <w:color w:val="auto"/>
                <w:sz w:val="18"/>
                <w:szCs w:val="18"/>
                <w:highlight w:val="none"/>
              </w:rPr>
              <w:t>营业收入（Y）</w:t>
            </w:r>
          </w:p>
        </w:tc>
        <w:tc>
          <w:tcPr>
            <w:tcW w:w="1668" w:type="dxa"/>
            <w:vAlign w:val="center"/>
          </w:tcPr>
          <w:p w14:paraId="603E0E8F">
            <w:pPr>
              <w:jc w:val="center"/>
              <w:rPr>
                <w:rFonts w:ascii="宋体" w:hAnsi="宋体"/>
                <w:color w:val="auto"/>
                <w:sz w:val="18"/>
                <w:szCs w:val="18"/>
                <w:highlight w:val="none"/>
              </w:rPr>
            </w:pPr>
            <w:r>
              <w:rPr>
                <w:rFonts w:hint="eastAsia" w:ascii="宋体" w:hAnsi="宋体"/>
                <w:color w:val="auto"/>
                <w:sz w:val="18"/>
                <w:szCs w:val="18"/>
                <w:highlight w:val="none"/>
              </w:rPr>
              <w:t>万元</w:t>
            </w:r>
          </w:p>
        </w:tc>
        <w:tc>
          <w:tcPr>
            <w:tcW w:w="1668" w:type="dxa"/>
            <w:vAlign w:val="center"/>
          </w:tcPr>
          <w:p w14:paraId="10F4C138">
            <w:pPr>
              <w:jc w:val="center"/>
              <w:rPr>
                <w:rFonts w:ascii="宋体" w:hAnsi="宋体"/>
                <w:color w:val="auto"/>
                <w:sz w:val="18"/>
                <w:szCs w:val="18"/>
                <w:highlight w:val="none"/>
              </w:rPr>
            </w:pPr>
            <w:r>
              <w:rPr>
                <w:rFonts w:hint="eastAsia" w:ascii="宋体" w:hAnsi="宋体"/>
                <w:color w:val="auto"/>
                <w:sz w:val="18"/>
                <w:szCs w:val="18"/>
                <w:highlight w:val="none"/>
              </w:rPr>
              <w:t>2000≤Y＜30000</w:t>
            </w:r>
          </w:p>
        </w:tc>
        <w:tc>
          <w:tcPr>
            <w:tcW w:w="1668" w:type="dxa"/>
            <w:vAlign w:val="center"/>
          </w:tcPr>
          <w:p w14:paraId="43C16444">
            <w:pPr>
              <w:jc w:val="center"/>
              <w:rPr>
                <w:rFonts w:ascii="宋体" w:hAnsi="宋体"/>
                <w:color w:val="auto"/>
                <w:sz w:val="18"/>
                <w:szCs w:val="18"/>
                <w:highlight w:val="none"/>
              </w:rPr>
            </w:pPr>
            <w:r>
              <w:rPr>
                <w:rFonts w:hint="eastAsia" w:ascii="宋体" w:hAnsi="宋体"/>
                <w:color w:val="auto"/>
                <w:sz w:val="18"/>
                <w:szCs w:val="18"/>
                <w:highlight w:val="none"/>
              </w:rPr>
              <w:t>100≤Y＜2000</w:t>
            </w:r>
          </w:p>
        </w:tc>
        <w:tc>
          <w:tcPr>
            <w:tcW w:w="1660" w:type="dxa"/>
            <w:vAlign w:val="center"/>
          </w:tcPr>
          <w:p w14:paraId="278049BE">
            <w:pPr>
              <w:jc w:val="center"/>
              <w:rPr>
                <w:rFonts w:ascii="宋体" w:hAnsi="宋体"/>
                <w:color w:val="auto"/>
                <w:sz w:val="18"/>
                <w:szCs w:val="18"/>
                <w:highlight w:val="none"/>
              </w:rPr>
            </w:pPr>
            <w:r>
              <w:rPr>
                <w:rFonts w:hint="eastAsia" w:ascii="宋体" w:hAnsi="宋体"/>
                <w:color w:val="auto"/>
                <w:sz w:val="18"/>
                <w:szCs w:val="18"/>
                <w:highlight w:val="none"/>
              </w:rPr>
              <w:t>Y＜100</w:t>
            </w:r>
          </w:p>
        </w:tc>
      </w:tr>
      <w:tr w14:paraId="11A0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restart"/>
            <w:vAlign w:val="center"/>
          </w:tcPr>
          <w:p w14:paraId="6403EE8F">
            <w:pPr>
              <w:jc w:val="center"/>
              <w:rPr>
                <w:rFonts w:ascii="宋体" w:hAnsi="宋体"/>
                <w:b/>
                <w:color w:val="auto"/>
                <w:sz w:val="18"/>
                <w:szCs w:val="18"/>
                <w:highlight w:val="none"/>
              </w:rPr>
            </w:pPr>
            <w:r>
              <w:rPr>
                <w:rFonts w:hint="eastAsia" w:ascii="宋体" w:hAnsi="宋体"/>
                <w:b/>
                <w:color w:val="auto"/>
                <w:sz w:val="18"/>
                <w:szCs w:val="18"/>
                <w:highlight w:val="none"/>
              </w:rPr>
              <w:t>住宿业</w:t>
            </w:r>
          </w:p>
        </w:tc>
        <w:tc>
          <w:tcPr>
            <w:tcW w:w="1568" w:type="dxa"/>
            <w:vAlign w:val="center"/>
          </w:tcPr>
          <w:p w14:paraId="5306AB95">
            <w:pPr>
              <w:jc w:val="center"/>
              <w:rPr>
                <w:rFonts w:ascii="宋体" w:hAnsi="宋体"/>
                <w:color w:val="auto"/>
                <w:sz w:val="18"/>
                <w:szCs w:val="18"/>
                <w:highlight w:val="none"/>
              </w:rPr>
            </w:pPr>
            <w:r>
              <w:rPr>
                <w:rFonts w:hint="eastAsia" w:ascii="宋体" w:hAnsi="宋体"/>
                <w:color w:val="auto"/>
                <w:sz w:val="18"/>
                <w:szCs w:val="18"/>
                <w:highlight w:val="none"/>
              </w:rPr>
              <w:t>从业人员（X）</w:t>
            </w:r>
          </w:p>
        </w:tc>
        <w:tc>
          <w:tcPr>
            <w:tcW w:w="1668" w:type="dxa"/>
            <w:vAlign w:val="center"/>
          </w:tcPr>
          <w:p w14:paraId="7333B4F3">
            <w:pPr>
              <w:jc w:val="center"/>
              <w:rPr>
                <w:rFonts w:ascii="宋体" w:hAnsi="宋体"/>
                <w:color w:val="auto"/>
                <w:sz w:val="18"/>
                <w:szCs w:val="18"/>
                <w:highlight w:val="none"/>
              </w:rPr>
            </w:pPr>
            <w:r>
              <w:rPr>
                <w:rFonts w:hint="eastAsia" w:ascii="宋体" w:hAnsi="宋体"/>
                <w:color w:val="auto"/>
                <w:sz w:val="18"/>
                <w:szCs w:val="18"/>
                <w:highlight w:val="none"/>
              </w:rPr>
              <w:t>人</w:t>
            </w:r>
          </w:p>
        </w:tc>
        <w:tc>
          <w:tcPr>
            <w:tcW w:w="1668" w:type="dxa"/>
            <w:vAlign w:val="center"/>
          </w:tcPr>
          <w:p w14:paraId="1AE76EBC">
            <w:pPr>
              <w:jc w:val="center"/>
              <w:rPr>
                <w:rFonts w:ascii="宋体" w:hAnsi="宋体"/>
                <w:color w:val="auto"/>
                <w:sz w:val="18"/>
                <w:szCs w:val="18"/>
                <w:highlight w:val="none"/>
              </w:rPr>
            </w:pPr>
            <w:r>
              <w:rPr>
                <w:rFonts w:hint="eastAsia" w:ascii="宋体" w:hAnsi="宋体"/>
                <w:color w:val="auto"/>
                <w:sz w:val="18"/>
                <w:szCs w:val="18"/>
                <w:highlight w:val="none"/>
              </w:rPr>
              <w:t>100≤X＜300</w:t>
            </w:r>
          </w:p>
        </w:tc>
        <w:tc>
          <w:tcPr>
            <w:tcW w:w="1668" w:type="dxa"/>
            <w:vAlign w:val="center"/>
          </w:tcPr>
          <w:p w14:paraId="61051087">
            <w:pPr>
              <w:jc w:val="center"/>
              <w:rPr>
                <w:rFonts w:ascii="宋体" w:hAnsi="宋体"/>
                <w:color w:val="auto"/>
                <w:sz w:val="18"/>
                <w:szCs w:val="18"/>
                <w:highlight w:val="none"/>
              </w:rPr>
            </w:pPr>
            <w:r>
              <w:rPr>
                <w:rFonts w:hint="eastAsia" w:ascii="宋体" w:hAnsi="宋体"/>
                <w:color w:val="auto"/>
                <w:sz w:val="18"/>
                <w:szCs w:val="18"/>
                <w:highlight w:val="none"/>
              </w:rPr>
              <w:t>10≤X＜100</w:t>
            </w:r>
          </w:p>
        </w:tc>
        <w:tc>
          <w:tcPr>
            <w:tcW w:w="1660" w:type="dxa"/>
            <w:vAlign w:val="center"/>
          </w:tcPr>
          <w:p w14:paraId="18DB7F30">
            <w:pPr>
              <w:jc w:val="center"/>
              <w:rPr>
                <w:rFonts w:ascii="宋体" w:hAnsi="宋体"/>
                <w:color w:val="auto"/>
                <w:sz w:val="18"/>
                <w:szCs w:val="18"/>
                <w:highlight w:val="none"/>
              </w:rPr>
            </w:pPr>
            <w:r>
              <w:rPr>
                <w:rFonts w:hint="eastAsia" w:ascii="宋体" w:hAnsi="宋体"/>
                <w:color w:val="auto"/>
                <w:sz w:val="18"/>
                <w:szCs w:val="18"/>
                <w:highlight w:val="none"/>
              </w:rPr>
              <w:t>X＜10</w:t>
            </w:r>
          </w:p>
        </w:tc>
      </w:tr>
      <w:tr w14:paraId="3F25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continue"/>
            <w:vAlign w:val="center"/>
          </w:tcPr>
          <w:p w14:paraId="4975058D">
            <w:pPr>
              <w:jc w:val="center"/>
              <w:rPr>
                <w:rFonts w:ascii="宋体" w:hAnsi="宋体"/>
                <w:b/>
                <w:color w:val="auto"/>
                <w:sz w:val="18"/>
                <w:szCs w:val="18"/>
                <w:highlight w:val="none"/>
              </w:rPr>
            </w:pPr>
          </w:p>
        </w:tc>
        <w:tc>
          <w:tcPr>
            <w:tcW w:w="1568" w:type="dxa"/>
            <w:vAlign w:val="center"/>
          </w:tcPr>
          <w:p w14:paraId="68F3EF11">
            <w:pPr>
              <w:jc w:val="center"/>
              <w:rPr>
                <w:rFonts w:ascii="宋体" w:hAnsi="宋体"/>
                <w:color w:val="auto"/>
                <w:sz w:val="18"/>
                <w:szCs w:val="18"/>
                <w:highlight w:val="none"/>
              </w:rPr>
            </w:pPr>
            <w:r>
              <w:rPr>
                <w:rFonts w:hint="eastAsia" w:ascii="宋体" w:hAnsi="宋体"/>
                <w:color w:val="auto"/>
                <w:sz w:val="18"/>
                <w:szCs w:val="18"/>
                <w:highlight w:val="none"/>
              </w:rPr>
              <w:t>营业收入（Y）</w:t>
            </w:r>
          </w:p>
        </w:tc>
        <w:tc>
          <w:tcPr>
            <w:tcW w:w="1668" w:type="dxa"/>
            <w:vAlign w:val="center"/>
          </w:tcPr>
          <w:p w14:paraId="0340CC68">
            <w:pPr>
              <w:jc w:val="center"/>
              <w:rPr>
                <w:rFonts w:ascii="宋体" w:hAnsi="宋体"/>
                <w:color w:val="auto"/>
                <w:sz w:val="18"/>
                <w:szCs w:val="18"/>
                <w:highlight w:val="none"/>
              </w:rPr>
            </w:pPr>
            <w:r>
              <w:rPr>
                <w:rFonts w:hint="eastAsia" w:ascii="宋体" w:hAnsi="宋体"/>
                <w:color w:val="auto"/>
                <w:sz w:val="18"/>
                <w:szCs w:val="18"/>
                <w:highlight w:val="none"/>
              </w:rPr>
              <w:t>万元</w:t>
            </w:r>
          </w:p>
        </w:tc>
        <w:tc>
          <w:tcPr>
            <w:tcW w:w="1668" w:type="dxa"/>
            <w:vAlign w:val="center"/>
          </w:tcPr>
          <w:p w14:paraId="27E4E5DE">
            <w:pPr>
              <w:jc w:val="center"/>
              <w:rPr>
                <w:rFonts w:ascii="宋体" w:hAnsi="宋体"/>
                <w:color w:val="auto"/>
                <w:sz w:val="18"/>
                <w:szCs w:val="18"/>
                <w:highlight w:val="none"/>
              </w:rPr>
            </w:pPr>
            <w:r>
              <w:rPr>
                <w:rFonts w:hint="eastAsia" w:ascii="宋体" w:hAnsi="宋体"/>
                <w:color w:val="auto"/>
                <w:sz w:val="18"/>
                <w:szCs w:val="18"/>
                <w:highlight w:val="none"/>
              </w:rPr>
              <w:t>2000≤Y＜10000</w:t>
            </w:r>
          </w:p>
        </w:tc>
        <w:tc>
          <w:tcPr>
            <w:tcW w:w="1668" w:type="dxa"/>
            <w:vAlign w:val="center"/>
          </w:tcPr>
          <w:p w14:paraId="3D5F17FC">
            <w:pPr>
              <w:jc w:val="center"/>
              <w:rPr>
                <w:rFonts w:ascii="宋体" w:hAnsi="宋体"/>
                <w:color w:val="auto"/>
                <w:sz w:val="18"/>
                <w:szCs w:val="18"/>
                <w:highlight w:val="none"/>
              </w:rPr>
            </w:pPr>
            <w:r>
              <w:rPr>
                <w:rFonts w:hint="eastAsia" w:ascii="宋体" w:hAnsi="宋体"/>
                <w:color w:val="auto"/>
                <w:sz w:val="18"/>
                <w:szCs w:val="18"/>
                <w:highlight w:val="none"/>
              </w:rPr>
              <w:t>100≤Y＜2000</w:t>
            </w:r>
          </w:p>
        </w:tc>
        <w:tc>
          <w:tcPr>
            <w:tcW w:w="1660" w:type="dxa"/>
            <w:vAlign w:val="center"/>
          </w:tcPr>
          <w:p w14:paraId="2E42CBEA">
            <w:pPr>
              <w:jc w:val="center"/>
              <w:rPr>
                <w:rFonts w:ascii="宋体" w:hAnsi="宋体"/>
                <w:color w:val="auto"/>
                <w:sz w:val="18"/>
                <w:szCs w:val="18"/>
                <w:highlight w:val="none"/>
              </w:rPr>
            </w:pPr>
            <w:r>
              <w:rPr>
                <w:rFonts w:hint="eastAsia" w:ascii="宋体" w:hAnsi="宋体"/>
                <w:color w:val="auto"/>
                <w:sz w:val="18"/>
                <w:szCs w:val="18"/>
                <w:highlight w:val="none"/>
              </w:rPr>
              <w:t>Y＜100</w:t>
            </w:r>
          </w:p>
        </w:tc>
      </w:tr>
      <w:tr w14:paraId="4279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restart"/>
            <w:vAlign w:val="center"/>
          </w:tcPr>
          <w:p w14:paraId="0146C418">
            <w:pPr>
              <w:jc w:val="center"/>
              <w:rPr>
                <w:rFonts w:ascii="宋体" w:hAnsi="宋体"/>
                <w:b/>
                <w:color w:val="auto"/>
                <w:sz w:val="18"/>
                <w:szCs w:val="18"/>
                <w:highlight w:val="none"/>
              </w:rPr>
            </w:pPr>
            <w:r>
              <w:rPr>
                <w:rFonts w:hint="eastAsia" w:ascii="宋体" w:hAnsi="宋体"/>
                <w:b/>
                <w:color w:val="auto"/>
                <w:sz w:val="18"/>
                <w:szCs w:val="18"/>
                <w:highlight w:val="none"/>
              </w:rPr>
              <w:t>餐饮业</w:t>
            </w:r>
          </w:p>
        </w:tc>
        <w:tc>
          <w:tcPr>
            <w:tcW w:w="1568" w:type="dxa"/>
            <w:vAlign w:val="center"/>
          </w:tcPr>
          <w:p w14:paraId="744A261D">
            <w:pPr>
              <w:jc w:val="center"/>
              <w:rPr>
                <w:rFonts w:ascii="宋体" w:hAnsi="宋体"/>
                <w:color w:val="auto"/>
                <w:sz w:val="18"/>
                <w:szCs w:val="18"/>
                <w:highlight w:val="none"/>
              </w:rPr>
            </w:pPr>
            <w:r>
              <w:rPr>
                <w:rFonts w:hint="eastAsia" w:ascii="宋体" w:hAnsi="宋体"/>
                <w:color w:val="auto"/>
                <w:sz w:val="18"/>
                <w:szCs w:val="18"/>
                <w:highlight w:val="none"/>
              </w:rPr>
              <w:t>从业人员（X）</w:t>
            </w:r>
          </w:p>
        </w:tc>
        <w:tc>
          <w:tcPr>
            <w:tcW w:w="1668" w:type="dxa"/>
            <w:vAlign w:val="center"/>
          </w:tcPr>
          <w:p w14:paraId="7996AC33">
            <w:pPr>
              <w:jc w:val="center"/>
              <w:rPr>
                <w:rFonts w:ascii="宋体" w:hAnsi="宋体"/>
                <w:color w:val="auto"/>
                <w:sz w:val="18"/>
                <w:szCs w:val="18"/>
                <w:highlight w:val="none"/>
              </w:rPr>
            </w:pPr>
            <w:r>
              <w:rPr>
                <w:rFonts w:hint="eastAsia" w:ascii="宋体" w:hAnsi="宋体"/>
                <w:color w:val="auto"/>
                <w:sz w:val="18"/>
                <w:szCs w:val="18"/>
                <w:highlight w:val="none"/>
              </w:rPr>
              <w:t>人</w:t>
            </w:r>
          </w:p>
        </w:tc>
        <w:tc>
          <w:tcPr>
            <w:tcW w:w="1668" w:type="dxa"/>
            <w:vAlign w:val="center"/>
          </w:tcPr>
          <w:p w14:paraId="1A437D24">
            <w:pPr>
              <w:jc w:val="center"/>
              <w:rPr>
                <w:rFonts w:ascii="宋体" w:hAnsi="宋体"/>
                <w:color w:val="auto"/>
                <w:sz w:val="18"/>
                <w:szCs w:val="18"/>
                <w:highlight w:val="none"/>
              </w:rPr>
            </w:pPr>
            <w:r>
              <w:rPr>
                <w:rFonts w:hint="eastAsia" w:ascii="宋体" w:hAnsi="宋体"/>
                <w:color w:val="auto"/>
                <w:sz w:val="18"/>
                <w:szCs w:val="18"/>
                <w:highlight w:val="none"/>
              </w:rPr>
              <w:t>100≤X＜300</w:t>
            </w:r>
          </w:p>
        </w:tc>
        <w:tc>
          <w:tcPr>
            <w:tcW w:w="1668" w:type="dxa"/>
            <w:vAlign w:val="center"/>
          </w:tcPr>
          <w:p w14:paraId="552E526F">
            <w:pPr>
              <w:jc w:val="center"/>
              <w:rPr>
                <w:rFonts w:ascii="宋体" w:hAnsi="宋体"/>
                <w:color w:val="auto"/>
                <w:sz w:val="18"/>
                <w:szCs w:val="18"/>
                <w:highlight w:val="none"/>
              </w:rPr>
            </w:pPr>
            <w:r>
              <w:rPr>
                <w:rFonts w:hint="eastAsia" w:ascii="宋体" w:hAnsi="宋体"/>
                <w:color w:val="auto"/>
                <w:sz w:val="18"/>
                <w:szCs w:val="18"/>
                <w:highlight w:val="none"/>
              </w:rPr>
              <w:t>10≤X＜100</w:t>
            </w:r>
          </w:p>
        </w:tc>
        <w:tc>
          <w:tcPr>
            <w:tcW w:w="1660" w:type="dxa"/>
            <w:vAlign w:val="center"/>
          </w:tcPr>
          <w:p w14:paraId="1B4FD9C7">
            <w:pPr>
              <w:jc w:val="center"/>
              <w:rPr>
                <w:rFonts w:ascii="宋体" w:hAnsi="宋体"/>
                <w:color w:val="auto"/>
                <w:sz w:val="18"/>
                <w:szCs w:val="18"/>
                <w:highlight w:val="none"/>
              </w:rPr>
            </w:pPr>
            <w:r>
              <w:rPr>
                <w:rFonts w:hint="eastAsia" w:ascii="宋体" w:hAnsi="宋体"/>
                <w:color w:val="auto"/>
                <w:sz w:val="18"/>
                <w:szCs w:val="18"/>
                <w:highlight w:val="none"/>
              </w:rPr>
              <w:t>X＜10</w:t>
            </w:r>
          </w:p>
        </w:tc>
      </w:tr>
      <w:tr w14:paraId="5C5F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continue"/>
            <w:vAlign w:val="center"/>
          </w:tcPr>
          <w:p w14:paraId="61D0D3F0">
            <w:pPr>
              <w:jc w:val="center"/>
              <w:rPr>
                <w:rFonts w:ascii="宋体" w:hAnsi="宋体"/>
                <w:b/>
                <w:color w:val="auto"/>
                <w:sz w:val="18"/>
                <w:szCs w:val="18"/>
                <w:highlight w:val="none"/>
              </w:rPr>
            </w:pPr>
          </w:p>
        </w:tc>
        <w:tc>
          <w:tcPr>
            <w:tcW w:w="1568" w:type="dxa"/>
            <w:vAlign w:val="center"/>
          </w:tcPr>
          <w:p w14:paraId="695371F8">
            <w:pPr>
              <w:jc w:val="center"/>
              <w:rPr>
                <w:rFonts w:ascii="宋体" w:hAnsi="宋体"/>
                <w:color w:val="auto"/>
                <w:sz w:val="18"/>
                <w:szCs w:val="18"/>
                <w:highlight w:val="none"/>
              </w:rPr>
            </w:pPr>
            <w:r>
              <w:rPr>
                <w:rFonts w:hint="eastAsia" w:ascii="宋体" w:hAnsi="宋体"/>
                <w:color w:val="auto"/>
                <w:sz w:val="18"/>
                <w:szCs w:val="18"/>
                <w:highlight w:val="none"/>
              </w:rPr>
              <w:t>营业收入（Y）</w:t>
            </w:r>
          </w:p>
        </w:tc>
        <w:tc>
          <w:tcPr>
            <w:tcW w:w="1668" w:type="dxa"/>
            <w:vAlign w:val="center"/>
          </w:tcPr>
          <w:p w14:paraId="638878D8">
            <w:pPr>
              <w:jc w:val="center"/>
              <w:rPr>
                <w:rFonts w:ascii="宋体" w:hAnsi="宋体"/>
                <w:color w:val="auto"/>
                <w:sz w:val="18"/>
                <w:szCs w:val="18"/>
                <w:highlight w:val="none"/>
              </w:rPr>
            </w:pPr>
            <w:r>
              <w:rPr>
                <w:rFonts w:hint="eastAsia" w:ascii="宋体" w:hAnsi="宋体"/>
                <w:color w:val="auto"/>
                <w:sz w:val="18"/>
                <w:szCs w:val="18"/>
                <w:highlight w:val="none"/>
              </w:rPr>
              <w:t>万元</w:t>
            </w:r>
          </w:p>
        </w:tc>
        <w:tc>
          <w:tcPr>
            <w:tcW w:w="1668" w:type="dxa"/>
            <w:vAlign w:val="center"/>
          </w:tcPr>
          <w:p w14:paraId="704205CA">
            <w:pPr>
              <w:jc w:val="center"/>
              <w:rPr>
                <w:rFonts w:ascii="宋体" w:hAnsi="宋体"/>
                <w:color w:val="auto"/>
                <w:sz w:val="18"/>
                <w:szCs w:val="18"/>
                <w:highlight w:val="none"/>
              </w:rPr>
            </w:pPr>
            <w:r>
              <w:rPr>
                <w:rFonts w:hint="eastAsia" w:ascii="宋体" w:hAnsi="宋体"/>
                <w:color w:val="auto"/>
                <w:sz w:val="18"/>
                <w:szCs w:val="18"/>
                <w:highlight w:val="none"/>
              </w:rPr>
              <w:t>2000≤Y＜10000</w:t>
            </w:r>
          </w:p>
        </w:tc>
        <w:tc>
          <w:tcPr>
            <w:tcW w:w="1668" w:type="dxa"/>
            <w:vAlign w:val="center"/>
          </w:tcPr>
          <w:p w14:paraId="68D9CE11">
            <w:pPr>
              <w:jc w:val="center"/>
              <w:rPr>
                <w:rFonts w:ascii="宋体" w:hAnsi="宋体"/>
                <w:color w:val="auto"/>
                <w:sz w:val="18"/>
                <w:szCs w:val="18"/>
                <w:highlight w:val="none"/>
              </w:rPr>
            </w:pPr>
            <w:r>
              <w:rPr>
                <w:rFonts w:hint="eastAsia" w:ascii="宋体" w:hAnsi="宋体"/>
                <w:color w:val="auto"/>
                <w:sz w:val="18"/>
                <w:szCs w:val="18"/>
                <w:highlight w:val="none"/>
              </w:rPr>
              <w:t>100≤Y＜2000</w:t>
            </w:r>
          </w:p>
        </w:tc>
        <w:tc>
          <w:tcPr>
            <w:tcW w:w="1660" w:type="dxa"/>
            <w:vAlign w:val="center"/>
          </w:tcPr>
          <w:p w14:paraId="1098BA6B">
            <w:pPr>
              <w:jc w:val="center"/>
              <w:rPr>
                <w:rFonts w:ascii="宋体" w:hAnsi="宋体"/>
                <w:color w:val="auto"/>
                <w:sz w:val="18"/>
                <w:szCs w:val="18"/>
                <w:highlight w:val="none"/>
              </w:rPr>
            </w:pPr>
            <w:r>
              <w:rPr>
                <w:rFonts w:hint="eastAsia" w:ascii="宋体" w:hAnsi="宋体"/>
                <w:color w:val="auto"/>
                <w:sz w:val="18"/>
                <w:szCs w:val="18"/>
                <w:highlight w:val="none"/>
              </w:rPr>
              <w:t>Y＜100</w:t>
            </w:r>
          </w:p>
        </w:tc>
      </w:tr>
      <w:tr w14:paraId="1669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restart"/>
            <w:vAlign w:val="center"/>
          </w:tcPr>
          <w:p w14:paraId="345F4126">
            <w:pPr>
              <w:jc w:val="center"/>
              <w:rPr>
                <w:rFonts w:ascii="宋体" w:hAnsi="宋体"/>
                <w:b/>
                <w:color w:val="auto"/>
                <w:sz w:val="18"/>
                <w:szCs w:val="18"/>
                <w:highlight w:val="none"/>
              </w:rPr>
            </w:pPr>
            <w:r>
              <w:rPr>
                <w:rFonts w:hint="eastAsia" w:ascii="宋体" w:hAnsi="宋体"/>
                <w:b/>
                <w:color w:val="auto"/>
                <w:sz w:val="18"/>
                <w:szCs w:val="18"/>
                <w:highlight w:val="none"/>
              </w:rPr>
              <w:t>信息传输业</w:t>
            </w:r>
          </w:p>
        </w:tc>
        <w:tc>
          <w:tcPr>
            <w:tcW w:w="1568" w:type="dxa"/>
            <w:vAlign w:val="center"/>
          </w:tcPr>
          <w:p w14:paraId="4C550522">
            <w:pPr>
              <w:jc w:val="center"/>
              <w:rPr>
                <w:rFonts w:ascii="宋体" w:hAnsi="宋体"/>
                <w:color w:val="auto"/>
                <w:sz w:val="18"/>
                <w:szCs w:val="18"/>
                <w:highlight w:val="none"/>
              </w:rPr>
            </w:pPr>
            <w:r>
              <w:rPr>
                <w:rFonts w:hint="eastAsia" w:ascii="宋体" w:hAnsi="宋体"/>
                <w:color w:val="auto"/>
                <w:sz w:val="18"/>
                <w:szCs w:val="18"/>
                <w:highlight w:val="none"/>
              </w:rPr>
              <w:t>从业人员（X）</w:t>
            </w:r>
          </w:p>
        </w:tc>
        <w:tc>
          <w:tcPr>
            <w:tcW w:w="1668" w:type="dxa"/>
            <w:vAlign w:val="center"/>
          </w:tcPr>
          <w:p w14:paraId="6AB3B8E8">
            <w:pPr>
              <w:jc w:val="center"/>
              <w:rPr>
                <w:rFonts w:ascii="宋体" w:hAnsi="宋体"/>
                <w:color w:val="auto"/>
                <w:sz w:val="18"/>
                <w:szCs w:val="18"/>
                <w:highlight w:val="none"/>
              </w:rPr>
            </w:pPr>
            <w:r>
              <w:rPr>
                <w:rFonts w:hint="eastAsia" w:ascii="宋体" w:hAnsi="宋体"/>
                <w:color w:val="auto"/>
                <w:sz w:val="18"/>
                <w:szCs w:val="18"/>
                <w:highlight w:val="none"/>
              </w:rPr>
              <w:t>人</w:t>
            </w:r>
          </w:p>
        </w:tc>
        <w:tc>
          <w:tcPr>
            <w:tcW w:w="1668" w:type="dxa"/>
            <w:vAlign w:val="center"/>
          </w:tcPr>
          <w:p w14:paraId="4B99AB86">
            <w:pPr>
              <w:jc w:val="center"/>
              <w:rPr>
                <w:rFonts w:ascii="宋体" w:hAnsi="宋体"/>
                <w:color w:val="auto"/>
                <w:sz w:val="18"/>
                <w:szCs w:val="18"/>
                <w:highlight w:val="none"/>
              </w:rPr>
            </w:pPr>
            <w:r>
              <w:rPr>
                <w:rFonts w:hint="eastAsia" w:ascii="宋体" w:hAnsi="宋体"/>
                <w:color w:val="auto"/>
                <w:sz w:val="18"/>
                <w:szCs w:val="18"/>
                <w:highlight w:val="none"/>
              </w:rPr>
              <w:t>100≤X＜2000</w:t>
            </w:r>
          </w:p>
        </w:tc>
        <w:tc>
          <w:tcPr>
            <w:tcW w:w="1668" w:type="dxa"/>
            <w:vAlign w:val="center"/>
          </w:tcPr>
          <w:p w14:paraId="26B3F050">
            <w:pPr>
              <w:jc w:val="center"/>
              <w:rPr>
                <w:rFonts w:ascii="宋体" w:hAnsi="宋体"/>
                <w:color w:val="auto"/>
                <w:sz w:val="18"/>
                <w:szCs w:val="18"/>
                <w:highlight w:val="none"/>
              </w:rPr>
            </w:pPr>
            <w:r>
              <w:rPr>
                <w:rFonts w:hint="eastAsia" w:ascii="宋体" w:hAnsi="宋体"/>
                <w:color w:val="auto"/>
                <w:sz w:val="18"/>
                <w:szCs w:val="18"/>
                <w:highlight w:val="none"/>
              </w:rPr>
              <w:t>10≤X＜100</w:t>
            </w:r>
          </w:p>
        </w:tc>
        <w:tc>
          <w:tcPr>
            <w:tcW w:w="1660" w:type="dxa"/>
            <w:vAlign w:val="center"/>
          </w:tcPr>
          <w:p w14:paraId="489782A3">
            <w:pPr>
              <w:jc w:val="center"/>
              <w:rPr>
                <w:rFonts w:ascii="宋体" w:hAnsi="宋体"/>
                <w:color w:val="auto"/>
                <w:sz w:val="18"/>
                <w:szCs w:val="18"/>
                <w:highlight w:val="none"/>
              </w:rPr>
            </w:pPr>
            <w:r>
              <w:rPr>
                <w:rFonts w:hint="eastAsia" w:ascii="宋体" w:hAnsi="宋体"/>
                <w:color w:val="auto"/>
                <w:sz w:val="18"/>
                <w:szCs w:val="18"/>
                <w:highlight w:val="none"/>
              </w:rPr>
              <w:t>X＜10</w:t>
            </w:r>
          </w:p>
        </w:tc>
      </w:tr>
      <w:tr w14:paraId="1310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continue"/>
            <w:vAlign w:val="center"/>
          </w:tcPr>
          <w:p w14:paraId="7851E0FC">
            <w:pPr>
              <w:jc w:val="center"/>
              <w:rPr>
                <w:rFonts w:ascii="宋体" w:hAnsi="宋体"/>
                <w:b/>
                <w:color w:val="auto"/>
                <w:sz w:val="18"/>
                <w:szCs w:val="18"/>
                <w:highlight w:val="none"/>
              </w:rPr>
            </w:pPr>
          </w:p>
        </w:tc>
        <w:tc>
          <w:tcPr>
            <w:tcW w:w="1568" w:type="dxa"/>
            <w:vAlign w:val="center"/>
          </w:tcPr>
          <w:p w14:paraId="3DBA89C1">
            <w:pPr>
              <w:jc w:val="center"/>
              <w:rPr>
                <w:rFonts w:ascii="宋体" w:hAnsi="宋体"/>
                <w:color w:val="auto"/>
                <w:sz w:val="18"/>
                <w:szCs w:val="18"/>
                <w:highlight w:val="none"/>
              </w:rPr>
            </w:pPr>
            <w:r>
              <w:rPr>
                <w:rFonts w:hint="eastAsia" w:ascii="宋体" w:hAnsi="宋体"/>
                <w:color w:val="auto"/>
                <w:sz w:val="18"/>
                <w:szCs w:val="18"/>
                <w:highlight w:val="none"/>
              </w:rPr>
              <w:t>营业收入（Y）</w:t>
            </w:r>
          </w:p>
        </w:tc>
        <w:tc>
          <w:tcPr>
            <w:tcW w:w="1668" w:type="dxa"/>
            <w:vAlign w:val="center"/>
          </w:tcPr>
          <w:p w14:paraId="468DD5E7">
            <w:pPr>
              <w:jc w:val="center"/>
              <w:rPr>
                <w:rFonts w:ascii="宋体" w:hAnsi="宋体"/>
                <w:color w:val="auto"/>
                <w:sz w:val="18"/>
                <w:szCs w:val="18"/>
                <w:highlight w:val="none"/>
              </w:rPr>
            </w:pPr>
            <w:r>
              <w:rPr>
                <w:rFonts w:hint="eastAsia" w:ascii="宋体" w:hAnsi="宋体"/>
                <w:color w:val="auto"/>
                <w:sz w:val="18"/>
                <w:szCs w:val="18"/>
                <w:highlight w:val="none"/>
              </w:rPr>
              <w:t>万元</w:t>
            </w:r>
          </w:p>
        </w:tc>
        <w:tc>
          <w:tcPr>
            <w:tcW w:w="1668" w:type="dxa"/>
            <w:vAlign w:val="center"/>
          </w:tcPr>
          <w:p w14:paraId="446663F8">
            <w:pPr>
              <w:jc w:val="center"/>
              <w:rPr>
                <w:rFonts w:ascii="宋体" w:hAnsi="宋体"/>
                <w:color w:val="auto"/>
                <w:sz w:val="18"/>
                <w:szCs w:val="18"/>
                <w:highlight w:val="none"/>
              </w:rPr>
            </w:pPr>
            <w:r>
              <w:rPr>
                <w:rFonts w:hint="eastAsia" w:ascii="宋体" w:hAnsi="宋体"/>
                <w:color w:val="auto"/>
                <w:sz w:val="18"/>
                <w:szCs w:val="18"/>
                <w:highlight w:val="none"/>
              </w:rPr>
              <w:t>1000≤Y＜100000</w:t>
            </w:r>
          </w:p>
        </w:tc>
        <w:tc>
          <w:tcPr>
            <w:tcW w:w="1668" w:type="dxa"/>
            <w:vAlign w:val="center"/>
          </w:tcPr>
          <w:p w14:paraId="4C6C4409">
            <w:pPr>
              <w:jc w:val="center"/>
              <w:rPr>
                <w:rFonts w:ascii="宋体" w:hAnsi="宋体"/>
                <w:color w:val="auto"/>
                <w:sz w:val="18"/>
                <w:szCs w:val="18"/>
                <w:highlight w:val="none"/>
              </w:rPr>
            </w:pPr>
            <w:r>
              <w:rPr>
                <w:rFonts w:hint="eastAsia" w:ascii="宋体" w:hAnsi="宋体"/>
                <w:color w:val="auto"/>
                <w:sz w:val="18"/>
                <w:szCs w:val="18"/>
                <w:highlight w:val="none"/>
              </w:rPr>
              <w:t>100≤Y＜1000</w:t>
            </w:r>
          </w:p>
        </w:tc>
        <w:tc>
          <w:tcPr>
            <w:tcW w:w="1660" w:type="dxa"/>
            <w:vAlign w:val="center"/>
          </w:tcPr>
          <w:p w14:paraId="24D6DCE1">
            <w:pPr>
              <w:jc w:val="center"/>
              <w:rPr>
                <w:rFonts w:ascii="宋体" w:hAnsi="宋体"/>
                <w:color w:val="auto"/>
                <w:sz w:val="18"/>
                <w:szCs w:val="18"/>
                <w:highlight w:val="none"/>
              </w:rPr>
            </w:pPr>
            <w:r>
              <w:rPr>
                <w:rFonts w:hint="eastAsia" w:ascii="宋体" w:hAnsi="宋体"/>
                <w:color w:val="auto"/>
                <w:sz w:val="18"/>
                <w:szCs w:val="18"/>
                <w:highlight w:val="none"/>
              </w:rPr>
              <w:t>Y＜100</w:t>
            </w:r>
          </w:p>
        </w:tc>
      </w:tr>
      <w:tr w14:paraId="314D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restart"/>
            <w:vAlign w:val="center"/>
          </w:tcPr>
          <w:p w14:paraId="36BE4D90">
            <w:pPr>
              <w:jc w:val="center"/>
              <w:rPr>
                <w:rFonts w:ascii="宋体" w:hAnsi="宋体"/>
                <w:b/>
                <w:color w:val="auto"/>
                <w:sz w:val="18"/>
                <w:szCs w:val="18"/>
                <w:highlight w:val="none"/>
              </w:rPr>
            </w:pPr>
            <w:r>
              <w:rPr>
                <w:rFonts w:hint="eastAsia" w:ascii="宋体" w:hAnsi="宋体"/>
                <w:b/>
                <w:color w:val="auto"/>
                <w:sz w:val="18"/>
                <w:szCs w:val="18"/>
                <w:highlight w:val="none"/>
              </w:rPr>
              <w:t>软件和信息技术服务业</w:t>
            </w:r>
          </w:p>
        </w:tc>
        <w:tc>
          <w:tcPr>
            <w:tcW w:w="1568" w:type="dxa"/>
            <w:vAlign w:val="center"/>
          </w:tcPr>
          <w:p w14:paraId="6F31C516">
            <w:pPr>
              <w:jc w:val="center"/>
              <w:rPr>
                <w:rFonts w:ascii="宋体" w:hAnsi="宋体"/>
                <w:color w:val="auto"/>
                <w:sz w:val="18"/>
                <w:szCs w:val="18"/>
                <w:highlight w:val="none"/>
              </w:rPr>
            </w:pPr>
            <w:r>
              <w:rPr>
                <w:rFonts w:hint="eastAsia" w:ascii="宋体" w:hAnsi="宋体"/>
                <w:color w:val="auto"/>
                <w:sz w:val="18"/>
                <w:szCs w:val="18"/>
                <w:highlight w:val="none"/>
              </w:rPr>
              <w:t>从业人员（X）</w:t>
            </w:r>
          </w:p>
        </w:tc>
        <w:tc>
          <w:tcPr>
            <w:tcW w:w="1668" w:type="dxa"/>
            <w:vAlign w:val="center"/>
          </w:tcPr>
          <w:p w14:paraId="5A8A862D">
            <w:pPr>
              <w:jc w:val="center"/>
              <w:rPr>
                <w:rFonts w:ascii="宋体" w:hAnsi="宋体"/>
                <w:color w:val="auto"/>
                <w:sz w:val="18"/>
                <w:szCs w:val="18"/>
                <w:highlight w:val="none"/>
              </w:rPr>
            </w:pPr>
            <w:r>
              <w:rPr>
                <w:rFonts w:hint="eastAsia" w:ascii="宋体" w:hAnsi="宋体"/>
                <w:color w:val="auto"/>
                <w:sz w:val="18"/>
                <w:szCs w:val="18"/>
                <w:highlight w:val="none"/>
              </w:rPr>
              <w:t>人</w:t>
            </w:r>
          </w:p>
        </w:tc>
        <w:tc>
          <w:tcPr>
            <w:tcW w:w="1668" w:type="dxa"/>
            <w:vAlign w:val="center"/>
          </w:tcPr>
          <w:p w14:paraId="3F418283">
            <w:pPr>
              <w:jc w:val="center"/>
              <w:rPr>
                <w:rFonts w:ascii="宋体" w:hAnsi="宋体"/>
                <w:color w:val="auto"/>
                <w:sz w:val="18"/>
                <w:szCs w:val="18"/>
                <w:highlight w:val="none"/>
              </w:rPr>
            </w:pPr>
            <w:r>
              <w:rPr>
                <w:rFonts w:hint="eastAsia" w:ascii="宋体" w:hAnsi="宋体"/>
                <w:color w:val="auto"/>
                <w:sz w:val="18"/>
                <w:szCs w:val="18"/>
                <w:highlight w:val="none"/>
              </w:rPr>
              <w:t>100≤X＜300</w:t>
            </w:r>
          </w:p>
        </w:tc>
        <w:tc>
          <w:tcPr>
            <w:tcW w:w="1668" w:type="dxa"/>
            <w:vAlign w:val="center"/>
          </w:tcPr>
          <w:p w14:paraId="5DCC0981">
            <w:pPr>
              <w:jc w:val="center"/>
              <w:rPr>
                <w:rFonts w:ascii="宋体" w:hAnsi="宋体"/>
                <w:color w:val="auto"/>
                <w:sz w:val="18"/>
                <w:szCs w:val="18"/>
                <w:highlight w:val="none"/>
              </w:rPr>
            </w:pPr>
            <w:r>
              <w:rPr>
                <w:rFonts w:hint="eastAsia" w:ascii="宋体" w:hAnsi="宋体"/>
                <w:color w:val="auto"/>
                <w:sz w:val="18"/>
                <w:szCs w:val="18"/>
                <w:highlight w:val="none"/>
              </w:rPr>
              <w:t>10≤X＜100</w:t>
            </w:r>
          </w:p>
        </w:tc>
        <w:tc>
          <w:tcPr>
            <w:tcW w:w="1660" w:type="dxa"/>
            <w:vAlign w:val="center"/>
          </w:tcPr>
          <w:p w14:paraId="22335354">
            <w:pPr>
              <w:jc w:val="center"/>
              <w:rPr>
                <w:rFonts w:ascii="宋体" w:hAnsi="宋体"/>
                <w:color w:val="auto"/>
                <w:sz w:val="18"/>
                <w:szCs w:val="18"/>
                <w:highlight w:val="none"/>
              </w:rPr>
            </w:pPr>
            <w:r>
              <w:rPr>
                <w:rFonts w:hint="eastAsia" w:ascii="宋体" w:hAnsi="宋体"/>
                <w:color w:val="auto"/>
                <w:sz w:val="18"/>
                <w:szCs w:val="18"/>
                <w:highlight w:val="none"/>
              </w:rPr>
              <w:t>X＜10</w:t>
            </w:r>
          </w:p>
        </w:tc>
      </w:tr>
      <w:tr w14:paraId="452F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continue"/>
            <w:vAlign w:val="center"/>
          </w:tcPr>
          <w:p w14:paraId="6212242E">
            <w:pPr>
              <w:jc w:val="center"/>
              <w:rPr>
                <w:rFonts w:ascii="宋体" w:hAnsi="宋体"/>
                <w:b/>
                <w:color w:val="auto"/>
                <w:sz w:val="18"/>
                <w:szCs w:val="18"/>
                <w:highlight w:val="none"/>
              </w:rPr>
            </w:pPr>
          </w:p>
        </w:tc>
        <w:tc>
          <w:tcPr>
            <w:tcW w:w="1568" w:type="dxa"/>
            <w:vAlign w:val="center"/>
          </w:tcPr>
          <w:p w14:paraId="290A041E">
            <w:pPr>
              <w:jc w:val="center"/>
              <w:rPr>
                <w:rFonts w:ascii="宋体" w:hAnsi="宋体"/>
                <w:color w:val="auto"/>
                <w:sz w:val="18"/>
                <w:szCs w:val="18"/>
                <w:highlight w:val="none"/>
              </w:rPr>
            </w:pPr>
            <w:r>
              <w:rPr>
                <w:rFonts w:hint="eastAsia" w:ascii="宋体" w:hAnsi="宋体"/>
                <w:color w:val="auto"/>
                <w:sz w:val="18"/>
                <w:szCs w:val="18"/>
                <w:highlight w:val="none"/>
              </w:rPr>
              <w:t>营业收入（Y）</w:t>
            </w:r>
          </w:p>
        </w:tc>
        <w:tc>
          <w:tcPr>
            <w:tcW w:w="1668" w:type="dxa"/>
            <w:vAlign w:val="center"/>
          </w:tcPr>
          <w:p w14:paraId="140E66F4">
            <w:pPr>
              <w:jc w:val="center"/>
              <w:rPr>
                <w:rFonts w:ascii="宋体" w:hAnsi="宋体"/>
                <w:color w:val="auto"/>
                <w:sz w:val="18"/>
                <w:szCs w:val="18"/>
                <w:highlight w:val="none"/>
              </w:rPr>
            </w:pPr>
            <w:r>
              <w:rPr>
                <w:rFonts w:hint="eastAsia" w:ascii="宋体" w:hAnsi="宋体"/>
                <w:color w:val="auto"/>
                <w:sz w:val="18"/>
                <w:szCs w:val="18"/>
                <w:highlight w:val="none"/>
              </w:rPr>
              <w:t>万元</w:t>
            </w:r>
          </w:p>
        </w:tc>
        <w:tc>
          <w:tcPr>
            <w:tcW w:w="1668" w:type="dxa"/>
            <w:vAlign w:val="center"/>
          </w:tcPr>
          <w:p w14:paraId="06052F62">
            <w:pPr>
              <w:jc w:val="center"/>
              <w:rPr>
                <w:rFonts w:ascii="宋体" w:hAnsi="宋体"/>
                <w:color w:val="auto"/>
                <w:sz w:val="18"/>
                <w:szCs w:val="18"/>
                <w:highlight w:val="none"/>
              </w:rPr>
            </w:pPr>
            <w:r>
              <w:rPr>
                <w:rFonts w:hint="eastAsia" w:ascii="宋体" w:hAnsi="宋体"/>
                <w:color w:val="auto"/>
                <w:sz w:val="18"/>
                <w:szCs w:val="18"/>
                <w:highlight w:val="none"/>
              </w:rPr>
              <w:t>1000≤Y＜10000</w:t>
            </w:r>
          </w:p>
        </w:tc>
        <w:tc>
          <w:tcPr>
            <w:tcW w:w="1668" w:type="dxa"/>
            <w:vAlign w:val="center"/>
          </w:tcPr>
          <w:p w14:paraId="6F4657C6">
            <w:pPr>
              <w:jc w:val="center"/>
              <w:rPr>
                <w:rFonts w:ascii="宋体" w:hAnsi="宋体"/>
                <w:color w:val="auto"/>
                <w:sz w:val="18"/>
                <w:szCs w:val="18"/>
                <w:highlight w:val="none"/>
              </w:rPr>
            </w:pPr>
            <w:r>
              <w:rPr>
                <w:rFonts w:hint="eastAsia" w:ascii="宋体" w:hAnsi="宋体"/>
                <w:color w:val="auto"/>
                <w:sz w:val="18"/>
                <w:szCs w:val="18"/>
                <w:highlight w:val="none"/>
              </w:rPr>
              <w:t>50≤Y＜1000</w:t>
            </w:r>
          </w:p>
        </w:tc>
        <w:tc>
          <w:tcPr>
            <w:tcW w:w="1660" w:type="dxa"/>
            <w:vAlign w:val="center"/>
          </w:tcPr>
          <w:p w14:paraId="2A5C0BA1">
            <w:pPr>
              <w:jc w:val="center"/>
              <w:rPr>
                <w:rFonts w:ascii="宋体" w:hAnsi="宋体"/>
                <w:color w:val="auto"/>
                <w:sz w:val="18"/>
                <w:szCs w:val="18"/>
                <w:highlight w:val="none"/>
              </w:rPr>
            </w:pPr>
            <w:r>
              <w:rPr>
                <w:rFonts w:hint="eastAsia" w:ascii="宋体" w:hAnsi="宋体"/>
                <w:color w:val="auto"/>
                <w:sz w:val="18"/>
                <w:szCs w:val="18"/>
                <w:highlight w:val="none"/>
              </w:rPr>
              <w:t>Y＜50</w:t>
            </w:r>
          </w:p>
        </w:tc>
      </w:tr>
      <w:tr w14:paraId="279D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restart"/>
            <w:vAlign w:val="center"/>
          </w:tcPr>
          <w:p w14:paraId="5B7DB2A2">
            <w:pPr>
              <w:jc w:val="center"/>
              <w:rPr>
                <w:rFonts w:ascii="宋体" w:hAnsi="宋体"/>
                <w:b/>
                <w:color w:val="auto"/>
                <w:sz w:val="18"/>
                <w:szCs w:val="18"/>
                <w:highlight w:val="none"/>
              </w:rPr>
            </w:pPr>
            <w:r>
              <w:rPr>
                <w:rFonts w:hint="eastAsia" w:ascii="宋体" w:hAnsi="宋体"/>
                <w:b/>
                <w:color w:val="auto"/>
                <w:sz w:val="18"/>
                <w:szCs w:val="18"/>
                <w:highlight w:val="none"/>
              </w:rPr>
              <w:t>房地产开发经营</w:t>
            </w:r>
          </w:p>
        </w:tc>
        <w:tc>
          <w:tcPr>
            <w:tcW w:w="1568" w:type="dxa"/>
            <w:vAlign w:val="center"/>
          </w:tcPr>
          <w:p w14:paraId="0CAC1A09">
            <w:pPr>
              <w:jc w:val="center"/>
              <w:rPr>
                <w:rFonts w:ascii="宋体" w:hAnsi="宋体"/>
                <w:color w:val="auto"/>
                <w:sz w:val="18"/>
                <w:szCs w:val="18"/>
                <w:highlight w:val="none"/>
              </w:rPr>
            </w:pPr>
            <w:r>
              <w:rPr>
                <w:rFonts w:hint="eastAsia" w:ascii="宋体" w:hAnsi="宋体"/>
                <w:color w:val="auto"/>
                <w:sz w:val="18"/>
                <w:szCs w:val="18"/>
                <w:highlight w:val="none"/>
              </w:rPr>
              <w:t>营业收入（Y）</w:t>
            </w:r>
          </w:p>
        </w:tc>
        <w:tc>
          <w:tcPr>
            <w:tcW w:w="1668" w:type="dxa"/>
            <w:vAlign w:val="center"/>
          </w:tcPr>
          <w:p w14:paraId="09C1AB22">
            <w:pPr>
              <w:jc w:val="center"/>
              <w:rPr>
                <w:rFonts w:ascii="宋体" w:hAnsi="宋体"/>
                <w:color w:val="auto"/>
                <w:sz w:val="18"/>
                <w:szCs w:val="18"/>
                <w:highlight w:val="none"/>
              </w:rPr>
            </w:pPr>
            <w:r>
              <w:rPr>
                <w:rFonts w:hint="eastAsia" w:ascii="宋体" w:hAnsi="宋体"/>
                <w:color w:val="auto"/>
                <w:sz w:val="18"/>
                <w:szCs w:val="18"/>
                <w:highlight w:val="none"/>
              </w:rPr>
              <w:t>万元</w:t>
            </w:r>
          </w:p>
        </w:tc>
        <w:tc>
          <w:tcPr>
            <w:tcW w:w="1668" w:type="dxa"/>
            <w:vAlign w:val="center"/>
          </w:tcPr>
          <w:p w14:paraId="44B68649">
            <w:pPr>
              <w:jc w:val="center"/>
              <w:rPr>
                <w:rFonts w:ascii="宋体" w:hAnsi="宋体"/>
                <w:color w:val="auto"/>
                <w:sz w:val="18"/>
                <w:szCs w:val="18"/>
                <w:highlight w:val="none"/>
              </w:rPr>
            </w:pPr>
            <w:r>
              <w:rPr>
                <w:rFonts w:hint="eastAsia" w:ascii="宋体" w:hAnsi="宋体"/>
                <w:color w:val="auto"/>
                <w:sz w:val="18"/>
                <w:szCs w:val="18"/>
                <w:highlight w:val="none"/>
              </w:rPr>
              <w:t>1000≤Y＜200000</w:t>
            </w:r>
          </w:p>
        </w:tc>
        <w:tc>
          <w:tcPr>
            <w:tcW w:w="1668" w:type="dxa"/>
            <w:vAlign w:val="center"/>
          </w:tcPr>
          <w:p w14:paraId="638E2183">
            <w:pPr>
              <w:jc w:val="center"/>
              <w:rPr>
                <w:rFonts w:ascii="宋体" w:hAnsi="宋体"/>
                <w:color w:val="auto"/>
                <w:sz w:val="18"/>
                <w:szCs w:val="18"/>
                <w:highlight w:val="none"/>
              </w:rPr>
            </w:pPr>
            <w:r>
              <w:rPr>
                <w:rFonts w:hint="eastAsia" w:ascii="宋体" w:hAnsi="宋体"/>
                <w:color w:val="auto"/>
                <w:sz w:val="18"/>
                <w:szCs w:val="18"/>
                <w:highlight w:val="none"/>
              </w:rPr>
              <w:t>100≤X＜1000</w:t>
            </w:r>
          </w:p>
        </w:tc>
        <w:tc>
          <w:tcPr>
            <w:tcW w:w="1660" w:type="dxa"/>
            <w:vAlign w:val="center"/>
          </w:tcPr>
          <w:p w14:paraId="3AF7F103">
            <w:pPr>
              <w:jc w:val="center"/>
              <w:rPr>
                <w:rFonts w:ascii="宋体" w:hAnsi="宋体"/>
                <w:color w:val="auto"/>
                <w:sz w:val="18"/>
                <w:szCs w:val="18"/>
                <w:highlight w:val="none"/>
              </w:rPr>
            </w:pPr>
            <w:r>
              <w:rPr>
                <w:rFonts w:hint="eastAsia" w:ascii="宋体" w:hAnsi="宋体"/>
                <w:color w:val="auto"/>
                <w:sz w:val="18"/>
                <w:szCs w:val="18"/>
                <w:highlight w:val="none"/>
              </w:rPr>
              <w:t>X＜100</w:t>
            </w:r>
          </w:p>
        </w:tc>
      </w:tr>
      <w:tr w14:paraId="640A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continue"/>
            <w:vAlign w:val="center"/>
          </w:tcPr>
          <w:p w14:paraId="4406CB2E">
            <w:pPr>
              <w:jc w:val="center"/>
              <w:rPr>
                <w:rFonts w:ascii="宋体" w:hAnsi="宋体"/>
                <w:b/>
                <w:color w:val="auto"/>
                <w:sz w:val="18"/>
                <w:szCs w:val="18"/>
                <w:highlight w:val="none"/>
              </w:rPr>
            </w:pPr>
          </w:p>
        </w:tc>
        <w:tc>
          <w:tcPr>
            <w:tcW w:w="1568" w:type="dxa"/>
            <w:vAlign w:val="center"/>
          </w:tcPr>
          <w:p w14:paraId="42F1D4AE">
            <w:pPr>
              <w:jc w:val="center"/>
              <w:rPr>
                <w:rFonts w:ascii="宋体" w:hAnsi="宋体"/>
                <w:color w:val="auto"/>
                <w:sz w:val="18"/>
                <w:szCs w:val="18"/>
                <w:highlight w:val="none"/>
              </w:rPr>
            </w:pPr>
            <w:r>
              <w:rPr>
                <w:rFonts w:hint="eastAsia" w:ascii="宋体" w:hAnsi="宋体"/>
                <w:color w:val="auto"/>
                <w:sz w:val="18"/>
                <w:szCs w:val="18"/>
                <w:highlight w:val="none"/>
              </w:rPr>
              <w:t>资产总额（Z）</w:t>
            </w:r>
          </w:p>
        </w:tc>
        <w:tc>
          <w:tcPr>
            <w:tcW w:w="1668" w:type="dxa"/>
            <w:vAlign w:val="center"/>
          </w:tcPr>
          <w:p w14:paraId="45384040">
            <w:pPr>
              <w:jc w:val="center"/>
              <w:rPr>
                <w:rFonts w:ascii="宋体" w:hAnsi="宋体"/>
                <w:color w:val="auto"/>
                <w:sz w:val="18"/>
                <w:szCs w:val="18"/>
                <w:highlight w:val="none"/>
              </w:rPr>
            </w:pPr>
            <w:r>
              <w:rPr>
                <w:rFonts w:hint="eastAsia" w:ascii="宋体" w:hAnsi="宋体"/>
                <w:color w:val="auto"/>
                <w:sz w:val="18"/>
                <w:szCs w:val="18"/>
                <w:highlight w:val="none"/>
              </w:rPr>
              <w:t>万元</w:t>
            </w:r>
          </w:p>
        </w:tc>
        <w:tc>
          <w:tcPr>
            <w:tcW w:w="1668" w:type="dxa"/>
            <w:vAlign w:val="center"/>
          </w:tcPr>
          <w:p w14:paraId="02AAF750">
            <w:pPr>
              <w:jc w:val="center"/>
              <w:rPr>
                <w:rFonts w:ascii="宋体" w:hAnsi="宋体"/>
                <w:color w:val="auto"/>
                <w:sz w:val="18"/>
                <w:szCs w:val="18"/>
                <w:highlight w:val="none"/>
              </w:rPr>
            </w:pPr>
            <w:r>
              <w:rPr>
                <w:rFonts w:hint="eastAsia" w:ascii="宋体" w:hAnsi="宋体"/>
                <w:color w:val="auto"/>
                <w:sz w:val="18"/>
                <w:szCs w:val="18"/>
                <w:highlight w:val="none"/>
              </w:rPr>
              <w:t>5000≤Z＜10000</w:t>
            </w:r>
          </w:p>
        </w:tc>
        <w:tc>
          <w:tcPr>
            <w:tcW w:w="1668" w:type="dxa"/>
            <w:vAlign w:val="center"/>
          </w:tcPr>
          <w:p w14:paraId="6D69BB45">
            <w:pPr>
              <w:jc w:val="center"/>
              <w:rPr>
                <w:rFonts w:ascii="宋体" w:hAnsi="宋体"/>
                <w:color w:val="auto"/>
                <w:sz w:val="18"/>
                <w:szCs w:val="18"/>
                <w:highlight w:val="none"/>
              </w:rPr>
            </w:pPr>
            <w:r>
              <w:rPr>
                <w:rFonts w:hint="eastAsia" w:ascii="宋体" w:hAnsi="宋体"/>
                <w:color w:val="auto"/>
                <w:sz w:val="18"/>
                <w:szCs w:val="18"/>
                <w:highlight w:val="none"/>
              </w:rPr>
              <w:t>2000≤Y＜5000</w:t>
            </w:r>
          </w:p>
        </w:tc>
        <w:tc>
          <w:tcPr>
            <w:tcW w:w="1660" w:type="dxa"/>
            <w:vAlign w:val="center"/>
          </w:tcPr>
          <w:p w14:paraId="00595986">
            <w:pPr>
              <w:jc w:val="center"/>
              <w:rPr>
                <w:rFonts w:ascii="宋体" w:hAnsi="宋体"/>
                <w:color w:val="auto"/>
                <w:sz w:val="18"/>
                <w:szCs w:val="18"/>
                <w:highlight w:val="none"/>
              </w:rPr>
            </w:pPr>
            <w:r>
              <w:rPr>
                <w:rFonts w:hint="eastAsia" w:ascii="宋体" w:hAnsi="宋体"/>
                <w:color w:val="auto"/>
                <w:sz w:val="18"/>
                <w:szCs w:val="18"/>
                <w:highlight w:val="none"/>
              </w:rPr>
              <w:t>Y＜2000</w:t>
            </w:r>
          </w:p>
        </w:tc>
      </w:tr>
      <w:tr w14:paraId="017B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restart"/>
            <w:vAlign w:val="center"/>
          </w:tcPr>
          <w:p w14:paraId="76C2619E">
            <w:pPr>
              <w:jc w:val="center"/>
              <w:rPr>
                <w:rFonts w:ascii="宋体" w:hAnsi="宋体"/>
                <w:b/>
                <w:color w:val="auto"/>
                <w:sz w:val="18"/>
                <w:szCs w:val="18"/>
                <w:highlight w:val="none"/>
              </w:rPr>
            </w:pPr>
            <w:r>
              <w:rPr>
                <w:rFonts w:hint="eastAsia" w:ascii="宋体" w:hAnsi="宋体"/>
                <w:b/>
                <w:color w:val="auto"/>
                <w:sz w:val="18"/>
                <w:szCs w:val="18"/>
                <w:highlight w:val="none"/>
              </w:rPr>
              <w:t>物业管理</w:t>
            </w:r>
          </w:p>
        </w:tc>
        <w:tc>
          <w:tcPr>
            <w:tcW w:w="1568" w:type="dxa"/>
            <w:vAlign w:val="center"/>
          </w:tcPr>
          <w:p w14:paraId="293C1F84">
            <w:pPr>
              <w:jc w:val="center"/>
              <w:rPr>
                <w:rFonts w:ascii="宋体" w:hAnsi="宋体"/>
                <w:color w:val="auto"/>
                <w:sz w:val="18"/>
                <w:szCs w:val="18"/>
                <w:highlight w:val="none"/>
              </w:rPr>
            </w:pPr>
            <w:r>
              <w:rPr>
                <w:rFonts w:hint="eastAsia" w:ascii="宋体" w:hAnsi="宋体"/>
                <w:color w:val="auto"/>
                <w:sz w:val="18"/>
                <w:szCs w:val="18"/>
                <w:highlight w:val="none"/>
              </w:rPr>
              <w:t>从业人员（X）</w:t>
            </w:r>
          </w:p>
        </w:tc>
        <w:tc>
          <w:tcPr>
            <w:tcW w:w="1668" w:type="dxa"/>
            <w:vAlign w:val="center"/>
          </w:tcPr>
          <w:p w14:paraId="44217564">
            <w:pPr>
              <w:jc w:val="center"/>
              <w:rPr>
                <w:rFonts w:ascii="宋体" w:hAnsi="宋体"/>
                <w:color w:val="auto"/>
                <w:sz w:val="18"/>
                <w:szCs w:val="18"/>
                <w:highlight w:val="none"/>
              </w:rPr>
            </w:pPr>
            <w:r>
              <w:rPr>
                <w:rFonts w:hint="eastAsia" w:ascii="宋体" w:hAnsi="宋体"/>
                <w:color w:val="auto"/>
                <w:sz w:val="18"/>
                <w:szCs w:val="18"/>
                <w:highlight w:val="none"/>
              </w:rPr>
              <w:t>人</w:t>
            </w:r>
          </w:p>
        </w:tc>
        <w:tc>
          <w:tcPr>
            <w:tcW w:w="1668" w:type="dxa"/>
            <w:vAlign w:val="center"/>
          </w:tcPr>
          <w:p w14:paraId="27868006">
            <w:pPr>
              <w:jc w:val="center"/>
              <w:rPr>
                <w:rFonts w:ascii="宋体" w:hAnsi="宋体"/>
                <w:color w:val="auto"/>
                <w:sz w:val="18"/>
                <w:szCs w:val="18"/>
                <w:highlight w:val="none"/>
              </w:rPr>
            </w:pPr>
            <w:r>
              <w:rPr>
                <w:rFonts w:hint="eastAsia" w:ascii="宋体" w:hAnsi="宋体"/>
                <w:color w:val="auto"/>
                <w:sz w:val="18"/>
                <w:szCs w:val="18"/>
                <w:highlight w:val="none"/>
              </w:rPr>
              <w:t>300≤X＜1000</w:t>
            </w:r>
          </w:p>
        </w:tc>
        <w:tc>
          <w:tcPr>
            <w:tcW w:w="1668" w:type="dxa"/>
            <w:vAlign w:val="center"/>
          </w:tcPr>
          <w:p w14:paraId="25213A10">
            <w:pPr>
              <w:jc w:val="center"/>
              <w:rPr>
                <w:rFonts w:ascii="宋体" w:hAnsi="宋体"/>
                <w:color w:val="auto"/>
                <w:sz w:val="18"/>
                <w:szCs w:val="18"/>
                <w:highlight w:val="none"/>
              </w:rPr>
            </w:pPr>
            <w:r>
              <w:rPr>
                <w:rFonts w:hint="eastAsia" w:ascii="宋体" w:hAnsi="宋体"/>
                <w:color w:val="auto"/>
                <w:sz w:val="18"/>
                <w:szCs w:val="18"/>
                <w:highlight w:val="none"/>
              </w:rPr>
              <w:t>100≤X＜300</w:t>
            </w:r>
          </w:p>
        </w:tc>
        <w:tc>
          <w:tcPr>
            <w:tcW w:w="1660" w:type="dxa"/>
            <w:vAlign w:val="center"/>
          </w:tcPr>
          <w:p w14:paraId="6510B5C4">
            <w:pPr>
              <w:jc w:val="center"/>
              <w:rPr>
                <w:rFonts w:ascii="宋体" w:hAnsi="宋体"/>
                <w:color w:val="auto"/>
                <w:sz w:val="18"/>
                <w:szCs w:val="18"/>
                <w:highlight w:val="none"/>
              </w:rPr>
            </w:pPr>
            <w:r>
              <w:rPr>
                <w:rFonts w:hint="eastAsia" w:ascii="宋体" w:hAnsi="宋体"/>
                <w:color w:val="auto"/>
                <w:sz w:val="18"/>
                <w:szCs w:val="18"/>
                <w:highlight w:val="none"/>
              </w:rPr>
              <w:t>X＜100</w:t>
            </w:r>
          </w:p>
        </w:tc>
      </w:tr>
      <w:tr w14:paraId="7D53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continue"/>
            <w:vAlign w:val="center"/>
          </w:tcPr>
          <w:p w14:paraId="029D0219">
            <w:pPr>
              <w:jc w:val="center"/>
              <w:rPr>
                <w:rFonts w:ascii="宋体" w:hAnsi="宋体"/>
                <w:b/>
                <w:color w:val="auto"/>
                <w:sz w:val="18"/>
                <w:szCs w:val="18"/>
                <w:highlight w:val="none"/>
              </w:rPr>
            </w:pPr>
          </w:p>
        </w:tc>
        <w:tc>
          <w:tcPr>
            <w:tcW w:w="1568" w:type="dxa"/>
            <w:vAlign w:val="center"/>
          </w:tcPr>
          <w:p w14:paraId="146469C7">
            <w:pPr>
              <w:jc w:val="center"/>
              <w:rPr>
                <w:rFonts w:ascii="宋体" w:hAnsi="宋体"/>
                <w:color w:val="auto"/>
                <w:sz w:val="18"/>
                <w:szCs w:val="18"/>
                <w:highlight w:val="none"/>
              </w:rPr>
            </w:pPr>
            <w:r>
              <w:rPr>
                <w:rFonts w:hint="eastAsia" w:ascii="宋体" w:hAnsi="宋体"/>
                <w:color w:val="auto"/>
                <w:sz w:val="18"/>
                <w:szCs w:val="18"/>
                <w:highlight w:val="none"/>
              </w:rPr>
              <w:t>营业收入（Y）</w:t>
            </w:r>
          </w:p>
        </w:tc>
        <w:tc>
          <w:tcPr>
            <w:tcW w:w="1668" w:type="dxa"/>
            <w:vAlign w:val="center"/>
          </w:tcPr>
          <w:p w14:paraId="6A0670EE">
            <w:pPr>
              <w:jc w:val="center"/>
              <w:rPr>
                <w:rFonts w:ascii="宋体" w:hAnsi="宋体"/>
                <w:color w:val="auto"/>
                <w:sz w:val="18"/>
                <w:szCs w:val="18"/>
                <w:highlight w:val="none"/>
              </w:rPr>
            </w:pPr>
            <w:r>
              <w:rPr>
                <w:rFonts w:hint="eastAsia" w:ascii="宋体" w:hAnsi="宋体"/>
                <w:color w:val="auto"/>
                <w:sz w:val="18"/>
                <w:szCs w:val="18"/>
                <w:highlight w:val="none"/>
              </w:rPr>
              <w:t>万元</w:t>
            </w:r>
          </w:p>
        </w:tc>
        <w:tc>
          <w:tcPr>
            <w:tcW w:w="1668" w:type="dxa"/>
            <w:vAlign w:val="center"/>
          </w:tcPr>
          <w:p w14:paraId="29A43582">
            <w:pPr>
              <w:jc w:val="center"/>
              <w:rPr>
                <w:rFonts w:ascii="宋体" w:hAnsi="宋体"/>
                <w:color w:val="auto"/>
                <w:sz w:val="18"/>
                <w:szCs w:val="18"/>
                <w:highlight w:val="none"/>
              </w:rPr>
            </w:pPr>
            <w:r>
              <w:rPr>
                <w:rFonts w:hint="eastAsia" w:ascii="宋体" w:hAnsi="宋体"/>
                <w:color w:val="auto"/>
                <w:sz w:val="18"/>
                <w:szCs w:val="18"/>
                <w:highlight w:val="none"/>
              </w:rPr>
              <w:t>1000≤Y＜5000</w:t>
            </w:r>
          </w:p>
        </w:tc>
        <w:tc>
          <w:tcPr>
            <w:tcW w:w="1668" w:type="dxa"/>
            <w:vAlign w:val="center"/>
          </w:tcPr>
          <w:p w14:paraId="07D13480">
            <w:pPr>
              <w:jc w:val="center"/>
              <w:rPr>
                <w:rFonts w:ascii="宋体" w:hAnsi="宋体"/>
                <w:color w:val="auto"/>
                <w:sz w:val="18"/>
                <w:szCs w:val="18"/>
                <w:highlight w:val="none"/>
              </w:rPr>
            </w:pPr>
            <w:r>
              <w:rPr>
                <w:rFonts w:hint="eastAsia" w:ascii="宋体" w:hAnsi="宋体"/>
                <w:color w:val="auto"/>
                <w:sz w:val="18"/>
                <w:szCs w:val="18"/>
                <w:highlight w:val="none"/>
              </w:rPr>
              <w:t>500≤Y＜1000</w:t>
            </w:r>
          </w:p>
        </w:tc>
        <w:tc>
          <w:tcPr>
            <w:tcW w:w="1660" w:type="dxa"/>
            <w:vAlign w:val="center"/>
          </w:tcPr>
          <w:p w14:paraId="04DF806F">
            <w:pPr>
              <w:jc w:val="center"/>
              <w:rPr>
                <w:rFonts w:ascii="宋体" w:hAnsi="宋体"/>
                <w:color w:val="auto"/>
                <w:sz w:val="18"/>
                <w:szCs w:val="18"/>
                <w:highlight w:val="none"/>
              </w:rPr>
            </w:pPr>
            <w:r>
              <w:rPr>
                <w:rFonts w:hint="eastAsia" w:ascii="宋体" w:hAnsi="宋体"/>
                <w:color w:val="auto"/>
                <w:sz w:val="18"/>
                <w:szCs w:val="18"/>
                <w:highlight w:val="none"/>
              </w:rPr>
              <w:t>Y＜500</w:t>
            </w:r>
          </w:p>
        </w:tc>
      </w:tr>
      <w:tr w14:paraId="024C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restart"/>
            <w:vAlign w:val="center"/>
          </w:tcPr>
          <w:p w14:paraId="797BE40E">
            <w:pPr>
              <w:jc w:val="center"/>
              <w:rPr>
                <w:rFonts w:ascii="宋体" w:hAnsi="宋体"/>
                <w:b/>
                <w:color w:val="auto"/>
                <w:sz w:val="18"/>
                <w:szCs w:val="18"/>
                <w:highlight w:val="none"/>
              </w:rPr>
            </w:pPr>
            <w:r>
              <w:rPr>
                <w:rFonts w:hint="eastAsia" w:ascii="宋体" w:hAnsi="宋体"/>
                <w:b/>
                <w:color w:val="auto"/>
                <w:sz w:val="18"/>
                <w:szCs w:val="18"/>
                <w:highlight w:val="none"/>
              </w:rPr>
              <w:t>租赁和商务服务业</w:t>
            </w:r>
          </w:p>
        </w:tc>
        <w:tc>
          <w:tcPr>
            <w:tcW w:w="1568" w:type="dxa"/>
            <w:vAlign w:val="center"/>
          </w:tcPr>
          <w:p w14:paraId="18D39CD5">
            <w:pPr>
              <w:jc w:val="center"/>
              <w:rPr>
                <w:rFonts w:ascii="宋体" w:hAnsi="宋体"/>
                <w:color w:val="auto"/>
                <w:sz w:val="18"/>
                <w:szCs w:val="18"/>
                <w:highlight w:val="none"/>
              </w:rPr>
            </w:pPr>
            <w:r>
              <w:rPr>
                <w:rFonts w:hint="eastAsia" w:ascii="宋体" w:hAnsi="宋体"/>
                <w:color w:val="auto"/>
                <w:sz w:val="18"/>
                <w:szCs w:val="18"/>
                <w:highlight w:val="none"/>
              </w:rPr>
              <w:t>从业人员（X）</w:t>
            </w:r>
          </w:p>
        </w:tc>
        <w:tc>
          <w:tcPr>
            <w:tcW w:w="1668" w:type="dxa"/>
            <w:vAlign w:val="center"/>
          </w:tcPr>
          <w:p w14:paraId="1A0DDC03">
            <w:pPr>
              <w:jc w:val="center"/>
              <w:rPr>
                <w:rFonts w:ascii="宋体" w:hAnsi="宋体"/>
                <w:color w:val="auto"/>
                <w:sz w:val="18"/>
                <w:szCs w:val="18"/>
                <w:highlight w:val="none"/>
              </w:rPr>
            </w:pPr>
            <w:r>
              <w:rPr>
                <w:rFonts w:hint="eastAsia" w:ascii="宋体" w:hAnsi="宋体"/>
                <w:color w:val="auto"/>
                <w:sz w:val="18"/>
                <w:szCs w:val="18"/>
                <w:highlight w:val="none"/>
              </w:rPr>
              <w:t>人</w:t>
            </w:r>
          </w:p>
        </w:tc>
        <w:tc>
          <w:tcPr>
            <w:tcW w:w="1668" w:type="dxa"/>
            <w:vAlign w:val="center"/>
          </w:tcPr>
          <w:p w14:paraId="3C41CA86">
            <w:pPr>
              <w:jc w:val="center"/>
              <w:rPr>
                <w:rFonts w:ascii="宋体" w:hAnsi="宋体"/>
                <w:color w:val="auto"/>
                <w:sz w:val="18"/>
                <w:szCs w:val="18"/>
                <w:highlight w:val="none"/>
              </w:rPr>
            </w:pPr>
            <w:r>
              <w:rPr>
                <w:rFonts w:hint="eastAsia" w:ascii="宋体" w:hAnsi="宋体"/>
                <w:color w:val="auto"/>
                <w:sz w:val="18"/>
                <w:szCs w:val="18"/>
                <w:highlight w:val="none"/>
              </w:rPr>
              <w:t>100≤X＜300</w:t>
            </w:r>
          </w:p>
        </w:tc>
        <w:tc>
          <w:tcPr>
            <w:tcW w:w="1668" w:type="dxa"/>
            <w:vAlign w:val="center"/>
          </w:tcPr>
          <w:p w14:paraId="217A593A">
            <w:pPr>
              <w:jc w:val="center"/>
              <w:rPr>
                <w:rFonts w:ascii="宋体" w:hAnsi="宋体"/>
                <w:color w:val="auto"/>
                <w:sz w:val="18"/>
                <w:szCs w:val="18"/>
                <w:highlight w:val="none"/>
              </w:rPr>
            </w:pPr>
            <w:r>
              <w:rPr>
                <w:rFonts w:hint="eastAsia" w:ascii="宋体" w:hAnsi="宋体"/>
                <w:color w:val="auto"/>
                <w:sz w:val="18"/>
                <w:szCs w:val="18"/>
                <w:highlight w:val="none"/>
              </w:rPr>
              <w:t>10≤X＜100</w:t>
            </w:r>
          </w:p>
        </w:tc>
        <w:tc>
          <w:tcPr>
            <w:tcW w:w="1660" w:type="dxa"/>
            <w:vAlign w:val="center"/>
          </w:tcPr>
          <w:p w14:paraId="681256B0">
            <w:pPr>
              <w:jc w:val="center"/>
              <w:rPr>
                <w:rFonts w:ascii="宋体" w:hAnsi="宋体"/>
                <w:color w:val="auto"/>
                <w:sz w:val="18"/>
                <w:szCs w:val="18"/>
                <w:highlight w:val="none"/>
              </w:rPr>
            </w:pPr>
            <w:r>
              <w:rPr>
                <w:rFonts w:hint="eastAsia" w:ascii="宋体" w:hAnsi="宋体"/>
                <w:color w:val="auto"/>
                <w:sz w:val="18"/>
                <w:szCs w:val="18"/>
                <w:highlight w:val="none"/>
              </w:rPr>
              <w:t>X＜10</w:t>
            </w:r>
          </w:p>
        </w:tc>
      </w:tr>
      <w:tr w14:paraId="016E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64" w:type="dxa"/>
            <w:vMerge w:val="continue"/>
            <w:vAlign w:val="center"/>
          </w:tcPr>
          <w:p w14:paraId="2CAC786C">
            <w:pPr>
              <w:jc w:val="center"/>
              <w:rPr>
                <w:rFonts w:ascii="宋体" w:hAnsi="宋体"/>
                <w:b/>
                <w:color w:val="auto"/>
                <w:sz w:val="18"/>
                <w:szCs w:val="18"/>
                <w:highlight w:val="none"/>
              </w:rPr>
            </w:pPr>
          </w:p>
        </w:tc>
        <w:tc>
          <w:tcPr>
            <w:tcW w:w="1568" w:type="dxa"/>
            <w:vAlign w:val="center"/>
          </w:tcPr>
          <w:p w14:paraId="30CB446C">
            <w:pPr>
              <w:jc w:val="center"/>
              <w:rPr>
                <w:rFonts w:ascii="宋体" w:hAnsi="宋体"/>
                <w:color w:val="auto"/>
                <w:sz w:val="18"/>
                <w:szCs w:val="18"/>
                <w:highlight w:val="none"/>
              </w:rPr>
            </w:pPr>
            <w:r>
              <w:rPr>
                <w:rFonts w:hint="eastAsia" w:ascii="宋体" w:hAnsi="宋体"/>
                <w:color w:val="auto"/>
                <w:sz w:val="18"/>
                <w:szCs w:val="18"/>
                <w:highlight w:val="none"/>
              </w:rPr>
              <w:t>资产总额（Z）</w:t>
            </w:r>
          </w:p>
        </w:tc>
        <w:tc>
          <w:tcPr>
            <w:tcW w:w="1668" w:type="dxa"/>
            <w:vAlign w:val="center"/>
          </w:tcPr>
          <w:p w14:paraId="560C1D7D">
            <w:pPr>
              <w:jc w:val="center"/>
              <w:rPr>
                <w:rFonts w:ascii="宋体" w:hAnsi="宋体"/>
                <w:color w:val="auto"/>
                <w:sz w:val="18"/>
                <w:szCs w:val="18"/>
                <w:highlight w:val="none"/>
              </w:rPr>
            </w:pPr>
            <w:r>
              <w:rPr>
                <w:rFonts w:hint="eastAsia" w:ascii="宋体" w:hAnsi="宋体"/>
                <w:color w:val="auto"/>
                <w:sz w:val="18"/>
                <w:szCs w:val="18"/>
                <w:highlight w:val="none"/>
              </w:rPr>
              <w:t>万元</w:t>
            </w:r>
          </w:p>
        </w:tc>
        <w:tc>
          <w:tcPr>
            <w:tcW w:w="1668" w:type="dxa"/>
            <w:vAlign w:val="center"/>
          </w:tcPr>
          <w:p w14:paraId="073B22A0">
            <w:pPr>
              <w:jc w:val="center"/>
              <w:rPr>
                <w:rFonts w:ascii="宋体" w:hAnsi="宋体"/>
                <w:color w:val="auto"/>
                <w:sz w:val="18"/>
                <w:szCs w:val="18"/>
                <w:highlight w:val="none"/>
              </w:rPr>
            </w:pPr>
            <w:r>
              <w:rPr>
                <w:rFonts w:hint="eastAsia" w:ascii="宋体" w:hAnsi="宋体"/>
                <w:color w:val="auto"/>
                <w:sz w:val="18"/>
                <w:szCs w:val="18"/>
                <w:highlight w:val="none"/>
              </w:rPr>
              <w:t>8000≤Z＜120000</w:t>
            </w:r>
          </w:p>
        </w:tc>
        <w:tc>
          <w:tcPr>
            <w:tcW w:w="1668" w:type="dxa"/>
            <w:vAlign w:val="center"/>
          </w:tcPr>
          <w:p w14:paraId="4D6C23E2">
            <w:pPr>
              <w:jc w:val="center"/>
              <w:rPr>
                <w:rFonts w:ascii="宋体" w:hAnsi="宋体"/>
                <w:color w:val="auto"/>
                <w:sz w:val="18"/>
                <w:szCs w:val="18"/>
                <w:highlight w:val="none"/>
              </w:rPr>
            </w:pPr>
            <w:r>
              <w:rPr>
                <w:rFonts w:hint="eastAsia" w:ascii="宋体" w:hAnsi="宋体"/>
                <w:color w:val="auto"/>
                <w:sz w:val="18"/>
                <w:szCs w:val="18"/>
                <w:highlight w:val="none"/>
              </w:rPr>
              <w:t>100≤Z＜8000</w:t>
            </w:r>
          </w:p>
        </w:tc>
        <w:tc>
          <w:tcPr>
            <w:tcW w:w="1660" w:type="dxa"/>
            <w:vAlign w:val="center"/>
          </w:tcPr>
          <w:p w14:paraId="527D47A0">
            <w:pPr>
              <w:jc w:val="center"/>
              <w:rPr>
                <w:rFonts w:ascii="宋体" w:hAnsi="宋体"/>
                <w:color w:val="auto"/>
                <w:sz w:val="18"/>
                <w:szCs w:val="18"/>
                <w:highlight w:val="none"/>
              </w:rPr>
            </w:pPr>
            <w:r>
              <w:rPr>
                <w:rFonts w:hint="eastAsia" w:ascii="宋体" w:hAnsi="宋体"/>
                <w:color w:val="auto"/>
                <w:sz w:val="18"/>
                <w:szCs w:val="18"/>
                <w:highlight w:val="none"/>
              </w:rPr>
              <w:t>Y＜100</w:t>
            </w:r>
          </w:p>
        </w:tc>
      </w:tr>
      <w:tr w14:paraId="50CC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64" w:type="dxa"/>
            <w:vAlign w:val="center"/>
          </w:tcPr>
          <w:p w14:paraId="3E616B04">
            <w:pPr>
              <w:jc w:val="center"/>
              <w:rPr>
                <w:rFonts w:ascii="宋体" w:hAnsi="宋体"/>
                <w:b/>
                <w:color w:val="auto"/>
                <w:sz w:val="18"/>
                <w:szCs w:val="18"/>
                <w:highlight w:val="none"/>
              </w:rPr>
            </w:pPr>
            <w:r>
              <w:rPr>
                <w:rFonts w:hint="eastAsia" w:ascii="宋体" w:hAnsi="宋体"/>
                <w:b/>
                <w:color w:val="auto"/>
                <w:sz w:val="18"/>
                <w:szCs w:val="18"/>
                <w:highlight w:val="none"/>
              </w:rPr>
              <w:t>其他未列明行业</w:t>
            </w:r>
          </w:p>
        </w:tc>
        <w:tc>
          <w:tcPr>
            <w:tcW w:w="1568" w:type="dxa"/>
            <w:vAlign w:val="center"/>
          </w:tcPr>
          <w:p w14:paraId="30FE5A3C">
            <w:pPr>
              <w:jc w:val="center"/>
              <w:rPr>
                <w:rFonts w:ascii="宋体" w:hAnsi="宋体"/>
                <w:color w:val="auto"/>
                <w:sz w:val="18"/>
                <w:szCs w:val="18"/>
                <w:highlight w:val="none"/>
              </w:rPr>
            </w:pPr>
            <w:r>
              <w:rPr>
                <w:rFonts w:hint="eastAsia" w:ascii="宋体" w:hAnsi="宋体"/>
                <w:color w:val="auto"/>
                <w:sz w:val="18"/>
                <w:szCs w:val="18"/>
                <w:highlight w:val="none"/>
              </w:rPr>
              <w:t>从业人员（X）</w:t>
            </w:r>
          </w:p>
        </w:tc>
        <w:tc>
          <w:tcPr>
            <w:tcW w:w="1668" w:type="dxa"/>
            <w:vAlign w:val="center"/>
          </w:tcPr>
          <w:p w14:paraId="1FCDA0F3">
            <w:pPr>
              <w:jc w:val="center"/>
              <w:rPr>
                <w:rFonts w:ascii="宋体" w:hAnsi="宋体"/>
                <w:color w:val="auto"/>
                <w:sz w:val="18"/>
                <w:szCs w:val="18"/>
                <w:highlight w:val="none"/>
              </w:rPr>
            </w:pPr>
            <w:r>
              <w:rPr>
                <w:rFonts w:hint="eastAsia" w:ascii="宋体" w:hAnsi="宋体"/>
                <w:color w:val="auto"/>
                <w:sz w:val="18"/>
                <w:szCs w:val="18"/>
                <w:highlight w:val="none"/>
              </w:rPr>
              <w:t>人</w:t>
            </w:r>
          </w:p>
        </w:tc>
        <w:tc>
          <w:tcPr>
            <w:tcW w:w="1668" w:type="dxa"/>
            <w:vAlign w:val="center"/>
          </w:tcPr>
          <w:p w14:paraId="1A3926F8">
            <w:pPr>
              <w:jc w:val="center"/>
              <w:rPr>
                <w:rFonts w:ascii="宋体" w:hAnsi="宋体"/>
                <w:color w:val="auto"/>
                <w:sz w:val="18"/>
                <w:szCs w:val="18"/>
                <w:highlight w:val="none"/>
              </w:rPr>
            </w:pPr>
            <w:r>
              <w:rPr>
                <w:rFonts w:hint="eastAsia" w:ascii="宋体" w:hAnsi="宋体"/>
                <w:color w:val="auto"/>
                <w:sz w:val="18"/>
                <w:szCs w:val="18"/>
                <w:highlight w:val="none"/>
              </w:rPr>
              <w:t>100≤X＜300</w:t>
            </w:r>
          </w:p>
        </w:tc>
        <w:tc>
          <w:tcPr>
            <w:tcW w:w="1668" w:type="dxa"/>
            <w:vAlign w:val="center"/>
          </w:tcPr>
          <w:p w14:paraId="67AAF559">
            <w:pPr>
              <w:jc w:val="center"/>
              <w:rPr>
                <w:rFonts w:ascii="宋体" w:hAnsi="宋体"/>
                <w:color w:val="auto"/>
                <w:sz w:val="18"/>
                <w:szCs w:val="18"/>
                <w:highlight w:val="none"/>
              </w:rPr>
            </w:pPr>
            <w:r>
              <w:rPr>
                <w:rFonts w:hint="eastAsia" w:ascii="宋体" w:hAnsi="宋体"/>
                <w:color w:val="auto"/>
                <w:sz w:val="18"/>
                <w:szCs w:val="18"/>
                <w:highlight w:val="none"/>
              </w:rPr>
              <w:t>10≤X＜100</w:t>
            </w:r>
          </w:p>
        </w:tc>
        <w:tc>
          <w:tcPr>
            <w:tcW w:w="1660" w:type="dxa"/>
            <w:vAlign w:val="center"/>
          </w:tcPr>
          <w:p w14:paraId="1F0E6F22">
            <w:pPr>
              <w:jc w:val="center"/>
              <w:rPr>
                <w:rFonts w:ascii="宋体" w:hAnsi="宋体"/>
                <w:color w:val="auto"/>
                <w:sz w:val="18"/>
                <w:szCs w:val="18"/>
                <w:highlight w:val="none"/>
              </w:rPr>
            </w:pPr>
            <w:r>
              <w:rPr>
                <w:rFonts w:hint="eastAsia" w:ascii="宋体" w:hAnsi="宋体"/>
                <w:color w:val="auto"/>
                <w:sz w:val="18"/>
                <w:szCs w:val="18"/>
                <w:highlight w:val="none"/>
              </w:rPr>
              <w:t>X＜10</w:t>
            </w:r>
          </w:p>
        </w:tc>
      </w:tr>
    </w:tbl>
    <w:p w14:paraId="764F1DAD">
      <w:pPr>
        <w:spacing w:line="360" w:lineRule="auto"/>
        <w:rPr>
          <w:rFonts w:ascii="宋体" w:hAnsi="宋体"/>
          <w:color w:val="auto"/>
          <w:szCs w:val="21"/>
          <w:highlight w:val="none"/>
        </w:rPr>
      </w:pPr>
      <w:r>
        <w:rPr>
          <w:rFonts w:hint="eastAsia" w:ascii="宋体" w:hAnsi="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AF97E9D">
      <w:pPr>
        <w:pStyle w:val="2"/>
        <w:jc w:val="center"/>
        <w:rPr>
          <w:rFonts w:ascii="宋体" w:hAnsi="宋体"/>
          <w:color w:val="auto"/>
          <w:highlight w:val="none"/>
        </w:rPr>
        <w:sectPr>
          <w:pgSz w:w="11906" w:h="16838"/>
          <w:pgMar w:top="1440" w:right="1080" w:bottom="1440" w:left="1080" w:header="851" w:footer="992" w:gutter="0"/>
          <w:cols w:space="425" w:num="1"/>
          <w:docGrid w:type="lines" w:linePitch="312" w:charSpace="0"/>
        </w:sectPr>
      </w:pPr>
    </w:p>
    <w:p w14:paraId="64523F2C">
      <w:pPr>
        <w:pStyle w:val="2"/>
        <w:jc w:val="center"/>
        <w:rPr>
          <w:rFonts w:ascii="宋体" w:hAnsi="宋体"/>
          <w:color w:val="auto"/>
          <w:highlight w:val="none"/>
        </w:rPr>
      </w:pPr>
      <w:bookmarkStart w:id="23" w:name="_Toc24979"/>
      <w:bookmarkStart w:id="24" w:name="_Toc19590"/>
      <w:r>
        <w:rPr>
          <w:rFonts w:hint="eastAsia" w:ascii="宋体" w:hAnsi="宋体"/>
          <w:color w:val="auto"/>
          <w:highlight w:val="none"/>
        </w:rPr>
        <w:t>第四</w:t>
      </w:r>
      <w:r>
        <w:rPr>
          <w:rFonts w:hint="eastAsia" w:ascii="宋体" w:hAnsi="宋体"/>
          <w:color w:val="auto"/>
          <w:spacing w:val="100"/>
          <w:highlight w:val="none"/>
        </w:rPr>
        <w:t>章</w:t>
      </w:r>
      <w:r>
        <w:rPr>
          <w:rFonts w:hint="eastAsia" w:ascii="宋体" w:hAnsi="宋体"/>
          <w:color w:val="auto"/>
          <w:highlight w:val="none"/>
        </w:rPr>
        <w:t>评审程序、评审方法和评审标准</w:t>
      </w:r>
      <w:bookmarkEnd w:id="23"/>
      <w:bookmarkEnd w:id="24"/>
    </w:p>
    <w:p w14:paraId="24F69749">
      <w:pPr>
        <w:pStyle w:val="3"/>
        <w:jc w:val="center"/>
        <w:rPr>
          <w:color w:val="auto"/>
          <w:highlight w:val="none"/>
        </w:rPr>
      </w:pPr>
      <w:bookmarkStart w:id="25" w:name="_Toc8745"/>
      <w:bookmarkStart w:id="26" w:name="_Toc16038"/>
      <w:r>
        <w:rPr>
          <w:rFonts w:hint="eastAsia"/>
          <w:color w:val="auto"/>
          <w:highlight w:val="none"/>
        </w:rPr>
        <w:t>一、评审程序和评审方法</w:t>
      </w:r>
      <w:bookmarkEnd w:id="25"/>
      <w:bookmarkEnd w:id="26"/>
    </w:p>
    <w:p w14:paraId="2CFD2AA0">
      <w:pPr>
        <w:spacing w:line="360" w:lineRule="auto"/>
        <w:ind w:firstLine="482" w:firstLineChars="200"/>
        <w:contextualSpacing/>
        <w:rPr>
          <w:rFonts w:ascii="黑体" w:hAnsi="黑体" w:eastAsia="黑体"/>
          <w:b/>
          <w:bCs/>
          <w:color w:val="auto"/>
          <w:sz w:val="24"/>
          <w:highlight w:val="none"/>
        </w:rPr>
      </w:pPr>
      <w:r>
        <w:rPr>
          <w:rFonts w:ascii="黑体" w:hAnsi="黑体" w:eastAsia="黑体"/>
          <w:b/>
          <w:bCs/>
          <w:color w:val="auto"/>
          <w:sz w:val="24"/>
          <w:highlight w:val="none"/>
        </w:rPr>
        <w:t>1</w:t>
      </w:r>
      <w:r>
        <w:rPr>
          <w:rFonts w:hint="eastAsia" w:ascii="黑体" w:hAnsi="黑体" w:eastAsia="黑体"/>
          <w:b/>
          <w:bCs/>
          <w:color w:val="auto"/>
          <w:sz w:val="24"/>
          <w:highlight w:val="none"/>
        </w:rPr>
        <w:t>.确认谈判文件</w:t>
      </w:r>
    </w:p>
    <w:p w14:paraId="18931243">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由谈判小组确认谈判文件。</w:t>
      </w:r>
    </w:p>
    <w:p w14:paraId="20C87ACB">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2.资格审查</w:t>
      </w:r>
    </w:p>
    <w:p w14:paraId="64390B4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2.1响应文件开启后，谈判小组依法对供应商的资格证明文件进行审查。</w:t>
      </w:r>
    </w:p>
    <w:p w14:paraId="7438BE4E">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注：采购人或者采购代理机构在资格审查结束前，对供应商进行信用查询。</w:t>
      </w:r>
    </w:p>
    <w:p w14:paraId="5F68380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（1）查询渠道：广西政府采购云平台“信用中国”网站（www.creditchina.gov.cn）、中国政府采购网（www.ccgp.gov.cn）链接入口。</w:t>
      </w:r>
    </w:p>
    <w:p w14:paraId="37647AB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（2）信用查询截止时点：资格审查结束前。</w:t>
      </w:r>
    </w:p>
    <w:p w14:paraId="063E2EB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（3）查询记录和证据留存方式：在查询网站中直接查询，截图另存为电子文档作为评审资料保存。</w:t>
      </w:r>
    </w:p>
    <w:p w14:paraId="7BB3C7E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2933460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1.2资格审查标准为本谈判文件中载明对供应商资格要求的条件。资格审查采用合格制，凡符合谈判文件规定的供应商资格要求的响应文件均通过资格审查。</w:t>
      </w:r>
    </w:p>
    <w:p w14:paraId="078F62C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1.3供应商有下列情形之一的，资格审查不通过，其响应文件按无效处理：</w:t>
      </w:r>
    </w:p>
    <w:p w14:paraId="51C8531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（1）不具备谈判文件中规定的资格要求的；</w:t>
      </w:r>
    </w:p>
    <w:p w14:paraId="4E863DC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（2）未按谈判文件规定的方式获取本谈判文件的；</w:t>
      </w:r>
    </w:p>
    <w:p w14:paraId="6E6F4B7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（3）响应文件的资格证明文件缺少任一项“供应商须知前附表”资格证明文件规定的“必须提供”的文件资料的；</w:t>
      </w:r>
    </w:p>
    <w:p w14:paraId="58EAE62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（4）响应文件中的资格证明文件出现任一项不符合“供应商须知前附表”资格证明文件规定的“必须提供”的文件资料要求或者无效的；</w:t>
      </w:r>
    </w:p>
    <w:p w14:paraId="6FC1324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1AA68A9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1.4通过资格审查的合格供应商不足3家的，不得进入符合性审查环节，应当重新开展采购活动。</w:t>
      </w:r>
    </w:p>
    <w:p w14:paraId="314EF8C6">
      <w:pPr>
        <w:spacing w:line="360" w:lineRule="auto"/>
        <w:ind w:firstLine="482" w:firstLineChars="200"/>
        <w:rPr>
          <w:rFonts w:ascii="宋体" w:hAnsi="宋体"/>
          <w:b/>
          <w:bCs/>
          <w:color w:val="auto"/>
          <w:sz w:val="24"/>
          <w:highlight w:val="none"/>
        </w:rPr>
      </w:pPr>
      <w:bookmarkStart w:id="27" w:name="_Toc547"/>
      <w:r>
        <w:rPr>
          <w:rFonts w:hint="eastAsia" w:ascii="宋体" w:hAnsi="宋体"/>
          <w:b/>
          <w:bCs/>
          <w:color w:val="auto"/>
          <w:sz w:val="24"/>
          <w:highlight w:val="none"/>
        </w:rPr>
        <w:t>3.符合性审查</w:t>
      </w:r>
    </w:p>
    <w:p w14:paraId="0EDC95E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3.1由谈判小组对通过资格审查的合格供应商的响应文件的竞标报价、商务、技术等实质性要求进行符合性审查，以确定其是否满足谈判文件的实质性要求。</w:t>
      </w:r>
    </w:p>
    <w:p w14:paraId="6AAC1B5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F9232B3">
      <w:pPr>
        <w:spacing w:line="360" w:lineRule="auto"/>
        <w:ind w:firstLine="420" w:firstLineChars="200"/>
        <w:rPr>
          <w:rFonts w:ascii="宋体" w:hAnsi="宋体"/>
          <w:color w:val="auto"/>
          <w:spacing w:val="-6"/>
          <w:szCs w:val="21"/>
          <w:highlight w:val="none"/>
        </w:rPr>
      </w:pPr>
      <w:r>
        <w:rPr>
          <w:rFonts w:hint="eastAsia" w:ascii="宋体" w:hAnsi="宋体"/>
          <w:color w:val="auto"/>
          <w:szCs w:val="21"/>
          <w:highlight w:val="none"/>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hint="eastAsia" w:ascii="宋体" w:hAnsi="宋体"/>
          <w:color w:val="auto"/>
          <w:spacing w:val="-6"/>
          <w:szCs w:val="21"/>
          <w:highlight w:val="none"/>
        </w:rPr>
        <w:t>。供应商为自然人的，必须由本人签字并附身份证明。</w:t>
      </w:r>
    </w:p>
    <w:p w14:paraId="39E28F86">
      <w:pPr>
        <w:spacing w:line="360" w:lineRule="auto"/>
        <w:ind w:firstLine="396" w:firstLineChars="200"/>
        <w:rPr>
          <w:rFonts w:ascii="宋体" w:hAnsi="宋体"/>
          <w:color w:val="auto"/>
          <w:szCs w:val="21"/>
          <w:highlight w:val="none"/>
        </w:rPr>
      </w:pPr>
      <w:r>
        <w:rPr>
          <w:rFonts w:hint="eastAsia" w:ascii="宋体" w:hAnsi="宋体"/>
          <w:color w:val="auto"/>
          <w:spacing w:val="-6"/>
          <w:szCs w:val="21"/>
          <w:highlight w:val="none"/>
        </w:rPr>
        <w:t>3.4</w:t>
      </w:r>
      <w:r>
        <w:rPr>
          <w:rFonts w:hint="eastAsia" w:ascii="宋体" w:hAnsi="宋体"/>
          <w:color w:val="auto"/>
          <w:szCs w:val="21"/>
          <w:highlight w:val="none"/>
        </w:rPr>
        <w:t xml:space="preserve">首次响应文件报价出现前后不一致的，按照下列规定修正： </w:t>
      </w:r>
    </w:p>
    <w:p w14:paraId="475E784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（1）响应文件中报价表内容与响应文件中相应内容不一致的，以报价表为准；</w:t>
      </w:r>
    </w:p>
    <w:p w14:paraId="19BBD95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（2）大写金额和小写金额不一致的，以大写金额为准；</w:t>
      </w:r>
    </w:p>
    <w:p w14:paraId="50F2B95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（3）单价金额小数点或者百分比有明显错位的，以报价表的总价为准，并修改单价；</w:t>
      </w:r>
    </w:p>
    <w:p w14:paraId="2BC550F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（4）总价金额与按单价汇总金额不一致的，以单价金额计算结果为准。</w:t>
      </w:r>
    </w:p>
    <w:p w14:paraId="3827737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同时出现两种以上不一致的，按照以上（1）-（4）规定的顺序逐条进行修正。修正后的报价经供应商确认后产生约束力，供应商不确认的，其响应文件按无效响应处理。</w:t>
      </w:r>
    </w:p>
    <w:p w14:paraId="7C6121A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3.5商务技术、报价评审</w:t>
      </w:r>
    </w:p>
    <w:p w14:paraId="1660971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在评审时，如发现下列情形之一的，将被视为响应文件无效处理：</w:t>
      </w:r>
    </w:p>
    <w:p w14:paraId="34623C3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（1）商务技术评审</w:t>
      </w:r>
    </w:p>
    <w:p w14:paraId="6EB113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1）响应文件未按谈判文件要求签署、盖章的；</w:t>
      </w:r>
    </w:p>
    <w:p w14:paraId="1EF6EF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2）委托代理人未能出具有效身份证明或者出具的身份证明与授权委托书中的信息不符的； </w:t>
      </w:r>
    </w:p>
    <w:p w14:paraId="527B4F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3）提交的谈判保证金无效的或者未按照谈判文件的规定提交谈判保证金；</w:t>
      </w:r>
    </w:p>
    <w:p w14:paraId="077561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4）响应文件未提供任一项“供应商须知前附表”报价商务技术文件中“必须提供”或者“委托时必须提供”的文件资料；响应文件提供的报价商务技术文件出现任一项不符合“供应商须知前附表”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533435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5）商务条款中标“▲”的条款发生负偏离的或者允许负偏离的条款数超过“供应商须知前附表”规定项数的或者标明实质性的要求发生负偏离；</w:t>
      </w:r>
    </w:p>
    <w:p w14:paraId="4672EF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6）未对竞标有效期作出响应或者响应文件承诺的竞标有效期不满足谈判文件要求；</w:t>
      </w:r>
    </w:p>
    <w:p w14:paraId="3C1243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7）响应文件的实质性内容未使用中文表述、使用计量单位不符合谈判文件要求的；</w:t>
      </w:r>
    </w:p>
    <w:p w14:paraId="1E0C9B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8）响应文件中的文件资料因填写不齐全或者内容虚假或者出现其他情形而导致被谈判小组认定无效的；</w:t>
      </w:r>
    </w:p>
    <w:p w14:paraId="2F5C49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9）响应文件含有采购人不能接受的附加条件的；</w:t>
      </w:r>
    </w:p>
    <w:p w14:paraId="5047A4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10）属于“供应商须知正文”第7.</w:t>
      </w:r>
      <w:r>
        <w:rPr>
          <w:rFonts w:ascii="宋体" w:hAnsi="宋体" w:cs="宋体"/>
          <w:color w:val="auto"/>
          <w:szCs w:val="21"/>
          <w:highlight w:val="none"/>
        </w:rPr>
        <w:t>5</w:t>
      </w:r>
      <w:r>
        <w:rPr>
          <w:rFonts w:hint="eastAsia" w:ascii="宋体" w:hAnsi="宋体" w:cs="宋体"/>
          <w:color w:val="auto"/>
          <w:szCs w:val="21"/>
          <w:highlight w:val="none"/>
        </w:rPr>
        <w:t>条的情形的；</w:t>
      </w:r>
    </w:p>
    <w:p w14:paraId="40D70A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11）技术评审允许负偏离的条款数超过“供应商须知前附表”规定项数的；</w:t>
      </w:r>
    </w:p>
    <w:p w14:paraId="3EA370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12）虚假竞标，或者出现其他情形而导致被谈判小组认定无效的；</w:t>
      </w:r>
    </w:p>
    <w:p w14:paraId="2D04749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bookmarkStart w:id="28" w:name="_Hlk71704147"/>
      <w:r>
        <w:rPr>
          <w:rFonts w:hint="eastAsia" w:ascii="宋体" w:hAnsi="宋体" w:cs="宋体"/>
          <w:color w:val="auto"/>
          <w:szCs w:val="21"/>
          <w:highlight w:val="none"/>
        </w:rPr>
        <w:t>谈判文件未载明允许提供备选（替代）竞标方案或明确不允许提供备选（替代）竞标方案时，供应商提供了备选（替代）竞标方案的；</w:t>
      </w:r>
      <w:bookmarkEnd w:id="28"/>
    </w:p>
    <w:p w14:paraId="46D3C89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4）响应文件标注的项目名称或者项目编号与谈判文件标注的项目名称或者项目编号不一致的；</w:t>
      </w:r>
    </w:p>
    <w:p w14:paraId="32FD0F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15）谈判文件明确不允许分包，响应文件拟分包的；</w:t>
      </w:r>
    </w:p>
    <w:p w14:paraId="5695729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6）未响应合同条款要求的；</w:t>
      </w:r>
    </w:p>
    <w:p w14:paraId="10BEB5A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17</w:t>
      </w:r>
      <w:r>
        <w:rPr>
          <w:rFonts w:hint="eastAsia" w:ascii="宋体" w:hAnsi="宋体" w:cs="宋体"/>
          <w:color w:val="auto"/>
          <w:szCs w:val="21"/>
          <w:highlight w:val="none"/>
        </w:rPr>
        <w:t xml:space="preserve">）未响应谈判文件实质性要求的； </w:t>
      </w:r>
    </w:p>
    <w:p w14:paraId="54ADA2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8</w:t>
      </w:r>
      <w:r>
        <w:rPr>
          <w:rFonts w:hint="eastAsia" w:ascii="宋体" w:hAnsi="宋体" w:cs="宋体"/>
          <w:color w:val="auto"/>
          <w:szCs w:val="21"/>
          <w:highlight w:val="none"/>
        </w:rPr>
        <w:t>）法律、法规和谈判文件规定的其他无效情形。</w:t>
      </w:r>
    </w:p>
    <w:p w14:paraId="2FBD71D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（2）报价评审</w:t>
      </w:r>
    </w:p>
    <w:p w14:paraId="6F1776A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响应文件未提供“供应商须知前附表” 报价文件中规定的“竞标报价表”的；</w:t>
      </w:r>
    </w:p>
    <w:p w14:paraId="73F33EC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2）未采用人民币报价或者未按照谈判文件标明的币种报价；</w:t>
      </w:r>
    </w:p>
    <w:p w14:paraId="31531A0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14:paraId="0C0A084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4）最后报价超过所竞标分标规定的采购预算金额或者最高限价的（如本项目公布了最高限价）；</w:t>
      </w:r>
    </w:p>
    <w:p w14:paraId="3222FB6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5）修正后的报价，供应商不确认的；或者经供应商确认修正后的最后报价超过所竞标分标规定的采购预算金额或者最高限价（如本项目公布了最高限价）。</w:t>
      </w:r>
    </w:p>
    <w:p w14:paraId="621D2E6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6）响应文件响应的标的数量及单位与竞争性谈判文件要求实质性不一致的。</w:t>
      </w:r>
    </w:p>
    <w:p w14:paraId="6B0663F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0DB7DDA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3E2D20F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.8除本章3.7条规定的情形外，通过符合性审查的合格供应商不足3家的，不得进入谈判环节，应当重新开展采购活动。</w:t>
      </w:r>
    </w:p>
    <w:p w14:paraId="7F710E59">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4.谈判程序</w:t>
      </w:r>
    </w:p>
    <w:p w14:paraId="0E37F47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谈判小组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3437299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7F484EC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对谈判文件作出的实质性变动是谈判文件的有效组成部分，谈判小组应当及时以书面形式同时通知所有参加谈判的供应商。</w:t>
      </w:r>
    </w:p>
    <w:p w14:paraId="25CA4DC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443384F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谈判中，谈判的任何一方不得透露与谈判有关的其他供应商的技术资料、价格和其他信息。</w:t>
      </w:r>
    </w:p>
    <w:p w14:paraId="0FBB9EDC">
      <w:pPr>
        <w:widowControl/>
        <w:tabs>
          <w:tab w:val="left" w:pos="540"/>
        </w:tabs>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采购代理机构对谈判过程和重要谈判内容进行记录。</w:t>
      </w:r>
    </w:p>
    <w:p w14:paraId="48C561A6">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除本章第3.7条外，对谈判过程提交的响应文件进行有效性、完整性和响应程度审查，通过审查的合格供应商不足3家的，采购人或者采购代理机构应当重新开展采购活动。</w:t>
      </w:r>
    </w:p>
    <w:p w14:paraId="284E6CBA">
      <w:pPr>
        <w:spacing w:line="360" w:lineRule="auto"/>
        <w:ind w:firstLine="482" w:firstLineChars="200"/>
        <w:rPr>
          <w:rFonts w:ascii="宋体" w:hAnsi="宋体"/>
          <w:color w:val="auto"/>
          <w:szCs w:val="21"/>
          <w:highlight w:val="none"/>
        </w:rPr>
      </w:pPr>
      <w:r>
        <w:rPr>
          <w:rFonts w:hint="eastAsia" w:ascii="宋体" w:hAnsi="宋体"/>
          <w:b/>
          <w:bCs/>
          <w:color w:val="auto"/>
          <w:sz w:val="24"/>
          <w:highlight w:val="none"/>
        </w:rPr>
        <w:t>5. 最后报价</w:t>
      </w:r>
    </w:p>
    <w:p w14:paraId="29A4A2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.1</w:t>
      </w:r>
      <w:r>
        <w:rPr>
          <w:rFonts w:hint="eastAsia" w:ascii="宋体" w:hAnsi="宋体" w:cs="宋体"/>
          <w:color w:val="auto"/>
          <w:szCs w:val="21"/>
          <w:highlight w:val="none"/>
        </w:rPr>
        <w:t>谈判文件能够详细列明采购标的的技术、服务要求的，谈判结束后，谈判小组应当要求所有继续参加谈判的供应商在规定时间内在</w:t>
      </w:r>
      <w:r>
        <w:rPr>
          <w:rFonts w:hint="eastAsia" w:hAnsi="宋体"/>
          <w:iCs/>
          <w:color w:val="auto"/>
          <w:highlight w:val="none"/>
        </w:rPr>
        <w:t>广西政府采购云平台</w:t>
      </w:r>
      <w:r>
        <w:rPr>
          <w:rFonts w:hint="eastAsia" w:ascii="宋体" w:hAnsi="宋体" w:cs="宋体"/>
          <w:color w:val="auto"/>
          <w:szCs w:val="21"/>
          <w:highlight w:val="none"/>
        </w:rPr>
        <w:t>开标大厅提交最后报价，除本章第3.7条外，提交最后报价的供应商不得少于3家，否则应当重新采购。</w:t>
      </w:r>
    </w:p>
    <w:p w14:paraId="2D4E803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谈判文件不能详细列明采购标的的技术、服务要求，需经谈判由供应商提供最后设计方案或者解决方案的，谈判结束后，谈判小组应当按照少数服从多数的原则投票推荐 3家以上供应商的设计方案或者解决方案，并要求其在规定时间内在</w:t>
      </w:r>
      <w:r>
        <w:rPr>
          <w:rFonts w:hint="eastAsia" w:hAnsi="宋体"/>
          <w:iCs/>
          <w:color w:val="auto"/>
          <w:highlight w:val="none"/>
        </w:rPr>
        <w:t>广西政府采购云平台</w:t>
      </w:r>
      <w:r>
        <w:rPr>
          <w:rFonts w:hint="eastAsia" w:ascii="宋体" w:hAnsi="宋体" w:cs="宋体"/>
          <w:color w:val="auto"/>
          <w:szCs w:val="21"/>
          <w:highlight w:val="none"/>
        </w:rPr>
        <w:t>开标大厅提交最后报价。</w:t>
      </w:r>
      <w:r>
        <w:rPr>
          <w:rFonts w:hint="eastAsia" w:ascii="宋体" w:hAnsi="宋体" w:cs="宋体"/>
          <w:b/>
          <w:color w:val="auto"/>
          <w:szCs w:val="21"/>
          <w:highlight w:val="none"/>
        </w:rPr>
        <w:t>如果供应商的最后报价与首次报价不一致的，不能只报竞标总报价，必须同时提供“已标价工程量清单”，否则作无效响应处理。</w:t>
      </w:r>
    </w:p>
    <w:p w14:paraId="636EEE9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最后报价是供应商响应文件的有效组成部分。</w:t>
      </w:r>
    </w:p>
    <w:p w14:paraId="30B1508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已经提交响应文件的供应商，在提交最后报价之前，可以根据谈判情况退出谈判。采购人、采购代理机构将退还退出谈判的供应商的保证金。</w:t>
      </w:r>
    </w:p>
    <w:p w14:paraId="04FE493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供应商未在规定时间内提交最后报价的，视为退出谈判，其响应文件作无效处理。</w:t>
      </w:r>
    </w:p>
    <w:p w14:paraId="240137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.6</w:t>
      </w:r>
      <w:r>
        <w:rPr>
          <w:rFonts w:hint="eastAsia" w:ascii="宋体" w:hAnsi="宋体" w:cs="宋体"/>
          <w:color w:val="auto"/>
          <w:szCs w:val="21"/>
          <w:highlight w:val="none"/>
        </w:rPr>
        <w:t>最后报价统一开启后，谈判小组对最后报价进行有效性、完整性和响应程度的审查。</w:t>
      </w:r>
    </w:p>
    <w:p w14:paraId="15BC2B4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5.7</w:t>
      </w:r>
      <w:r>
        <w:rPr>
          <w:rFonts w:hint="eastAsia" w:ascii="宋体" w:hAnsi="宋体" w:cs="宋体"/>
          <w:color w:val="auto"/>
          <w:szCs w:val="21"/>
          <w:highlight w:val="none"/>
        </w:rPr>
        <w:t>最后报价出现前后不一致的，按照本章第3.4条的规定修正。</w:t>
      </w:r>
    </w:p>
    <w:p w14:paraId="1B5F64A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5.8</w:t>
      </w:r>
      <w:r>
        <w:rPr>
          <w:rFonts w:hint="eastAsia" w:ascii="宋体" w:hAnsi="宋体" w:cs="宋体"/>
          <w:color w:val="auto"/>
          <w:szCs w:val="21"/>
          <w:highlight w:val="none"/>
        </w:rPr>
        <w:t>修正后的报价出现下列情形的，按无效响应处理：</w:t>
      </w:r>
    </w:p>
    <w:p w14:paraId="6D8E15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1247B2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（2）经供应商确认修正后的竞标报价（包含首次报价、最后报价）超过所竞标标项（分标）规定的采购预算金额或者最高限价的（如本项目公布了最高限价）；</w:t>
      </w:r>
    </w:p>
    <w:p w14:paraId="05F93C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0AC0F57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5.9</w:t>
      </w:r>
      <w:r>
        <w:rPr>
          <w:rFonts w:hint="eastAsia" w:ascii="宋体" w:hAnsi="宋体" w:cs="宋体"/>
          <w:color w:val="auto"/>
          <w:szCs w:val="21"/>
          <w:highlight w:val="none"/>
        </w:rPr>
        <w:t>经供应商确认修正后的最后报价作为评审及签订合同的依据。</w:t>
      </w:r>
    </w:p>
    <w:p w14:paraId="0BB75E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olor w:val="auto"/>
          <w:sz w:val="22"/>
          <w:szCs w:val="22"/>
          <w:highlight w:val="none"/>
        </w:rPr>
        <w:t>，谈判小组应当告知有关供应商</w:t>
      </w:r>
      <w:r>
        <w:rPr>
          <w:rFonts w:hint="eastAsia" w:ascii="宋体" w:hAnsi="宋体" w:cs="宋体"/>
          <w:color w:val="auto"/>
          <w:szCs w:val="21"/>
          <w:highlight w:val="none"/>
        </w:rPr>
        <w:t>。</w:t>
      </w:r>
    </w:p>
    <w:p w14:paraId="5EE8719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1最后报价结束后，谈判小组不得再与供应商进行任何形式的商谈。</w:t>
      </w:r>
    </w:p>
    <w:p w14:paraId="6677469B">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6. 最后报价政府采购政策性扣除</w:t>
      </w:r>
    </w:p>
    <w:p w14:paraId="795297C2">
      <w:pPr>
        <w:spacing w:line="360" w:lineRule="auto"/>
        <w:ind w:firstLine="380" w:firstLineChars="181"/>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6.1政策性扣除计算方法。</w:t>
      </w:r>
    </w:p>
    <w:p w14:paraId="75F93A7F">
      <w:pPr>
        <w:spacing w:line="360" w:lineRule="auto"/>
        <w:ind w:firstLine="380" w:firstLineChars="181"/>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本项目为专门面对中小企业项目，按照&lt;&lt;政府采购促进中小企业发展管理办法&gt;&gt;(财库(2020)46号)规定，中小企业、监狱企业、残疾人福利性单位不再执行价格评审优惠的扶持政策。</w:t>
      </w:r>
    </w:p>
    <w:p w14:paraId="26A242E7">
      <w:pPr>
        <w:spacing w:line="360" w:lineRule="auto"/>
        <w:ind w:firstLine="380" w:firstLineChars="181"/>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按照&lt;&lt;财政部、司法部关于政府采购支持监狱企业发展有关问题的通知&gt;&gt;(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1B8068A">
      <w:pPr>
        <w:spacing w:line="360" w:lineRule="auto"/>
        <w:ind w:firstLine="380" w:firstLineChars="181"/>
        <w:rPr>
          <w:rFonts w:hint="eastAsia" w:ascii="宋体" w:hAnsi="宋体" w:eastAsia="宋体" w:cs="宋体"/>
          <w:color w:val="auto"/>
          <w:szCs w:val="21"/>
          <w:highlight w:val="none"/>
        </w:rPr>
      </w:pPr>
      <w:r>
        <w:rPr>
          <w:rFonts w:hint="eastAsia" w:ascii="宋体" w:hAnsi="宋体" w:eastAsia="宋体" w:cs="宋体"/>
          <w:color w:val="auto"/>
          <w:szCs w:val="21"/>
          <w:highlight w:val="none"/>
        </w:rPr>
        <w:t>6.3按照&lt;&lt;关于促进残疾人就业政府采购政策的通知&gt;&gt;(财库〔2017)141号)的规定，残疾人福利性单位视同小型、微型企业，享受预留份额、评审中价格扣除等促进中小企业发展的政府采购政策。残疾人福利性单位参加政府采购活动时，应当提供该通知规定的&lt;&lt;残疾人福利性单位声明函&gt;&gt;，并对声明的真实性负责。残疾人福利性单位属于小型、微型企业的，不重复享受政策。</w:t>
      </w:r>
    </w:p>
    <w:p w14:paraId="126F497D">
      <w:pPr>
        <w:spacing w:line="360" w:lineRule="auto"/>
        <w:ind w:firstLine="436" w:firstLineChars="181"/>
        <w:rPr>
          <w:rFonts w:ascii="宋体" w:hAnsi="宋体"/>
          <w:b/>
          <w:bCs/>
          <w:color w:val="auto"/>
          <w:sz w:val="24"/>
          <w:highlight w:val="none"/>
        </w:rPr>
      </w:pPr>
      <w:r>
        <w:rPr>
          <w:rFonts w:hint="eastAsia" w:ascii="宋体" w:hAnsi="宋体"/>
          <w:b/>
          <w:bCs/>
          <w:color w:val="auto"/>
          <w:sz w:val="24"/>
          <w:highlight w:val="none"/>
        </w:rPr>
        <w:t>7.评审复核</w:t>
      </w:r>
    </w:p>
    <w:p w14:paraId="079E564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7.1评审报告签署前，评审委员会要对评审结果进行复核，复核意见要体现在评审报告中。</w:t>
      </w:r>
    </w:p>
    <w:p w14:paraId="42571047">
      <w:pPr>
        <w:widowControl/>
        <w:spacing w:line="360" w:lineRule="auto"/>
        <w:ind w:firstLine="420" w:firstLineChars="200"/>
        <w:jc w:val="left"/>
        <w:rPr>
          <w:rFonts w:ascii="宋体" w:hAnsi="宋体"/>
          <w:color w:val="auto"/>
          <w:highlight w:val="none"/>
        </w:rPr>
      </w:pPr>
      <w:r>
        <w:rPr>
          <w:rFonts w:hint="eastAsia" w:ascii="宋体" w:hAnsi="宋体"/>
          <w:color w:val="auto"/>
          <w:kern w:val="0"/>
          <w:szCs w:val="21"/>
          <w:highlight w:val="none"/>
        </w:rPr>
        <w:t>7.2除资格性审查认定错误和价格计算错误外，采购人或者采购代理机构不得以任何理由组织重新评审。</w:t>
      </w:r>
    </w:p>
    <w:p w14:paraId="214F6396">
      <w:pPr>
        <w:pStyle w:val="3"/>
        <w:spacing w:before="0" w:after="0" w:line="360" w:lineRule="auto"/>
        <w:ind w:firstLine="640" w:firstLineChars="200"/>
        <w:jc w:val="center"/>
        <w:rPr>
          <w:rFonts w:ascii="宋体" w:hAnsi="宋体"/>
          <w:b w:val="0"/>
          <w:color w:val="auto"/>
          <w:highlight w:val="none"/>
        </w:rPr>
      </w:pPr>
      <w:r>
        <w:rPr>
          <w:rFonts w:hint="eastAsia" w:ascii="宋体" w:hAnsi="宋体"/>
          <w:b w:val="0"/>
          <w:color w:val="auto"/>
          <w:highlight w:val="none"/>
        </w:rPr>
        <w:t>二、</w:t>
      </w:r>
      <w:r>
        <w:rPr>
          <w:rFonts w:hint="eastAsia" w:ascii="宋体" w:hAnsi="宋体"/>
          <w:color w:val="auto"/>
          <w:highlight w:val="none"/>
        </w:rPr>
        <w:t>评定成交的标准</w:t>
      </w:r>
    </w:p>
    <w:p w14:paraId="24D22A56">
      <w:pPr>
        <w:spacing w:line="360" w:lineRule="auto"/>
        <w:ind w:firstLine="480" w:firstLineChars="200"/>
        <w:rPr>
          <w:rFonts w:ascii="宋体" w:hAnsi="宋体"/>
          <w:color w:val="auto"/>
          <w:sz w:val="24"/>
          <w:szCs w:val="32"/>
          <w:highlight w:val="none"/>
        </w:rPr>
      </w:pPr>
      <w:r>
        <w:rPr>
          <w:rFonts w:hint="eastAsia" w:ascii="宋体" w:hAnsi="宋体"/>
          <w:color w:val="auto"/>
          <w:sz w:val="24"/>
          <w:szCs w:val="32"/>
          <w:highlight w:val="none"/>
        </w:rPr>
        <w:t>1.</w:t>
      </w:r>
      <w:r>
        <w:rPr>
          <w:rFonts w:hint="eastAsia" w:ascii="黑体" w:hAnsi="黑体" w:eastAsia="黑体"/>
          <w:b/>
          <w:bCs/>
          <w:color w:val="auto"/>
          <w:sz w:val="24"/>
          <w:highlight w:val="none"/>
        </w:rPr>
        <w:t>成交候选人推荐原则</w:t>
      </w:r>
    </w:p>
    <w:p w14:paraId="5B894E50">
      <w:pPr>
        <w:spacing w:line="360" w:lineRule="auto"/>
        <w:ind w:firstLine="420" w:firstLineChars="200"/>
        <w:rPr>
          <w:rFonts w:ascii="宋体" w:hAnsi="宋体"/>
          <w:color w:val="auto"/>
          <w:sz w:val="24"/>
          <w:highlight w:val="none"/>
        </w:rPr>
      </w:pPr>
      <w:r>
        <w:rPr>
          <w:rFonts w:hint="eastAsia" w:ascii="宋体" w:hAnsi="宋体"/>
          <w:color w:val="auto"/>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26.2条规定的顺序推荐）,并在线编写电子评审报告。</w:t>
      </w:r>
    </w:p>
    <w:p w14:paraId="2ABB65DC">
      <w:pPr>
        <w:spacing w:line="360" w:lineRule="auto"/>
        <w:ind w:firstLine="480" w:firstLineChars="200"/>
        <w:rPr>
          <w:rFonts w:ascii="宋体" w:hAnsi="宋体"/>
          <w:color w:val="auto"/>
          <w:sz w:val="24"/>
          <w:szCs w:val="32"/>
          <w:highlight w:val="none"/>
        </w:rPr>
      </w:pPr>
      <w:r>
        <w:rPr>
          <w:rFonts w:hint="eastAsia" w:ascii="宋体" w:hAnsi="宋体"/>
          <w:color w:val="auto"/>
          <w:sz w:val="24"/>
          <w:szCs w:val="32"/>
          <w:highlight w:val="none"/>
        </w:rPr>
        <w:t>2.评标争议事项处理</w:t>
      </w:r>
    </w:p>
    <w:p w14:paraId="55076535">
      <w:pPr>
        <w:pStyle w:val="185"/>
        <w:spacing w:before="0"/>
        <w:ind w:firstLine="420"/>
        <w:rPr>
          <w:rFonts w:ascii="宋体" w:hAnsi="宋体"/>
          <w:color w:val="auto"/>
          <w:kern w:val="2"/>
          <w:sz w:val="21"/>
          <w:szCs w:val="24"/>
          <w:highlight w:val="none"/>
        </w:rPr>
      </w:pPr>
      <w:r>
        <w:rPr>
          <w:rFonts w:hint="eastAsia" w:ascii="宋体" w:hAnsi="宋体"/>
          <w:color w:val="auto"/>
          <w:kern w:val="2"/>
          <w:sz w:val="21"/>
          <w:szCs w:val="24"/>
          <w:highlight w:val="none"/>
        </w:rPr>
        <w:t>谈判小组成员对需要共同认定的事项存在争议的，应当按照少数服从多数的原则作出结论。持不同意见的谈判小组成员应当在评标报告上签署不同意见及理由，否则视为同意评标报告。</w:t>
      </w:r>
    </w:p>
    <w:p w14:paraId="34C59205">
      <w:pPr>
        <w:pStyle w:val="3"/>
        <w:spacing w:before="0" w:after="0" w:line="360" w:lineRule="auto"/>
        <w:ind w:firstLine="643" w:firstLineChars="200"/>
        <w:jc w:val="center"/>
        <w:rPr>
          <w:rFonts w:ascii="宋体" w:hAnsi="宋体"/>
          <w:bCs w:val="0"/>
          <w:color w:val="auto"/>
          <w:highlight w:val="none"/>
        </w:rPr>
      </w:pPr>
      <w:r>
        <w:rPr>
          <w:rFonts w:hint="eastAsia" w:ascii="宋体" w:hAnsi="宋体"/>
          <w:bCs w:val="0"/>
          <w:color w:val="auto"/>
          <w:highlight w:val="none"/>
        </w:rPr>
        <w:t>三、评审过程的保密与录像</w:t>
      </w:r>
    </w:p>
    <w:p w14:paraId="174A5FDC">
      <w:pPr>
        <w:spacing w:line="360" w:lineRule="auto"/>
        <w:ind w:firstLine="480" w:firstLineChars="200"/>
        <w:rPr>
          <w:rFonts w:ascii="宋体" w:hAnsi="宋体"/>
          <w:color w:val="auto"/>
          <w:sz w:val="24"/>
          <w:szCs w:val="32"/>
          <w:highlight w:val="none"/>
        </w:rPr>
      </w:pPr>
      <w:r>
        <w:rPr>
          <w:rFonts w:hint="eastAsia" w:ascii="宋体" w:hAnsi="宋体"/>
          <w:color w:val="auto"/>
          <w:sz w:val="24"/>
          <w:szCs w:val="32"/>
          <w:highlight w:val="none"/>
        </w:rPr>
        <w:t>1.保密。</w:t>
      </w:r>
    </w:p>
    <w:p w14:paraId="0852B5A4">
      <w:pPr>
        <w:widowControl/>
        <w:spacing w:line="360" w:lineRule="auto"/>
        <w:ind w:firstLine="420" w:firstLineChars="200"/>
        <w:rPr>
          <w:rFonts w:ascii="宋体" w:hAnsi="宋体"/>
          <w:color w:val="auto"/>
          <w:highlight w:val="none"/>
        </w:rPr>
      </w:pPr>
      <w:r>
        <w:rPr>
          <w:rFonts w:hint="eastAsia" w:ascii="宋体" w:hAnsi="宋体"/>
          <w:color w:val="auto"/>
          <w:highlight w:val="none"/>
        </w:rPr>
        <w:t>评审活动在严格保密的情况下进行。评审过程中凡是与采购响应文件评审和比较、中标成交供应商推荐等评审有关的情况，以及涉及国家秘密和商业秘密等信息，谈判小组成员、采购人和采购机构工作人员、相关监督人员等与评审有关的人员应当予以保密。</w:t>
      </w:r>
    </w:p>
    <w:p w14:paraId="286B2A22">
      <w:pPr>
        <w:widowControl/>
        <w:spacing w:line="360" w:lineRule="auto"/>
        <w:ind w:firstLine="480" w:firstLineChars="200"/>
        <w:rPr>
          <w:rFonts w:ascii="宋体" w:hAnsi="宋体"/>
          <w:color w:val="auto"/>
          <w:sz w:val="24"/>
          <w:szCs w:val="32"/>
          <w:highlight w:val="none"/>
        </w:rPr>
      </w:pPr>
      <w:r>
        <w:rPr>
          <w:rFonts w:hint="eastAsia" w:ascii="宋体" w:hAnsi="宋体"/>
          <w:color w:val="auto"/>
          <w:sz w:val="24"/>
          <w:szCs w:val="32"/>
          <w:highlight w:val="none"/>
        </w:rPr>
        <w:t>2.录音录像。</w:t>
      </w:r>
    </w:p>
    <w:p w14:paraId="603B63D7">
      <w:pPr>
        <w:widowControl/>
        <w:spacing w:line="360" w:lineRule="auto"/>
        <w:ind w:firstLine="420" w:firstLineChars="200"/>
        <w:rPr>
          <w:color w:val="auto"/>
          <w:highlight w:val="none"/>
        </w:rPr>
      </w:pPr>
      <w:r>
        <w:rPr>
          <w:rFonts w:hint="eastAsia"/>
          <w:color w:val="auto"/>
          <w:highlight w:val="none"/>
        </w:rPr>
        <w:t>采购代理机构对评审工作现场及操作屏幕进行全过程录音录像，录音录像资料作为采购项目文件随其他文件一并存档。</w:t>
      </w:r>
    </w:p>
    <w:p w14:paraId="5C274048">
      <w:pPr>
        <w:jc w:val="center"/>
        <w:outlineLvl w:val="9"/>
        <w:rPr>
          <w:rFonts w:ascii="宋体" w:hAnsi="宋体"/>
          <w:color w:val="auto"/>
          <w:highlight w:val="none"/>
        </w:rPr>
      </w:pPr>
    </w:p>
    <w:p w14:paraId="456F3629">
      <w:pPr>
        <w:rPr>
          <w:rFonts w:ascii="宋体" w:hAnsi="宋体"/>
          <w:color w:val="auto"/>
          <w:highlight w:val="none"/>
        </w:rPr>
      </w:pPr>
      <w:r>
        <w:rPr>
          <w:rFonts w:hint="eastAsia" w:ascii="宋体" w:hAnsi="宋体"/>
          <w:color w:val="auto"/>
          <w:highlight w:val="none"/>
        </w:rPr>
        <w:br w:type="page"/>
      </w:r>
    </w:p>
    <w:bookmarkEnd w:id="27"/>
    <w:p w14:paraId="2732FB01">
      <w:pPr>
        <w:pStyle w:val="2"/>
        <w:jc w:val="center"/>
        <w:rPr>
          <w:rFonts w:ascii="宋体" w:hAnsi="宋体"/>
          <w:color w:val="auto"/>
          <w:highlight w:val="none"/>
        </w:rPr>
      </w:pPr>
      <w:bookmarkStart w:id="29" w:name="_Toc17045"/>
      <w:bookmarkStart w:id="30" w:name="_Toc32026"/>
      <w:r>
        <w:rPr>
          <w:rFonts w:hint="eastAsia" w:ascii="宋体" w:hAnsi="宋体"/>
          <w:color w:val="auto"/>
          <w:highlight w:val="none"/>
        </w:rPr>
        <w:t>第五</w:t>
      </w:r>
      <w:r>
        <w:rPr>
          <w:rFonts w:hint="eastAsia" w:ascii="宋体" w:hAnsi="宋体"/>
          <w:color w:val="auto"/>
          <w:spacing w:val="100"/>
          <w:highlight w:val="none"/>
        </w:rPr>
        <w:t>章</w:t>
      </w:r>
      <w:r>
        <w:rPr>
          <w:rFonts w:hint="eastAsia" w:ascii="宋体" w:hAnsi="宋体"/>
          <w:color w:val="auto"/>
          <w:highlight w:val="none"/>
        </w:rPr>
        <w:t>响应文件格式</w:t>
      </w:r>
      <w:bookmarkEnd w:id="29"/>
      <w:bookmarkEnd w:id="30"/>
    </w:p>
    <w:p w14:paraId="7599EB0A">
      <w:pPr>
        <w:pStyle w:val="3"/>
        <w:jc w:val="center"/>
        <w:rPr>
          <w:color w:val="auto"/>
          <w:highlight w:val="none"/>
        </w:rPr>
      </w:pPr>
      <w:bookmarkStart w:id="31" w:name="_Toc2894"/>
      <w:bookmarkStart w:id="32" w:name="_Toc19499"/>
      <w:r>
        <w:rPr>
          <w:rFonts w:hint="eastAsia"/>
          <w:color w:val="auto"/>
          <w:highlight w:val="none"/>
        </w:rPr>
        <w:t>一、资格证明文件格式</w:t>
      </w:r>
      <w:bookmarkEnd w:id="31"/>
      <w:bookmarkEnd w:id="32"/>
    </w:p>
    <w:p w14:paraId="033FCDE9">
      <w:pPr>
        <w:spacing w:line="360" w:lineRule="auto"/>
        <w:ind w:firstLine="420" w:firstLineChars="200"/>
        <w:rPr>
          <w:rFonts w:ascii="宋体" w:hAnsi="宋体"/>
          <w:color w:val="auto"/>
          <w:szCs w:val="21"/>
          <w:highlight w:val="none"/>
        </w:rPr>
      </w:pPr>
    </w:p>
    <w:p w14:paraId="1AEB2653">
      <w:pPr>
        <w:spacing w:line="360" w:lineRule="auto"/>
        <w:ind w:firstLine="420" w:firstLineChars="200"/>
        <w:rPr>
          <w:rFonts w:ascii="宋体" w:hAnsi="宋体"/>
          <w:color w:val="auto"/>
          <w:szCs w:val="21"/>
          <w:highlight w:val="none"/>
        </w:rPr>
      </w:pPr>
    </w:p>
    <w:p w14:paraId="0E183A40">
      <w:pPr>
        <w:spacing w:line="360" w:lineRule="auto"/>
        <w:jc w:val="center"/>
        <w:rPr>
          <w:rFonts w:ascii="宋体" w:hAnsi="宋体"/>
          <w:b/>
          <w:color w:val="auto"/>
          <w:sz w:val="84"/>
          <w:szCs w:val="84"/>
          <w:highlight w:val="none"/>
        </w:rPr>
      </w:pPr>
      <w:r>
        <w:rPr>
          <w:rFonts w:hint="eastAsia" w:ascii="宋体" w:hAnsi="宋体"/>
          <w:b/>
          <w:color w:val="auto"/>
          <w:sz w:val="84"/>
          <w:szCs w:val="84"/>
          <w:highlight w:val="none"/>
        </w:rPr>
        <w:t>资格证明文件（封面）</w:t>
      </w:r>
    </w:p>
    <w:p w14:paraId="15BF14A4">
      <w:pPr>
        <w:spacing w:line="360" w:lineRule="auto"/>
        <w:ind w:firstLine="420" w:firstLineChars="200"/>
        <w:rPr>
          <w:rFonts w:ascii="宋体" w:hAnsi="宋体"/>
          <w:color w:val="auto"/>
          <w:szCs w:val="21"/>
          <w:highlight w:val="none"/>
        </w:rPr>
      </w:pPr>
    </w:p>
    <w:p w14:paraId="01A4DF07">
      <w:pPr>
        <w:spacing w:line="360" w:lineRule="auto"/>
        <w:ind w:firstLine="420" w:firstLineChars="200"/>
        <w:rPr>
          <w:rFonts w:ascii="宋体" w:hAnsi="宋体"/>
          <w:color w:val="auto"/>
          <w:szCs w:val="21"/>
          <w:highlight w:val="none"/>
        </w:rPr>
      </w:pPr>
    </w:p>
    <w:p w14:paraId="30ACE0A3">
      <w:pPr>
        <w:spacing w:line="360" w:lineRule="auto"/>
        <w:ind w:firstLine="420" w:firstLineChars="200"/>
        <w:rPr>
          <w:rFonts w:ascii="宋体" w:hAnsi="宋体"/>
          <w:color w:val="auto"/>
          <w:szCs w:val="21"/>
          <w:highlight w:val="none"/>
        </w:rPr>
      </w:pPr>
    </w:p>
    <w:p w14:paraId="5B6E4CBF">
      <w:pPr>
        <w:spacing w:line="360" w:lineRule="auto"/>
        <w:ind w:firstLine="420" w:firstLineChars="200"/>
        <w:rPr>
          <w:rFonts w:ascii="宋体" w:hAnsi="宋体"/>
          <w:color w:val="auto"/>
          <w:szCs w:val="21"/>
          <w:highlight w:val="none"/>
        </w:rPr>
      </w:pPr>
    </w:p>
    <w:p w14:paraId="62FAD971">
      <w:pPr>
        <w:spacing w:line="360" w:lineRule="auto"/>
        <w:ind w:firstLine="420" w:firstLineChars="200"/>
        <w:rPr>
          <w:rFonts w:ascii="宋体" w:hAnsi="宋体"/>
          <w:color w:val="auto"/>
          <w:szCs w:val="21"/>
          <w:highlight w:val="none"/>
        </w:rPr>
      </w:pPr>
    </w:p>
    <w:p w14:paraId="0F45054B">
      <w:pPr>
        <w:spacing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项目名称：</w:t>
      </w:r>
    </w:p>
    <w:p w14:paraId="15136CEE">
      <w:pPr>
        <w:spacing w:line="360" w:lineRule="auto"/>
        <w:ind w:firstLine="420" w:firstLineChars="200"/>
        <w:rPr>
          <w:rFonts w:ascii="宋体" w:hAnsi="宋体"/>
          <w:color w:val="auto"/>
          <w:szCs w:val="21"/>
          <w:highlight w:val="none"/>
        </w:rPr>
      </w:pPr>
    </w:p>
    <w:p w14:paraId="4C36AB87">
      <w:pPr>
        <w:spacing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项目编号：</w:t>
      </w:r>
    </w:p>
    <w:p w14:paraId="63E6B5CE">
      <w:pPr>
        <w:spacing w:line="360" w:lineRule="auto"/>
        <w:ind w:firstLine="420" w:firstLineChars="200"/>
        <w:rPr>
          <w:rFonts w:ascii="宋体" w:hAnsi="宋体"/>
          <w:color w:val="auto"/>
          <w:szCs w:val="21"/>
          <w:highlight w:val="none"/>
        </w:rPr>
      </w:pPr>
    </w:p>
    <w:p w14:paraId="5A8C8B65">
      <w:pPr>
        <w:spacing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所竞分标（如有则填写，无分标时填写“无”或者留空）：</w:t>
      </w:r>
    </w:p>
    <w:p w14:paraId="60BD8B52">
      <w:pPr>
        <w:spacing w:line="360" w:lineRule="auto"/>
        <w:ind w:firstLine="420" w:firstLineChars="200"/>
        <w:rPr>
          <w:rFonts w:ascii="宋体" w:hAnsi="宋体"/>
          <w:color w:val="auto"/>
          <w:szCs w:val="21"/>
          <w:highlight w:val="none"/>
        </w:rPr>
      </w:pPr>
    </w:p>
    <w:p w14:paraId="39E6C2E0">
      <w:pPr>
        <w:spacing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供应商名称：</w:t>
      </w:r>
    </w:p>
    <w:p w14:paraId="50E564DA">
      <w:pPr>
        <w:spacing w:line="360" w:lineRule="auto"/>
        <w:ind w:firstLine="640" w:firstLineChars="200"/>
        <w:rPr>
          <w:rFonts w:ascii="宋体" w:hAnsi="宋体"/>
          <w:color w:val="auto"/>
          <w:sz w:val="32"/>
          <w:szCs w:val="32"/>
          <w:highlight w:val="none"/>
        </w:rPr>
      </w:pPr>
    </w:p>
    <w:p w14:paraId="15D2C626">
      <w:pPr>
        <w:spacing w:line="360" w:lineRule="auto"/>
        <w:ind w:firstLine="420" w:firstLineChars="200"/>
        <w:rPr>
          <w:rFonts w:ascii="宋体" w:hAnsi="宋体"/>
          <w:color w:val="auto"/>
          <w:szCs w:val="21"/>
          <w:highlight w:val="none"/>
        </w:rPr>
      </w:pPr>
    </w:p>
    <w:p w14:paraId="0C0256A5">
      <w:pPr>
        <w:spacing w:line="360" w:lineRule="auto"/>
        <w:ind w:firstLine="420" w:firstLineChars="200"/>
        <w:rPr>
          <w:rFonts w:ascii="宋体" w:hAnsi="宋体"/>
          <w:color w:val="auto"/>
          <w:szCs w:val="21"/>
          <w:highlight w:val="none"/>
        </w:rPr>
      </w:pPr>
    </w:p>
    <w:p w14:paraId="7EAE1CF1">
      <w:pPr>
        <w:spacing w:line="360" w:lineRule="auto"/>
        <w:ind w:firstLine="420" w:firstLineChars="200"/>
        <w:rPr>
          <w:rFonts w:ascii="宋体" w:hAnsi="宋体"/>
          <w:color w:val="auto"/>
          <w:szCs w:val="21"/>
          <w:highlight w:val="none"/>
        </w:rPr>
      </w:pPr>
    </w:p>
    <w:p w14:paraId="16E3DA53">
      <w:pPr>
        <w:spacing w:line="360" w:lineRule="auto"/>
        <w:jc w:val="center"/>
        <w:rPr>
          <w:rFonts w:ascii="宋体" w:hAnsi="宋体" w:cs="Times New Roman"/>
          <w:color w:val="auto"/>
          <w:sz w:val="32"/>
          <w:szCs w:val="32"/>
          <w:highlight w:val="none"/>
        </w:rPr>
      </w:pPr>
      <w:r>
        <w:rPr>
          <w:rFonts w:ascii="宋体" w:hAnsi="宋体" w:cs="Times New Roman"/>
          <w:color w:val="auto"/>
          <w:sz w:val="32"/>
          <w:szCs w:val="32"/>
          <w:highlight w:val="none"/>
          <w:u w:val="single"/>
        </w:rPr>
        <w:t xml:space="preserve">   </w:t>
      </w:r>
      <w:r>
        <w:rPr>
          <w:rFonts w:hint="eastAsia" w:ascii="宋体" w:hAnsi="宋体" w:cs="Times New Roman"/>
          <w:color w:val="auto"/>
          <w:sz w:val="32"/>
          <w:szCs w:val="32"/>
          <w:highlight w:val="none"/>
        </w:rPr>
        <w:t>年</w:t>
      </w:r>
      <w:r>
        <w:rPr>
          <w:rFonts w:ascii="宋体" w:hAnsi="宋体" w:cs="Times New Roman"/>
          <w:color w:val="auto"/>
          <w:sz w:val="32"/>
          <w:szCs w:val="32"/>
          <w:highlight w:val="none"/>
          <w:u w:val="single"/>
        </w:rPr>
        <w:t xml:space="preserve">   </w:t>
      </w:r>
      <w:r>
        <w:rPr>
          <w:rFonts w:hint="eastAsia" w:ascii="宋体" w:hAnsi="宋体" w:cs="Times New Roman"/>
          <w:color w:val="auto"/>
          <w:sz w:val="32"/>
          <w:szCs w:val="32"/>
          <w:highlight w:val="none"/>
        </w:rPr>
        <w:t>月</w:t>
      </w:r>
      <w:r>
        <w:rPr>
          <w:rFonts w:ascii="宋体" w:hAnsi="宋体" w:cs="Times New Roman"/>
          <w:color w:val="auto"/>
          <w:sz w:val="32"/>
          <w:szCs w:val="32"/>
          <w:highlight w:val="none"/>
          <w:u w:val="single"/>
        </w:rPr>
        <w:t xml:space="preserve">   </w:t>
      </w:r>
      <w:r>
        <w:rPr>
          <w:rFonts w:hint="eastAsia" w:ascii="宋体" w:hAnsi="宋体" w:cs="Times New Roman"/>
          <w:color w:val="auto"/>
          <w:sz w:val="32"/>
          <w:szCs w:val="32"/>
          <w:highlight w:val="none"/>
        </w:rPr>
        <w:t>日</w:t>
      </w:r>
    </w:p>
    <w:p w14:paraId="4B680418">
      <w:pPr>
        <w:spacing w:line="360" w:lineRule="auto"/>
        <w:ind w:firstLine="420" w:firstLineChars="200"/>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4A221D34">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资格证明文件目录</w:t>
      </w:r>
    </w:p>
    <w:p w14:paraId="160645C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根据谈判文件规定及供应商提供的材料自行编写目录（部分格式后附）。</w:t>
      </w:r>
    </w:p>
    <w:p w14:paraId="5F6D985B">
      <w:pPr>
        <w:spacing w:line="360" w:lineRule="auto"/>
        <w:ind w:firstLine="420" w:firstLineChars="200"/>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3ED1E1F1">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1、供应商为法人或者其他组织的，提供营业执照等证明文件复印件（如营业执照或者事业单位法人证书或者执业许可证等）</w:t>
      </w:r>
    </w:p>
    <w:p w14:paraId="5ADAB8AB">
      <w:pPr>
        <w:spacing w:line="360" w:lineRule="auto"/>
        <w:ind w:firstLine="420" w:firstLineChars="200"/>
        <w:rPr>
          <w:rFonts w:ascii="宋体" w:hAnsi="宋体"/>
          <w:color w:val="auto"/>
          <w:szCs w:val="21"/>
          <w:highlight w:val="none"/>
        </w:rPr>
      </w:pPr>
    </w:p>
    <w:p w14:paraId="62DCF507">
      <w:pPr>
        <w:spacing w:line="360" w:lineRule="auto"/>
        <w:ind w:firstLine="420" w:firstLineChars="200"/>
        <w:rPr>
          <w:rFonts w:ascii="宋体" w:hAnsi="宋体"/>
          <w:color w:val="auto"/>
          <w:szCs w:val="21"/>
          <w:highlight w:val="none"/>
        </w:rPr>
      </w:pPr>
    </w:p>
    <w:p w14:paraId="690D0448">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2、供应商依法缴纳税收的相关材料</w:t>
      </w:r>
    </w:p>
    <w:p w14:paraId="5BEE4CF3">
      <w:pPr>
        <w:spacing w:line="360" w:lineRule="auto"/>
        <w:jc w:val="center"/>
        <w:rPr>
          <w:rFonts w:ascii="宋体" w:hAnsi="宋体" w:cs="Times New Roman"/>
          <w:b/>
          <w:color w:val="auto"/>
          <w:sz w:val="32"/>
          <w:szCs w:val="32"/>
          <w:highlight w:val="none"/>
        </w:rPr>
      </w:pPr>
    </w:p>
    <w:p w14:paraId="1E490EFB">
      <w:pPr>
        <w:spacing w:line="360" w:lineRule="auto"/>
        <w:jc w:val="center"/>
        <w:rPr>
          <w:rFonts w:ascii="宋体" w:hAnsi="宋体" w:cs="Times New Roman"/>
          <w:b/>
          <w:color w:val="auto"/>
          <w:sz w:val="32"/>
          <w:szCs w:val="32"/>
          <w:highlight w:val="none"/>
        </w:rPr>
      </w:pPr>
    </w:p>
    <w:p w14:paraId="7F4B4C1D">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3.供应商依法缴纳社会保障资金的相关材料</w:t>
      </w:r>
    </w:p>
    <w:p w14:paraId="1BC2CBEE">
      <w:pPr>
        <w:spacing w:line="360" w:lineRule="auto"/>
        <w:ind w:firstLine="420" w:firstLineChars="200"/>
        <w:rPr>
          <w:rFonts w:ascii="宋体" w:hAnsi="宋体"/>
          <w:color w:val="auto"/>
          <w:szCs w:val="21"/>
          <w:highlight w:val="none"/>
        </w:rPr>
      </w:pPr>
    </w:p>
    <w:p w14:paraId="1510A5F2">
      <w:pPr>
        <w:spacing w:line="360" w:lineRule="auto"/>
        <w:jc w:val="center"/>
        <w:rPr>
          <w:rFonts w:ascii="宋体" w:hAnsi="宋体" w:cs="Times New Roman"/>
          <w:b/>
          <w:color w:val="auto"/>
          <w:sz w:val="32"/>
          <w:szCs w:val="32"/>
          <w:highlight w:val="none"/>
        </w:rPr>
      </w:pPr>
    </w:p>
    <w:p w14:paraId="687F1039">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4、供应商财务状况报告</w:t>
      </w:r>
    </w:p>
    <w:p w14:paraId="29598958">
      <w:pPr>
        <w:spacing w:line="360" w:lineRule="auto"/>
        <w:ind w:right="1575" w:rightChars="750"/>
        <w:jc w:val="right"/>
        <w:rPr>
          <w:rFonts w:ascii="宋体" w:hAnsi="宋体"/>
          <w:color w:val="auto"/>
          <w:szCs w:val="21"/>
          <w:highlight w:val="none"/>
        </w:rPr>
      </w:pPr>
    </w:p>
    <w:p w14:paraId="6A3E711E">
      <w:pPr>
        <w:rPr>
          <w:rFonts w:hint="eastAsia" w:ascii="宋体" w:hAnsi="宋体" w:cs="Times New Roman"/>
          <w:b/>
          <w:color w:val="auto"/>
          <w:sz w:val="32"/>
          <w:szCs w:val="32"/>
          <w:highlight w:val="none"/>
        </w:rPr>
      </w:pPr>
      <w:r>
        <w:rPr>
          <w:rFonts w:hint="eastAsia" w:ascii="宋体" w:hAnsi="宋体" w:cs="Times New Roman"/>
          <w:b/>
          <w:color w:val="auto"/>
          <w:sz w:val="32"/>
          <w:szCs w:val="32"/>
          <w:highlight w:val="none"/>
        </w:rPr>
        <w:br w:type="page"/>
      </w:r>
    </w:p>
    <w:p w14:paraId="451773D0">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5、供应商直接控股、管理关系信息表</w:t>
      </w:r>
    </w:p>
    <w:p w14:paraId="514335F7">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供应商直接控股股东信息表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709"/>
        <w:gridCol w:w="1465"/>
        <w:gridCol w:w="3959"/>
        <w:gridCol w:w="1156"/>
      </w:tblGrid>
      <w:tr w14:paraId="22454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5D38983D">
            <w:pPr>
              <w:spacing w:line="360" w:lineRule="auto"/>
              <w:jc w:val="center"/>
              <w:rPr>
                <w:rFonts w:ascii="宋体" w:hAnsi="宋体"/>
                <w:b/>
                <w:color w:val="auto"/>
                <w:szCs w:val="21"/>
                <w:highlight w:val="none"/>
              </w:rPr>
            </w:pPr>
            <w:r>
              <w:rPr>
                <w:rFonts w:hint="eastAsia" w:ascii="宋体" w:hAnsi="宋体"/>
                <w:b/>
                <w:color w:val="auto"/>
                <w:szCs w:val="21"/>
                <w:highlight w:val="none"/>
              </w:rPr>
              <w:t>序号</w:t>
            </w:r>
          </w:p>
        </w:tc>
        <w:tc>
          <w:tcPr>
            <w:tcW w:w="2709" w:type="dxa"/>
          </w:tcPr>
          <w:p w14:paraId="4C67EF2B">
            <w:pPr>
              <w:spacing w:line="360" w:lineRule="auto"/>
              <w:jc w:val="center"/>
              <w:rPr>
                <w:rFonts w:ascii="宋体" w:hAnsi="宋体"/>
                <w:b/>
                <w:color w:val="auto"/>
                <w:szCs w:val="21"/>
                <w:highlight w:val="none"/>
              </w:rPr>
            </w:pPr>
            <w:r>
              <w:rPr>
                <w:rFonts w:hint="eastAsia" w:ascii="宋体" w:hAnsi="宋体"/>
                <w:b/>
                <w:color w:val="auto"/>
                <w:szCs w:val="21"/>
                <w:highlight w:val="none"/>
              </w:rPr>
              <w:t>直接控股股东名称</w:t>
            </w:r>
          </w:p>
        </w:tc>
        <w:tc>
          <w:tcPr>
            <w:tcW w:w="1465" w:type="dxa"/>
          </w:tcPr>
          <w:p w14:paraId="081D006F">
            <w:pPr>
              <w:spacing w:line="360" w:lineRule="auto"/>
              <w:jc w:val="center"/>
              <w:rPr>
                <w:rFonts w:ascii="宋体" w:hAnsi="宋体"/>
                <w:b/>
                <w:color w:val="auto"/>
                <w:szCs w:val="21"/>
                <w:highlight w:val="none"/>
              </w:rPr>
            </w:pPr>
            <w:r>
              <w:rPr>
                <w:rFonts w:hint="eastAsia" w:ascii="宋体" w:hAnsi="宋体"/>
                <w:b/>
                <w:color w:val="auto"/>
                <w:szCs w:val="21"/>
                <w:highlight w:val="none"/>
              </w:rPr>
              <w:t>出资比例</w:t>
            </w:r>
          </w:p>
        </w:tc>
        <w:tc>
          <w:tcPr>
            <w:tcW w:w="3959" w:type="dxa"/>
          </w:tcPr>
          <w:p w14:paraId="419DBA97">
            <w:pPr>
              <w:spacing w:line="360" w:lineRule="auto"/>
              <w:jc w:val="center"/>
              <w:rPr>
                <w:rFonts w:ascii="宋体" w:hAnsi="宋体"/>
                <w:b/>
                <w:color w:val="auto"/>
                <w:szCs w:val="21"/>
                <w:highlight w:val="none"/>
              </w:rPr>
            </w:pPr>
            <w:r>
              <w:rPr>
                <w:rFonts w:hint="eastAsia" w:ascii="宋体" w:hAnsi="宋体"/>
                <w:b/>
                <w:color w:val="auto"/>
                <w:szCs w:val="21"/>
                <w:highlight w:val="none"/>
              </w:rPr>
              <w:t>身份证号码或者统一社会信用代码</w:t>
            </w:r>
          </w:p>
        </w:tc>
        <w:tc>
          <w:tcPr>
            <w:tcW w:w="1156" w:type="dxa"/>
          </w:tcPr>
          <w:p w14:paraId="1EE7493B">
            <w:pPr>
              <w:spacing w:line="360" w:lineRule="auto"/>
              <w:jc w:val="center"/>
              <w:rPr>
                <w:rFonts w:ascii="宋体" w:hAnsi="宋体"/>
                <w:b/>
                <w:color w:val="auto"/>
                <w:szCs w:val="21"/>
                <w:highlight w:val="none"/>
              </w:rPr>
            </w:pPr>
            <w:r>
              <w:rPr>
                <w:rFonts w:hint="eastAsia" w:ascii="宋体" w:hAnsi="宋体"/>
                <w:b/>
                <w:color w:val="auto"/>
                <w:szCs w:val="21"/>
                <w:highlight w:val="none"/>
              </w:rPr>
              <w:t>备注</w:t>
            </w:r>
          </w:p>
        </w:tc>
      </w:tr>
      <w:tr w14:paraId="2F09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38CFBA07">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2709" w:type="dxa"/>
          </w:tcPr>
          <w:p w14:paraId="53D1C2E4">
            <w:pPr>
              <w:spacing w:line="360" w:lineRule="auto"/>
              <w:jc w:val="center"/>
              <w:rPr>
                <w:rFonts w:ascii="宋体" w:hAnsi="宋体"/>
                <w:color w:val="auto"/>
                <w:szCs w:val="21"/>
                <w:highlight w:val="none"/>
              </w:rPr>
            </w:pPr>
          </w:p>
        </w:tc>
        <w:tc>
          <w:tcPr>
            <w:tcW w:w="1465" w:type="dxa"/>
          </w:tcPr>
          <w:p w14:paraId="725238D6">
            <w:pPr>
              <w:spacing w:line="360" w:lineRule="auto"/>
              <w:jc w:val="center"/>
              <w:rPr>
                <w:rFonts w:ascii="宋体" w:hAnsi="宋体"/>
                <w:color w:val="auto"/>
                <w:szCs w:val="21"/>
                <w:highlight w:val="none"/>
              </w:rPr>
            </w:pPr>
          </w:p>
        </w:tc>
        <w:tc>
          <w:tcPr>
            <w:tcW w:w="3959" w:type="dxa"/>
          </w:tcPr>
          <w:p w14:paraId="3E837B56">
            <w:pPr>
              <w:spacing w:line="360" w:lineRule="auto"/>
              <w:jc w:val="center"/>
              <w:rPr>
                <w:rFonts w:ascii="宋体" w:hAnsi="宋体"/>
                <w:color w:val="auto"/>
                <w:szCs w:val="21"/>
                <w:highlight w:val="none"/>
              </w:rPr>
            </w:pPr>
          </w:p>
        </w:tc>
        <w:tc>
          <w:tcPr>
            <w:tcW w:w="1156" w:type="dxa"/>
          </w:tcPr>
          <w:p w14:paraId="5BB3154A">
            <w:pPr>
              <w:spacing w:line="360" w:lineRule="auto"/>
              <w:jc w:val="center"/>
              <w:rPr>
                <w:rFonts w:ascii="宋体" w:hAnsi="宋体"/>
                <w:color w:val="auto"/>
                <w:szCs w:val="21"/>
                <w:highlight w:val="none"/>
              </w:rPr>
            </w:pPr>
          </w:p>
        </w:tc>
      </w:tr>
      <w:tr w14:paraId="5B25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2420DC10">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2709" w:type="dxa"/>
          </w:tcPr>
          <w:p w14:paraId="69CD05DD">
            <w:pPr>
              <w:spacing w:line="360" w:lineRule="auto"/>
              <w:jc w:val="center"/>
              <w:rPr>
                <w:rFonts w:ascii="宋体" w:hAnsi="宋体"/>
                <w:color w:val="auto"/>
                <w:szCs w:val="21"/>
                <w:highlight w:val="none"/>
              </w:rPr>
            </w:pPr>
          </w:p>
        </w:tc>
        <w:tc>
          <w:tcPr>
            <w:tcW w:w="1465" w:type="dxa"/>
          </w:tcPr>
          <w:p w14:paraId="68AC4A1D">
            <w:pPr>
              <w:spacing w:line="360" w:lineRule="auto"/>
              <w:jc w:val="center"/>
              <w:rPr>
                <w:rFonts w:ascii="宋体" w:hAnsi="宋体"/>
                <w:color w:val="auto"/>
                <w:szCs w:val="21"/>
                <w:highlight w:val="none"/>
              </w:rPr>
            </w:pPr>
          </w:p>
        </w:tc>
        <w:tc>
          <w:tcPr>
            <w:tcW w:w="3959" w:type="dxa"/>
          </w:tcPr>
          <w:p w14:paraId="68E858A9">
            <w:pPr>
              <w:spacing w:line="360" w:lineRule="auto"/>
              <w:jc w:val="center"/>
              <w:rPr>
                <w:rFonts w:ascii="宋体" w:hAnsi="宋体"/>
                <w:color w:val="auto"/>
                <w:szCs w:val="21"/>
                <w:highlight w:val="none"/>
              </w:rPr>
            </w:pPr>
          </w:p>
        </w:tc>
        <w:tc>
          <w:tcPr>
            <w:tcW w:w="1156" w:type="dxa"/>
          </w:tcPr>
          <w:p w14:paraId="39C747BB">
            <w:pPr>
              <w:spacing w:line="360" w:lineRule="auto"/>
              <w:jc w:val="center"/>
              <w:rPr>
                <w:rFonts w:ascii="宋体" w:hAnsi="宋体"/>
                <w:color w:val="auto"/>
                <w:szCs w:val="21"/>
                <w:highlight w:val="none"/>
              </w:rPr>
            </w:pPr>
          </w:p>
        </w:tc>
      </w:tr>
      <w:tr w14:paraId="1372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68D4BD6F">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2709" w:type="dxa"/>
          </w:tcPr>
          <w:p w14:paraId="045B4275">
            <w:pPr>
              <w:spacing w:line="360" w:lineRule="auto"/>
              <w:jc w:val="center"/>
              <w:rPr>
                <w:rFonts w:ascii="宋体" w:hAnsi="宋体"/>
                <w:color w:val="auto"/>
                <w:szCs w:val="21"/>
                <w:highlight w:val="none"/>
              </w:rPr>
            </w:pPr>
          </w:p>
        </w:tc>
        <w:tc>
          <w:tcPr>
            <w:tcW w:w="1465" w:type="dxa"/>
          </w:tcPr>
          <w:p w14:paraId="25595DF2">
            <w:pPr>
              <w:spacing w:line="360" w:lineRule="auto"/>
              <w:jc w:val="center"/>
              <w:rPr>
                <w:rFonts w:ascii="宋体" w:hAnsi="宋体"/>
                <w:color w:val="auto"/>
                <w:szCs w:val="21"/>
                <w:highlight w:val="none"/>
              </w:rPr>
            </w:pPr>
          </w:p>
        </w:tc>
        <w:tc>
          <w:tcPr>
            <w:tcW w:w="3959" w:type="dxa"/>
          </w:tcPr>
          <w:p w14:paraId="73DEE2AC">
            <w:pPr>
              <w:spacing w:line="360" w:lineRule="auto"/>
              <w:jc w:val="center"/>
              <w:rPr>
                <w:rFonts w:ascii="宋体" w:hAnsi="宋体"/>
                <w:color w:val="auto"/>
                <w:szCs w:val="21"/>
                <w:highlight w:val="none"/>
              </w:rPr>
            </w:pPr>
          </w:p>
        </w:tc>
        <w:tc>
          <w:tcPr>
            <w:tcW w:w="1156" w:type="dxa"/>
          </w:tcPr>
          <w:p w14:paraId="755DA2D6">
            <w:pPr>
              <w:spacing w:line="360" w:lineRule="auto"/>
              <w:jc w:val="center"/>
              <w:rPr>
                <w:rFonts w:ascii="宋体" w:hAnsi="宋体"/>
                <w:color w:val="auto"/>
                <w:szCs w:val="21"/>
                <w:highlight w:val="none"/>
              </w:rPr>
            </w:pPr>
          </w:p>
        </w:tc>
      </w:tr>
      <w:tr w14:paraId="3FB2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6FBCB299">
            <w:pPr>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2709" w:type="dxa"/>
          </w:tcPr>
          <w:p w14:paraId="1AA726F7">
            <w:pPr>
              <w:spacing w:line="360" w:lineRule="auto"/>
              <w:jc w:val="center"/>
              <w:rPr>
                <w:rFonts w:ascii="宋体" w:hAnsi="宋体"/>
                <w:color w:val="auto"/>
                <w:szCs w:val="21"/>
                <w:highlight w:val="none"/>
              </w:rPr>
            </w:pPr>
          </w:p>
        </w:tc>
        <w:tc>
          <w:tcPr>
            <w:tcW w:w="1465" w:type="dxa"/>
          </w:tcPr>
          <w:p w14:paraId="775CB3C8">
            <w:pPr>
              <w:spacing w:line="360" w:lineRule="auto"/>
              <w:jc w:val="center"/>
              <w:rPr>
                <w:rFonts w:ascii="宋体" w:hAnsi="宋体"/>
                <w:color w:val="auto"/>
                <w:szCs w:val="21"/>
                <w:highlight w:val="none"/>
              </w:rPr>
            </w:pPr>
          </w:p>
        </w:tc>
        <w:tc>
          <w:tcPr>
            <w:tcW w:w="3959" w:type="dxa"/>
          </w:tcPr>
          <w:p w14:paraId="4BED8B90">
            <w:pPr>
              <w:spacing w:line="360" w:lineRule="auto"/>
              <w:jc w:val="center"/>
              <w:rPr>
                <w:rFonts w:ascii="宋体" w:hAnsi="宋体"/>
                <w:color w:val="auto"/>
                <w:szCs w:val="21"/>
                <w:highlight w:val="none"/>
              </w:rPr>
            </w:pPr>
          </w:p>
        </w:tc>
        <w:tc>
          <w:tcPr>
            <w:tcW w:w="1156" w:type="dxa"/>
          </w:tcPr>
          <w:p w14:paraId="18C84897">
            <w:pPr>
              <w:spacing w:line="360" w:lineRule="auto"/>
              <w:jc w:val="center"/>
              <w:rPr>
                <w:rFonts w:ascii="宋体" w:hAnsi="宋体"/>
                <w:color w:val="auto"/>
                <w:szCs w:val="21"/>
                <w:highlight w:val="none"/>
              </w:rPr>
            </w:pPr>
          </w:p>
        </w:tc>
      </w:tr>
    </w:tbl>
    <w:p w14:paraId="5C31A36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w:t>
      </w:r>
    </w:p>
    <w:p w14:paraId="4298147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F52914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2.本表所指的控股关系仅限于直接控股关系，不包括间接的控股关系。公司实际控制人与公司之间的关系不属于本表所指的直接控股关系。</w:t>
      </w:r>
    </w:p>
    <w:p w14:paraId="4E751AB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3.供应商不存在直接控股股东的，则填“无”。</w:t>
      </w:r>
    </w:p>
    <w:p w14:paraId="19D94DDE">
      <w:pPr>
        <w:spacing w:line="360" w:lineRule="auto"/>
        <w:ind w:right="1575" w:rightChars="750"/>
        <w:jc w:val="right"/>
        <w:rPr>
          <w:rFonts w:hint="eastAsia" w:ascii="宋体" w:hAnsi="宋体"/>
          <w:color w:val="auto"/>
          <w:szCs w:val="21"/>
          <w:highlight w:val="none"/>
        </w:rPr>
      </w:pPr>
    </w:p>
    <w:p w14:paraId="4F8A5388">
      <w:pPr>
        <w:spacing w:line="360" w:lineRule="auto"/>
        <w:ind w:firstLine="2940" w:firstLineChars="1400"/>
        <w:jc w:val="both"/>
        <w:rPr>
          <w:rFonts w:ascii="宋体" w:hAnsi="宋体"/>
          <w:color w:val="auto"/>
          <w:szCs w:val="21"/>
          <w:highlight w:val="none"/>
        </w:rPr>
      </w:pPr>
      <w:r>
        <w:rPr>
          <w:rFonts w:hint="eastAsia" w:ascii="宋体" w:hAnsi="宋体"/>
          <w:color w:val="auto"/>
          <w:szCs w:val="21"/>
          <w:highlight w:val="none"/>
        </w:rPr>
        <w:t>委托代理人（签字或者电子签名）：</w:t>
      </w:r>
    </w:p>
    <w:p w14:paraId="43F4F9F4">
      <w:pPr>
        <w:spacing w:line="360" w:lineRule="auto"/>
        <w:ind w:firstLine="2940" w:firstLineChars="1400"/>
        <w:jc w:val="both"/>
        <w:rPr>
          <w:rFonts w:ascii="宋体" w:hAnsi="宋体"/>
          <w:color w:val="auto"/>
          <w:szCs w:val="21"/>
          <w:highlight w:val="none"/>
        </w:rPr>
      </w:pPr>
      <w:r>
        <w:rPr>
          <w:rFonts w:hint="eastAsia" w:ascii="宋体" w:hAnsi="宋体"/>
          <w:color w:val="auto"/>
          <w:szCs w:val="21"/>
          <w:highlight w:val="none"/>
        </w:rPr>
        <w:t>委托代理人身份证号码：</w:t>
      </w:r>
    </w:p>
    <w:p w14:paraId="771C3E41">
      <w:pPr>
        <w:spacing w:line="360" w:lineRule="auto"/>
        <w:ind w:firstLine="2940" w:firstLineChars="1400"/>
        <w:jc w:val="both"/>
        <w:rPr>
          <w:rFonts w:ascii="宋体" w:hAnsi="宋体"/>
          <w:color w:val="auto"/>
          <w:szCs w:val="21"/>
          <w:highlight w:val="none"/>
        </w:rPr>
      </w:pPr>
      <w:r>
        <w:rPr>
          <w:rFonts w:hint="eastAsia" w:ascii="宋体" w:hAnsi="宋体"/>
          <w:color w:val="auto"/>
          <w:szCs w:val="21"/>
          <w:highlight w:val="none"/>
        </w:rPr>
        <w:t>法定代表人（签字或者电子签名）：</w:t>
      </w:r>
    </w:p>
    <w:p w14:paraId="097B6C7D">
      <w:pPr>
        <w:spacing w:line="360" w:lineRule="auto"/>
        <w:ind w:firstLine="420" w:firstLineChars="200"/>
        <w:rPr>
          <w:rFonts w:ascii="宋体" w:hAnsi="宋体"/>
          <w:color w:val="auto"/>
          <w:szCs w:val="21"/>
          <w:highlight w:val="none"/>
        </w:rPr>
      </w:pPr>
    </w:p>
    <w:p w14:paraId="721CC849">
      <w:pPr>
        <w:spacing w:line="360" w:lineRule="auto"/>
        <w:ind w:right="1575" w:rightChars="750"/>
        <w:jc w:val="center"/>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供应商名称（电子签章）：</w:t>
      </w:r>
    </w:p>
    <w:p w14:paraId="67BAF23A">
      <w:pPr>
        <w:spacing w:line="360" w:lineRule="auto"/>
        <w:ind w:firstLine="420" w:firstLineChars="200"/>
        <w:jc w:val="right"/>
        <w:rPr>
          <w:rFonts w:hint="eastAsia" w:ascii="宋体" w:hAnsi="宋体"/>
          <w:color w:val="auto"/>
          <w:szCs w:val="21"/>
          <w:highlight w:val="none"/>
        </w:rPr>
      </w:pPr>
    </w:p>
    <w:p w14:paraId="5D9E92F3">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551D6108">
      <w:pPr>
        <w:spacing w:line="360" w:lineRule="auto"/>
        <w:jc w:val="center"/>
        <w:rPr>
          <w:rFonts w:ascii="宋体" w:hAnsi="宋体" w:cs="Times New Roman"/>
          <w:b/>
          <w:color w:val="auto"/>
          <w:sz w:val="32"/>
          <w:szCs w:val="32"/>
          <w:highlight w:val="none"/>
        </w:rPr>
        <w:sectPr>
          <w:pgSz w:w="11906" w:h="16838"/>
          <w:pgMar w:top="1440" w:right="1080" w:bottom="1440" w:left="1080" w:header="851" w:footer="992" w:gutter="0"/>
          <w:cols w:space="425" w:num="1"/>
          <w:docGrid w:type="lines" w:linePitch="312" w:charSpace="0"/>
        </w:sectPr>
      </w:pPr>
    </w:p>
    <w:p w14:paraId="49106CEE">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供应商直接管理关系信息表</w:t>
      </w:r>
    </w:p>
    <w:p w14:paraId="67187BC1">
      <w:pPr>
        <w:spacing w:line="360" w:lineRule="auto"/>
        <w:ind w:firstLine="420" w:firstLineChars="200"/>
        <w:rPr>
          <w:rFonts w:ascii="宋体" w:hAnsi="宋体"/>
          <w:color w:val="auto"/>
          <w:szCs w:val="21"/>
          <w:highlight w:val="none"/>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8"/>
        <w:gridCol w:w="2488"/>
        <w:gridCol w:w="2488"/>
        <w:gridCol w:w="2488"/>
      </w:tblGrid>
      <w:tr w14:paraId="492E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274F2D06">
            <w:pPr>
              <w:spacing w:line="360" w:lineRule="auto"/>
              <w:jc w:val="center"/>
              <w:rPr>
                <w:rFonts w:ascii="宋体" w:hAnsi="宋体"/>
                <w:b/>
                <w:color w:val="auto"/>
                <w:szCs w:val="21"/>
                <w:highlight w:val="none"/>
              </w:rPr>
            </w:pPr>
            <w:r>
              <w:rPr>
                <w:rFonts w:hint="eastAsia" w:ascii="宋体" w:hAnsi="宋体"/>
                <w:b/>
                <w:color w:val="auto"/>
                <w:szCs w:val="21"/>
                <w:highlight w:val="none"/>
              </w:rPr>
              <w:t>序号</w:t>
            </w:r>
          </w:p>
        </w:tc>
        <w:tc>
          <w:tcPr>
            <w:tcW w:w="2488" w:type="dxa"/>
          </w:tcPr>
          <w:p w14:paraId="6EB452DA">
            <w:pPr>
              <w:spacing w:line="360" w:lineRule="auto"/>
              <w:jc w:val="center"/>
              <w:rPr>
                <w:rFonts w:ascii="宋体" w:hAnsi="宋体"/>
                <w:b/>
                <w:color w:val="auto"/>
                <w:szCs w:val="21"/>
                <w:highlight w:val="none"/>
              </w:rPr>
            </w:pPr>
            <w:r>
              <w:rPr>
                <w:rFonts w:hint="eastAsia" w:ascii="宋体" w:hAnsi="宋体"/>
                <w:b/>
                <w:color w:val="auto"/>
                <w:szCs w:val="21"/>
                <w:highlight w:val="none"/>
              </w:rPr>
              <w:t>直接管理关系单位名称</w:t>
            </w:r>
          </w:p>
        </w:tc>
        <w:tc>
          <w:tcPr>
            <w:tcW w:w="2488" w:type="dxa"/>
          </w:tcPr>
          <w:p w14:paraId="0307818F">
            <w:pPr>
              <w:spacing w:line="360" w:lineRule="auto"/>
              <w:jc w:val="center"/>
              <w:rPr>
                <w:rFonts w:ascii="宋体" w:hAnsi="宋体"/>
                <w:b/>
                <w:color w:val="auto"/>
                <w:szCs w:val="21"/>
                <w:highlight w:val="none"/>
              </w:rPr>
            </w:pPr>
            <w:r>
              <w:rPr>
                <w:rFonts w:hint="eastAsia" w:ascii="宋体" w:hAnsi="宋体"/>
                <w:b/>
                <w:color w:val="auto"/>
                <w:szCs w:val="21"/>
                <w:highlight w:val="none"/>
              </w:rPr>
              <w:t>统一社会信用代码</w:t>
            </w:r>
          </w:p>
        </w:tc>
        <w:tc>
          <w:tcPr>
            <w:tcW w:w="2488" w:type="dxa"/>
          </w:tcPr>
          <w:p w14:paraId="7D3BF504">
            <w:pPr>
              <w:spacing w:line="360" w:lineRule="auto"/>
              <w:jc w:val="center"/>
              <w:rPr>
                <w:rFonts w:ascii="宋体" w:hAnsi="宋体"/>
                <w:b/>
                <w:color w:val="auto"/>
                <w:szCs w:val="21"/>
                <w:highlight w:val="none"/>
              </w:rPr>
            </w:pPr>
            <w:r>
              <w:rPr>
                <w:rFonts w:hint="eastAsia" w:ascii="宋体" w:hAnsi="宋体"/>
                <w:b/>
                <w:color w:val="auto"/>
                <w:szCs w:val="21"/>
                <w:highlight w:val="none"/>
              </w:rPr>
              <w:t>备注</w:t>
            </w:r>
          </w:p>
        </w:tc>
      </w:tr>
      <w:tr w14:paraId="74B3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1AD24EBF">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2488" w:type="dxa"/>
          </w:tcPr>
          <w:p w14:paraId="19CF5C8B">
            <w:pPr>
              <w:spacing w:line="360" w:lineRule="auto"/>
              <w:jc w:val="center"/>
              <w:rPr>
                <w:rFonts w:ascii="宋体" w:hAnsi="宋体"/>
                <w:color w:val="auto"/>
                <w:szCs w:val="21"/>
                <w:highlight w:val="none"/>
              </w:rPr>
            </w:pPr>
          </w:p>
        </w:tc>
        <w:tc>
          <w:tcPr>
            <w:tcW w:w="2488" w:type="dxa"/>
          </w:tcPr>
          <w:p w14:paraId="6EFA455C">
            <w:pPr>
              <w:spacing w:line="360" w:lineRule="auto"/>
              <w:jc w:val="center"/>
              <w:rPr>
                <w:rFonts w:ascii="宋体" w:hAnsi="宋体"/>
                <w:color w:val="auto"/>
                <w:szCs w:val="21"/>
                <w:highlight w:val="none"/>
              </w:rPr>
            </w:pPr>
          </w:p>
        </w:tc>
        <w:tc>
          <w:tcPr>
            <w:tcW w:w="2488" w:type="dxa"/>
          </w:tcPr>
          <w:p w14:paraId="4DDE073E">
            <w:pPr>
              <w:spacing w:line="360" w:lineRule="auto"/>
              <w:jc w:val="center"/>
              <w:rPr>
                <w:rFonts w:ascii="宋体" w:hAnsi="宋体"/>
                <w:color w:val="auto"/>
                <w:szCs w:val="21"/>
                <w:highlight w:val="none"/>
              </w:rPr>
            </w:pPr>
          </w:p>
        </w:tc>
      </w:tr>
      <w:tr w14:paraId="7603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72BA49C9">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2488" w:type="dxa"/>
          </w:tcPr>
          <w:p w14:paraId="7976FD30">
            <w:pPr>
              <w:spacing w:line="360" w:lineRule="auto"/>
              <w:jc w:val="center"/>
              <w:rPr>
                <w:rFonts w:ascii="宋体" w:hAnsi="宋体"/>
                <w:color w:val="auto"/>
                <w:szCs w:val="21"/>
                <w:highlight w:val="none"/>
              </w:rPr>
            </w:pPr>
          </w:p>
        </w:tc>
        <w:tc>
          <w:tcPr>
            <w:tcW w:w="2488" w:type="dxa"/>
          </w:tcPr>
          <w:p w14:paraId="5A43BBAC">
            <w:pPr>
              <w:spacing w:line="360" w:lineRule="auto"/>
              <w:jc w:val="center"/>
              <w:rPr>
                <w:rFonts w:ascii="宋体" w:hAnsi="宋体"/>
                <w:color w:val="auto"/>
                <w:szCs w:val="21"/>
                <w:highlight w:val="none"/>
              </w:rPr>
            </w:pPr>
          </w:p>
        </w:tc>
        <w:tc>
          <w:tcPr>
            <w:tcW w:w="2488" w:type="dxa"/>
          </w:tcPr>
          <w:p w14:paraId="1C1CE162">
            <w:pPr>
              <w:spacing w:line="360" w:lineRule="auto"/>
              <w:jc w:val="center"/>
              <w:rPr>
                <w:rFonts w:ascii="宋体" w:hAnsi="宋体"/>
                <w:color w:val="auto"/>
                <w:szCs w:val="21"/>
                <w:highlight w:val="none"/>
              </w:rPr>
            </w:pPr>
          </w:p>
        </w:tc>
      </w:tr>
      <w:tr w14:paraId="5165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17F17811">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2488" w:type="dxa"/>
          </w:tcPr>
          <w:p w14:paraId="42686DD7">
            <w:pPr>
              <w:spacing w:line="360" w:lineRule="auto"/>
              <w:jc w:val="center"/>
              <w:rPr>
                <w:rFonts w:ascii="宋体" w:hAnsi="宋体"/>
                <w:color w:val="auto"/>
                <w:szCs w:val="21"/>
                <w:highlight w:val="none"/>
              </w:rPr>
            </w:pPr>
          </w:p>
        </w:tc>
        <w:tc>
          <w:tcPr>
            <w:tcW w:w="2488" w:type="dxa"/>
          </w:tcPr>
          <w:p w14:paraId="15E44869">
            <w:pPr>
              <w:spacing w:line="360" w:lineRule="auto"/>
              <w:jc w:val="center"/>
              <w:rPr>
                <w:rFonts w:ascii="宋体" w:hAnsi="宋体"/>
                <w:color w:val="auto"/>
                <w:szCs w:val="21"/>
                <w:highlight w:val="none"/>
              </w:rPr>
            </w:pPr>
          </w:p>
        </w:tc>
        <w:tc>
          <w:tcPr>
            <w:tcW w:w="2488" w:type="dxa"/>
          </w:tcPr>
          <w:p w14:paraId="5159B684">
            <w:pPr>
              <w:spacing w:line="360" w:lineRule="auto"/>
              <w:jc w:val="center"/>
              <w:rPr>
                <w:rFonts w:ascii="宋体" w:hAnsi="宋体"/>
                <w:color w:val="auto"/>
                <w:szCs w:val="21"/>
                <w:highlight w:val="none"/>
              </w:rPr>
            </w:pPr>
          </w:p>
        </w:tc>
      </w:tr>
      <w:tr w14:paraId="1E81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1E1919C1">
            <w:pPr>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2488" w:type="dxa"/>
          </w:tcPr>
          <w:p w14:paraId="40F3499F">
            <w:pPr>
              <w:spacing w:line="360" w:lineRule="auto"/>
              <w:jc w:val="center"/>
              <w:rPr>
                <w:rFonts w:ascii="宋体" w:hAnsi="宋体"/>
                <w:color w:val="auto"/>
                <w:szCs w:val="21"/>
                <w:highlight w:val="none"/>
              </w:rPr>
            </w:pPr>
          </w:p>
        </w:tc>
        <w:tc>
          <w:tcPr>
            <w:tcW w:w="2488" w:type="dxa"/>
          </w:tcPr>
          <w:p w14:paraId="3B4B1AD6">
            <w:pPr>
              <w:spacing w:line="360" w:lineRule="auto"/>
              <w:jc w:val="center"/>
              <w:rPr>
                <w:rFonts w:ascii="宋体" w:hAnsi="宋体"/>
                <w:color w:val="auto"/>
                <w:szCs w:val="21"/>
                <w:highlight w:val="none"/>
              </w:rPr>
            </w:pPr>
          </w:p>
        </w:tc>
        <w:tc>
          <w:tcPr>
            <w:tcW w:w="2488" w:type="dxa"/>
          </w:tcPr>
          <w:p w14:paraId="2D545DA1">
            <w:pPr>
              <w:spacing w:line="360" w:lineRule="auto"/>
              <w:jc w:val="center"/>
              <w:rPr>
                <w:rFonts w:ascii="宋体" w:hAnsi="宋体"/>
                <w:color w:val="auto"/>
                <w:szCs w:val="21"/>
                <w:highlight w:val="none"/>
              </w:rPr>
            </w:pPr>
          </w:p>
        </w:tc>
      </w:tr>
    </w:tbl>
    <w:p w14:paraId="5B36046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w:t>
      </w:r>
    </w:p>
    <w:p w14:paraId="5E1E787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1.管理关系：是指不具有出资持股关系的其他单位之间存在的管理与被管理关系，如一些上下级关系的事业单位和团体组织。</w:t>
      </w:r>
    </w:p>
    <w:p w14:paraId="6925307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2.本表所指的管理关系仅限于直接管理关系，不包括间接的管理关系。</w:t>
      </w:r>
    </w:p>
    <w:p w14:paraId="1F1BAD8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3.供应商不存在直接管理关系的，则填“无”。</w:t>
      </w:r>
    </w:p>
    <w:p w14:paraId="1B37A6CF">
      <w:pPr>
        <w:spacing w:line="360" w:lineRule="auto"/>
        <w:ind w:firstLine="420" w:firstLineChars="200"/>
        <w:rPr>
          <w:rFonts w:ascii="宋体" w:hAnsi="宋体"/>
          <w:color w:val="auto"/>
          <w:szCs w:val="21"/>
          <w:highlight w:val="none"/>
        </w:rPr>
      </w:pPr>
    </w:p>
    <w:p w14:paraId="246F3D04">
      <w:pPr>
        <w:spacing w:line="360" w:lineRule="auto"/>
        <w:ind w:firstLine="2940" w:firstLineChars="1400"/>
        <w:jc w:val="both"/>
        <w:rPr>
          <w:rFonts w:ascii="宋体" w:hAnsi="宋体"/>
          <w:color w:val="auto"/>
          <w:szCs w:val="21"/>
          <w:highlight w:val="none"/>
        </w:rPr>
      </w:pPr>
      <w:r>
        <w:rPr>
          <w:rFonts w:hint="eastAsia" w:ascii="宋体" w:hAnsi="宋体"/>
          <w:color w:val="auto"/>
          <w:szCs w:val="21"/>
          <w:highlight w:val="none"/>
        </w:rPr>
        <w:t>委托代理人（签字或者电子签名）：</w:t>
      </w:r>
    </w:p>
    <w:p w14:paraId="12F2E288">
      <w:pPr>
        <w:spacing w:line="360" w:lineRule="auto"/>
        <w:ind w:firstLine="2940" w:firstLineChars="1400"/>
        <w:jc w:val="both"/>
        <w:rPr>
          <w:rFonts w:ascii="宋体" w:hAnsi="宋体"/>
          <w:color w:val="auto"/>
          <w:szCs w:val="21"/>
          <w:highlight w:val="none"/>
        </w:rPr>
      </w:pPr>
      <w:r>
        <w:rPr>
          <w:rFonts w:hint="eastAsia" w:ascii="宋体" w:hAnsi="宋体"/>
          <w:color w:val="auto"/>
          <w:szCs w:val="21"/>
          <w:highlight w:val="none"/>
        </w:rPr>
        <w:t>委托代理人身份证号码：</w:t>
      </w:r>
    </w:p>
    <w:p w14:paraId="74347A29">
      <w:pPr>
        <w:spacing w:line="360" w:lineRule="auto"/>
        <w:ind w:firstLine="2940" w:firstLineChars="1400"/>
        <w:jc w:val="both"/>
        <w:rPr>
          <w:rFonts w:ascii="宋体" w:hAnsi="宋体"/>
          <w:color w:val="auto"/>
          <w:szCs w:val="21"/>
          <w:highlight w:val="none"/>
        </w:rPr>
      </w:pPr>
      <w:r>
        <w:rPr>
          <w:rFonts w:hint="eastAsia" w:ascii="宋体" w:hAnsi="宋体"/>
          <w:color w:val="auto"/>
          <w:szCs w:val="21"/>
          <w:highlight w:val="none"/>
        </w:rPr>
        <w:t>法定代表人（签字或者电子签名）：</w:t>
      </w:r>
    </w:p>
    <w:p w14:paraId="3D332474">
      <w:pPr>
        <w:spacing w:line="360" w:lineRule="auto"/>
        <w:ind w:firstLine="420" w:firstLineChars="200"/>
        <w:rPr>
          <w:rFonts w:ascii="宋体" w:hAnsi="宋体"/>
          <w:color w:val="auto"/>
          <w:szCs w:val="21"/>
          <w:highlight w:val="none"/>
        </w:rPr>
      </w:pPr>
    </w:p>
    <w:p w14:paraId="1E4CE15F">
      <w:pPr>
        <w:spacing w:line="360" w:lineRule="auto"/>
        <w:ind w:right="1575" w:rightChars="750"/>
        <w:jc w:val="center"/>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供应商名称（电子签章）：</w:t>
      </w:r>
    </w:p>
    <w:p w14:paraId="4983D59C">
      <w:pPr>
        <w:spacing w:line="360" w:lineRule="auto"/>
        <w:ind w:firstLine="420" w:firstLineChars="200"/>
        <w:jc w:val="right"/>
        <w:rPr>
          <w:rFonts w:ascii="宋体" w:hAnsi="宋体"/>
          <w:color w:val="auto"/>
          <w:sz w:val="28"/>
          <w:szCs w:val="28"/>
          <w:highlight w:val="none"/>
        </w:rPr>
      </w:pPr>
      <w:r>
        <w:rPr>
          <w:rFonts w:hint="eastAsia" w:ascii="宋体" w:hAnsi="宋体"/>
          <w:color w:val="auto"/>
          <w:szCs w:val="21"/>
          <w:highlight w:val="none"/>
        </w:rPr>
        <w:t>日期：</w:t>
      </w:r>
      <w:r>
        <w:rPr>
          <w:rFonts w:ascii="宋体" w:hAnsi="宋体" w:cs="Times New Roman"/>
          <w:color w:val="auto"/>
          <w:szCs w:val="21"/>
          <w:highlight w:val="none"/>
        </w:rPr>
        <w:t>___</w:t>
      </w:r>
      <w:r>
        <w:rPr>
          <w:rFonts w:hint="eastAsia" w:ascii="宋体" w:hAnsi="宋体"/>
          <w:color w:val="auto"/>
          <w:szCs w:val="21"/>
          <w:highlight w:val="none"/>
        </w:rPr>
        <w:t>年</w:t>
      </w:r>
      <w:r>
        <w:rPr>
          <w:rFonts w:ascii="宋体" w:hAnsi="宋体" w:cs="Times New Roman"/>
          <w:color w:val="auto"/>
          <w:szCs w:val="21"/>
          <w:highlight w:val="none"/>
        </w:rPr>
        <w:t>___</w:t>
      </w:r>
      <w:r>
        <w:rPr>
          <w:rFonts w:hint="eastAsia" w:ascii="宋体" w:hAnsi="宋体"/>
          <w:color w:val="auto"/>
          <w:szCs w:val="21"/>
          <w:highlight w:val="none"/>
        </w:rPr>
        <w:t>月</w:t>
      </w:r>
      <w:r>
        <w:rPr>
          <w:rFonts w:ascii="宋体" w:hAnsi="宋体" w:cs="Times New Roman"/>
          <w:color w:val="auto"/>
          <w:szCs w:val="21"/>
          <w:highlight w:val="none"/>
        </w:rPr>
        <w:t>___</w:t>
      </w:r>
      <w:r>
        <w:rPr>
          <w:rFonts w:hint="eastAsia" w:ascii="宋体" w:hAnsi="宋体"/>
          <w:color w:val="auto"/>
          <w:szCs w:val="21"/>
          <w:highlight w:val="none"/>
        </w:rPr>
        <w:t>日</w:t>
      </w:r>
    </w:p>
    <w:p w14:paraId="3DCCFF7E">
      <w:pPr>
        <w:spacing w:line="360" w:lineRule="auto"/>
        <w:ind w:firstLine="560" w:firstLineChars="200"/>
        <w:jc w:val="right"/>
        <w:rPr>
          <w:rFonts w:ascii="宋体" w:hAnsi="宋体"/>
          <w:color w:val="auto"/>
          <w:sz w:val="28"/>
          <w:szCs w:val="28"/>
          <w:highlight w:val="none"/>
        </w:rPr>
        <w:sectPr>
          <w:pgSz w:w="11906" w:h="16838"/>
          <w:pgMar w:top="1440" w:right="1080" w:bottom="1440" w:left="1080" w:header="851" w:footer="992" w:gutter="0"/>
          <w:cols w:space="425" w:num="1"/>
          <w:docGrid w:type="lines" w:linePitch="312" w:charSpace="0"/>
        </w:sectPr>
      </w:pPr>
    </w:p>
    <w:p w14:paraId="5F083FF4">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6、竞标声明</w:t>
      </w:r>
    </w:p>
    <w:p w14:paraId="18E6A3C1">
      <w:pPr>
        <w:spacing w:line="360" w:lineRule="auto"/>
        <w:jc w:val="center"/>
        <w:rPr>
          <w:rFonts w:ascii="宋体" w:hAnsi="宋体" w:cs="Times New Roman"/>
          <w:b/>
          <w:color w:val="auto"/>
          <w:sz w:val="32"/>
          <w:szCs w:val="32"/>
          <w:highlight w:val="none"/>
        </w:rPr>
      </w:pPr>
    </w:p>
    <w:p w14:paraId="37F55775">
      <w:pPr>
        <w:spacing w:line="360" w:lineRule="auto"/>
        <w:rPr>
          <w:rFonts w:ascii="宋体" w:hAnsi="宋体"/>
          <w:color w:val="auto"/>
          <w:szCs w:val="21"/>
          <w:highlight w:val="none"/>
        </w:rPr>
      </w:pPr>
      <w:r>
        <w:rPr>
          <w:rFonts w:hint="eastAsia" w:ascii="宋体" w:hAnsi="宋体"/>
          <w:color w:val="auto"/>
          <w:szCs w:val="21"/>
          <w:highlight w:val="none"/>
        </w:rPr>
        <w:t>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（采购人名称）：</w:t>
      </w:r>
    </w:p>
    <w:p w14:paraId="38EEE26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w:t>
      </w:r>
      <w:r>
        <w:rPr>
          <w:rFonts w:hint="eastAsia" w:ascii="宋体" w:hAnsi="宋体"/>
          <w:color w:val="auto"/>
          <w:szCs w:val="21"/>
          <w:highlight w:val="none"/>
          <w:u w:val="single"/>
        </w:rPr>
        <w:t>（供应商名称）</w:t>
      </w:r>
      <w:r>
        <w:rPr>
          <w:rFonts w:hint="eastAsia" w:ascii="宋体" w:hAnsi="宋体"/>
          <w:color w:val="auto"/>
          <w:szCs w:val="21"/>
          <w:highlight w:val="none"/>
        </w:rPr>
        <w:t>系中华人民共和国合法供应商，经营地址</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w:t>
      </w:r>
    </w:p>
    <w:p w14:paraId="33B7284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我方愿意参加贵方组织的</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项目的竞标，为便于贵方公正、择优地确定成交供应商及其竞标产品和服务，我方就本次竞标有关事项郑重声明如下：</w:t>
      </w:r>
    </w:p>
    <w:p w14:paraId="293E49E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1.我方向贵方提交的所有响应文件、资料都是准确的和真实的。</w:t>
      </w:r>
    </w:p>
    <w:p w14:paraId="1C2771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01F674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3.在此，我方宣布同意如下：</w:t>
      </w:r>
    </w:p>
    <w:p w14:paraId="27D4E2A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（1）将按谈判文件的约定履行合同责任和义务；</w:t>
      </w:r>
    </w:p>
    <w:p w14:paraId="2EC90CD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（2）已详细审查全部谈判文件，包括澄清或者更正公告（如有）；</w:t>
      </w:r>
    </w:p>
    <w:p w14:paraId="01EE198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（3）同意提供按照贵方可能要求的与谈判有关的一切数据或者资料；</w:t>
      </w:r>
    </w:p>
    <w:p w14:paraId="2B91463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（4）响应谈判文件规定的竞标有效期。</w:t>
      </w:r>
    </w:p>
    <w:p w14:paraId="49FCD80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4.我方承诺符合《中华人民共和国政府采购法》第二十二条规定：</w:t>
      </w:r>
    </w:p>
    <w:p w14:paraId="06E4CAC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（1）具有独立承担民事责任的能力；</w:t>
      </w:r>
    </w:p>
    <w:p w14:paraId="235005C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（2）具有良好的商业信誉和健全的财务会计制度；</w:t>
      </w:r>
    </w:p>
    <w:p w14:paraId="42DE24C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（3）具有履行合同所必需的设备和专业技术能力；</w:t>
      </w:r>
    </w:p>
    <w:p w14:paraId="2E54520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（4）有依法缴纳税收和社会保障资金的良好记录；</w:t>
      </w:r>
    </w:p>
    <w:p w14:paraId="36668CE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（5）参加政府采购活动前三年内，在经营活动中没有重大违法记录；</w:t>
      </w:r>
    </w:p>
    <w:p w14:paraId="7DCAE08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（6）法律、行政法规规定的其他条件。</w:t>
      </w:r>
    </w:p>
    <w:p w14:paraId="49226F4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61BDFE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24F466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□我方本次响应文件内容中未涉及商业秘密；</w:t>
      </w:r>
    </w:p>
    <w:p w14:paraId="59F527C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□我方本次响应文件涉及商业秘密的内容有：</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w:t>
      </w:r>
    </w:p>
    <w:p w14:paraId="397671A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7.与本谈判有关的一切正式往来信函请寄：</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邮政编号：</w:t>
      </w:r>
      <w:r>
        <w:rPr>
          <w:rFonts w:ascii="Times New Roman" w:hAnsi="Times New Roman" w:cs="Times New Roman"/>
          <w:color w:val="auto"/>
          <w:szCs w:val="21"/>
          <w:highlight w:val="none"/>
          <w:u w:val="single"/>
        </w:rPr>
        <w:t xml:space="preserve">      </w:t>
      </w:r>
    </w:p>
    <w:p w14:paraId="20755D1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电话/传真：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电子函件：</w:t>
      </w:r>
      <w:r>
        <w:rPr>
          <w:rFonts w:ascii="Times New Roman" w:hAnsi="Times New Roman" w:cs="Times New Roman"/>
          <w:color w:val="auto"/>
          <w:szCs w:val="21"/>
          <w:highlight w:val="none"/>
          <w:u w:val="single"/>
        </w:rPr>
        <w:t xml:space="preserve">      </w:t>
      </w:r>
    </w:p>
    <w:p w14:paraId="4982495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开户银行：</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账号：</w:t>
      </w:r>
      <w:r>
        <w:rPr>
          <w:rFonts w:ascii="Times New Roman" w:hAnsi="Times New Roman" w:cs="Times New Roman"/>
          <w:color w:val="auto"/>
          <w:szCs w:val="21"/>
          <w:highlight w:val="none"/>
          <w:u w:val="single"/>
        </w:rPr>
        <w:t xml:space="preserve">      </w:t>
      </w:r>
    </w:p>
    <w:p w14:paraId="1892BE1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8.我方若竞标成功，除非发生不可抗力，承诺与采购人及时签订《合同书》。如果放弃，自愿按照本文件之《供应商须知正文》第29.3条的要求承担法律责任和失信惩戒。</w:t>
      </w:r>
    </w:p>
    <w:p w14:paraId="5A2651B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9.以上事项如有虚假或者隐瞒，我方愿意承担一切后果，并不再寻求任何旨在减轻或者免除法律责任的辩解。</w:t>
      </w:r>
    </w:p>
    <w:p w14:paraId="45651F3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特此承诺。</w:t>
      </w:r>
    </w:p>
    <w:p w14:paraId="6AD55C8F">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注：如为联合体参加竞争性谈判，盖章处须加盖联合体牵头人公章并由联合体牵头人法定代表人分别签字或者盖章或者电子签名，否则其响应文件按无效响应处理。</w:t>
      </w:r>
    </w:p>
    <w:p w14:paraId="7974B9C0">
      <w:pPr>
        <w:spacing w:line="360" w:lineRule="auto"/>
        <w:ind w:firstLine="420" w:firstLineChars="200"/>
        <w:rPr>
          <w:rFonts w:ascii="宋体" w:hAnsi="宋体"/>
          <w:color w:val="auto"/>
          <w:szCs w:val="21"/>
          <w:highlight w:val="none"/>
        </w:rPr>
      </w:pPr>
    </w:p>
    <w:p w14:paraId="25F77B35">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法定代表人（签字或者盖章或者电子签名）：</w:t>
      </w:r>
    </w:p>
    <w:p w14:paraId="537710BE">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57C24EF9">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4409B7DB">
      <w:pPr>
        <w:spacing w:line="360" w:lineRule="auto"/>
        <w:ind w:firstLine="643" w:firstLineChars="200"/>
        <w:rPr>
          <w:rFonts w:ascii="宋体" w:hAnsi="宋体"/>
          <w:b/>
          <w:color w:val="auto"/>
          <w:sz w:val="32"/>
          <w:szCs w:val="32"/>
          <w:highlight w:val="none"/>
        </w:rPr>
        <w:sectPr>
          <w:pgSz w:w="11906" w:h="16838"/>
          <w:pgMar w:top="1440" w:right="1080" w:bottom="1440" w:left="1080" w:header="851" w:footer="992" w:gutter="0"/>
          <w:cols w:space="425" w:num="1"/>
          <w:docGrid w:type="lines" w:linePitch="312" w:charSpace="0"/>
        </w:sectPr>
      </w:pPr>
    </w:p>
    <w:p w14:paraId="41EAA14D">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7、竞争性谈判公告对应的特定资格要求设置供应商提供的资格证明材料</w:t>
      </w:r>
    </w:p>
    <w:p w14:paraId="12CDA500">
      <w:pPr>
        <w:spacing w:line="360" w:lineRule="auto"/>
        <w:ind w:firstLine="643" w:firstLineChars="200"/>
        <w:rPr>
          <w:rFonts w:ascii="宋体" w:hAnsi="宋体"/>
          <w:b/>
          <w:color w:val="auto"/>
          <w:sz w:val="32"/>
          <w:szCs w:val="32"/>
          <w:highlight w:val="none"/>
        </w:rPr>
      </w:pPr>
    </w:p>
    <w:p w14:paraId="11774FAB">
      <w:pPr>
        <w:spacing w:line="360" w:lineRule="auto"/>
        <w:ind w:firstLine="643" w:firstLineChars="200"/>
        <w:rPr>
          <w:rFonts w:ascii="宋体" w:hAnsi="宋体"/>
          <w:b/>
          <w:color w:val="auto"/>
          <w:sz w:val="32"/>
          <w:szCs w:val="32"/>
          <w:highlight w:val="none"/>
        </w:rPr>
        <w:sectPr>
          <w:pgSz w:w="11906" w:h="16838"/>
          <w:pgMar w:top="1440" w:right="1080" w:bottom="1440" w:left="1080" w:header="851" w:footer="992" w:gutter="0"/>
          <w:cols w:space="425" w:num="1"/>
          <w:docGrid w:type="lines" w:linePitch="312" w:charSpace="0"/>
        </w:sectPr>
      </w:pPr>
    </w:p>
    <w:p w14:paraId="7B0456C9">
      <w:pPr>
        <w:spacing w:line="360" w:lineRule="auto"/>
        <w:ind w:firstLine="643" w:firstLineChars="200"/>
        <w:jc w:val="center"/>
        <w:rPr>
          <w:rFonts w:ascii="宋体" w:hAnsi="宋体"/>
          <w:b/>
          <w:color w:val="auto"/>
          <w:sz w:val="32"/>
          <w:szCs w:val="32"/>
          <w:highlight w:val="none"/>
        </w:rPr>
      </w:pPr>
      <w:r>
        <w:rPr>
          <w:rFonts w:hint="eastAsia" w:ascii="宋体" w:hAnsi="宋体"/>
          <w:b/>
          <w:color w:val="auto"/>
          <w:sz w:val="32"/>
          <w:szCs w:val="32"/>
          <w:highlight w:val="none"/>
          <w:lang w:val="en-US" w:eastAsia="zh-CN"/>
        </w:rPr>
        <w:t>8</w:t>
      </w:r>
      <w:r>
        <w:rPr>
          <w:rFonts w:hint="eastAsia" w:ascii="宋体" w:hAnsi="宋体"/>
          <w:b/>
          <w:color w:val="auto"/>
          <w:sz w:val="32"/>
          <w:szCs w:val="32"/>
          <w:highlight w:val="none"/>
        </w:rPr>
        <w:t>、承诺书</w:t>
      </w:r>
    </w:p>
    <w:p w14:paraId="352FA638">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（1）建设工程项目管理承诺书</w:t>
      </w:r>
    </w:p>
    <w:p w14:paraId="4A8F1A30">
      <w:pPr>
        <w:spacing w:line="360" w:lineRule="auto"/>
        <w:rPr>
          <w:rFonts w:ascii="宋体" w:hAnsi="宋体"/>
          <w:color w:val="auto"/>
          <w:szCs w:val="21"/>
          <w:highlight w:val="none"/>
        </w:rPr>
      </w:pPr>
      <w:r>
        <w:rPr>
          <w:rFonts w:hint="eastAsia" w:ascii="宋体" w:hAnsi="宋体"/>
          <w:color w:val="auto"/>
          <w:szCs w:val="21"/>
          <w:highlight w:val="none"/>
        </w:rPr>
        <w:t>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（采购人名称）：</w:t>
      </w:r>
    </w:p>
    <w:p w14:paraId="7BBFA81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作为参与</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（项目名称）项目的供应商，根据国家、自治区相关文件规定，我方在此向采购人承诺：</w:t>
      </w:r>
    </w:p>
    <w:p w14:paraId="126D8E1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一旦成交，我方保证按照政府相关部门的规定，在成交后7个工作日内，按照《保障农民工工资支付条例》规定及广西壮族自治区有关规定开设农民工工资专用账户，并按要求比例将农民工工资保证金存入账户，专项用于支付本工程提供劳动的农民工被拖欠的工资。按照与农民工依法约定的工资支付周期和具体支付日期支付工资，保证每月至少向农民工足额支付一次工资。</w:t>
      </w:r>
    </w:p>
    <w:p w14:paraId="733F8D2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3C0B1E1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0D4B27F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一旦成交，我方保证在施工过程中，严格执行《关于禁止使用不符合规范要求的竹脚手架的通知》（桂建管字〔2003〕40号）的有关规定，不使用竹脚手架。如我方在该项目的承包中出现未按规定执行的形，我方愿意按照相关规定接受建设单位及有关主管部门的处罚。</w:t>
      </w:r>
    </w:p>
    <w:p w14:paraId="68BFB23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0F0F991D">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法定代表人（签字或者盖章或者电子签名）：</w:t>
      </w:r>
    </w:p>
    <w:p w14:paraId="3042FA8A">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0D77E7D1">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62AE4ADF">
      <w:pPr>
        <w:spacing w:line="360" w:lineRule="auto"/>
        <w:ind w:firstLine="420" w:firstLineChars="200"/>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7C3DD1B0">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w:t>
      </w:r>
      <w:r>
        <w:rPr>
          <w:rFonts w:ascii="宋体" w:hAnsi="宋体"/>
          <w:b/>
          <w:color w:val="auto"/>
          <w:sz w:val="28"/>
          <w:szCs w:val="28"/>
          <w:highlight w:val="none"/>
        </w:rPr>
        <w:t>2</w:t>
      </w:r>
      <w:r>
        <w:rPr>
          <w:rFonts w:hint="eastAsia" w:ascii="宋体" w:hAnsi="宋体"/>
          <w:b/>
          <w:color w:val="auto"/>
          <w:sz w:val="28"/>
          <w:szCs w:val="28"/>
          <w:highlight w:val="none"/>
        </w:rPr>
        <w:t>）承诺书</w:t>
      </w:r>
    </w:p>
    <w:p w14:paraId="2114B6D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依法足额支付农民工工资的承诺</w:t>
      </w:r>
    </w:p>
    <w:p w14:paraId="0794841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（本承诺不提供统一格式，由供应商自行编写，承诺依法足额支付农民工工资）</w:t>
      </w:r>
    </w:p>
    <w:p w14:paraId="7A6FD071">
      <w:pPr>
        <w:spacing w:line="360" w:lineRule="auto"/>
        <w:ind w:right="1575" w:rightChars="750"/>
        <w:jc w:val="right"/>
        <w:rPr>
          <w:rFonts w:hint="eastAsia" w:ascii="宋体" w:hAnsi="宋体"/>
          <w:color w:val="auto"/>
          <w:szCs w:val="21"/>
          <w:highlight w:val="none"/>
        </w:rPr>
      </w:pPr>
    </w:p>
    <w:p w14:paraId="000E4C54">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法定代表人（签字或者盖章或者电子签名）：</w:t>
      </w:r>
    </w:p>
    <w:p w14:paraId="0D8E471E">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30E51D8B">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6130CE97">
      <w:pPr>
        <w:spacing w:line="360" w:lineRule="auto"/>
        <w:jc w:val="center"/>
        <w:rPr>
          <w:rFonts w:hint="eastAsia" w:ascii="宋体" w:hAnsi="宋体"/>
          <w:b/>
          <w:color w:val="auto"/>
          <w:sz w:val="28"/>
          <w:szCs w:val="28"/>
          <w:highlight w:val="none"/>
        </w:rPr>
      </w:pPr>
    </w:p>
    <w:p w14:paraId="01CB7E40">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w:t>
      </w:r>
      <w:r>
        <w:rPr>
          <w:rFonts w:ascii="宋体" w:hAnsi="宋体"/>
          <w:b/>
          <w:color w:val="auto"/>
          <w:sz w:val="28"/>
          <w:szCs w:val="28"/>
          <w:highlight w:val="none"/>
        </w:rPr>
        <w:t>3</w:t>
      </w:r>
      <w:r>
        <w:rPr>
          <w:rFonts w:hint="eastAsia" w:ascii="宋体" w:hAnsi="宋体"/>
          <w:b/>
          <w:color w:val="auto"/>
          <w:sz w:val="28"/>
          <w:szCs w:val="28"/>
          <w:highlight w:val="none"/>
        </w:rPr>
        <w:t>）承诺书</w:t>
      </w:r>
    </w:p>
    <w:p w14:paraId="2D17AC0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现承诺我单位投入本工程的项目经理是本单位的在岗人员，且不在任何在建工程中担任任何管理职务。如我单位有不符合上述要求的，采购人有权依法依规取消我单位成交资格。</w:t>
      </w:r>
    </w:p>
    <w:p w14:paraId="0F5F36C8">
      <w:pPr>
        <w:spacing w:line="360" w:lineRule="auto"/>
        <w:ind w:right="1575" w:rightChars="750"/>
        <w:jc w:val="right"/>
        <w:rPr>
          <w:rFonts w:hint="eastAsia" w:ascii="宋体" w:hAnsi="宋体"/>
          <w:color w:val="auto"/>
          <w:szCs w:val="21"/>
          <w:highlight w:val="none"/>
        </w:rPr>
      </w:pPr>
    </w:p>
    <w:p w14:paraId="6667648B">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法定代表人（签字或者盖章或者电子签名）：</w:t>
      </w:r>
    </w:p>
    <w:p w14:paraId="2F3FA924">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1B1A49B9">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25339081">
      <w:pPr>
        <w:spacing w:line="360" w:lineRule="auto"/>
        <w:jc w:val="center"/>
        <w:rPr>
          <w:rFonts w:hint="eastAsia" w:ascii="宋体" w:hAnsi="宋体"/>
          <w:b/>
          <w:color w:val="auto"/>
          <w:sz w:val="28"/>
          <w:szCs w:val="28"/>
          <w:highlight w:val="none"/>
        </w:rPr>
      </w:pPr>
    </w:p>
    <w:p w14:paraId="108BC754">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w:t>
      </w:r>
      <w:r>
        <w:rPr>
          <w:rFonts w:ascii="宋体" w:hAnsi="宋体"/>
          <w:b/>
          <w:color w:val="auto"/>
          <w:sz w:val="28"/>
          <w:szCs w:val="28"/>
          <w:highlight w:val="none"/>
        </w:rPr>
        <w:t>4</w:t>
      </w:r>
      <w:r>
        <w:rPr>
          <w:rFonts w:hint="eastAsia" w:ascii="宋体" w:hAnsi="宋体"/>
          <w:b/>
          <w:color w:val="auto"/>
          <w:sz w:val="28"/>
          <w:szCs w:val="28"/>
          <w:highlight w:val="none"/>
        </w:rPr>
        <w:t>）承诺书</w:t>
      </w:r>
    </w:p>
    <w:p w14:paraId="16D32B1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单位在竞标和履行合同中主动接受有关行政监督部门依法依规实施的监督和查处，若出现以下情况，接受记入不良行为记录并予以公告，情节严重的接受依法依规取消我单位二年至五年内参加竞标资格并予以公告，直至由工商行政管理机关吊销营业执照等处罚。</w:t>
      </w:r>
    </w:p>
    <w:p w14:paraId="757C130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（1）在承包工程项目过程中，未按合同或响应文件中承诺的人员、设备足额到位，或到工的人员、设备在工时间不足，导致工程实施进度受到严重影响的；</w:t>
      </w:r>
    </w:p>
    <w:p w14:paraId="1346029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（2）工程项目经理无伤病等特殊原因，不履行职责或未经批准由其他人代替的；</w:t>
      </w:r>
    </w:p>
    <w:p w14:paraId="1650E5C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（3）工地现场管理混乱，施工人员玩忽职守，工程存在质量、安全隐患，导致发生一般质量、安全事故的；</w:t>
      </w:r>
    </w:p>
    <w:p w14:paraId="5C8AFB8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（4）违反工程建设技术标准特别是工程建设强制性标准施工，并对工程的设计标准、质量和使用寿命造成严重影响的；</w:t>
      </w:r>
    </w:p>
    <w:p w14:paraId="30A7BF4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（5）使用不合格材料或者在施工中偷工减料，造成工程质量、安全事故和经济损失等后果的；</w:t>
      </w:r>
    </w:p>
    <w:p w14:paraId="3332F50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（6）串标、围标、抬标或虚造业绩、资信以及借用资质等弄虚作假方式骗取中标的；</w:t>
      </w:r>
    </w:p>
    <w:p w14:paraId="5FEA286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（7）违法分包和转包、挂靠和超越资质证书核定范围承接业务的；</w:t>
      </w:r>
    </w:p>
    <w:p w14:paraId="46281A9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（8）存在严重质量、安全事故隐患，导致发生工程质量、安全事故，或者发生事故后瞒报、谎报、拖延报告及破坏事故现场、阻碍事故调查的；</w:t>
      </w:r>
    </w:p>
    <w:p w14:paraId="0FB5965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（9）恶意拖欠、克扣工程款或农民工工资的；</w:t>
      </w:r>
    </w:p>
    <w:p w14:paraId="4FB88E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）对各级行政主管部门以及国家和自治区其它相关部门在监督检查和稽查审计中发现的各类重大问题所提出的整改意见不落实，产生不良后果的；</w:t>
      </w:r>
    </w:p>
    <w:p w14:paraId="71754A5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）有其它违法违规行为的。</w:t>
      </w:r>
    </w:p>
    <w:p w14:paraId="1244EB22">
      <w:pPr>
        <w:spacing w:line="360" w:lineRule="auto"/>
        <w:ind w:right="1575" w:rightChars="750"/>
        <w:jc w:val="right"/>
        <w:rPr>
          <w:rFonts w:hint="eastAsia" w:ascii="宋体" w:hAnsi="宋体"/>
          <w:color w:val="auto"/>
          <w:szCs w:val="21"/>
          <w:highlight w:val="none"/>
        </w:rPr>
      </w:pPr>
    </w:p>
    <w:p w14:paraId="53742E66">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法定代表人（签字或者盖章或者电子签名）：</w:t>
      </w:r>
    </w:p>
    <w:p w14:paraId="31D7EE72">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6AAB8B93">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17433CAB">
      <w:pPr>
        <w:spacing w:line="360" w:lineRule="auto"/>
        <w:jc w:val="center"/>
        <w:rPr>
          <w:rFonts w:hint="eastAsia" w:ascii="宋体" w:hAnsi="宋体"/>
          <w:b/>
          <w:color w:val="auto"/>
          <w:sz w:val="32"/>
          <w:szCs w:val="32"/>
          <w:highlight w:val="none"/>
        </w:rPr>
      </w:pPr>
    </w:p>
    <w:p w14:paraId="61A33DB1">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w:t>
      </w:r>
      <w:r>
        <w:rPr>
          <w:rFonts w:ascii="宋体" w:hAnsi="宋体"/>
          <w:b/>
          <w:color w:val="auto"/>
          <w:sz w:val="32"/>
          <w:szCs w:val="32"/>
          <w:highlight w:val="none"/>
        </w:rPr>
        <w:t>5</w:t>
      </w:r>
      <w:r>
        <w:rPr>
          <w:rFonts w:hint="eastAsia" w:ascii="宋体" w:hAnsi="宋体"/>
          <w:b/>
          <w:color w:val="auto"/>
          <w:sz w:val="32"/>
          <w:szCs w:val="32"/>
          <w:highlight w:val="none"/>
        </w:rPr>
        <w:t>）承诺书</w:t>
      </w:r>
    </w:p>
    <w:p w14:paraId="3958019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现承诺我单位在本项目响应文件使用的证件、证书、业绩、公章、印章、签字、扫描件及有关答疑等材料均为真实、有效。如我单位提供上述的材料有变造、伪造等造假行为，采购人和有关行政监督部门可以取消我单位竞标资格或成交资格。给采购人造成损失的，依法承担赔偿责任；情节严重的，接受依法取消一年至三年内参加依法必须进行竞标的工程项目的竞标资格的处罚；构成犯罪的，接受依法追究刑事责任。</w:t>
      </w:r>
    </w:p>
    <w:p w14:paraId="1F1E6D9B">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法定代表人（签字或者盖章或者电子签名）：</w:t>
      </w:r>
    </w:p>
    <w:p w14:paraId="3588333B">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6F7B46DC">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4F1E35C2">
      <w:pPr>
        <w:spacing w:line="360" w:lineRule="auto"/>
        <w:ind w:firstLine="420" w:firstLineChars="200"/>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2C1F8798">
      <w:pPr>
        <w:spacing w:line="360" w:lineRule="auto"/>
        <w:ind w:firstLine="643" w:firstLineChars="200"/>
        <w:jc w:val="center"/>
        <w:rPr>
          <w:rFonts w:ascii="宋体" w:hAnsi="宋体"/>
          <w:b/>
          <w:color w:val="auto"/>
          <w:sz w:val="32"/>
          <w:szCs w:val="32"/>
          <w:highlight w:val="none"/>
        </w:rPr>
      </w:pPr>
      <w:r>
        <w:rPr>
          <w:rFonts w:hint="eastAsia" w:ascii="宋体" w:hAnsi="宋体"/>
          <w:b/>
          <w:color w:val="auto"/>
          <w:sz w:val="32"/>
          <w:szCs w:val="32"/>
          <w:highlight w:val="none"/>
          <w:lang w:val="en-US" w:eastAsia="zh-CN"/>
        </w:rPr>
        <w:t>9</w:t>
      </w:r>
      <w:r>
        <w:rPr>
          <w:rFonts w:hint="eastAsia" w:ascii="宋体" w:hAnsi="宋体"/>
          <w:b/>
          <w:color w:val="auto"/>
          <w:sz w:val="32"/>
          <w:szCs w:val="32"/>
          <w:highlight w:val="none"/>
        </w:rPr>
        <w:t>、《中小企业声明函》或《残疾人福利性单位声明函》或监狱企业证明</w:t>
      </w:r>
    </w:p>
    <w:p w14:paraId="7C3C897F">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中小企业声明函（工程）</w:t>
      </w:r>
    </w:p>
    <w:p w14:paraId="5819DE25">
      <w:pPr>
        <w:spacing w:line="360" w:lineRule="auto"/>
        <w:ind w:firstLine="420" w:firstLineChars="200"/>
        <w:rPr>
          <w:rFonts w:ascii="宋体" w:hAnsi="宋体"/>
          <w:color w:val="auto"/>
          <w:szCs w:val="21"/>
          <w:highlight w:val="none"/>
        </w:rPr>
      </w:pPr>
    </w:p>
    <w:p w14:paraId="02B2EE1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本公司（联合体）郑重声明，根据《政府采购促进中小企业发展管理办法》（财库﹝2020﹞46号）的规定，本公司（联合体）参加</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（单位名称）的</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（项目名称）采购活动，工程的施工单位全部为符合政策要求的中小企业。相关企业（含联合体中的中小企业、签订分包意向协议的中小企业）的具体情况如下：</w:t>
      </w:r>
    </w:p>
    <w:p w14:paraId="2078B2D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（标的名称），属于</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（采购文件中明确的所属行业）；承建企业为</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（企业名称），从业人员</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人，营业收入为</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万元，资产总额为</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4A9EE4E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（标的名称），属于</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（采购文件中明确的所属行业）；承建企业为</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（企业名称），从业人员</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人，营业收入为</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万元，资产总额为</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671CF71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p>
    <w:p w14:paraId="424BD59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以上企业，不属于大企业的分支机构，不存在控股股东为大企业的情形，也不存在与大企业的负责人为同一人的情形。</w:t>
      </w:r>
    </w:p>
    <w:p w14:paraId="6D30BF3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本企业对上述声明内容的真实性负责。如有虚假，将依法承担相应责任。</w:t>
      </w:r>
    </w:p>
    <w:p w14:paraId="609711E5">
      <w:pPr>
        <w:spacing w:line="360" w:lineRule="auto"/>
        <w:ind w:firstLine="420" w:firstLineChars="200"/>
        <w:rPr>
          <w:rFonts w:ascii="宋体" w:hAnsi="宋体"/>
          <w:color w:val="auto"/>
          <w:szCs w:val="21"/>
          <w:highlight w:val="none"/>
        </w:rPr>
      </w:pPr>
    </w:p>
    <w:p w14:paraId="2FF2696F">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28D22110">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005BBBC3">
      <w:pPr>
        <w:spacing w:line="360" w:lineRule="auto"/>
        <w:ind w:firstLine="420" w:firstLineChars="200"/>
        <w:rPr>
          <w:rFonts w:ascii="宋体" w:hAnsi="宋体"/>
          <w:color w:val="auto"/>
          <w:szCs w:val="21"/>
          <w:highlight w:val="none"/>
        </w:rPr>
      </w:pPr>
    </w:p>
    <w:p w14:paraId="503F154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1979AE4">
      <w:pPr>
        <w:spacing w:line="360" w:lineRule="auto"/>
        <w:ind w:firstLine="420" w:firstLineChars="200"/>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65839642">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残疾人福利性单位声明函</w:t>
      </w:r>
    </w:p>
    <w:p w14:paraId="4DCA3CE7">
      <w:pPr>
        <w:spacing w:line="360" w:lineRule="auto"/>
        <w:ind w:firstLine="420" w:firstLineChars="200"/>
        <w:rPr>
          <w:rFonts w:ascii="宋体" w:hAnsi="宋体"/>
          <w:color w:val="auto"/>
          <w:szCs w:val="21"/>
          <w:highlight w:val="none"/>
        </w:rPr>
      </w:pPr>
    </w:p>
    <w:p w14:paraId="336E38B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本单位郑重声明，根据《财政部、民政部、中国残疾人联合会关于促进残疾人就业政府采购政策的通知》（财库〔2017〕141号）的规定，本单位为符合条件的残疾人福利性单位，且本单位参加</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单位的</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104A050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71FD25ED">
      <w:pPr>
        <w:spacing w:line="360" w:lineRule="auto"/>
        <w:ind w:firstLine="420" w:firstLineChars="200"/>
        <w:rPr>
          <w:rFonts w:ascii="宋体" w:hAnsi="宋体"/>
          <w:color w:val="auto"/>
          <w:szCs w:val="21"/>
          <w:highlight w:val="none"/>
        </w:rPr>
      </w:pPr>
    </w:p>
    <w:p w14:paraId="36185EDC">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65D7F7DE">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bookmarkStart w:id="33" w:name="OLE_LINK20"/>
      <w:bookmarkStart w:id="34" w:name="OLE_LINK19"/>
      <w:r>
        <w:rPr>
          <w:rFonts w:ascii="Times New Roman" w:hAnsi="Times New Roman" w:cs="Times New Roman"/>
          <w:color w:val="auto"/>
          <w:szCs w:val="21"/>
          <w:highlight w:val="none"/>
          <w:u w:val="single"/>
        </w:rPr>
        <w:t xml:space="preserve">   </w:t>
      </w:r>
      <w:bookmarkEnd w:id="33"/>
      <w:bookmarkEnd w:id="34"/>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1654BA1D">
      <w:pPr>
        <w:spacing w:line="360" w:lineRule="auto"/>
        <w:ind w:firstLine="420" w:firstLineChars="200"/>
        <w:rPr>
          <w:rFonts w:ascii="宋体" w:hAnsi="宋体"/>
          <w:color w:val="auto"/>
          <w:szCs w:val="21"/>
          <w:highlight w:val="none"/>
        </w:rPr>
      </w:pPr>
    </w:p>
    <w:p w14:paraId="6709EF1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注：请根据自己的真实情况出具《残疾人福利性单位声明函》。依法享受中小企业扶持政策的，采购人或者采购代理机构在公告成交结果时，同时公告其《残疾人福利性单位声明函》，接受社会监督。</w:t>
      </w:r>
    </w:p>
    <w:p w14:paraId="13EE1687">
      <w:pPr>
        <w:spacing w:line="360" w:lineRule="auto"/>
        <w:jc w:val="center"/>
        <w:rPr>
          <w:rFonts w:ascii="宋体" w:hAnsi="宋体" w:cs="Times New Roman"/>
          <w:b/>
          <w:color w:val="auto"/>
          <w:sz w:val="32"/>
          <w:szCs w:val="32"/>
          <w:highlight w:val="none"/>
        </w:rPr>
      </w:pPr>
    </w:p>
    <w:p w14:paraId="041D9C83">
      <w:pPr>
        <w:spacing w:line="360" w:lineRule="auto"/>
        <w:jc w:val="center"/>
        <w:rPr>
          <w:rFonts w:ascii="宋体" w:hAnsi="宋体" w:cs="Times New Roman"/>
          <w:b/>
          <w:color w:val="auto"/>
          <w:sz w:val="32"/>
          <w:szCs w:val="32"/>
          <w:highlight w:val="none"/>
        </w:rPr>
      </w:pPr>
    </w:p>
    <w:p w14:paraId="77C50742">
      <w:pPr>
        <w:spacing w:line="360" w:lineRule="auto"/>
        <w:jc w:val="center"/>
        <w:rPr>
          <w:rFonts w:ascii="宋体" w:hAnsi="宋体" w:cs="Times New Roman"/>
          <w:b/>
          <w:color w:val="auto"/>
          <w:sz w:val="32"/>
          <w:szCs w:val="32"/>
          <w:highlight w:val="none"/>
        </w:rPr>
      </w:pPr>
    </w:p>
    <w:p w14:paraId="568951E5">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监狱企业证明</w:t>
      </w:r>
    </w:p>
    <w:p w14:paraId="30F5A092">
      <w:pPr>
        <w:spacing w:line="360" w:lineRule="auto"/>
        <w:ind w:firstLine="420" w:firstLineChars="200"/>
        <w:rPr>
          <w:rFonts w:ascii="宋体" w:hAnsi="宋体"/>
          <w:color w:val="auto"/>
          <w:szCs w:val="21"/>
          <w:highlight w:val="none"/>
        </w:rPr>
      </w:pPr>
    </w:p>
    <w:p w14:paraId="4922C50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提供由省级以上监狱管理局、戒毒管理局（含新疆生产建设兵团）出具的属于监狱企业的证明文件。</w:t>
      </w:r>
    </w:p>
    <w:p w14:paraId="00362F20">
      <w:pPr>
        <w:spacing w:line="360" w:lineRule="auto"/>
        <w:ind w:firstLine="420" w:firstLineChars="200"/>
        <w:rPr>
          <w:rFonts w:ascii="宋体" w:hAnsi="宋体"/>
          <w:color w:val="auto"/>
          <w:szCs w:val="21"/>
          <w:highlight w:val="none"/>
        </w:rPr>
      </w:pPr>
    </w:p>
    <w:p w14:paraId="26A1068E">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3F2BA98B">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1BA5BE16">
      <w:pPr>
        <w:spacing w:line="360" w:lineRule="auto"/>
        <w:ind w:firstLine="420" w:firstLineChars="200"/>
        <w:rPr>
          <w:rFonts w:ascii="宋体" w:hAnsi="宋体"/>
          <w:color w:val="auto"/>
          <w:szCs w:val="21"/>
          <w:highlight w:val="none"/>
        </w:rPr>
      </w:pPr>
    </w:p>
    <w:p w14:paraId="0950264E">
      <w:pPr>
        <w:rPr>
          <w:rFonts w:ascii="宋体" w:hAnsi="宋体"/>
          <w:b/>
          <w:color w:val="auto"/>
          <w:sz w:val="32"/>
          <w:szCs w:val="32"/>
          <w:highlight w:val="none"/>
        </w:rPr>
      </w:pPr>
      <w:r>
        <w:rPr>
          <w:rFonts w:hint="eastAsia" w:ascii="宋体" w:hAnsi="宋体"/>
          <w:color w:val="auto"/>
          <w:szCs w:val="21"/>
          <w:highlight w:val="none"/>
        </w:rPr>
        <w:t>注：请根据自己的真实情况出具《监狱企业证明》。依法享受中小企业优惠政策的，采购人或者采购代理机构在公告成交结果时，同时公告其《监狱企业证明》，接受社会监督。</w:t>
      </w:r>
    </w:p>
    <w:p w14:paraId="4BF48939">
      <w:pPr>
        <w:spacing w:line="360" w:lineRule="auto"/>
        <w:ind w:firstLine="643" w:firstLineChars="200"/>
        <w:jc w:val="center"/>
        <w:rPr>
          <w:rFonts w:ascii="宋体" w:hAnsi="宋体"/>
          <w:b/>
          <w:color w:val="auto"/>
          <w:sz w:val="32"/>
          <w:szCs w:val="32"/>
          <w:highlight w:val="none"/>
        </w:rPr>
      </w:pPr>
    </w:p>
    <w:p w14:paraId="042ECCAE">
      <w:pPr>
        <w:spacing w:line="360" w:lineRule="auto"/>
        <w:ind w:firstLine="420" w:firstLineChars="200"/>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64D95A8A">
      <w:pPr>
        <w:pStyle w:val="3"/>
        <w:jc w:val="center"/>
        <w:rPr>
          <w:color w:val="auto"/>
          <w:highlight w:val="none"/>
        </w:rPr>
      </w:pPr>
      <w:bookmarkStart w:id="35" w:name="_Toc19784"/>
      <w:bookmarkStart w:id="36" w:name="_Toc22157"/>
      <w:r>
        <w:rPr>
          <w:rFonts w:hint="eastAsia"/>
          <w:color w:val="auto"/>
          <w:highlight w:val="none"/>
        </w:rPr>
        <w:t>二、报价文件格式</w:t>
      </w:r>
      <w:bookmarkEnd w:id="35"/>
      <w:bookmarkEnd w:id="36"/>
    </w:p>
    <w:p w14:paraId="29E1C1D1">
      <w:pPr>
        <w:spacing w:line="360" w:lineRule="auto"/>
        <w:ind w:firstLine="420" w:firstLineChars="200"/>
        <w:rPr>
          <w:rFonts w:ascii="宋体" w:hAnsi="宋体"/>
          <w:color w:val="auto"/>
          <w:szCs w:val="21"/>
          <w:highlight w:val="none"/>
        </w:rPr>
      </w:pPr>
    </w:p>
    <w:p w14:paraId="4D9CAB12">
      <w:pPr>
        <w:spacing w:line="360" w:lineRule="auto"/>
        <w:ind w:firstLine="420" w:firstLineChars="200"/>
        <w:rPr>
          <w:rFonts w:ascii="宋体" w:hAnsi="宋体"/>
          <w:color w:val="auto"/>
          <w:szCs w:val="21"/>
          <w:highlight w:val="none"/>
        </w:rPr>
      </w:pPr>
    </w:p>
    <w:p w14:paraId="5A53B9CA">
      <w:pPr>
        <w:spacing w:line="360" w:lineRule="auto"/>
        <w:ind w:firstLine="420" w:firstLineChars="200"/>
        <w:rPr>
          <w:rFonts w:ascii="宋体" w:hAnsi="宋体"/>
          <w:color w:val="auto"/>
          <w:szCs w:val="21"/>
          <w:highlight w:val="none"/>
        </w:rPr>
      </w:pPr>
    </w:p>
    <w:p w14:paraId="5D63D8CB">
      <w:pPr>
        <w:spacing w:line="360" w:lineRule="auto"/>
        <w:jc w:val="center"/>
        <w:rPr>
          <w:rFonts w:ascii="宋体" w:hAnsi="宋体"/>
          <w:b/>
          <w:color w:val="auto"/>
          <w:sz w:val="84"/>
          <w:szCs w:val="84"/>
          <w:highlight w:val="none"/>
        </w:rPr>
      </w:pPr>
      <w:r>
        <w:rPr>
          <w:rFonts w:hint="eastAsia" w:ascii="宋体" w:hAnsi="宋体"/>
          <w:b/>
          <w:color w:val="auto"/>
          <w:sz w:val="84"/>
          <w:szCs w:val="84"/>
          <w:highlight w:val="none"/>
        </w:rPr>
        <w:t>报价文件（封面）</w:t>
      </w:r>
    </w:p>
    <w:p w14:paraId="5BCBAFA3">
      <w:pPr>
        <w:spacing w:line="360" w:lineRule="auto"/>
        <w:ind w:firstLine="420" w:firstLineChars="200"/>
        <w:rPr>
          <w:rFonts w:ascii="宋体" w:hAnsi="宋体"/>
          <w:color w:val="auto"/>
          <w:szCs w:val="21"/>
          <w:highlight w:val="none"/>
        </w:rPr>
      </w:pPr>
    </w:p>
    <w:p w14:paraId="49B6F2C0">
      <w:pPr>
        <w:spacing w:line="360" w:lineRule="auto"/>
        <w:ind w:firstLine="420" w:firstLineChars="200"/>
        <w:rPr>
          <w:rFonts w:ascii="宋体" w:hAnsi="宋体"/>
          <w:color w:val="auto"/>
          <w:szCs w:val="21"/>
          <w:highlight w:val="none"/>
        </w:rPr>
      </w:pPr>
    </w:p>
    <w:p w14:paraId="3BDA47EC">
      <w:pPr>
        <w:spacing w:line="360" w:lineRule="auto"/>
        <w:ind w:firstLine="420" w:firstLineChars="200"/>
        <w:rPr>
          <w:rFonts w:ascii="宋体" w:hAnsi="宋体"/>
          <w:color w:val="auto"/>
          <w:szCs w:val="21"/>
          <w:highlight w:val="none"/>
        </w:rPr>
      </w:pPr>
    </w:p>
    <w:p w14:paraId="269DE4BF">
      <w:pPr>
        <w:spacing w:line="360" w:lineRule="auto"/>
        <w:ind w:firstLine="420" w:firstLineChars="200"/>
        <w:rPr>
          <w:rFonts w:ascii="宋体" w:hAnsi="宋体"/>
          <w:color w:val="auto"/>
          <w:szCs w:val="21"/>
          <w:highlight w:val="none"/>
        </w:rPr>
      </w:pPr>
    </w:p>
    <w:p w14:paraId="26A72E8F">
      <w:pPr>
        <w:spacing w:line="360" w:lineRule="auto"/>
        <w:ind w:firstLine="420" w:firstLineChars="200"/>
        <w:rPr>
          <w:rFonts w:ascii="宋体" w:hAnsi="宋体"/>
          <w:color w:val="auto"/>
          <w:szCs w:val="21"/>
          <w:highlight w:val="none"/>
        </w:rPr>
      </w:pPr>
    </w:p>
    <w:p w14:paraId="64C62AD4">
      <w:pPr>
        <w:spacing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项目名称：</w:t>
      </w:r>
    </w:p>
    <w:p w14:paraId="3527746C">
      <w:pPr>
        <w:spacing w:line="360" w:lineRule="auto"/>
        <w:ind w:firstLine="420" w:firstLineChars="200"/>
        <w:rPr>
          <w:rFonts w:ascii="宋体" w:hAnsi="宋体"/>
          <w:color w:val="auto"/>
          <w:szCs w:val="21"/>
          <w:highlight w:val="none"/>
        </w:rPr>
      </w:pPr>
    </w:p>
    <w:p w14:paraId="76910A1B">
      <w:pPr>
        <w:spacing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项目编号：</w:t>
      </w:r>
    </w:p>
    <w:p w14:paraId="187DB680">
      <w:pPr>
        <w:spacing w:line="360" w:lineRule="auto"/>
        <w:ind w:firstLine="420" w:firstLineChars="200"/>
        <w:rPr>
          <w:rFonts w:ascii="宋体" w:hAnsi="宋体"/>
          <w:color w:val="auto"/>
          <w:szCs w:val="21"/>
          <w:highlight w:val="none"/>
        </w:rPr>
      </w:pPr>
    </w:p>
    <w:p w14:paraId="3373A377">
      <w:pPr>
        <w:spacing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所竞分标（如有则填写，无分标时填写“无”或者留空）：</w:t>
      </w:r>
    </w:p>
    <w:p w14:paraId="0E78BB10">
      <w:pPr>
        <w:spacing w:line="360" w:lineRule="auto"/>
        <w:ind w:firstLine="420" w:firstLineChars="200"/>
        <w:rPr>
          <w:rFonts w:ascii="宋体" w:hAnsi="宋体"/>
          <w:color w:val="auto"/>
          <w:szCs w:val="21"/>
          <w:highlight w:val="none"/>
        </w:rPr>
      </w:pPr>
    </w:p>
    <w:p w14:paraId="6C4BA504">
      <w:pPr>
        <w:spacing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供应商名称：</w:t>
      </w:r>
    </w:p>
    <w:p w14:paraId="29FAD626">
      <w:pPr>
        <w:spacing w:line="360" w:lineRule="auto"/>
        <w:ind w:firstLine="420" w:firstLineChars="200"/>
        <w:rPr>
          <w:rFonts w:ascii="宋体" w:hAnsi="宋体"/>
          <w:color w:val="auto"/>
          <w:szCs w:val="21"/>
          <w:highlight w:val="none"/>
        </w:rPr>
      </w:pPr>
    </w:p>
    <w:p w14:paraId="3CF6BCB0">
      <w:pPr>
        <w:spacing w:line="360" w:lineRule="auto"/>
        <w:ind w:firstLine="420" w:firstLineChars="200"/>
        <w:rPr>
          <w:rFonts w:ascii="宋体" w:hAnsi="宋体"/>
          <w:color w:val="auto"/>
          <w:szCs w:val="21"/>
          <w:highlight w:val="none"/>
        </w:rPr>
      </w:pPr>
    </w:p>
    <w:p w14:paraId="5CA035ED">
      <w:pPr>
        <w:spacing w:line="360" w:lineRule="auto"/>
        <w:ind w:firstLine="420" w:firstLineChars="200"/>
        <w:rPr>
          <w:rFonts w:ascii="宋体" w:hAnsi="宋体"/>
          <w:color w:val="auto"/>
          <w:szCs w:val="21"/>
          <w:highlight w:val="none"/>
        </w:rPr>
      </w:pPr>
    </w:p>
    <w:p w14:paraId="4C703C07">
      <w:pPr>
        <w:spacing w:line="360" w:lineRule="auto"/>
        <w:jc w:val="center"/>
        <w:rPr>
          <w:rFonts w:ascii="宋体" w:hAnsi="宋体"/>
          <w:color w:val="auto"/>
          <w:szCs w:val="21"/>
          <w:highlight w:val="none"/>
        </w:rPr>
      </w:pPr>
      <w:r>
        <w:rPr>
          <w:rFonts w:ascii="宋体" w:hAnsi="宋体" w:cs="Times New Roman"/>
          <w:color w:val="auto"/>
          <w:sz w:val="32"/>
          <w:szCs w:val="32"/>
          <w:highlight w:val="none"/>
          <w:u w:val="single"/>
        </w:rPr>
        <w:t xml:space="preserve">   </w:t>
      </w:r>
      <w:r>
        <w:rPr>
          <w:rFonts w:hint="eastAsia" w:ascii="宋体" w:hAnsi="宋体" w:cs="Times New Roman"/>
          <w:color w:val="auto"/>
          <w:sz w:val="32"/>
          <w:szCs w:val="32"/>
          <w:highlight w:val="none"/>
        </w:rPr>
        <w:t>年</w:t>
      </w:r>
      <w:r>
        <w:rPr>
          <w:rFonts w:ascii="宋体" w:hAnsi="宋体" w:cs="Times New Roman"/>
          <w:color w:val="auto"/>
          <w:sz w:val="32"/>
          <w:szCs w:val="32"/>
          <w:highlight w:val="none"/>
          <w:u w:val="single"/>
        </w:rPr>
        <w:t xml:space="preserve">   </w:t>
      </w:r>
      <w:r>
        <w:rPr>
          <w:rFonts w:hint="eastAsia" w:ascii="宋体" w:hAnsi="宋体" w:cs="Times New Roman"/>
          <w:color w:val="auto"/>
          <w:sz w:val="32"/>
          <w:szCs w:val="32"/>
          <w:highlight w:val="none"/>
        </w:rPr>
        <w:t>月</w:t>
      </w:r>
      <w:r>
        <w:rPr>
          <w:rFonts w:ascii="宋体" w:hAnsi="宋体" w:cs="Times New Roman"/>
          <w:color w:val="auto"/>
          <w:sz w:val="32"/>
          <w:szCs w:val="32"/>
          <w:highlight w:val="none"/>
          <w:u w:val="single"/>
        </w:rPr>
        <w:t xml:space="preserve">   </w:t>
      </w:r>
      <w:r>
        <w:rPr>
          <w:rFonts w:hint="eastAsia" w:ascii="宋体" w:hAnsi="宋体" w:cs="Times New Roman"/>
          <w:color w:val="auto"/>
          <w:sz w:val="32"/>
          <w:szCs w:val="32"/>
          <w:highlight w:val="none"/>
        </w:rPr>
        <w:t>日</w:t>
      </w:r>
    </w:p>
    <w:p w14:paraId="66EDE1FC">
      <w:pPr>
        <w:spacing w:line="360" w:lineRule="auto"/>
        <w:ind w:firstLine="420" w:firstLineChars="200"/>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06AFCB8C">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报价文件目录</w:t>
      </w:r>
    </w:p>
    <w:p w14:paraId="59D91E47">
      <w:pPr>
        <w:spacing w:line="360" w:lineRule="auto"/>
        <w:jc w:val="center"/>
        <w:rPr>
          <w:rFonts w:hint="eastAsia" w:ascii="宋体" w:hAnsi="宋体"/>
          <w:color w:val="auto"/>
          <w:szCs w:val="21"/>
          <w:highlight w:val="none"/>
        </w:rPr>
      </w:pPr>
      <w:r>
        <w:rPr>
          <w:rFonts w:hint="eastAsia" w:ascii="宋体" w:hAnsi="宋体"/>
          <w:color w:val="auto"/>
          <w:szCs w:val="21"/>
          <w:highlight w:val="none"/>
        </w:rPr>
        <w:t>根据谈判文件规定及供应商提供的材料自行编写目录（部分格式后附）</w:t>
      </w:r>
    </w:p>
    <w:p w14:paraId="311D0865">
      <w:pPr>
        <w:spacing w:line="360" w:lineRule="auto"/>
        <w:jc w:val="center"/>
        <w:rPr>
          <w:rFonts w:ascii="宋体" w:hAnsi="宋体" w:cs="Times New Roman"/>
          <w:b/>
          <w:color w:val="auto"/>
          <w:sz w:val="32"/>
          <w:szCs w:val="32"/>
          <w:highlight w:val="none"/>
        </w:rPr>
      </w:pPr>
      <w:permStart w:id="2" w:edGrp="everyone"/>
      <w:permEnd w:id="2"/>
      <w:r>
        <w:rPr>
          <w:rFonts w:hint="eastAsia" w:ascii="宋体" w:hAnsi="宋体" w:cs="Times New Roman"/>
          <w:b/>
          <w:color w:val="auto"/>
          <w:sz w:val="32"/>
          <w:szCs w:val="32"/>
          <w:highlight w:val="none"/>
        </w:rPr>
        <w:t>1、竞标函及竞标函附录</w:t>
      </w:r>
    </w:p>
    <w:p w14:paraId="4C30C675">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（1）竞标函</w:t>
      </w:r>
    </w:p>
    <w:p w14:paraId="07BBF8E0">
      <w:pPr>
        <w:spacing w:line="360" w:lineRule="auto"/>
        <w:rPr>
          <w:rFonts w:ascii="宋体" w:hAnsi="宋体"/>
          <w:color w:val="auto"/>
          <w:szCs w:val="21"/>
          <w:highlight w:val="none"/>
        </w:rPr>
      </w:pP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（采购人名称）：</w:t>
      </w:r>
    </w:p>
    <w:p w14:paraId="01021EA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1.我方已仔细研究了</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 xml:space="preserve">（项目名称/项目编号）谈判文件的全部内容，愿意以（大写）人民币                （¥ </w:t>
      </w:r>
      <w:r>
        <w:rPr>
          <w:rFonts w:hint="eastAsia" w:ascii="宋体" w:hAnsi="宋体"/>
          <w:color w:val="auto"/>
          <w:szCs w:val="21"/>
          <w:highlight w:val="none"/>
          <w:u w:val="single"/>
        </w:rPr>
        <w:t xml:space="preserve">           </w:t>
      </w:r>
      <w:r>
        <w:rPr>
          <w:rFonts w:hint="eastAsia" w:ascii="宋体" w:hAnsi="宋体"/>
          <w:color w:val="auto"/>
          <w:szCs w:val="21"/>
          <w:highlight w:val="none"/>
        </w:rPr>
        <w:t>元）的竞标报价，工期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日历天，按合同约定实施和完成承包工程，修补工程中的任何缺陷，工程质量达到</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w:t>
      </w:r>
    </w:p>
    <w:p w14:paraId="7C9B97D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2.我方承认竞标报价表是我方竞标函的组成部分。</w:t>
      </w:r>
    </w:p>
    <w:p w14:paraId="2FCDB00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3.如我方成交：</w:t>
      </w:r>
    </w:p>
    <w:p w14:paraId="5C6CC47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（1）我方承诺在收到成交通知书后，在成交通知书规定的期限内与你方签订合同。</w:t>
      </w:r>
    </w:p>
    <w:p w14:paraId="03243D1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（2）在签订合同时不向你方提出附加条件。</w:t>
      </w:r>
    </w:p>
    <w:p w14:paraId="5AAE301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（3）我方承诺按照谈判文件规定向你方递交履约担保。</w:t>
      </w:r>
    </w:p>
    <w:p w14:paraId="5E7EFDD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（4）我方承诺在合同约定的期限内完成并移交全部合同工程。</w:t>
      </w:r>
    </w:p>
    <w:p w14:paraId="14BDA09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4.在合同书正式签署生效之前，本竞标函连同你方的成交通知书将构成我们双方之间共同遵守的文件，对双方具有约束力。</w:t>
      </w:r>
    </w:p>
    <w:p w14:paraId="412E8C9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（其他补充说明）。</w:t>
      </w:r>
    </w:p>
    <w:p w14:paraId="670CB54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与本谈判有关的一切正式往来信函请寄：</w:t>
      </w:r>
    </w:p>
    <w:p w14:paraId="58A9524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ascii="Times New Roman" w:hAnsi="Times New Roman" w:cs="Times New Roman"/>
          <w:color w:val="auto"/>
          <w:szCs w:val="21"/>
          <w:highlight w:val="none"/>
          <w:u w:val="single"/>
        </w:rPr>
        <w:t xml:space="preserve">      </w:t>
      </w:r>
    </w:p>
    <w:p w14:paraId="107375C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电话：</w:t>
      </w:r>
      <w:r>
        <w:rPr>
          <w:rFonts w:ascii="Times New Roman" w:hAnsi="Times New Roman" w:cs="Times New Roman"/>
          <w:color w:val="auto"/>
          <w:szCs w:val="21"/>
          <w:highlight w:val="none"/>
          <w:u w:val="single"/>
        </w:rPr>
        <w:t xml:space="preserve">      </w:t>
      </w:r>
    </w:p>
    <w:p w14:paraId="487FC41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传真：</w:t>
      </w:r>
      <w:r>
        <w:rPr>
          <w:rFonts w:ascii="Times New Roman" w:hAnsi="Times New Roman" w:cs="Times New Roman"/>
          <w:color w:val="auto"/>
          <w:szCs w:val="21"/>
          <w:highlight w:val="none"/>
          <w:u w:val="single"/>
        </w:rPr>
        <w:t xml:space="preserve">      </w:t>
      </w:r>
    </w:p>
    <w:p w14:paraId="571DD6E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邮政编码：</w:t>
      </w:r>
      <w:r>
        <w:rPr>
          <w:rFonts w:ascii="Times New Roman" w:hAnsi="Times New Roman" w:cs="Times New Roman"/>
          <w:color w:val="auto"/>
          <w:szCs w:val="21"/>
          <w:highlight w:val="none"/>
          <w:u w:val="single"/>
        </w:rPr>
        <w:t xml:space="preserve">      </w:t>
      </w:r>
    </w:p>
    <w:p w14:paraId="18825E4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开户名称：</w:t>
      </w:r>
      <w:r>
        <w:rPr>
          <w:rFonts w:ascii="Times New Roman" w:hAnsi="Times New Roman" w:cs="Times New Roman"/>
          <w:color w:val="auto"/>
          <w:szCs w:val="21"/>
          <w:highlight w:val="none"/>
          <w:u w:val="single"/>
        </w:rPr>
        <w:t xml:space="preserve">      </w:t>
      </w:r>
    </w:p>
    <w:p w14:paraId="2685686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开户银行：</w:t>
      </w:r>
      <w:r>
        <w:rPr>
          <w:rFonts w:ascii="Times New Roman" w:hAnsi="Times New Roman" w:cs="Times New Roman"/>
          <w:color w:val="auto"/>
          <w:szCs w:val="21"/>
          <w:highlight w:val="none"/>
          <w:u w:val="single"/>
        </w:rPr>
        <w:t xml:space="preserve">      </w:t>
      </w:r>
    </w:p>
    <w:p w14:paraId="3B41D09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银行账号：</w:t>
      </w:r>
      <w:r>
        <w:rPr>
          <w:rFonts w:ascii="Times New Roman" w:hAnsi="Times New Roman" w:cs="Times New Roman"/>
          <w:color w:val="auto"/>
          <w:szCs w:val="21"/>
          <w:highlight w:val="none"/>
          <w:u w:val="single"/>
        </w:rPr>
        <w:t xml:space="preserve">      </w:t>
      </w:r>
    </w:p>
    <w:p w14:paraId="33B163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特此承诺。</w:t>
      </w:r>
    </w:p>
    <w:p w14:paraId="75A521E7">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32BFC8A4">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7FE07B08">
      <w:pPr>
        <w:spacing w:line="360" w:lineRule="auto"/>
        <w:ind w:firstLine="420" w:firstLineChars="200"/>
        <w:jc w:val="right"/>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2BB5250C">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（2）竞标函附录</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988"/>
        <w:gridCol w:w="1238"/>
        <w:gridCol w:w="4365"/>
        <w:gridCol w:w="1062"/>
      </w:tblGrid>
      <w:tr w14:paraId="5772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05" w:type="dxa"/>
            <w:vAlign w:val="center"/>
          </w:tcPr>
          <w:p w14:paraId="515AA329">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988" w:type="dxa"/>
            <w:vAlign w:val="center"/>
          </w:tcPr>
          <w:p w14:paraId="10752A82">
            <w:pPr>
              <w:spacing w:line="360" w:lineRule="auto"/>
              <w:jc w:val="center"/>
              <w:rPr>
                <w:rFonts w:ascii="宋体" w:hAnsi="宋体"/>
                <w:color w:val="auto"/>
                <w:szCs w:val="21"/>
                <w:highlight w:val="none"/>
              </w:rPr>
            </w:pPr>
            <w:r>
              <w:rPr>
                <w:rFonts w:hint="eastAsia" w:ascii="宋体" w:hAnsi="宋体"/>
                <w:color w:val="auto"/>
                <w:szCs w:val="21"/>
                <w:highlight w:val="none"/>
              </w:rPr>
              <w:t>条款内容</w:t>
            </w:r>
          </w:p>
        </w:tc>
        <w:tc>
          <w:tcPr>
            <w:tcW w:w="1238" w:type="dxa"/>
            <w:vAlign w:val="center"/>
          </w:tcPr>
          <w:p w14:paraId="61BCE439">
            <w:pPr>
              <w:spacing w:line="360" w:lineRule="auto"/>
              <w:jc w:val="center"/>
              <w:rPr>
                <w:rFonts w:ascii="宋体" w:hAnsi="宋体"/>
                <w:color w:val="auto"/>
                <w:szCs w:val="21"/>
                <w:highlight w:val="none"/>
              </w:rPr>
            </w:pPr>
            <w:r>
              <w:rPr>
                <w:rFonts w:hint="eastAsia" w:ascii="宋体" w:hAnsi="宋体"/>
                <w:color w:val="auto"/>
                <w:szCs w:val="21"/>
                <w:highlight w:val="none"/>
              </w:rPr>
              <w:t>合同条款号</w:t>
            </w:r>
          </w:p>
        </w:tc>
        <w:tc>
          <w:tcPr>
            <w:tcW w:w="4365" w:type="dxa"/>
            <w:vAlign w:val="center"/>
          </w:tcPr>
          <w:p w14:paraId="26C5659D">
            <w:pPr>
              <w:spacing w:line="360" w:lineRule="auto"/>
              <w:jc w:val="center"/>
              <w:rPr>
                <w:rFonts w:ascii="宋体" w:hAnsi="宋体"/>
                <w:color w:val="auto"/>
                <w:szCs w:val="21"/>
                <w:highlight w:val="none"/>
              </w:rPr>
            </w:pPr>
            <w:r>
              <w:rPr>
                <w:rFonts w:hint="eastAsia" w:ascii="宋体" w:hAnsi="宋体"/>
                <w:color w:val="auto"/>
                <w:szCs w:val="21"/>
                <w:highlight w:val="none"/>
              </w:rPr>
              <w:t>约定内容</w:t>
            </w:r>
          </w:p>
        </w:tc>
        <w:tc>
          <w:tcPr>
            <w:tcW w:w="1062" w:type="dxa"/>
            <w:vAlign w:val="center"/>
          </w:tcPr>
          <w:p w14:paraId="63BAE332">
            <w:pPr>
              <w:spacing w:line="360" w:lineRule="auto"/>
              <w:jc w:val="center"/>
              <w:rPr>
                <w:rFonts w:ascii="宋体" w:hAnsi="宋体"/>
                <w:color w:val="auto"/>
                <w:szCs w:val="21"/>
                <w:highlight w:val="none"/>
              </w:rPr>
            </w:pPr>
            <w:r>
              <w:rPr>
                <w:rFonts w:hint="eastAsia" w:ascii="宋体" w:hAnsi="宋体"/>
                <w:color w:val="auto"/>
                <w:szCs w:val="21"/>
                <w:highlight w:val="none"/>
              </w:rPr>
              <w:t>供应商响应情况</w:t>
            </w:r>
          </w:p>
        </w:tc>
      </w:tr>
      <w:tr w14:paraId="5170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5" w:type="dxa"/>
            <w:vAlign w:val="center"/>
          </w:tcPr>
          <w:p w14:paraId="0243D045">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988" w:type="dxa"/>
            <w:vAlign w:val="center"/>
          </w:tcPr>
          <w:p w14:paraId="1292B961">
            <w:pPr>
              <w:spacing w:line="360" w:lineRule="auto"/>
              <w:jc w:val="center"/>
              <w:rPr>
                <w:rFonts w:ascii="宋体" w:hAnsi="宋体"/>
                <w:color w:val="auto"/>
                <w:szCs w:val="21"/>
                <w:highlight w:val="none"/>
              </w:rPr>
            </w:pPr>
            <w:r>
              <w:rPr>
                <w:rFonts w:hint="eastAsia" w:ascii="宋体" w:hAnsi="宋体"/>
                <w:color w:val="auto"/>
                <w:szCs w:val="21"/>
                <w:highlight w:val="none"/>
              </w:rPr>
              <w:t>项目经理</w:t>
            </w:r>
          </w:p>
        </w:tc>
        <w:tc>
          <w:tcPr>
            <w:tcW w:w="1238" w:type="dxa"/>
            <w:vAlign w:val="center"/>
          </w:tcPr>
          <w:p w14:paraId="2D3E656F">
            <w:pPr>
              <w:spacing w:line="360" w:lineRule="auto"/>
              <w:jc w:val="center"/>
              <w:rPr>
                <w:rFonts w:ascii="宋体" w:hAnsi="宋体"/>
                <w:color w:val="auto"/>
                <w:szCs w:val="21"/>
                <w:highlight w:val="none"/>
              </w:rPr>
            </w:pPr>
            <w:r>
              <w:rPr>
                <w:rFonts w:hint="eastAsia" w:ascii="宋体" w:hAnsi="宋体"/>
                <w:color w:val="auto"/>
                <w:szCs w:val="21"/>
                <w:highlight w:val="none"/>
              </w:rPr>
              <w:t>专用条款</w:t>
            </w:r>
          </w:p>
        </w:tc>
        <w:tc>
          <w:tcPr>
            <w:tcW w:w="4365" w:type="dxa"/>
            <w:vAlign w:val="center"/>
          </w:tcPr>
          <w:p w14:paraId="3416DBF0">
            <w:pPr>
              <w:spacing w:line="360" w:lineRule="auto"/>
              <w:jc w:val="center"/>
              <w:rPr>
                <w:rFonts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p>
        </w:tc>
        <w:tc>
          <w:tcPr>
            <w:tcW w:w="1062" w:type="dxa"/>
            <w:vAlign w:val="center"/>
          </w:tcPr>
          <w:p w14:paraId="4CAA5C16">
            <w:pPr>
              <w:spacing w:line="360" w:lineRule="auto"/>
              <w:jc w:val="center"/>
              <w:rPr>
                <w:rFonts w:ascii="宋体" w:hAnsi="宋体"/>
                <w:color w:val="auto"/>
                <w:szCs w:val="21"/>
                <w:highlight w:val="none"/>
              </w:rPr>
            </w:pPr>
          </w:p>
        </w:tc>
      </w:tr>
      <w:tr w14:paraId="5627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5" w:type="dxa"/>
            <w:vAlign w:val="center"/>
          </w:tcPr>
          <w:p w14:paraId="6017F0A1">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1988" w:type="dxa"/>
            <w:vAlign w:val="center"/>
          </w:tcPr>
          <w:p w14:paraId="2190DC58">
            <w:pPr>
              <w:spacing w:line="360" w:lineRule="auto"/>
              <w:jc w:val="center"/>
              <w:rPr>
                <w:rFonts w:ascii="宋体" w:hAnsi="宋体"/>
                <w:color w:val="auto"/>
                <w:szCs w:val="21"/>
                <w:highlight w:val="none"/>
              </w:rPr>
            </w:pPr>
            <w:r>
              <w:rPr>
                <w:rFonts w:hint="eastAsia" w:ascii="宋体" w:hAnsi="宋体"/>
                <w:color w:val="auto"/>
                <w:szCs w:val="21"/>
                <w:highlight w:val="none"/>
              </w:rPr>
              <w:t>竞标有效期</w:t>
            </w:r>
          </w:p>
        </w:tc>
        <w:tc>
          <w:tcPr>
            <w:tcW w:w="1238" w:type="dxa"/>
            <w:vAlign w:val="center"/>
          </w:tcPr>
          <w:p w14:paraId="06AB3B49">
            <w:pPr>
              <w:spacing w:line="360" w:lineRule="auto"/>
              <w:jc w:val="center"/>
              <w:rPr>
                <w:rFonts w:ascii="宋体" w:hAnsi="宋体"/>
                <w:color w:val="auto"/>
                <w:szCs w:val="21"/>
                <w:highlight w:val="none"/>
              </w:rPr>
            </w:pPr>
          </w:p>
        </w:tc>
        <w:tc>
          <w:tcPr>
            <w:tcW w:w="4365" w:type="dxa"/>
            <w:vAlign w:val="center"/>
          </w:tcPr>
          <w:p w14:paraId="37591C1B">
            <w:pPr>
              <w:spacing w:line="360" w:lineRule="auto"/>
              <w:jc w:val="center"/>
              <w:rPr>
                <w:rFonts w:ascii="宋体" w:hAnsi="宋体"/>
                <w:color w:val="auto"/>
                <w:szCs w:val="21"/>
                <w:highlight w:val="none"/>
              </w:rPr>
            </w:pPr>
            <w:r>
              <w:rPr>
                <w:rFonts w:hint="eastAsia" w:ascii="宋体" w:hAnsi="宋体"/>
                <w:color w:val="auto"/>
                <w:szCs w:val="21"/>
                <w:highlight w:val="none"/>
              </w:rPr>
              <w:t>自首次响应文件提交截止之日起90日历天。</w:t>
            </w:r>
          </w:p>
        </w:tc>
        <w:tc>
          <w:tcPr>
            <w:tcW w:w="1062" w:type="dxa"/>
            <w:vAlign w:val="center"/>
          </w:tcPr>
          <w:p w14:paraId="67E187F8">
            <w:pPr>
              <w:spacing w:line="360" w:lineRule="auto"/>
              <w:jc w:val="center"/>
              <w:rPr>
                <w:rFonts w:ascii="宋体" w:hAnsi="宋体"/>
                <w:color w:val="auto"/>
                <w:szCs w:val="21"/>
                <w:highlight w:val="none"/>
              </w:rPr>
            </w:pPr>
          </w:p>
        </w:tc>
      </w:tr>
      <w:tr w14:paraId="48121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5" w:type="dxa"/>
            <w:vAlign w:val="center"/>
          </w:tcPr>
          <w:p w14:paraId="1E8A0AA7">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1988" w:type="dxa"/>
            <w:vAlign w:val="center"/>
          </w:tcPr>
          <w:p w14:paraId="68A63E8A">
            <w:pPr>
              <w:spacing w:line="360" w:lineRule="auto"/>
              <w:jc w:val="center"/>
              <w:rPr>
                <w:rFonts w:ascii="宋体" w:hAnsi="宋体"/>
                <w:color w:val="auto"/>
                <w:szCs w:val="21"/>
                <w:highlight w:val="none"/>
              </w:rPr>
            </w:pPr>
            <w:r>
              <w:rPr>
                <w:rFonts w:hint="eastAsia" w:ascii="宋体" w:hAnsi="宋体"/>
                <w:color w:val="auto"/>
                <w:szCs w:val="21"/>
                <w:highlight w:val="none"/>
              </w:rPr>
              <w:t>工期</w:t>
            </w:r>
          </w:p>
        </w:tc>
        <w:tc>
          <w:tcPr>
            <w:tcW w:w="1238" w:type="dxa"/>
            <w:vAlign w:val="center"/>
          </w:tcPr>
          <w:p w14:paraId="6D92F365">
            <w:pPr>
              <w:spacing w:line="360" w:lineRule="auto"/>
              <w:jc w:val="center"/>
              <w:rPr>
                <w:rFonts w:ascii="宋体" w:hAnsi="宋体"/>
                <w:color w:val="auto"/>
                <w:szCs w:val="21"/>
                <w:highlight w:val="none"/>
              </w:rPr>
            </w:pPr>
            <w:r>
              <w:rPr>
                <w:rFonts w:hint="eastAsia" w:ascii="宋体" w:hAnsi="宋体"/>
                <w:color w:val="auto"/>
                <w:szCs w:val="21"/>
                <w:highlight w:val="none"/>
              </w:rPr>
              <w:t>专用条款</w:t>
            </w:r>
          </w:p>
        </w:tc>
        <w:tc>
          <w:tcPr>
            <w:tcW w:w="4365" w:type="dxa"/>
            <w:vAlign w:val="center"/>
          </w:tcPr>
          <w:p w14:paraId="145CAC8A">
            <w:pPr>
              <w:spacing w:line="360" w:lineRule="auto"/>
              <w:jc w:val="center"/>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日历天</w:t>
            </w:r>
          </w:p>
        </w:tc>
        <w:tc>
          <w:tcPr>
            <w:tcW w:w="1062" w:type="dxa"/>
            <w:vAlign w:val="center"/>
          </w:tcPr>
          <w:p w14:paraId="0E24060E">
            <w:pPr>
              <w:spacing w:line="360" w:lineRule="auto"/>
              <w:jc w:val="center"/>
              <w:rPr>
                <w:rFonts w:ascii="宋体" w:hAnsi="宋体"/>
                <w:color w:val="auto"/>
                <w:szCs w:val="21"/>
                <w:highlight w:val="none"/>
              </w:rPr>
            </w:pPr>
          </w:p>
        </w:tc>
      </w:tr>
      <w:tr w14:paraId="38E5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5" w:type="dxa"/>
            <w:vAlign w:val="center"/>
          </w:tcPr>
          <w:p w14:paraId="2C1E698E">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1988" w:type="dxa"/>
            <w:vAlign w:val="center"/>
          </w:tcPr>
          <w:p w14:paraId="147CEBA5">
            <w:pPr>
              <w:spacing w:line="360" w:lineRule="auto"/>
              <w:jc w:val="center"/>
              <w:rPr>
                <w:rFonts w:ascii="宋体" w:hAnsi="宋体"/>
                <w:color w:val="auto"/>
                <w:szCs w:val="21"/>
                <w:highlight w:val="none"/>
              </w:rPr>
            </w:pPr>
            <w:r>
              <w:rPr>
                <w:rFonts w:hint="eastAsia" w:ascii="宋体" w:hAnsi="宋体"/>
                <w:color w:val="auto"/>
                <w:szCs w:val="21"/>
                <w:highlight w:val="none"/>
              </w:rPr>
              <w:t>缺陷责任期</w:t>
            </w:r>
          </w:p>
        </w:tc>
        <w:tc>
          <w:tcPr>
            <w:tcW w:w="1238" w:type="dxa"/>
            <w:vAlign w:val="center"/>
          </w:tcPr>
          <w:p w14:paraId="531B7310">
            <w:pPr>
              <w:spacing w:line="360" w:lineRule="auto"/>
              <w:jc w:val="center"/>
              <w:rPr>
                <w:rFonts w:ascii="宋体" w:hAnsi="宋体"/>
                <w:color w:val="auto"/>
                <w:szCs w:val="21"/>
                <w:highlight w:val="none"/>
              </w:rPr>
            </w:pPr>
            <w:r>
              <w:rPr>
                <w:rFonts w:hint="eastAsia" w:ascii="宋体" w:hAnsi="宋体"/>
                <w:color w:val="auto"/>
                <w:szCs w:val="21"/>
                <w:highlight w:val="none"/>
              </w:rPr>
              <w:t>专用条款</w:t>
            </w:r>
          </w:p>
        </w:tc>
        <w:tc>
          <w:tcPr>
            <w:tcW w:w="4365" w:type="dxa"/>
            <w:vAlign w:val="center"/>
          </w:tcPr>
          <w:p w14:paraId="6A278F74">
            <w:pPr>
              <w:spacing w:line="360" w:lineRule="auto"/>
              <w:jc w:val="center"/>
              <w:rPr>
                <w:rFonts w:ascii="宋体" w:hAnsi="宋体"/>
                <w:color w:val="auto"/>
                <w:szCs w:val="21"/>
                <w:highlight w:val="none"/>
              </w:rPr>
            </w:pPr>
          </w:p>
        </w:tc>
        <w:tc>
          <w:tcPr>
            <w:tcW w:w="1062" w:type="dxa"/>
            <w:vAlign w:val="center"/>
          </w:tcPr>
          <w:p w14:paraId="0338C102">
            <w:pPr>
              <w:spacing w:line="360" w:lineRule="auto"/>
              <w:jc w:val="center"/>
              <w:rPr>
                <w:rFonts w:ascii="宋体" w:hAnsi="宋体"/>
                <w:color w:val="auto"/>
                <w:szCs w:val="21"/>
                <w:highlight w:val="none"/>
              </w:rPr>
            </w:pPr>
          </w:p>
        </w:tc>
      </w:tr>
      <w:tr w14:paraId="3208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5" w:type="dxa"/>
            <w:vAlign w:val="center"/>
          </w:tcPr>
          <w:p w14:paraId="04297505">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1988" w:type="dxa"/>
            <w:vAlign w:val="center"/>
          </w:tcPr>
          <w:p w14:paraId="30FE597A">
            <w:pPr>
              <w:spacing w:line="360" w:lineRule="auto"/>
              <w:jc w:val="center"/>
              <w:rPr>
                <w:rFonts w:ascii="宋体" w:hAnsi="宋体"/>
                <w:color w:val="auto"/>
                <w:szCs w:val="21"/>
                <w:highlight w:val="none"/>
              </w:rPr>
            </w:pPr>
            <w:r>
              <w:rPr>
                <w:rFonts w:hint="eastAsia" w:ascii="宋体" w:hAnsi="宋体"/>
                <w:color w:val="auto"/>
                <w:szCs w:val="21"/>
                <w:highlight w:val="none"/>
              </w:rPr>
              <w:t>承包人履约担保</w:t>
            </w:r>
          </w:p>
          <w:p w14:paraId="71FAE1A5">
            <w:pPr>
              <w:spacing w:line="360" w:lineRule="auto"/>
              <w:jc w:val="center"/>
              <w:rPr>
                <w:rFonts w:ascii="宋体" w:hAnsi="宋体"/>
                <w:color w:val="auto"/>
                <w:szCs w:val="21"/>
                <w:highlight w:val="none"/>
              </w:rPr>
            </w:pPr>
            <w:r>
              <w:rPr>
                <w:rFonts w:hint="eastAsia" w:ascii="宋体" w:hAnsi="宋体"/>
                <w:color w:val="auto"/>
                <w:szCs w:val="21"/>
                <w:highlight w:val="none"/>
              </w:rPr>
              <w:t>金额</w:t>
            </w:r>
          </w:p>
        </w:tc>
        <w:tc>
          <w:tcPr>
            <w:tcW w:w="1238" w:type="dxa"/>
            <w:vAlign w:val="center"/>
          </w:tcPr>
          <w:p w14:paraId="55F79ADF">
            <w:pPr>
              <w:spacing w:line="360" w:lineRule="auto"/>
              <w:jc w:val="center"/>
              <w:rPr>
                <w:rFonts w:ascii="宋体" w:hAnsi="宋体"/>
                <w:color w:val="auto"/>
                <w:szCs w:val="21"/>
                <w:highlight w:val="none"/>
              </w:rPr>
            </w:pPr>
            <w:r>
              <w:rPr>
                <w:rFonts w:hint="eastAsia" w:ascii="宋体" w:hAnsi="宋体"/>
                <w:color w:val="auto"/>
                <w:szCs w:val="21"/>
                <w:highlight w:val="none"/>
              </w:rPr>
              <w:t>专用条款</w:t>
            </w:r>
          </w:p>
        </w:tc>
        <w:tc>
          <w:tcPr>
            <w:tcW w:w="4365" w:type="dxa"/>
            <w:vAlign w:val="center"/>
          </w:tcPr>
          <w:p w14:paraId="7A383836">
            <w:pPr>
              <w:spacing w:line="360" w:lineRule="auto"/>
              <w:jc w:val="center"/>
              <w:rPr>
                <w:rFonts w:ascii="宋体" w:hAnsi="宋体"/>
                <w:color w:val="auto"/>
                <w:szCs w:val="21"/>
                <w:highlight w:val="none"/>
              </w:rPr>
            </w:pPr>
          </w:p>
        </w:tc>
        <w:tc>
          <w:tcPr>
            <w:tcW w:w="1062" w:type="dxa"/>
            <w:vAlign w:val="center"/>
          </w:tcPr>
          <w:p w14:paraId="40402BE8">
            <w:pPr>
              <w:spacing w:line="360" w:lineRule="auto"/>
              <w:jc w:val="center"/>
              <w:rPr>
                <w:rFonts w:ascii="宋体" w:hAnsi="宋体"/>
                <w:color w:val="auto"/>
                <w:szCs w:val="21"/>
                <w:highlight w:val="none"/>
              </w:rPr>
            </w:pPr>
          </w:p>
        </w:tc>
      </w:tr>
      <w:tr w14:paraId="4737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5" w:type="dxa"/>
            <w:vAlign w:val="center"/>
          </w:tcPr>
          <w:p w14:paraId="52766E12">
            <w:pPr>
              <w:spacing w:line="360" w:lineRule="auto"/>
              <w:jc w:val="center"/>
              <w:rPr>
                <w:rFonts w:ascii="宋体" w:hAnsi="宋体"/>
                <w:color w:val="auto"/>
                <w:szCs w:val="21"/>
                <w:highlight w:val="none"/>
              </w:rPr>
            </w:pPr>
            <w:r>
              <w:rPr>
                <w:rFonts w:hint="eastAsia" w:ascii="宋体" w:hAnsi="宋体"/>
                <w:color w:val="auto"/>
                <w:szCs w:val="21"/>
                <w:highlight w:val="none"/>
              </w:rPr>
              <w:t>6</w:t>
            </w:r>
          </w:p>
        </w:tc>
        <w:tc>
          <w:tcPr>
            <w:tcW w:w="1988" w:type="dxa"/>
            <w:vAlign w:val="center"/>
          </w:tcPr>
          <w:p w14:paraId="1A7CC341">
            <w:pPr>
              <w:spacing w:line="360" w:lineRule="auto"/>
              <w:jc w:val="center"/>
              <w:rPr>
                <w:rFonts w:ascii="宋体" w:hAnsi="宋体"/>
                <w:color w:val="auto"/>
                <w:szCs w:val="21"/>
                <w:highlight w:val="none"/>
              </w:rPr>
            </w:pPr>
            <w:r>
              <w:rPr>
                <w:rFonts w:hint="eastAsia" w:ascii="宋体" w:hAnsi="宋体"/>
                <w:color w:val="auto"/>
                <w:szCs w:val="21"/>
                <w:highlight w:val="none"/>
              </w:rPr>
              <w:t>分包</w:t>
            </w:r>
          </w:p>
        </w:tc>
        <w:tc>
          <w:tcPr>
            <w:tcW w:w="1238" w:type="dxa"/>
            <w:vAlign w:val="center"/>
          </w:tcPr>
          <w:p w14:paraId="795374F7">
            <w:pPr>
              <w:spacing w:line="360" w:lineRule="auto"/>
              <w:jc w:val="center"/>
              <w:rPr>
                <w:rFonts w:ascii="宋体" w:hAnsi="宋体"/>
                <w:color w:val="auto"/>
                <w:szCs w:val="21"/>
                <w:highlight w:val="none"/>
              </w:rPr>
            </w:pPr>
            <w:r>
              <w:rPr>
                <w:rFonts w:hint="eastAsia" w:ascii="宋体" w:hAnsi="宋体"/>
                <w:color w:val="auto"/>
                <w:szCs w:val="21"/>
                <w:highlight w:val="none"/>
              </w:rPr>
              <w:t>专用条款</w:t>
            </w:r>
          </w:p>
        </w:tc>
        <w:tc>
          <w:tcPr>
            <w:tcW w:w="4365" w:type="dxa"/>
            <w:vAlign w:val="center"/>
          </w:tcPr>
          <w:p w14:paraId="5D032E57">
            <w:pPr>
              <w:spacing w:line="360" w:lineRule="auto"/>
              <w:jc w:val="center"/>
              <w:rPr>
                <w:rFonts w:ascii="宋体" w:hAnsi="宋体"/>
                <w:color w:val="auto"/>
                <w:szCs w:val="21"/>
                <w:highlight w:val="none"/>
              </w:rPr>
            </w:pPr>
            <w:r>
              <w:rPr>
                <w:rFonts w:hint="eastAsia" w:ascii="宋体" w:hAnsi="宋体"/>
                <w:color w:val="auto"/>
                <w:szCs w:val="21"/>
                <w:highlight w:val="none"/>
              </w:rPr>
              <w:t>见分包项目情况表</w:t>
            </w:r>
          </w:p>
        </w:tc>
        <w:tc>
          <w:tcPr>
            <w:tcW w:w="1062" w:type="dxa"/>
            <w:vAlign w:val="center"/>
          </w:tcPr>
          <w:p w14:paraId="24CEE257">
            <w:pPr>
              <w:spacing w:line="360" w:lineRule="auto"/>
              <w:jc w:val="center"/>
              <w:rPr>
                <w:rFonts w:ascii="宋体" w:hAnsi="宋体"/>
                <w:color w:val="auto"/>
                <w:szCs w:val="21"/>
                <w:highlight w:val="none"/>
              </w:rPr>
            </w:pPr>
          </w:p>
        </w:tc>
      </w:tr>
      <w:tr w14:paraId="657F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05" w:type="dxa"/>
            <w:vAlign w:val="center"/>
          </w:tcPr>
          <w:p w14:paraId="0A4E0F26">
            <w:pPr>
              <w:spacing w:line="360" w:lineRule="auto"/>
              <w:jc w:val="center"/>
              <w:rPr>
                <w:rFonts w:ascii="宋体" w:hAnsi="宋体"/>
                <w:color w:val="auto"/>
                <w:szCs w:val="21"/>
                <w:highlight w:val="none"/>
              </w:rPr>
            </w:pPr>
            <w:r>
              <w:rPr>
                <w:rFonts w:hint="eastAsia" w:ascii="宋体" w:hAnsi="宋体"/>
                <w:color w:val="auto"/>
                <w:szCs w:val="21"/>
                <w:highlight w:val="none"/>
              </w:rPr>
              <w:t>7</w:t>
            </w:r>
          </w:p>
        </w:tc>
        <w:tc>
          <w:tcPr>
            <w:tcW w:w="1988" w:type="dxa"/>
            <w:vAlign w:val="center"/>
          </w:tcPr>
          <w:p w14:paraId="2F3AA014">
            <w:pPr>
              <w:spacing w:line="360" w:lineRule="auto"/>
              <w:jc w:val="center"/>
              <w:rPr>
                <w:rFonts w:ascii="宋体" w:hAnsi="宋体"/>
                <w:color w:val="auto"/>
                <w:szCs w:val="21"/>
                <w:highlight w:val="none"/>
              </w:rPr>
            </w:pPr>
            <w:r>
              <w:rPr>
                <w:rFonts w:hint="eastAsia" w:ascii="宋体" w:hAnsi="宋体"/>
                <w:color w:val="auto"/>
                <w:szCs w:val="21"/>
                <w:highlight w:val="none"/>
              </w:rPr>
              <w:t>逾期竣工违约金</w:t>
            </w:r>
          </w:p>
        </w:tc>
        <w:tc>
          <w:tcPr>
            <w:tcW w:w="1238" w:type="dxa"/>
            <w:vAlign w:val="center"/>
          </w:tcPr>
          <w:p w14:paraId="48758F8B">
            <w:pPr>
              <w:spacing w:line="360" w:lineRule="auto"/>
              <w:jc w:val="center"/>
              <w:rPr>
                <w:rFonts w:ascii="宋体" w:hAnsi="宋体"/>
                <w:color w:val="auto"/>
                <w:szCs w:val="21"/>
                <w:highlight w:val="none"/>
              </w:rPr>
            </w:pPr>
            <w:r>
              <w:rPr>
                <w:rFonts w:hint="eastAsia" w:ascii="宋体" w:hAnsi="宋体"/>
                <w:color w:val="auto"/>
                <w:szCs w:val="21"/>
                <w:highlight w:val="none"/>
              </w:rPr>
              <w:t>专用条款</w:t>
            </w:r>
          </w:p>
        </w:tc>
        <w:tc>
          <w:tcPr>
            <w:tcW w:w="4365" w:type="dxa"/>
            <w:vAlign w:val="center"/>
          </w:tcPr>
          <w:p w14:paraId="565BFBA0">
            <w:pPr>
              <w:spacing w:line="360" w:lineRule="auto"/>
              <w:jc w:val="center"/>
              <w:rPr>
                <w:rFonts w:ascii="宋体" w:hAnsi="宋体"/>
                <w:color w:val="auto"/>
                <w:szCs w:val="21"/>
                <w:highlight w:val="none"/>
              </w:rPr>
            </w:pPr>
          </w:p>
        </w:tc>
        <w:tc>
          <w:tcPr>
            <w:tcW w:w="1062" w:type="dxa"/>
            <w:vAlign w:val="center"/>
          </w:tcPr>
          <w:p w14:paraId="5C9D0DAD">
            <w:pPr>
              <w:spacing w:line="360" w:lineRule="auto"/>
              <w:jc w:val="center"/>
              <w:rPr>
                <w:rFonts w:ascii="宋体" w:hAnsi="宋体"/>
                <w:color w:val="auto"/>
                <w:szCs w:val="21"/>
                <w:highlight w:val="none"/>
              </w:rPr>
            </w:pPr>
          </w:p>
        </w:tc>
      </w:tr>
      <w:tr w14:paraId="135A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05" w:type="dxa"/>
            <w:vAlign w:val="center"/>
          </w:tcPr>
          <w:p w14:paraId="3D0DA3EF">
            <w:pPr>
              <w:spacing w:line="360" w:lineRule="auto"/>
              <w:jc w:val="center"/>
              <w:rPr>
                <w:rFonts w:ascii="宋体" w:hAnsi="宋体"/>
                <w:color w:val="auto"/>
                <w:szCs w:val="21"/>
                <w:highlight w:val="none"/>
              </w:rPr>
            </w:pPr>
            <w:r>
              <w:rPr>
                <w:rFonts w:hint="eastAsia" w:ascii="宋体" w:hAnsi="宋体"/>
                <w:color w:val="auto"/>
                <w:szCs w:val="21"/>
                <w:highlight w:val="none"/>
              </w:rPr>
              <w:t>8</w:t>
            </w:r>
          </w:p>
        </w:tc>
        <w:tc>
          <w:tcPr>
            <w:tcW w:w="1988" w:type="dxa"/>
            <w:vAlign w:val="center"/>
          </w:tcPr>
          <w:p w14:paraId="5DB9C873">
            <w:pPr>
              <w:spacing w:line="360" w:lineRule="auto"/>
              <w:jc w:val="center"/>
              <w:rPr>
                <w:rFonts w:ascii="宋体" w:hAnsi="宋体"/>
                <w:color w:val="auto"/>
                <w:szCs w:val="21"/>
                <w:highlight w:val="none"/>
              </w:rPr>
            </w:pPr>
            <w:r>
              <w:rPr>
                <w:rFonts w:hint="eastAsia" w:ascii="宋体" w:hAnsi="宋体"/>
                <w:color w:val="auto"/>
                <w:szCs w:val="21"/>
                <w:highlight w:val="none"/>
              </w:rPr>
              <w:t>逾期竣工违约金最高限额</w:t>
            </w:r>
          </w:p>
        </w:tc>
        <w:tc>
          <w:tcPr>
            <w:tcW w:w="1238" w:type="dxa"/>
            <w:vAlign w:val="center"/>
          </w:tcPr>
          <w:p w14:paraId="460D9A36">
            <w:pPr>
              <w:spacing w:line="360" w:lineRule="auto"/>
              <w:jc w:val="center"/>
              <w:rPr>
                <w:rFonts w:ascii="宋体" w:hAnsi="宋体"/>
                <w:color w:val="auto"/>
                <w:szCs w:val="21"/>
                <w:highlight w:val="none"/>
              </w:rPr>
            </w:pPr>
            <w:r>
              <w:rPr>
                <w:rFonts w:hint="eastAsia" w:ascii="宋体" w:hAnsi="宋体"/>
                <w:color w:val="auto"/>
                <w:szCs w:val="21"/>
                <w:highlight w:val="none"/>
              </w:rPr>
              <w:t>专用条款</w:t>
            </w:r>
          </w:p>
        </w:tc>
        <w:tc>
          <w:tcPr>
            <w:tcW w:w="4365" w:type="dxa"/>
            <w:vAlign w:val="center"/>
          </w:tcPr>
          <w:p w14:paraId="182C02D9">
            <w:pPr>
              <w:spacing w:line="360" w:lineRule="auto"/>
              <w:jc w:val="center"/>
              <w:rPr>
                <w:rFonts w:ascii="宋体" w:hAnsi="宋体"/>
                <w:color w:val="auto"/>
                <w:szCs w:val="21"/>
                <w:highlight w:val="none"/>
              </w:rPr>
            </w:pPr>
          </w:p>
        </w:tc>
        <w:tc>
          <w:tcPr>
            <w:tcW w:w="1062" w:type="dxa"/>
            <w:vAlign w:val="center"/>
          </w:tcPr>
          <w:p w14:paraId="300FC80E">
            <w:pPr>
              <w:spacing w:line="360" w:lineRule="auto"/>
              <w:jc w:val="center"/>
              <w:rPr>
                <w:rFonts w:ascii="宋体" w:hAnsi="宋体"/>
                <w:color w:val="auto"/>
                <w:szCs w:val="21"/>
                <w:highlight w:val="none"/>
              </w:rPr>
            </w:pPr>
          </w:p>
        </w:tc>
      </w:tr>
      <w:tr w14:paraId="07F7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5" w:type="dxa"/>
            <w:vAlign w:val="center"/>
          </w:tcPr>
          <w:p w14:paraId="606AFE49">
            <w:pPr>
              <w:spacing w:line="360" w:lineRule="auto"/>
              <w:jc w:val="center"/>
              <w:rPr>
                <w:rFonts w:ascii="宋体" w:hAnsi="宋体"/>
                <w:color w:val="auto"/>
                <w:szCs w:val="21"/>
                <w:highlight w:val="none"/>
              </w:rPr>
            </w:pPr>
            <w:r>
              <w:rPr>
                <w:rFonts w:hint="eastAsia" w:ascii="宋体" w:hAnsi="宋体"/>
                <w:color w:val="auto"/>
                <w:szCs w:val="21"/>
                <w:highlight w:val="none"/>
              </w:rPr>
              <w:t>9</w:t>
            </w:r>
          </w:p>
        </w:tc>
        <w:tc>
          <w:tcPr>
            <w:tcW w:w="1988" w:type="dxa"/>
            <w:vAlign w:val="center"/>
          </w:tcPr>
          <w:p w14:paraId="282160C1">
            <w:pPr>
              <w:spacing w:line="360" w:lineRule="auto"/>
              <w:jc w:val="center"/>
              <w:rPr>
                <w:rFonts w:ascii="宋体" w:hAnsi="宋体"/>
                <w:color w:val="auto"/>
                <w:szCs w:val="21"/>
                <w:highlight w:val="none"/>
              </w:rPr>
            </w:pPr>
            <w:r>
              <w:rPr>
                <w:rFonts w:hint="eastAsia" w:ascii="宋体" w:hAnsi="宋体"/>
                <w:color w:val="auto"/>
                <w:szCs w:val="21"/>
                <w:highlight w:val="none"/>
              </w:rPr>
              <w:t>质量标准</w:t>
            </w:r>
          </w:p>
        </w:tc>
        <w:tc>
          <w:tcPr>
            <w:tcW w:w="1238" w:type="dxa"/>
            <w:vAlign w:val="center"/>
          </w:tcPr>
          <w:p w14:paraId="435DBB76">
            <w:pPr>
              <w:spacing w:line="360" w:lineRule="auto"/>
              <w:jc w:val="center"/>
              <w:rPr>
                <w:rFonts w:ascii="宋体" w:hAnsi="宋体"/>
                <w:color w:val="auto"/>
                <w:szCs w:val="21"/>
                <w:highlight w:val="none"/>
              </w:rPr>
            </w:pPr>
            <w:r>
              <w:rPr>
                <w:rFonts w:hint="eastAsia" w:ascii="宋体" w:hAnsi="宋体"/>
                <w:color w:val="auto"/>
                <w:szCs w:val="21"/>
                <w:highlight w:val="none"/>
              </w:rPr>
              <w:t>专用条款</w:t>
            </w:r>
          </w:p>
        </w:tc>
        <w:tc>
          <w:tcPr>
            <w:tcW w:w="4365" w:type="dxa"/>
            <w:vAlign w:val="center"/>
          </w:tcPr>
          <w:p w14:paraId="26086022">
            <w:pPr>
              <w:spacing w:line="360" w:lineRule="auto"/>
              <w:jc w:val="center"/>
              <w:rPr>
                <w:rFonts w:ascii="宋体" w:hAnsi="宋体"/>
                <w:color w:val="auto"/>
                <w:szCs w:val="21"/>
                <w:highlight w:val="none"/>
              </w:rPr>
            </w:pPr>
          </w:p>
        </w:tc>
        <w:tc>
          <w:tcPr>
            <w:tcW w:w="1062" w:type="dxa"/>
            <w:vAlign w:val="center"/>
          </w:tcPr>
          <w:p w14:paraId="2FE4E1F1">
            <w:pPr>
              <w:spacing w:line="360" w:lineRule="auto"/>
              <w:jc w:val="center"/>
              <w:rPr>
                <w:rFonts w:ascii="宋体" w:hAnsi="宋体"/>
                <w:color w:val="auto"/>
                <w:szCs w:val="21"/>
                <w:highlight w:val="none"/>
              </w:rPr>
            </w:pPr>
          </w:p>
        </w:tc>
      </w:tr>
      <w:tr w14:paraId="39B3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705" w:type="dxa"/>
            <w:vAlign w:val="center"/>
          </w:tcPr>
          <w:p w14:paraId="0832B877">
            <w:pPr>
              <w:spacing w:line="360" w:lineRule="auto"/>
              <w:jc w:val="center"/>
              <w:rPr>
                <w:rFonts w:ascii="宋体" w:hAnsi="宋体"/>
                <w:color w:val="auto"/>
                <w:szCs w:val="21"/>
                <w:highlight w:val="none"/>
              </w:rPr>
            </w:pPr>
            <w:r>
              <w:rPr>
                <w:rFonts w:hint="eastAsia" w:ascii="宋体" w:hAnsi="宋体"/>
                <w:color w:val="auto"/>
                <w:szCs w:val="21"/>
                <w:highlight w:val="none"/>
              </w:rPr>
              <w:t>10</w:t>
            </w:r>
          </w:p>
        </w:tc>
        <w:tc>
          <w:tcPr>
            <w:tcW w:w="1988" w:type="dxa"/>
            <w:vAlign w:val="center"/>
          </w:tcPr>
          <w:p w14:paraId="0826E3AA">
            <w:pPr>
              <w:spacing w:line="360" w:lineRule="auto"/>
              <w:jc w:val="center"/>
              <w:rPr>
                <w:rFonts w:ascii="宋体" w:hAnsi="宋体"/>
                <w:color w:val="auto"/>
                <w:szCs w:val="21"/>
                <w:highlight w:val="none"/>
              </w:rPr>
            </w:pPr>
            <w:r>
              <w:rPr>
                <w:rFonts w:hint="eastAsia" w:ascii="宋体" w:hAnsi="宋体"/>
                <w:color w:val="auto"/>
                <w:szCs w:val="21"/>
                <w:highlight w:val="none"/>
              </w:rPr>
              <w:t>预付款</w:t>
            </w:r>
            <w:r>
              <w:rPr>
                <w:rFonts w:hint="eastAsia" w:hAnsi="宋体"/>
                <w:color w:val="auto"/>
                <w:szCs w:val="21"/>
                <w:highlight w:val="none"/>
              </w:rPr>
              <w:t>支付比例或金额</w:t>
            </w:r>
          </w:p>
        </w:tc>
        <w:tc>
          <w:tcPr>
            <w:tcW w:w="1238" w:type="dxa"/>
            <w:vAlign w:val="center"/>
          </w:tcPr>
          <w:p w14:paraId="04A626CD">
            <w:pPr>
              <w:spacing w:line="360" w:lineRule="auto"/>
              <w:jc w:val="center"/>
              <w:rPr>
                <w:rFonts w:ascii="宋体" w:hAnsi="宋体"/>
                <w:color w:val="auto"/>
                <w:szCs w:val="21"/>
                <w:highlight w:val="none"/>
              </w:rPr>
            </w:pPr>
            <w:r>
              <w:rPr>
                <w:rFonts w:hint="eastAsia" w:ascii="宋体" w:hAnsi="宋体"/>
                <w:color w:val="auto"/>
                <w:szCs w:val="21"/>
                <w:highlight w:val="none"/>
              </w:rPr>
              <w:t>专用条款</w:t>
            </w:r>
          </w:p>
        </w:tc>
        <w:tc>
          <w:tcPr>
            <w:tcW w:w="4365" w:type="dxa"/>
            <w:vAlign w:val="center"/>
          </w:tcPr>
          <w:p w14:paraId="778A1F14">
            <w:pPr>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无</w:t>
            </w:r>
          </w:p>
        </w:tc>
        <w:tc>
          <w:tcPr>
            <w:tcW w:w="1062" w:type="dxa"/>
            <w:vAlign w:val="center"/>
          </w:tcPr>
          <w:p w14:paraId="062A5A75">
            <w:pPr>
              <w:spacing w:line="360" w:lineRule="auto"/>
              <w:jc w:val="center"/>
              <w:rPr>
                <w:rFonts w:ascii="宋体" w:hAnsi="宋体"/>
                <w:color w:val="auto"/>
                <w:szCs w:val="21"/>
                <w:highlight w:val="none"/>
              </w:rPr>
            </w:pPr>
          </w:p>
        </w:tc>
      </w:tr>
      <w:tr w14:paraId="5763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5" w:type="dxa"/>
            <w:vAlign w:val="center"/>
          </w:tcPr>
          <w:p w14:paraId="4AB4BEFB">
            <w:pPr>
              <w:spacing w:line="360" w:lineRule="auto"/>
              <w:jc w:val="center"/>
              <w:rPr>
                <w:rFonts w:ascii="宋体" w:hAnsi="宋体"/>
                <w:color w:val="auto"/>
                <w:szCs w:val="21"/>
                <w:highlight w:val="none"/>
              </w:rPr>
            </w:pPr>
            <w:r>
              <w:rPr>
                <w:rFonts w:hint="eastAsia" w:ascii="宋体" w:hAnsi="宋体"/>
                <w:color w:val="auto"/>
                <w:szCs w:val="21"/>
                <w:highlight w:val="none"/>
              </w:rPr>
              <w:t>11</w:t>
            </w:r>
          </w:p>
        </w:tc>
        <w:tc>
          <w:tcPr>
            <w:tcW w:w="1988" w:type="dxa"/>
            <w:vAlign w:val="center"/>
          </w:tcPr>
          <w:p w14:paraId="2B28E50E">
            <w:pPr>
              <w:spacing w:line="360" w:lineRule="auto"/>
              <w:jc w:val="center"/>
              <w:rPr>
                <w:rFonts w:ascii="宋体" w:hAnsi="宋体"/>
                <w:color w:val="auto"/>
                <w:szCs w:val="21"/>
                <w:highlight w:val="none"/>
              </w:rPr>
            </w:pPr>
            <w:r>
              <w:rPr>
                <w:rFonts w:hint="eastAsia" w:ascii="宋体" w:hAnsi="宋体"/>
                <w:color w:val="auto"/>
                <w:szCs w:val="21"/>
                <w:highlight w:val="none"/>
              </w:rPr>
              <w:t>质量保证金额度</w:t>
            </w:r>
          </w:p>
        </w:tc>
        <w:tc>
          <w:tcPr>
            <w:tcW w:w="1238" w:type="dxa"/>
            <w:vAlign w:val="center"/>
          </w:tcPr>
          <w:p w14:paraId="5A58BBAC">
            <w:pPr>
              <w:spacing w:line="360" w:lineRule="auto"/>
              <w:jc w:val="center"/>
              <w:rPr>
                <w:rFonts w:ascii="宋体" w:hAnsi="宋体"/>
                <w:color w:val="auto"/>
                <w:szCs w:val="21"/>
                <w:highlight w:val="none"/>
              </w:rPr>
            </w:pPr>
            <w:r>
              <w:rPr>
                <w:rFonts w:hint="eastAsia" w:ascii="宋体" w:hAnsi="宋体"/>
                <w:color w:val="auto"/>
                <w:szCs w:val="21"/>
                <w:highlight w:val="none"/>
              </w:rPr>
              <w:t>专用条款</w:t>
            </w:r>
          </w:p>
        </w:tc>
        <w:tc>
          <w:tcPr>
            <w:tcW w:w="4365" w:type="dxa"/>
            <w:vAlign w:val="center"/>
          </w:tcPr>
          <w:p w14:paraId="26C21130">
            <w:pPr>
              <w:spacing w:line="360" w:lineRule="auto"/>
              <w:jc w:val="center"/>
              <w:rPr>
                <w:rFonts w:ascii="宋体" w:hAnsi="宋体"/>
                <w:color w:val="auto"/>
                <w:szCs w:val="21"/>
                <w:highlight w:val="none"/>
              </w:rPr>
            </w:pPr>
            <w:r>
              <w:rPr>
                <w:rFonts w:hint="eastAsia" w:cs="宋体"/>
                <w:color w:val="auto"/>
                <w:szCs w:val="21"/>
                <w:highlight w:val="none"/>
              </w:rPr>
              <w:t>结算价的</w:t>
            </w:r>
            <w:r>
              <w:rPr>
                <w:color w:val="auto"/>
                <w:szCs w:val="21"/>
                <w:highlight w:val="none"/>
                <w:u w:val="single"/>
              </w:rPr>
              <w:t xml:space="preserve">     </w:t>
            </w:r>
            <w:r>
              <w:rPr>
                <w:color w:val="auto"/>
                <w:szCs w:val="21"/>
                <w:highlight w:val="none"/>
              </w:rPr>
              <w:t>%</w:t>
            </w:r>
          </w:p>
        </w:tc>
        <w:tc>
          <w:tcPr>
            <w:tcW w:w="1062" w:type="dxa"/>
            <w:vAlign w:val="center"/>
          </w:tcPr>
          <w:p w14:paraId="56E6D456">
            <w:pPr>
              <w:spacing w:line="360" w:lineRule="auto"/>
              <w:jc w:val="center"/>
              <w:rPr>
                <w:rFonts w:ascii="宋体" w:hAnsi="宋体"/>
                <w:color w:val="auto"/>
                <w:szCs w:val="21"/>
                <w:highlight w:val="none"/>
              </w:rPr>
            </w:pPr>
          </w:p>
        </w:tc>
      </w:tr>
      <w:tr w14:paraId="01D8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5" w:type="dxa"/>
            <w:vAlign w:val="center"/>
          </w:tcPr>
          <w:p w14:paraId="221FD268">
            <w:pPr>
              <w:spacing w:line="360" w:lineRule="auto"/>
              <w:jc w:val="center"/>
              <w:rPr>
                <w:rFonts w:ascii="宋体" w:hAnsi="宋体"/>
                <w:color w:val="auto"/>
                <w:szCs w:val="21"/>
                <w:highlight w:val="none"/>
              </w:rPr>
            </w:pPr>
            <w:r>
              <w:rPr>
                <w:rFonts w:ascii="宋体" w:hAnsi="宋体"/>
                <w:color w:val="auto"/>
                <w:szCs w:val="21"/>
                <w:highlight w:val="none"/>
              </w:rPr>
              <w:t>…</w:t>
            </w:r>
          </w:p>
        </w:tc>
        <w:tc>
          <w:tcPr>
            <w:tcW w:w="1988" w:type="dxa"/>
            <w:vAlign w:val="center"/>
          </w:tcPr>
          <w:p w14:paraId="23BFA2D6">
            <w:pPr>
              <w:spacing w:line="360" w:lineRule="auto"/>
              <w:jc w:val="center"/>
              <w:rPr>
                <w:rFonts w:ascii="宋体" w:hAnsi="宋体"/>
                <w:color w:val="auto"/>
                <w:szCs w:val="21"/>
                <w:highlight w:val="none"/>
              </w:rPr>
            </w:pPr>
            <w:r>
              <w:rPr>
                <w:rFonts w:ascii="宋体" w:hAnsi="宋体"/>
                <w:color w:val="auto"/>
                <w:szCs w:val="21"/>
                <w:highlight w:val="none"/>
              </w:rPr>
              <w:t>…</w:t>
            </w:r>
          </w:p>
        </w:tc>
        <w:tc>
          <w:tcPr>
            <w:tcW w:w="1238" w:type="dxa"/>
            <w:vAlign w:val="center"/>
          </w:tcPr>
          <w:p w14:paraId="5CB4FE86">
            <w:pPr>
              <w:spacing w:line="360" w:lineRule="auto"/>
              <w:jc w:val="center"/>
              <w:rPr>
                <w:rFonts w:ascii="宋体" w:hAnsi="宋体"/>
                <w:color w:val="auto"/>
                <w:szCs w:val="21"/>
                <w:highlight w:val="none"/>
              </w:rPr>
            </w:pPr>
          </w:p>
        </w:tc>
        <w:tc>
          <w:tcPr>
            <w:tcW w:w="4365" w:type="dxa"/>
            <w:vAlign w:val="center"/>
          </w:tcPr>
          <w:p w14:paraId="3CF7689E">
            <w:pPr>
              <w:spacing w:line="360" w:lineRule="auto"/>
              <w:jc w:val="left"/>
              <w:rPr>
                <w:rFonts w:ascii="宋体" w:hAnsi="宋体"/>
                <w:color w:val="auto"/>
                <w:szCs w:val="21"/>
                <w:highlight w:val="none"/>
              </w:rPr>
            </w:pPr>
          </w:p>
        </w:tc>
        <w:tc>
          <w:tcPr>
            <w:tcW w:w="1062" w:type="dxa"/>
            <w:vAlign w:val="center"/>
          </w:tcPr>
          <w:p w14:paraId="15196019">
            <w:pPr>
              <w:spacing w:line="360" w:lineRule="auto"/>
              <w:jc w:val="center"/>
              <w:rPr>
                <w:rFonts w:ascii="宋体" w:hAnsi="宋体"/>
                <w:color w:val="auto"/>
                <w:szCs w:val="21"/>
                <w:highlight w:val="none"/>
              </w:rPr>
            </w:pPr>
          </w:p>
        </w:tc>
      </w:tr>
      <w:tr w14:paraId="684E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9358" w:type="dxa"/>
            <w:gridSpan w:val="5"/>
            <w:vAlign w:val="center"/>
          </w:tcPr>
          <w:p w14:paraId="4812FFE6">
            <w:pPr>
              <w:spacing w:line="360" w:lineRule="auto"/>
              <w:jc w:val="left"/>
              <w:rPr>
                <w:rFonts w:ascii="宋体" w:hAnsi="宋体"/>
                <w:color w:val="auto"/>
                <w:szCs w:val="21"/>
                <w:highlight w:val="none"/>
              </w:rPr>
            </w:pPr>
            <w:r>
              <w:rPr>
                <w:rFonts w:hint="eastAsia" w:ascii="宋体" w:hAnsi="宋体"/>
                <w:color w:val="auto"/>
                <w:szCs w:val="21"/>
                <w:highlight w:val="none"/>
              </w:rPr>
              <w:t>说明：供应商在响应谈判文件中规定的实质性要求和条件的基础上，可做出其他有利于采购人的承诺。此类承诺可在本表中予以补充填写。</w:t>
            </w:r>
          </w:p>
        </w:tc>
      </w:tr>
    </w:tbl>
    <w:p w14:paraId="2AAEF854">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法定代表人或者委托代理人（签字或者电子签名）：</w:t>
      </w:r>
    </w:p>
    <w:p w14:paraId="5FB41BCA">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65252870">
      <w:pPr>
        <w:wordWrap w:val="0"/>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5B660A12">
      <w:pPr>
        <w:pStyle w:val="3"/>
        <w:jc w:val="center"/>
        <w:rPr>
          <w:color w:val="auto"/>
          <w:highlight w:val="none"/>
        </w:rPr>
        <w:sectPr>
          <w:pgSz w:w="11906" w:h="16838"/>
          <w:pgMar w:top="1440" w:right="1080" w:bottom="1440" w:left="1080" w:header="851" w:footer="992" w:gutter="0"/>
          <w:cols w:space="425" w:num="1"/>
          <w:docGrid w:type="lines" w:linePitch="312" w:charSpace="0"/>
        </w:sectPr>
      </w:pPr>
    </w:p>
    <w:p w14:paraId="6CBB704A">
      <w:pPr>
        <w:pStyle w:val="12"/>
        <w:overflowPunct w:val="0"/>
        <w:spacing w:line="520" w:lineRule="exact"/>
        <w:ind w:firstLine="0"/>
        <w:jc w:val="center"/>
        <w:rPr>
          <w:rFonts w:ascii="宋体" w:hAnsi="宋体" w:cs="方正小标宋简体"/>
          <w:b/>
          <w:color w:val="auto"/>
          <w:sz w:val="32"/>
          <w:szCs w:val="32"/>
          <w:highlight w:val="none"/>
        </w:rPr>
      </w:pPr>
      <w:r>
        <w:rPr>
          <w:rFonts w:hint="eastAsia" w:ascii="宋体" w:hAnsi="宋体"/>
          <w:b/>
          <w:color w:val="auto"/>
          <w:sz w:val="32"/>
          <w:szCs w:val="32"/>
          <w:highlight w:val="none"/>
        </w:rPr>
        <w:t>2、</w:t>
      </w:r>
      <w:r>
        <w:rPr>
          <w:rFonts w:hint="eastAsia" w:ascii="宋体" w:hAnsi="宋体" w:cs="方正小标宋简体"/>
          <w:b/>
          <w:color w:val="auto"/>
          <w:sz w:val="32"/>
          <w:szCs w:val="32"/>
          <w:highlight w:val="none"/>
        </w:rPr>
        <w:t>竞标报价表</w:t>
      </w:r>
    </w:p>
    <w:p w14:paraId="4A4A5CA3">
      <w:pPr>
        <w:spacing w:line="360" w:lineRule="auto"/>
        <w:ind w:firstLine="420" w:firstLineChars="200"/>
        <w:rPr>
          <w:rFonts w:ascii="宋体" w:hAnsi="宋体"/>
          <w:color w:val="auto"/>
          <w:szCs w:val="21"/>
          <w:highlight w:val="none"/>
        </w:rPr>
      </w:pPr>
    </w:p>
    <w:p w14:paraId="5A5AD10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项目名称：</w:t>
      </w:r>
    </w:p>
    <w:p w14:paraId="04FEC3F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w:t>
      </w:r>
    </w:p>
    <w:p w14:paraId="13EE710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分标（如有）：</w:t>
      </w:r>
    </w:p>
    <w:p w14:paraId="6A6506E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供应商名称：</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17"/>
        <w:gridCol w:w="2410"/>
        <w:gridCol w:w="3119"/>
        <w:gridCol w:w="993"/>
      </w:tblGrid>
      <w:tr w14:paraId="190D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46" w:type="dxa"/>
            <w:vAlign w:val="center"/>
          </w:tcPr>
          <w:p w14:paraId="2F00C956">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417" w:type="dxa"/>
            <w:vAlign w:val="center"/>
          </w:tcPr>
          <w:p w14:paraId="1287E225">
            <w:pPr>
              <w:spacing w:line="360" w:lineRule="auto"/>
              <w:jc w:val="center"/>
              <w:rPr>
                <w:rFonts w:ascii="宋体" w:hAnsi="宋体"/>
                <w:color w:val="auto"/>
                <w:szCs w:val="21"/>
                <w:highlight w:val="none"/>
              </w:rPr>
            </w:pPr>
            <w:r>
              <w:rPr>
                <w:rFonts w:hint="eastAsia" w:ascii="宋体" w:hAnsi="宋体"/>
                <w:color w:val="auto"/>
                <w:szCs w:val="21"/>
                <w:highlight w:val="none"/>
              </w:rPr>
              <w:t>标的名称</w:t>
            </w:r>
          </w:p>
        </w:tc>
        <w:tc>
          <w:tcPr>
            <w:tcW w:w="2410" w:type="dxa"/>
            <w:vAlign w:val="center"/>
          </w:tcPr>
          <w:p w14:paraId="39089B49">
            <w:pPr>
              <w:spacing w:line="360" w:lineRule="auto"/>
              <w:jc w:val="center"/>
              <w:rPr>
                <w:rFonts w:ascii="宋体" w:hAnsi="宋体"/>
                <w:color w:val="auto"/>
                <w:szCs w:val="21"/>
                <w:highlight w:val="none"/>
              </w:rPr>
            </w:pPr>
            <w:r>
              <w:rPr>
                <w:rFonts w:hint="eastAsia" w:ascii="宋体" w:hAnsi="宋体"/>
                <w:color w:val="auto"/>
                <w:szCs w:val="21"/>
                <w:highlight w:val="none"/>
              </w:rPr>
              <w:t>数量及单位</w:t>
            </w:r>
          </w:p>
        </w:tc>
        <w:tc>
          <w:tcPr>
            <w:tcW w:w="3119" w:type="dxa"/>
            <w:vAlign w:val="center"/>
          </w:tcPr>
          <w:p w14:paraId="7A0AA544">
            <w:pPr>
              <w:spacing w:line="360" w:lineRule="auto"/>
              <w:jc w:val="center"/>
              <w:rPr>
                <w:rFonts w:ascii="宋体" w:hAnsi="宋体"/>
                <w:color w:val="auto"/>
                <w:szCs w:val="21"/>
                <w:highlight w:val="none"/>
              </w:rPr>
            </w:pPr>
            <w:r>
              <w:rPr>
                <w:rFonts w:hint="eastAsia" w:ascii="宋体" w:hAnsi="宋体"/>
                <w:color w:val="auto"/>
                <w:szCs w:val="21"/>
                <w:highlight w:val="none"/>
              </w:rPr>
              <w:t>投标报价（元）</w:t>
            </w:r>
          </w:p>
        </w:tc>
        <w:tc>
          <w:tcPr>
            <w:tcW w:w="993" w:type="dxa"/>
            <w:vAlign w:val="center"/>
          </w:tcPr>
          <w:p w14:paraId="379507FE">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r>
      <w:tr w14:paraId="3E0D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46" w:type="dxa"/>
            <w:vAlign w:val="center"/>
          </w:tcPr>
          <w:p w14:paraId="499AFECB">
            <w:pPr>
              <w:spacing w:line="360" w:lineRule="auto"/>
              <w:jc w:val="center"/>
              <w:rPr>
                <w:rFonts w:ascii="宋体" w:hAnsi="宋体"/>
                <w:color w:val="auto"/>
                <w:szCs w:val="21"/>
                <w:highlight w:val="none"/>
              </w:rPr>
            </w:pPr>
            <w:r>
              <w:rPr>
                <w:rFonts w:ascii="宋体" w:hAnsi="宋体"/>
                <w:color w:val="auto"/>
                <w:szCs w:val="21"/>
                <w:highlight w:val="none"/>
              </w:rPr>
              <w:t>1</w:t>
            </w:r>
          </w:p>
        </w:tc>
        <w:tc>
          <w:tcPr>
            <w:tcW w:w="1417" w:type="dxa"/>
            <w:vAlign w:val="center"/>
          </w:tcPr>
          <w:p w14:paraId="33BBBEFB">
            <w:pPr>
              <w:spacing w:line="360" w:lineRule="auto"/>
              <w:jc w:val="center"/>
              <w:rPr>
                <w:rFonts w:ascii="宋体" w:hAnsi="宋体"/>
                <w:color w:val="auto"/>
                <w:szCs w:val="21"/>
                <w:highlight w:val="none"/>
              </w:rPr>
            </w:pPr>
          </w:p>
        </w:tc>
        <w:tc>
          <w:tcPr>
            <w:tcW w:w="2410" w:type="dxa"/>
            <w:vAlign w:val="center"/>
          </w:tcPr>
          <w:p w14:paraId="7140E426">
            <w:pPr>
              <w:spacing w:line="360" w:lineRule="auto"/>
              <w:jc w:val="center"/>
              <w:rPr>
                <w:rFonts w:ascii="宋体" w:hAnsi="宋体"/>
                <w:color w:val="auto"/>
                <w:szCs w:val="21"/>
                <w:highlight w:val="none"/>
              </w:rPr>
            </w:pPr>
            <w:r>
              <w:rPr>
                <w:rFonts w:hint="eastAsia" w:ascii="宋体" w:hAnsi="宋体"/>
                <w:color w:val="auto"/>
                <w:szCs w:val="21"/>
                <w:highlight w:val="none"/>
              </w:rPr>
              <w:t>1项</w:t>
            </w:r>
          </w:p>
        </w:tc>
        <w:tc>
          <w:tcPr>
            <w:tcW w:w="3119" w:type="dxa"/>
            <w:vAlign w:val="center"/>
          </w:tcPr>
          <w:p w14:paraId="152044B9">
            <w:pPr>
              <w:spacing w:line="360" w:lineRule="auto"/>
              <w:jc w:val="center"/>
              <w:rPr>
                <w:rFonts w:ascii="宋体" w:hAnsi="宋体"/>
                <w:color w:val="auto"/>
                <w:szCs w:val="21"/>
                <w:highlight w:val="none"/>
              </w:rPr>
            </w:pPr>
          </w:p>
        </w:tc>
        <w:tc>
          <w:tcPr>
            <w:tcW w:w="993" w:type="dxa"/>
            <w:vAlign w:val="center"/>
          </w:tcPr>
          <w:p w14:paraId="6289C2F5">
            <w:pPr>
              <w:spacing w:line="360" w:lineRule="auto"/>
              <w:jc w:val="center"/>
              <w:rPr>
                <w:rFonts w:ascii="宋体" w:hAnsi="宋体"/>
                <w:color w:val="auto"/>
                <w:szCs w:val="21"/>
                <w:highlight w:val="none"/>
              </w:rPr>
            </w:pPr>
          </w:p>
        </w:tc>
      </w:tr>
    </w:tbl>
    <w:p w14:paraId="3825195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w:t>
      </w:r>
    </w:p>
    <w:p w14:paraId="561D388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1.供应商的报价表必须加盖供应商电子签章并由法定代表人或者委托代理人签字或者电子签名，</w:t>
      </w:r>
      <w:r>
        <w:rPr>
          <w:rFonts w:hint="eastAsia" w:ascii="宋体" w:hAnsi="宋体"/>
          <w:b/>
          <w:bCs/>
          <w:color w:val="auto"/>
          <w:szCs w:val="21"/>
          <w:highlight w:val="none"/>
        </w:rPr>
        <w:t>否则其响应文件按无效响应处理</w:t>
      </w:r>
      <w:r>
        <w:rPr>
          <w:rFonts w:hint="eastAsia" w:ascii="宋体" w:hAnsi="宋体"/>
          <w:color w:val="auto"/>
          <w:szCs w:val="21"/>
          <w:highlight w:val="none"/>
        </w:rPr>
        <w:t>。</w:t>
      </w:r>
    </w:p>
    <w:p w14:paraId="781A5D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2.报价一经涂改，应在涂改处加盖供应商公章或者加盖电子签章或者由法定代表人或者授权委托人签字（或者电子签名），</w:t>
      </w:r>
      <w:r>
        <w:rPr>
          <w:rFonts w:hint="eastAsia" w:ascii="宋体" w:hAnsi="宋体"/>
          <w:b/>
          <w:bCs/>
          <w:color w:val="auto"/>
          <w:szCs w:val="21"/>
          <w:highlight w:val="none"/>
        </w:rPr>
        <w:t>否则其响应文件按无效响应处理</w:t>
      </w:r>
      <w:r>
        <w:rPr>
          <w:rFonts w:hint="eastAsia" w:ascii="宋体" w:hAnsi="宋体"/>
          <w:color w:val="auto"/>
          <w:szCs w:val="21"/>
          <w:highlight w:val="none"/>
        </w:rPr>
        <w:t>。</w:t>
      </w:r>
    </w:p>
    <w:p w14:paraId="65817D4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3.如为联合体竞标，“供应商名称”处必须列明联合体各方名称，标注联合体牵头人名称，</w:t>
      </w:r>
      <w:r>
        <w:rPr>
          <w:rFonts w:hint="eastAsia" w:ascii="宋体" w:hAnsi="宋体"/>
          <w:b/>
          <w:bCs/>
          <w:color w:val="auto"/>
          <w:szCs w:val="21"/>
          <w:highlight w:val="none"/>
        </w:rPr>
        <w:t>否则其响应文件按无效响应处理</w:t>
      </w:r>
      <w:r>
        <w:rPr>
          <w:rFonts w:hint="eastAsia" w:ascii="宋体" w:hAnsi="宋体"/>
          <w:color w:val="auto"/>
          <w:szCs w:val="21"/>
          <w:highlight w:val="none"/>
        </w:rPr>
        <w:t>。</w:t>
      </w:r>
    </w:p>
    <w:p w14:paraId="4073D57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4.如为联合体竞标，盖章处须加盖联合体牵头人公章，</w:t>
      </w:r>
      <w:r>
        <w:rPr>
          <w:rFonts w:hint="eastAsia" w:ascii="宋体" w:hAnsi="宋体"/>
          <w:b/>
          <w:bCs/>
          <w:color w:val="auto"/>
          <w:szCs w:val="21"/>
          <w:highlight w:val="none"/>
        </w:rPr>
        <w:t>否则其响应文件按无效响应处理</w:t>
      </w:r>
      <w:r>
        <w:rPr>
          <w:rFonts w:hint="eastAsia" w:ascii="宋体" w:hAnsi="宋体"/>
          <w:color w:val="auto"/>
          <w:szCs w:val="21"/>
          <w:highlight w:val="none"/>
        </w:rPr>
        <w:t>。</w:t>
      </w:r>
    </w:p>
    <w:p w14:paraId="6F032B6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5.如有多分标，分别列明各分标的报价表，</w:t>
      </w:r>
      <w:r>
        <w:rPr>
          <w:rFonts w:hint="eastAsia" w:ascii="宋体" w:hAnsi="宋体"/>
          <w:b/>
          <w:bCs/>
          <w:color w:val="auto"/>
          <w:szCs w:val="21"/>
          <w:highlight w:val="none"/>
        </w:rPr>
        <w:t>否则其响应文件按无效响应处理</w:t>
      </w:r>
      <w:r>
        <w:rPr>
          <w:rFonts w:hint="eastAsia" w:ascii="宋体" w:hAnsi="宋体"/>
          <w:color w:val="auto"/>
          <w:szCs w:val="21"/>
          <w:highlight w:val="none"/>
        </w:rPr>
        <w:t>。</w:t>
      </w:r>
    </w:p>
    <w:p w14:paraId="683B3667">
      <w:pPr>
        <w:spacing w:line="360" w:lineRule="auto"/>
        <w:ind w:right="1575" w:rightChars="750"/>
        <w:jc w:val="right"/>
        <w:rPr>
          <w:rFonts w:hint="eastAsia" w:ascii="宋体" w:hAnsi="宋体"/>
          <w:color w:val="auto"/>
          <w:szCs w:val="21"/>
          <w:highlight w:val="none"/>
        </w:rPr>
      </w:pPr>
    </w:p>
    <w:p w14:paraId="7620E507">
      <w:pPr>
        <w:spacing w:line="360" w:lineRule="auto"/>
        <w:ind w:right="1575" w:rightChars="750"/>
        <w:jc w:val="right"/>
        <w:rPr>
          <w:rFonts w:hint="eastAsia" w:ascii="宋体" w:hAnsi="宋体"/>
          <w:color w:val="auto"/>
          <w:szCs w:val="21"/>
          <w:highlight w:val="none"/>
        </w:rPr>
      </w:pPr>
    </w:p>
    <w:p w14:paraId="45BB3D3C">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法定代表人或者委托代理人（签字或者电子签名）：</w:t>
      </w:r>
    </w:p>
    <w:p w14:paraId="0E7DED32">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68363E11">
      <w:pPr>
        <w:wordWrap w:val="0"/>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5F0F1FC3">
      <w:pPr>
        <w:jc w:val="center"/>
        <w:rPr>
          <w:color w:val="auto"/>
          <w:highlight w:val="none"/>
        </w:rPr>
      </w:pPr>
      <w:r>
        <w:rPr>
          <w:color w:val="auto"/>
          <w:highlight w:val="none"/>
        </w:rPr>
        <w:br w:type="page"/>
      </w:r>
    </w:p>
    <w:p w14:paraId="2A2EA35F">
      <w:pPr>
        <w:pStyle w:val="12"/>
        <w:overflowPunct w:val="0"/>
        <w:spacing w:line="5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3、已标价工程量清单（必须提供，否则响应文件按无效处理）</w:t>
      </w:r>
    </w:p>
    <w:p w14:paraId="1BA6DE83">
      <w:pPr>
        <w:pStyle w:val="12"/>
        <w:overflowPunct w:val="0"/>
        <w:spacing w:line="520" w:lineRule="exact"/>
        <w:jc w:val="center"/>
        <w:rPr>
          <w:rFonts w:hint="eastAsia" w:ascii="宋体" w:hAnsi="宋体"/>
          <w:b/>
          <w:color w:val="auto"/>
          <w:sz w:val="32"/>
          <w:szCs w:val="32"/>
          <w:highlight w:val="none"/>
        </w:rPr>
      </w:pPr>
    </w:p>
    <w:p w14:paraId="5924F8EA">
      <w:pPr>
        <w:pStyle w:val="12"/>
        <w:overflowPunct w:val="0"/>
        <w:spacing w:line="520" w:lineRule="exact"/>
        <w:jc w:val="center"/>
        <w:rPr>
          <w:rFonts w:hint="eastAsia" w:ascii="宋体" w:hAnsi="宋体"/>
          <w:b/>
          <w:color w:val="auto"/>
          <w:sz w:val="32"/>
          <w:szCs w:val="32"/>
          <w:highlight w:val="none"/>
        </w:rPr>
      </w:pPr>
    </w:p>
    <w:p w14:paraId="0068582C">
      <w:pPr>
        <w:pStyle w:val="12"/>
        <w:overflowPunct w:val="0"/>
        <w:spacing w:line="520" w:lineRule="exact"/>
        <w:jc w:val="center"/>
        <w:rPr>
          <w:rFonts w:hint="eastAsia" w:ascii="宋体" w:hAnsi="宋体"/>
          <w:b/>
          <w:color w:val="auto"/>
          <w:sz w:val="32"/>
          <w:szCs w:val="32"/>
          <w:highlight w:val="none"/>
        </w:rPr>
      </w:pPr>
    </w:p>
    <w:p w14:paraId="06872557">
      <w:pPr>
        <w:pStyle w:val="16"/>
        <w:spacing w:after="0" w:line="360" w:lineRule="auto"/>
        <w:jc w:val="center"/>
        <w:rPr>
          <w:rFonts w:hint="eastAsia"/>
          <w:b w:val="0"/>
          <w:bCs/>
          <w:color w:val="auto"/>
          <w:highlight w:val="none"/>
        </w:rPr>
      </w:pPr>
      <w:r>
        <w:rPr>
          <w:rFonts w:hint="eastAsia"/>
          <w:color w:val="auto"/>
          <w:sz w:val="21"/>
          <w:szCs w:val="21"/>
          <w:highlight w:val="none"/>
        </w:rPr>
        <w:t>备注：</w:t>
      </w:r>
      <w:r>
        <w:rPr>
          <w:rFonts w:hint="eastAsia"/>
          <w:b w:val="0"/>
          <w:bCs/>
          <w:color w:val="auto"/>
          <w:sz w:val="21"/>
          <w:szCs w:val="21"/>
          <w:highlight w:val="none"/>
        </w:rPr>
        <w:t>供应商在上传竞标报价文件时应上传纸质投标总价封面的原件扫描件。竞标总价封面必须经供应商盖章，并由法定代表人（或其授权人）签字（或盖章），同时由编制人签字盖专用章。</w:t>
      </w:r>
    </w:p>
    <w:p w14:paraId="64486EBE">
      <w:pPr>
        <w:pStyle w:val="12"/>
        <w:overflowPunct w:val="0"/>
        <w:spacing w:line="520" w:lineRule="exact"/>
        <w:jc w:val="center"/>
        <w:rPr>
          <w:rFonts w:hint="eastAsia" w:ascii="宋体" w:hAnsi="宋体"/>
          <w:b/>
          <w:color w:val="auto"/>
          <w:sz w:val="32"/>
          <w:szCs w:val="32"/>
          <w:highlight w:val="none"/>
        </w:rPr>
      </w:pPr>
    </w:p>
    <w:p w14:paraId="1E468731">
      <w:pPr>
        <w:pStyle w:val="12"/>
        <w:overflowPunct w:val="0"/>
        <w:spacing w:line="520" w:lineRule="exact"/>
        <w:jc w:val="center"/>
        <w:rPr>
          <w:rFonts w:hint="eastAsia" w:ascii="宋体" w:hAnsi="宋体"/>
          <w:b/>
          <w:color w:val="auto"/>
          <w:sz w:val="32"/>
          <w:szCs w:val="32"/>
          <w:highlight w:val="none"/>
        </w:rPr>
      </w:pPr>
    </w:p>
    <w:p w14:paraId="205BAC76">
      <w:pPr>
        <w:pStyle w:val="12"/>
        <w:overflowPunct w:val="0"/>
        <w:spacing w:line="520" w:lineRule="exact"/>
        <w:jc w:val="center"/>
        <w:rPr>
          <w:rFonts w:hint="eastAsia" w:ascii="宋体" w:hAnsi="宋体"/>
          <w:b/>
          <w:color w:val="auto"/>
          <w:sz w:val="32"/>
          <w:szCs w:val="32"/>
          <w:highlight w:val="none"/>
        </w:rPr>
      </w:pPr>
    </w:p>
    <w:p w14:paraId="6B7E3950">
      <w:pPr>
        <w:pStyle w:val="12"/>
        <w:overflowPunct w:val="0"/>
        <w:spacing w:line="520" w:lineRule="exact"/>
        <w:jc w:val="center"/>
        <w:rPr>
          <w:rFonts w:hint="eastAsia" w:ascii="宋体" w:hAnsi="宋体"/>
          <w:b/>
          <w:color w:val="auto"/>
          <w:sz w:val="32"/>
          <w:szCs w:val="32"/>
          <w:highlight w:val="none"/>
        </w:rPr>
      </w:pPr>
    </w:p>
    <w:p w14:paraId="48E73254">
      <w:pPr>
        <w:pStyle w:val="12"/>
        <w:overflowPunct w:val="0"/>
        <w:spacing w:line="520" w:lineRule="exact"/>
        <w:jc w:val="center"/>
        <w:rPr>
          <w:rFonts w:hint="eastAsia" w:ascii="宋体" w:hAnsi="宋体"/>
          <w:b/>
          <w:color w:val="auto"/>
          <w:sz w:val="32"/>
          <w:szCs w:val="32"/>
          <w:highlight w:val="none"/>
        </w:rPr>
      </w:pPr>
    </w:p>
    <w:p w14:paraId="45CCF12D">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232FC50E">
      <w:pPr>
        <w:pStyle w:val="12"/>
        <w:overflowPunct w:val="0"/>
        <w:spacing w:line="520" w:lineRule="exact"/>
        <w:jc w:val="center"/>
        <w:rPr>
          <w:rFonts w:hint="eastAsia" w:ascii="宋体" w:hAnsi="宋体"/>
          <w:b/>
          <w:color w:val="auto"/>
          <w:sz w:val="32"/>
          <w:szCs w:val="32"/>
          <w:highlight w:val="none"/>
        </w:rPr>
        <w:sectPr>
          <w:pgSz w:w="11906" w:h="16838"/>
          <w:pgMar w:top="1440" w:right="1080" w:bottom="1440" w:left="1080" w:header="851" w:footer="992" w:gutter="0"/>
          <w:cols w:space="425" w:num="1"/>
          <w:docGrid w:type="lines" w:linePitch="312" w:charSpace="0"/>
        </w:sectPr>
      </w:pPr>
    </w:p>
    <w:p w14:paraId="385E6C50">
      <w:pPr>
        <w:pStyle w:val="3"/>
        <w:jc w:val="center"/>
        <w:rPr>
          <w:color w:val="auto"/>
          <w:highlight w:val="none"/>
        </w:rPr>
      </w:pPr>
      <w:bookmarkStart w:id="37" w:name="_Toc13430"/>
      <w:bookmarkStart w:id="38" w:name="_Toc16524"/>
      <w:r>
        <w:rPr>
          <w:rFonts w:hint="eastAsia"/>
          <w:color w:val="auto"/>
          <w:highlight w:val="none"/>
        </w:rPr>
        <w:t>三、商务技术文件格式</w:t>
      </w:r>
      <w:bookmarkEnd w:id="37"/>
      <w:bookmarkEnd w:id="38"/>
    </w:p>
    <w:p w14:paraId="5CC6D9D3">
      <w:pPr>
        <w:spacing w:line="360" w:lineRule="auto"/>
        <w:ind w:firstLine="420" w:firstLineChars="200"/>
        <w:rPr>
          <w:rFonts w:ascii="宋体" w:hAnsi="宋体"/>
          <w:color w:val="auto"/>
          <w:szCs w:val="21"/>
          <w:highlight w:val="none"/>
        </w:rPr>
      </w:pPr>
    </w:p>
    <w:p w14:paraId="0FF33F79">
      <w:pPr>
        <w:spacing w:line="360" w:lineRule="auto"/>
        <w:ind w:firstLine="420" w:firstLineChars="200"/>
        <w:rPr>
          <w:rFonts w:ascii="宋体" w:hAnsi="宋体"/>
          <w:color w:val="auto"/>
          <w:szCs w:val="21"/>
          <w:highlight w:val="none"/>
        </w:rPr>
      </w:pPr>
    </w:p>
    <w:p w14:paraId="6743672A">
      <w:pPr>
        <w:spacing w:line="360" w:lineRule="auto"/>
        <w:jc w:val="center"/>
        <w:rPr>
          <w:rFonts w:ascii="宋体" w:hAnsi="宋体"/>
          <w:b/>
          <w:color w:val="auto"/>
          <w:sz w:val="84"/>
          <w:szCs w:val="84"/>
          <w:highlight w:val="none"/>
        </w:rPr>
      </w:pPr>
      <w:r>
        <w:rPr>
          <w:rFonts w:hint="eastAsia" w:ascii="宋体" w:hAnsi="宋体"/>
          <w:b/>
          <w:color w:val="auto"/>
          <w:sz w:val="84"/>
          <w:szCs w:val="84"/>
          <w:highlight w:val="none"/>
        </w:rPr>
        <w:t>商务技术文件（封面）</w:t>
      </w:r>
    </w:p>
    <w:p w14:paraId="687322BB">
      <w:pPr>
        <w:spacing w:line="360" w:lineRule="auto"/>
        <w:ind w:firstLine="420" w:firstLineChars="200"/>
        <w:rPr>
          <w:rFonts w:ascii="宋体" w:hAnsi="宋体"/>
          <w:color w:val="auto"/>
          <w:szCs w:val="21"/>
          <w:highlight w:val="none"/>
        </w:rPr>
      </w:pPr>
    </w:p>
    <w:p w14:paraId="4081C5DA">
      <w:pPr>
        <w:spacing w:line="360" w:lineRule="auto"/>
        <w:ind w:firstLine="420" w:firstLineChars="200"/>
        <w:rPr>
          <w:rFonts w:ascii="宋体" w:hAnsi="宋体"/>
          <w:color w:val="auto"/>
          <w:szCs w:val="21"/>
          <w:highlight w:val="none"/>
        </w:rPr>
      </w:pPr>
    </w:p>
    <w:p w14:paraId="2C8AF8EE">
      <w:pPr>
        <w:spacing w:line="360" w:lineRule="auto"/>
        <w:ind w:firstLine="420" w:firstLineChars="200"/>
        <w:rPr>
          <w:rFonts w:ascii="宋体" w:hAnsi="宋体"/>
          <w:color w:val="auto"/>
          <w:szCs w:val="21"/>
          <w:highlight w:val="none"/>
        </w:rPr>
      </w:pPr>
    </w:p>
    <w:p w14:paraId="6B782548">
      <w:pPr>
        <w:spacing w:line="360" w:lineRule="auto"/>
        <w:ind w:firstLine="420" w:firstLineChars="200"/>
        <w:rPr>
          <w:rFonts w:ascii="宋体" w:hAnsi="宋体"/>
          <w:color w:val="auto"/>
          <w:szCs w:val="21"/>
          <w:highlight w:val="none"/>
        </w:rPr>
      </w:pPr>
    </w:p>
    <w:p w14:paraId="7C621B4F">
      <w:pPr>
        <w:spacing w:line="360" w:lineRule="auto"/>
        <w:ind w:firstLine="420" w:firstLineChars="200"/>
        <w:rPr>
          <w:rFonts w:ascii="宋体" w:hAnsi="宋体"/>
          <w:color w:val="auto"/>
          <w:szCs w:val="21"/>
          <w:highlight w:val="none"/>
        </w:rPr>
      </w:pPr>
    </w:p>
    <w:p w14:paraId="731D033C">
      <w:pPr>
        <w:spacing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项目名称：</w:t>
      </w:r>
    </w:p>
    <w:p w14:paraId="42A32409">
      <w:pPr>
        <w:spacing w:line="360" w:lineRule="auto"/>
        <w:ind w:firstLine="420" w:firstLineChars="200"/>
        <w:rPr>
          <w:rFonts w:ascii="宋体" w:hAnsi="宋体"/>
          <w:color w:val="auto"/>
          <w:szCs w:val="21"/>
          <w:highlight w:val="none"/>
        </w:rPr>
      </w:pPr>
    </w:p>
    <w:p w14:paraId="42B6279D">
      <w:pPr>
        <w:spacing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项目编号：</w:t>
      </w:r>
    </w:p>
    <w:p w14:paraId="6A6DCC6E">
      <w:pPr>
        <w:spacing w:line="360" w:lineRule="auto"/>
        <w:ind w:firstLine="420" w:firstLineChars="200"/>
        <w:rPr>
          <w:rFonts w:ascii="宋体" w:hAnsi="宋体"/>
          <w:color w:val="auto"/>
          <w:szCs w:val="21"/>
          <w:highlight w:val="none"/>
        </w:rPr>
      </w:pPr>
    </w:p>
    <w:p w14:paraId="74F9C803">
      <w:pPr>
        <w:spacing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所竞分标（如有则填写，无分标时填写“无”或者留空）：</w:t>
      </w:r>
    </w:p>
    <w:p w14:paraId="3274676D">
      <w:pPr>
        <w:spacing w:line="360" w:lineRule="auto"/>
        <w:ind w:firstLine="420" w:firstLineChars="200"/>
        <w:rPr>
          <w:rFonts w:ascii="宋体" w:hAnsi="宋体"/>
          <w:color w:val="auto"/>
          <w:szCs w:val="21"/>
          <w:highlight w:val="none"/>
        </w:rPr>
      </w:pPr>
    </w:p>
    <w:p w14:paraId="2A0C1511">
      <w:pPr>
        <w:spacing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供应商名称：</w:t>
      </w:r>
    </w:p>
    <w:p w14:paraId="7D52425E">
      <w:pPr>
        <w:spacing w:line="360" w:lineRule="auto"/>
        <w:ind w:firstLine="420" w:firstLineChars="200"/>
        <w:rPr>
          <w:rFonts w:ascii="宋体" w:hAnsi="宋体"/>
          <w:color w:val="auto"/>
          <w:szCs w:val="21"/>
          <w:highlight w:val="none"/>
        </w:rPr>
      </w:pPr>
    </w:p>
    <w:p w14:paraId="30ABB28C">
      <w:pPr>
        <w:spacing w:line="360" w:lineRule="auto"/>
        <w:ind w:firstLine="420" w:firstLineChars="200"/>
        <w:rPr>
          <w:rFonts w:ascii="宋体" w:hAnsi="宋体"/>
          <w:color w:val="auto"/>
          <w:szCs w:val="21"/>
          <w:highlight w:val="none"/>
        </w:rPr>
      </w:pPr>
    </w:p>
    <w:p w14:paraId="714D72BC">
      <w:pPr>
        <w:spacing w:line="360" w:lineRule="auto"/>
        <w:ind w:firstLine="420" w:firstLineChars="200"/>
        <w:rPr>
          <w:rFonts w:ascii="宋体" w:hAnsi="宋体"/>
          <w:color w:val="auto"/>
          <w:szCs w:val="21"/>
          <w:highlight w:val="none"/>
        </w:rPr>
      </w:pPr>
    </w:p>
    <w:p w14:paraId="4D30C48E">
      <w:pPr>
        <w:spacing w:line="360" w:lineRule="auto"/>
        <w:jc w:val="center"/>
        <w:rPr>
          <w:rFonts w:ascii="宋体" w:hAnsi="宋体"/>
          <w:color w:val="auto"/>
          <w:szCs w:val="21"/>
          <w:highlight w:val="none"/>
        </w:rPr>
      </w:pPr>
      <w:r>
        <w:rPr>
          <w:rFonts w:ascii="宋体" w:hAnsi="宋体" w:cs="Times New Roman"/>
          <w:color w:val="auto"/>
          <w:sz w:val="32"/>
          <w:szCs w:val="32"/>
          <w:highlight w:val="none"/>
          <w:u w:val="single"/>
        </w:rPr>
        <w:t xml:space="preserve">   </w:t>
      </w:r>
      <w:r>
        <w:rPr>
          <w:rFonts w:hint="eastAsia" w:ascii="宋体" w:hAnsi="宋体"/>
          <w:color w:val="auto"/>
          <w:sz w:val="32"/>
          <w:szCs w:val="32"/>
          <w:highlight w:val="none"/>
        </w:rPr>
        <w:t>年</w:t>
      </w:r>
      <w:r>
        <w:rPr>
          <w:rFonts w:ascii="宋体" w:hAnsi="宋体" w:cs="Times New Roman"/>
          <w:color w:val="auto"/>
          <w:sz w:val="32"/>
          <w:szCs w:val="32"/>
          <w:highlight w:val="none"/>
          <w:u w:val="single"/>
        </w:rPr>
        <w:t xml:space="preserve">   </w:t>
      </w:r>
      <w:r>
        <w:rPr>
          <w:rFonts w:hint="eastAsia" w:ascii="宋体" w:hAnsi="宋体"/>
          <w:color w:val="auto"/>
          <w:sz w:val="32"/>
          <w:szCs w:val="32"/>
          <w:highlight w:val="none"/>
        </w:rPr>
        <w:t>月</w:t>
      </w:r>
      <w:r>
        <w:rPr>
          <w:rFonts w:ascii="宋体" w:hAnsi="宋体" w:cs="Times New Roman"/>
          <w:color w:val="auto"/>
          <w:sz w:val="32"/>
          <w:szCs w:val="32"/>
          <w:highlight w:val="none"/>
          <w:u w:val="single"/>
        </w:rPr>
        <w:t xml:space="preserve">   </w:t>
      </w:r>
      <w:r>
        <w:rPr>
          <w:rFonts w:hint="eastAsia" w:ascii="宋体" w:hAnsi="宋体"/>
          <w:color w:val="auto"/>
          <w:sz w:val="32"/>
          <w:szCs w:val="32"/>
          <w:highlight w:val="none"/>
        </w:rPr>
        <w:t>日</w:t>
      </w:r>
    </w:p>
    <w:p w14:paraId="43D22E13">
      <w:pPr>
        <w:spacing w:line="360" w:lineRule="auto"/>
        <w:jc w:val="center"/>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554BA4AD">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商务技术文件目录</w:t>
      </w:r>
    </w:p>
    <w:p w14:paraId="024B1AB1">
      <w:pPr>
        <w:spacing w:line="360" w:lineRule="auto"/>
        <w:ind w:firstLine="420" w:firstLineChars="200"/>
        <w:jc w:val="center"/>
        <w:rPr>
          <w:rFonts w:ascii="宋体" w:hAnsi="宋体"/>
          <w:color w:val="auto"/>
          <w:szCs w:val="21"/>
          <w:highlight w:val="none"/>
        </w:rPr>
      </w:pPr>
      <w:r>
        <w:rPr>
          <w:rFonts w:hint="eastAsia" w:ascii="宋体" w:hAnsi="宋体"/>
          <w:color w:val="auto"/>
          <w:szCs w:val="21"/>
          <w:highlight w:val="none"/>
        </w:rPr>
        <w:t>根据谈判文件规定及供应商提供的材料自行编写目录（部分格式后附）。</w:t>
      </w:r>
    </w:p>
    <w:p w14:paraId="583703BE">
      <w:pPr>
        <w:spacing w:line="360" w:lineRule="auto"/>
        <w:ind w:firstLine="420" w:firstLineChars="200"/>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47AC06EA">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1、无串通竞标行为的承诺函</w:t>
      </w:r>
    </w:p>
    <w:p w14:paraId="1A15EA4A">
      <w:pPr>
        <w:spacing w:line="360" w:lineRule="auto"/>
        <w:ind w:firstLine="420" w:firstLineChars="200"/>
        <w:rPr>
          <w:rFonts w:ascii="宋体" w:hAnsi="宋体"/>
          <w:color w:val="auto"/>
          <w:szCs w:val="21"/>
          <w:highlight w:val="none"/>
        </w:rPr>
      </w:pPr>
    </w:p>
    <w:p w14:paraId="492533CD">
      <w:pPr>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一、我方承诺无下列相互串通竞标的情形</w:t>
      </w:r>
      <w:r>
        <w:rPr>
          <w:rFonts w:hint="eastAsia" w:ascii="宋体" w:hAnsi="宋体"/>
          <w:color w:val="auto"/>
          <w:szCs w:val="21"/>
          <w:highlight w:val="none"/>
        </w:rPr>
        <w:t>：</w:t>
      </w:r>
    </w:p>
    <w:p w14:paraId="6D2E136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1.不同供应商的响应文件由同一单位或者个人编制； </w:t>
      </w:r>
    </w:p>
    <w:p w14:paraId="79D23C5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2.不同供应商委托同一单位或者个人办理竞标事宜；</w:t>
      </w:r>
    </w:p>
    <w:p w14:paraId="0FF5F05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3.不同的供应商的响应文件载明的项目管理员为同一个人；</w:t>
      </w:r>
    </w:p>
    <w:p w14:paraId="13D953B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4.不同供应商的响应文件异常一致或者竞标报价呈规律性差异；</w:t>
      </w:r>
    </w:p>
    <w:p w14:paraId="0BBA289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5.不同供应商的响应文件相互混装；</w:t>
      </w:r>
    </w:p>
    <w:p w14:paraId="16509AC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6.不同供应商的竞标保证金从同一单位或者个人账户转出。</w:t>
      </w:r>
    </w:p>
    <w:p w14:paraId="6BBB8DD5">
      <w:pPr>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二、我方承诺无下列恶意串通的情形</w:t>
      </w:r>
      <w:r>
        <w:rPr>
          <w:rFonts w:hint="eastAsia" w:ascii="宋体" w:hAnsi="宋体"/>
          <w:color w:val="auto"/>
          <w:szCs w:val="21"/>
          <w:highlight w:val="none"/>
        </w:rPr>
        <w:t>：</w:t>
      </w:r>
    </w:p>
    <w:p w14:paraId="7A18EBB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1.供应商直接或者间接从采购人或者采购代理机构处获得其他供应商的相关信息并修改其响应文件；</w:t>
      </w:r>
    </w:p>
    <w:p w14:paraId="4404655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2.供应商按照采购人或者采购代理机构的授意撤换、修改响应文件；</w:t>
      </w:r>
    </w:p>
    <w:p w14:paraId="1688433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3.供应商之间协商报价、技术方案等响应文件的实质性内容；</w:t>
      </w:r>
    </w:p>
    <w:p w14:paraId="018E19B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4.属于同一集团、协会、商会等组织成员的供应商按照该组织要求协同参加政府采购活动；</w:t>
      </w:r>
    </w:p>
    <w:p w14:paraId="1F92D26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5.供应商之间事先约定一致抬高或者压低竞标报价,或者在竞争性谈判项目中事先约定轮流以高价位或者低价位成交,或者事先约定由某一特定供应商成交,然后再参加竞标；</w:t>
      </w:r>
    </w:p>
    <w:p w14:paraId="7F3C3BB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6.供应商之间商定部分供应商放弃参加政府采购活动或者放弃成交；</w:t>
      </w:r>
    </w:p>
    <w:p w14:paraId="39B91DE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7.供应商与采购人或者采购代理机构之间、供应商相互之间，为谋求特定供应商成交或者排斥其他供应商的其他串通行为。</w:t>
      </w:r>
    </w:p>
    <w:p w14:paraId="72EF7401">
      <w:pPr>
        <w:spacing w:line="360" w:lineRule="auto"/>
        <w:ind w:firstLine="420" w:firstLineChars="200"/>
        <w:rPr>
          <w:rFonts w:ascii="宋体" w:hAnsi="宋体"/>
          <w:color w:val="auto"/>
          <w:szCs w:val="21"/>
          <w:highlight w:val="none"/>
        </w:rPr>
      </w:pPr>
    </w:p>
    <w:p w14:paraId="04A6D08C">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以上情形一经核查属实，我方愿意承担一切后果，并不再寻求任何旨在减轻或者免除法律责任的辩解。</w:t>
      </w:r>
    </w:p>
    <w:p w14:paraId="550F82C3">
      <w:pPr>
        <w:spacing w:line="360" w:lineRule="auto"/>
        <w:ind w:right="1575" w:rightChars="750"/>
        <w:jc w:val="right"/>
        <w:rPr>
          <w:rFonts w:ascii="宋体" w:hAnsi="宋体"/>
          <w:color w:val="auto"/>
          <w:szCs w:val="21"/>
          <w:highlight w:val="none"/>
        </w:rPr>
      </w:pPr>
    </w:p>
    <w:p w14:paraId="68C206C1">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3B3A8E88">
      <w:pPr>
        <w:wordWrap w:val="0"/>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116A332C">
      <w:pPr>
        <w:spacing w:line="360" w:lineRule="auto"/>
        <w:ind w:firstLine="420" w:firstLineChars="200"/>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6E5316A9">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2、法定代表人身份证明书及法定代表人有效身份证正反面复印件</w:t>
      </w:r>
    </w:p>
    <w:p w14:paraId="0AD24D34">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法定代表人身份证明书（格式）</w:t>
      </w:r>
    </w:p>
    <w:p w14:paraId="43BCD8DE">
      <w:pPr>
        <w:spacing w:line="360" w:lineRule="auto"/>
        <w:ind w:firstLine="420" w:firstLineChars="200"/>
        <w:rPr>
          <w:rFonts w:ascii="宋体" w:hAnsi="宋体"/>
          <w:color w:val="auto"/>
          <w:szCs w:val="21"/>
          <w:highlight w:val="none"/>
        </w:rPr>
      </w:pPr>
    </w:p>
    <w:p w14:paraId="2313688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供应商名称：</w:t>
      </w:r>
      <w:r>
        <w:rPr>
          <w:rFonts w:ascii="Times New Roman" w:hAnsi="Times New Roman" w:cs="Times New Roman"/>
          <w:color w:val="auto"/>
          <w:szCs w:val="21"/>
          <w:highlight w:val="none"/>
        </w:rPr>
        <w:t>____________________________________________________________________________</w:t>
      </w:r>
    </w:p>
    <w:p w14:paraId="5427CEC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ascii="Times New Roman" w:hAnsi="Times New Roman" w:cs="Times New Roman"/>
          <w:color w:val="auto"/>
          <w:szCs w:val="21"/>
          <w:highlight w:val="none"/>
        </w:rPr>
        <w:t>__________________________________________________________________________________</w:t>
      </w:r>
    </w:p>
    <w:p w14:paraId="77E03CC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姓名：</w:t>
      </w:r>
      <w:r>
        <w:rPr>
          <w:rFonts w:ascii="Times New Roman" w:hAnsi="Times New Roman" w:cs="Times New Roman"/>
          <w:color w:val="auto"/>
          <w:szCs w:val="21"/>
          <w:highlight w:val="none"/>
        </w:rPr>
        <w:t>_______________________________________</w:t>
      </w:r>
      <w:r>
        <w:rPr>
          <w:rFonts w:hint="eastAsia" w:ascii="宋体" w:hAnsi="宋体"/>
          <w:color w:val="auto"/>
          <w:szCs w:val="21"/>
          <w:highlight w:val="none"/>
        </w:rPr>
        <w:t>性别：</w:t>
      </w:r>
      <w:r>
        <w:rPr>
          <w:rFonts w:ascii="Times New Roman" w:hAnsi="Times New Roman" w:cs="Times New Roman"/>
          <w:color w:val="auto"/>
          <w:szCs w:val="21"/>
          <w:highlight w:val="none"/>
        </w:rPr>
        <w:t>______________________________________</w:t>
      </w:r>
    </w:p>
    <w:p w14:paraId="6F492F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年龄：</w:t>
      </w:r>
      <w:r>
        <w:rPr>
          <w:rFonts w:ascii="Times New Roman" w:hAnsi="Times New Roman" w:cs="Times New Roman"/>
          <w:color w:val="auto"/>
          <w:szCs w:val="21"/>
          <w:highlight w:val="none"/>
        </w:rPr>
        <w:t>_______________________________________</w:t>
      </w:r>
      <w:r>
        <w:rPr>
          <w:rFonts w:hint="eastAsia" w:ascii="宋体" w:hAnsi="宋体"/>
          <w:color w:val="auto"/>
          <w:szCs w:val="21"/>
          <w:highlight w:val="none"/>
        </w:rPr>
        <w:t>职务：</w:t>
      </w:r>
      <w:r>
        <w:rPr>
          <w:rFonts w:ascii="Times New Roman" w:hAnsi="Times New Roman" w:cs="Times New Roman"/>
          <w:color w:val="auto"/>
          <w:szCs w:val="21"/>
          <w:highlight w:val="none"/>
        </w:rPr>
        <w:t>______________________________________</w:t>
      </w:r>
    </w:p>
    <w:p w14:paraId="4DC318A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身份证号码：</w:t>
      </w:r>
      <w:r>
        <w:rPr>
          <w:rFonts w:ascii="Times New Roman" w:hAnsi="Times New Roman" w:cs="Times New Roman"/>
          <w:color w:val="auto"/>
          <w:szCs w:val="21"/>
          <w:highlight w:val="none"/>
        </w:rPr>
        <w:t>____________________________________________________________________________</w:t>
      </w:r>
    </w:p>
    <w:p w14:paraId="0842592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（供应商名称）</w:t>
      </w:r>
      <w:r>
        <w:rPr>
          <w:rFonts w:hint="eastAsia" w:ascii="宋体" w:hAnsi="宋体"/>
          <w:color w:val="auto"/>
          <w:szCs w:val="21"/>
          <w:highlight w:val="none"/>
        </w:rPr>
        <w:t>的法定代表人。</w:t>
      </w:r>
    </w:p>
    <w:p w14:paraId="48D044C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特此证明。</w:t>
      </w:r>
    </w:p>
    <w:p w14:paraId="3F8E1682">
      <w:pPr>
        <w:spacing w:line="360" w:lineRule="auto"/>
        <w:ind w:firstLine="420" w:firstLineChars="200"/>
        <w:rPr>
          <w:rFonts w:ascii="宋体" w:hAnsi="宋体"/>
          <w:color w:val="auto"/>
          <w:szCs w:val="21"/>
          <w:highlight w:val="none"/>
        </w:rPr>
      </w:pPr>
    </w:p>
    <w:p w14:paraId="5416DE48">
      <w:pPr>
        <w:spacing w:line="360" w:lineRule="auto"/>
        <w:ind w:firstLine="420" w:firstLineChars="200"/>
        <w:rPr>
          <w:rFonts w:ascii="宋体" w:hAnsi="宋体"/>
          <w:color w:val="auto"/>
          <w:szCs w:val="21"/>
          <w:highlight w:val="none"/>
        </w:rPr>
      </w:pPr>
    </w:p>
    <w:p w14:paraId="04487024">
      <w:pPr>
        <w:spacing w:line="360" w:lineRule="auto"/>
        <w:ind w:firstLine="420" w:firstLineChars="200"/>
        <w:rPr>
          <w:rFonts w:ascii="宋体" w:hAnsi="宋体"/>
          <w:color w:val="auto"/>
          <w:szCs w:val="21"/>
          <w:highlight w:val="none"/>
        </w:rPr>
      </w:pPr>
    </w:p>
    <w:p w14:paraId="6D3E749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附件：法定代表人有效身份证正反面复印件</w:t>
      </w:r>
    </w:p>
    <w:p w14:paraId="31CB4905">
      <w:pPr>
        <w:spacing w:line="360" w:lineRule="auto"/>
        <w:ind w:firstLine="420" w:firstLineChars="200"/>
        <w:rPr>
          <w:rFonts w:ascii="宋体" w:hAnsi="宋体"/>
          <w:color w:val="auto"/>
          <w:szCs w:val="21"/>
          <w:highlight w:val="none"/>
        </w:rPr>
      </w:pPr>
    </w:p>
    <w:p w14:paraId="37428A81">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58658D73">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391DFC51">
      <w:pPr>
        <w:spacing w:line="360" w:lineRule="auto"/>
        <w:ind w:firstLine="420" w:firstLineChars="200"/>
        <w:rPr>
          <w:rFonts w:ascii="宋体" w:hAnsi="宋体"/>
          <w:color w:val="auto"/>
          <w:szCs w:val="21"/>
          <w:highlight w:val="none"/>
        </w:rPr>
      </w:pPr>
    </w:p>
    <w:p w14:paraId="479F343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注：1.自然人竞标的无需提供，联合体竞标的只需牵头人出具。</w:t>
      </w:r>
    </w:p>
    <w:p w14:paraId="03A5F6A3">
      <w:pPr>
        <w:spacing w:line="360" w:lineRule="auto"/>
        <w:ind w:firstLine="420" w:firstLineChars="200"/>
        <w:rPr>
          <w:rFonts w:ascii="宋体" w:hAnsi="宋体"/>
          <w:color w:val="auto"/>
          <w:szCs w:val="21"/>
          <w:highlight w:val="none"/>
        </w:rPr>
      </w:pPr>
    </w:p>
    <w:p w14:paraId="364003F4">
      <w:pPr>
        <w:spacing w:line="360" w:lineRule="auto"/>
        <w:ind w:firstLine="420" w:firstLineChars="200"/>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70B1E87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附件：</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2"/>
      </w:tblGrid>
      <w:tr w14:paraId="0FAC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5" w:hRule="atLeast"/>
        </w:trPr>
        <w:tc>
          <w:tcPr>
            <w:tcW w:w="9952" w:type="dxa"/>
          </w:tcPr>
          <w:p w14:paraId="4F216AB1">
            <w:pPr>
              <w:spacing w:line="360" w:lineRule="auto"/>
              <w:jc w:val="left"/>
              <w:rPr>
                <w:rFonts w:ascii="宋体" w:hAnsi="宋体"/>
                <w:b/>
                <w:color w:val="auto"/>
                <w:szCs w:val="21"/>
                <w:highlight w:val="none"/>
              </w:rPr>
            </w:pPr>
            <w:r>
              <w:rPr>
                <w:rFonts w:hint="eastAsia" w:ascii="宋体" w:hAnsi="宋体"/>
                <w:b/>
                <w:color w:val="auto"/>
                <w:szCs w:val="21"/>
                <w:highlight w:val="none"/>
              </w:rPr>
              <w:t>法定代表身份证复印件粘贴处（正、反面）</w:t>
            </w:r>
          </w:p>
        </w:tc>
      </w:tr>
    </w:tbl>
    <w:p w14:paraId="10C3C521">
      <w:pPr>
        <w:spacing w:line="360" w:lineRule="auto"/>
        <w:jc w:val="center"/>
        <w:rPr>
          <w:rFonts w:ascii="宋体" w:hAnsi="宋体"/>
          <w:color w:val="auto"/>
          <w:szCs w:val="21"/>
          <w:highlight w:val="none"/>
        </w:rPr>
      </w:pPr>
    </w:p>
    <w:p w14:paraId="13E8F7CE">
      <w:pPr>
        <w:spacing w:line="360" w:lineRule="auto"/>
        <w:jc w:val="center"/>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66EC7C93">
      <w:pPr>
        <w:spacing w:line="520" w:lineRule="exact"/>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3、授权委托书及委托代理人有效身份证正反面复印件</w:t>
      </w:r>
    </w:p>
    <w:p w14:paraId="59EEECCE">
      <w:pPr>
        <w:spacing w:line="520" w:lineRule="exact"/>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授权委托书</w:t>
      </w:r>
    </w:p>
    <w:p w14:paraId="435FDC51">
      <w:pPr>
        <w:spacing w:line="520" w:lineRule="exact"/>
        <w:jc w:val="center"/>
        <w:rPr>
          <w:rFonts w:ascii="宋体" w:hAnsi="宋体" w:cs="Times New Roman"/>
          <w:b/>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（非联合体竞标格式）</w:t>
      </w:r>
    </w:p>
    <w:p w14:paraId="2C2E6DAB">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2C19EC1D">
      <w:pPr>
        <w:spacing w:line="360" w:lineRule="auto"/>
        <w:ind w:firstLine="420" w:firstLineChars="200"/>
        <w:rPr>
          <w:rFonts w:ascii="宋体" w:hAnsi="宋体"/>
          <w:color w:val="auto"/>
          <w:szCs w:val="21"/>
          <w:highlight w:val="none"/>
        </w:rPr>
      </w:pPr>
    </w:p>
    <w:p w14:paraId="2538C1EE">
      <w:pPr>
        <w:spacing w:line="360" w:lineRule="auto"/>
        <w:rPr>
          <w:rFonts w:ascii="宋体" w:hAnsi="宋体"/>
          <w:color w:val="auto"/>
          <w:szCs w:val="21"/>
          <w:highlight w:val="none"/>
        </w:rPr>
      </w:pPr>
      <w:r>
        <w:rPr>
          <w:rFonts w:hint="eastAsia" w:ascii="宋体" w:hAnsi="宋体"/>
          <w:color w:val="auto"/>
          <w:szCs w:val="21"/>
          <w:highlight w:val="none"/>
        </w:rPr>
        <w:t>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（采购人名称）：</w:t>
      </w:r>
    </w:p>
    <w:p w14:paraId="222076E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（姓名）系</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（供应商名称）的</w:t>
      </w:r>
      <w:r>
        <w:rPr>
          <w:rFonts w:hint="eastAsia" w:ascii="宋体" w:hAnsi="宋体"/>
          <w:color w:val="auto"/>
          <w:szCs w:val="21"/>
          <w:highlight w:val="none"/>
          <w:u w:val="single"/>
        </w:rPr>
        <w:t>（法定代表人/□负责人/□自然人本人）</w:t>
      </w:r>
      <w:r>
        <w:rPr>
          <w:rFonts w:hint="eastAsia" w:ascii="宋体" w:hAnsi="宋体"/>
          <w:color w:val="auto"/>
          <w:szCs w:val="21"/>
          <w:highlight w:val="none"/>
        </w:rPr>
        <w:t>，现授权</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（姓名）以我方的名义参加</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项目的竞标活动，并代表我方全权办理针对上述项目的所有采购程序和环节的具体事务和签署相关文件。</w:t>
      </w:r>
    </w:p>
    <w:p w14:paraId="032FCF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我方对委托代理人的签字或者电子签名事项负全部责任。</w:t>
      </w:r>
    </w:p>
    <w:p w14:paraId="35138F0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本授权书自签署之日起生效，在撤销授权的书面通知以前，本授权书一直有效。委托代理人在授权书有效期内签署的所有文件不因授权的撤销而失效。</w:t>
      </w:r>
    </w:p>
    <w:p w14:paraId="4851C6A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委托代理人无转委托权，特此委托。</w:t>
      </w:r>
    </w:p>
    <w:p w14:paraId="7477998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附：法定代表人身份证明书及委托代理人有效身份证正反面复印件</w:t>
      </w:r>
    </w:p>
    <w:p w14:paraId="01468EC5">
      <w:pPr>
        <w:spacing w:line="360" w:lineRule="auto"/>
        <w:ind w:firstLine="420" w:firstLineChars="200"/>
        <w:rPr>
          <w:rFonts w:ascii="宋体" w:hAnsi="宋体"/>
          <w:color w:val="auto"/>
          <w:szCs w:val="21"/>
          <w:highlight w:val="none"/>
        </w:rPr>
      </w:pPr>
    </w:p>
    <w:p w14:paraId="70C879A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委托代理人（签字或者电子签名）：</w:t>
      </w:r>
    </w:p>
    <w:p w14:paraId="650C2B7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委托代理人身份证号码：</w:t>
      </w:r>
    </w:p>
    <w:p w14:paraId="7618CB7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法定代表人（签字或者电子签名）：</w:t>
      </w:r>
    </w:p>
    <w:p w14:paraId="750ED100">
      <w:pPr>
        <w:spacing w:line="360" w:lineRule="auto"/>
        <w:ind w:firstLine="420" w:firstLineChars="200"/>
        <w:rPr>
          <w:rFonts w:ascii="宋体" w:hAnsi="宋体"/>
          <w:color w:val="auto"/>
          <w:szCs w:val="21"/>
          <w:highlight w:val="none"/>
        </w:rPr>
      </w:pPr>
    </w:p>
    <w:p w14:paraId="2C34BC2B">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0C8DE599">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2107A07C">
      <w:pPr>
        <w:spacing w:line="360" w:lineRule="auto"/>
        <w:ind w:firstLine="420" w:firstLineChars="200"/>
        <w:rPr>
          <w:rFonts w:ascii="宋体" w:hAnsi="宋体"/>
          <w:color w:val="auto"/>
          <w:szCs w:val="21"/>
          <w:highlight w:val="none"/>
        </w:rPr>
      </w:pPr>
    </w:p>
    <w:p w14:paraId="05AFBF0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注：1.法定代表人必须在授权委托书上签字或盖章，委托代理人必须在授权委托书上签字或盖章。</w:t>
      </w:r>
    </w:p>
    <w:p w14:paraId="41F2D02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0C59330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3.法人、其他组织竞标时“我方”是指“我单位”，自然人竞标时“我方”是指“本人”。</w:t>
      </w:r>
    </w:p>
    <w:p w14:paraId="24688C27">
      <w:pPr>
        <w:spacing w:line="360" w:lineRule="auto"/>
        <w:ind w:firstLine="420" w:firstLineChars="200"/>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6B393990">
      <w:pPr>
        <w:spacing w:line="500" w:lineRule="exact"/>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授权委托书</w:t>
      </w:r>
    </w:p>
    <w:p w14:paraId="15D78D94">
      <w:pPr>
        <w:spacing w:line="50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（联合体竞标格式）</w:t>
      </w:r>
    </w:p>
    <w:p w14:paraId="0E98D793">
      <w:pPr>
        <w:spacing w:line="50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（如有委托时）</w:t>
      </w:r>
    </w:p>
    <w:p w14:paraId="42AC5070">
      <w:pPr>
        <w:spacing w:line="360" w:lineRule="auto"/>
        <w:ind w:firstLine="420" w:firstLineChars="200"/>
        <w:rPr>
          <w:rFonts w:ascii="宋体" w:hAnsi="宋体"/>
          <w:color w:val="auto"/>
          <w:szCs w:val="21"/>
          <w:highlight w:val="none"/>
        </w:rPr>
      </w:pPr>
    </w:p>
    <w:p w14:paraId="55C53E0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本授权委托书声明：根据</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（牵头人名称）与</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（联合体其他成员名称）签订的《联合体竞标协议书》的内容，</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（牵头人名称）的法定代表人</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（姓名）现授权</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（姓名）为联合委托代理人，并代表我方全权办理针对上述项目的所有采购程序和环节的具体事务和签署相关文件。</w:t>
      </w:r>
    </w:p>
    <w:p w14:paraId="54662C2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我方对委托代理人的签字或者电子签名事项负全部责任。</w:t>
      </w:r>
    </w:p>
    <w:p w14:paraId="1983B3B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本授权书自签署之日起生效，在撤销授权的书面通知以前，本授权书一直有效。委托代理人在授权书有效期内签署的所有文件不因授权的撤销而失效。</w:t>
      </w:r>
    </w:p>
    <w:p w14:paraId="5BFE509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委托代理人无转委托权，特此委托。</w:t>
      </w:r>
    </w:p>
    <w:p w14:paraId="6B24B99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附：法定代表人身份证明书及委托代理人有效身份证正反面复印件</w:t>
      </w:r>
    </w:p>
    <w:p w14:paraId="162C24B2">
      <w:pPr>
        <w:spacing w:line="360" w:lineRule="auto"/>
        <w:ind w:firstLine="420" w:firstLineChars="200"/>
        <w:rPr>
          <w:rFonts w:ascii="宋体" w:hAnsi="宋体"/>
          <w:color w:val="auto"/>
          <w:szCs w:val="21"/>
          <w:highlight w:val="none"/>
        </w:rPr>
      </w:pPr>
    </w:p>
    <w:p w14:paraId="68218E9E">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牵头人法定代表人（签字或盖章）：</w:t>
      </w:r>
    </w:p>
    <w:p w14:paraId="3C28E4DB">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牵头人（电子签章）：</w:t>
      </w:r>
    </w:p>
    <w:p w14:paraId="41FF082C">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23C91D08">
      <w:pPr>
        <w:spacing w:line="360" w:lineRule="auto"/>
        <w:ind w:firstLine="420" w:firstLineChars="200"/>
        <w:rPr>
          <w:rFonts w:ascii="宋体" w:hAnsi="宋体"/>
          <w:color w:val="auto"/>
          <w:szCs w:val="21"/>
          <w:highlight w:val="none"/>
        </w:rPr>
      </w:pPr>
    </w:p>
    <w:p w14:paraId="3BF6DAA1">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被授权人（签字）：</w:t>
      </w:r>
    </w:p>
    <w:p w14:paraId="7B724274">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5E2B4966">
      <w:pPr>
        <w:spacing w:line="360" w:lineRule="auto"/>
        <w:ind w:firstLine="420" w:firstLineChars="200"/>
        <w:rPr>
          <w:rFonts w:ascii="宋体" w:hAnsi="宋体"/>
          <w:color w:val="auto"/>
          <w:szCs w:val="21"/>
          <w:highlight w:val="none"/>
        </w:rPr>
      </w:pPr>
    </w:p>
    <w:p w14:paraId="6166BCB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注：1.法定代表人必须在授权委托书上签字或盖章，委托代理人必须在授权委托书上签字或盖章。</w:t>
      </w:r>
    </w:p>
    <w:p w14:paraId="4056A23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2.本授权委托书应由联合体牵头人的法定代表人按上述规定签署。</w:t>
      </w:r>
    </w:p>
    <w:p w14:paraId="720495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6ED9E57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4.法人、其他组织竞标时“我方”是指“我单位”，自然人竞标时“我方”是指“本人”。</w:t>
      </w:r>
    </w:p>
    <w:p w14:paraId="36854548">
      <w:pPr>
        <w:spacing w:line="360" w:lineRule="auto"/>
        <w:ind w:firstLine="420" w:firstLineChars="200"/>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3E6E9646">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lang w:val="en-US" w:eastAsia="zh-CN"/>
        </w:rPr>
        <w:t>4</w:t>
      </w:r>
      <w:r>
        <w:rPr>
          <w:rFonts w:hint="eastAsia" w:ascii="宋体" w:hAnsi="宋体" w:cs="Times New Roman"/>
          <w:b/>
          <w:color w:val="auto"/>
          <w:sz w:val="32"/>
          <w:szCs w:val="32"/>
          <w:highlight w:val="none"/>
        </w:rPr>
        <w:t>、商务条款偏离表</w:t>
      </w:r>
    </w:p>
    <w:p w14:paraId="36D5BEA1">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（注：按采购需求具体条款修改）</w:t>
      </w:r>
    </w:p>
    <w:p w14:paraId="0CB680EC">
      <w:pPr>
        <w:spacing w:line="360" w:lineRule="auto"/>
        <w:ind w:firstLine="420" w:firstLineChars="200"/>
        <w:rPr>
          <w:rFonts w:ascii="宋体" w:hAnsi="宋体"/>
          <w:color w:val="auto"/>
          <w:szCs w:val="21"/>
          <w:highlight w:val="none"/>
        </w:rPr>
      </w:pPr>
    </w:p>
    <w:p w14:paraId="1FBB23B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w:t>
      </w:r>
    </w:p>
    <w:p w14:paraId="6EC67B5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项目名称：</w:t>
      </w:r>
    </w:p>
    <w:p w14:paraId="442762F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分标号：</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3519"/>
        <w:gridCol w:w="2787"/>
        <w:gridCol w:w="2916"/>
      </w:tblGrid>
      <w:tr w14:paraId="47D4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 w:type="dxa"/>
            <w:vAlign w:val="center"/>
          </w:tcPr>
          <w:p w14:paraId="55B54424">
            <w:pPr>
              <w:jc w:val="center"/>
              <w:rPr>
                <w:rFonts w:ascii="宋体" w:hAnsi="宋体"/>
                <w:color w:val="auto"/>
                <w:szCs w:val="21"/>
                <w:highlight w:val="none"/>
              </w:rPr>
            </w:pPr>
            <w:r>
              <w:rPr>
                <w:rFonts w:hint="eastAsia" w:ascii="宋体" w:hAnsi="宋体"/>
                <w:color w:val="auto"/>
                <w:szCs w:val="21"/>
                <w:highlight w:val="none"/>
              </w:rPr>
              <w:t>项号</w:t>
            </w:r>
          </w:p>
        </w:tc>
        <w:tc>
          <w:tcPr>
            <w:tcW w:w="3519" w:type="dxa"/>
            <w:vAlign w:val="center"/>
          </w:tcPr>
          <w:p w14:paraId="0639A8C8">
            <w:pPr>
              <w:jc w:val="center"/>
              <w:rPr>
                <w:rFonts w:ascii="宋体" w:hAnsi="宋体"/>
                <w:color w:val="auto"/>
                <w:szCs w:val="21"/>
                <w:highlight w:val="none"/>
              </w:rPr>
            </w:pPr>
            <w:r>
              <w:rPr>
                <w:rFonts w:hint="eastAsia" w:ascii="宋体" w:hAnsi="宋体"/>
                <w:color w:val="auto"/>
                <w:szCs w:val="21"/>
                <w:highlight w:val="none"/>
              </w:rPr>
              <w:t>谈判文件商务要求</w:t>
            </w:r>
          </w:p>
        </w:tc>
        <w:tc>
          <w:tcPr>
            <w:tcW w:w="2787" w:type="dxa"/>
            <w:vAlign w:val="center"/>
          </w:tcPr>
          <w:p w14:paraId="4CB6730A">
            <w:pPr>
              <w:jc w:val="center"/>
              <w:rPr>
                <w:rFonts w:ascii="宋体" w:hAnsi="宋体"/>
                <w:color w:val="auto"/>
                <w:szCs w:val="21"/>
                <w:highlight w:val="none"/>
              </w:rPr>
            </w:pPr>
            <w:r>
              <w:rPr>
                <w:rFonts w:hint="eastAsia" w:ascii="宋体" w:hAnsi="宋体"/>
                <w:color w:val="auto"/>
                <w:szCs w:val="21"/>
                <w:highlight w:val="none"/>
              </w:rPr>
              <w:t>供应商的响应</w:t>
            </w:r>
          </w:p>
        </w:tc>
        <w:tc>
          <w:tcPr>
            <w:tcW w:w="2916" w:type="dxa"/>
            <w:vAlign w:val="center"/>
          </w:tcPr>
          <w:p w14:paraId="4B93D92F">
            <w:pPr>
              <w:jc w:val="center"/>
              <w:rPr>
                <w:rFonts w:ascii="宋体" w:hAnsi="宋体"/>
                <w:color w:val="auto"/>
                <w:szCs w:val="21"/>
                <w:highlight w:val="none"/>
              </w:rPr>
            </w:pPr>
            <w:r>
              <w:rPr>
                <w:rFonts w:hint="eastAsia" w:ascii="宋体" w:hAnsi="宋体"/>
                <w:color w:val="auto"/>
                <w:szCs w:val="21"/>
                <w:highlight w:val="none"/>
              </w:rPr>
              <w:t>偏离说明</w:t>
            </w:r>
          </w:p>
        </w:tc>
      </w:tr>
      <w:tr w14:paraId="32B7B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730" w:type="dxa"/>
            <w:vAlign w:val="center"/>
          </w:tcPr>
          <w:p w14:paraId="6F3D3C5D">
            <w:pPr>
              <w:jc w:val="center"/>
              <w:rPr>
                <w:rFonts w:ascii="宋体" w:hAnsi="宋体"/>
                <w:color w:val="auto"/>
                <w:szCs w:val="21"/>
                <w:highlight w:val="none"/>
              </w:rPr>
            </w:pPr>
            <w:r>
              <w:rPr>
                <w:rFonts w:hint="eastAsia" w:ascii="宋体" w:hAnsi="宋体"/>
                <w:color w:val="auto"/>
                <w:szCs w:val="21"/>
                <w:highlight w:val="none"/>
              </w:rPr>
              <w:t>一</w:t>
            </w:r>
          </w:p>
        </w:tc>
        <w:tc>
          <w:tcPr>
            <w:tcW w:w="3519" w:type="dxa"/>
            <w:vAlign w:val="center"/>
          </w:tcPr>
          <w:p w14:paraId="2812A5B9">
            <w:pPr>
              <w:jc w:val="left"/>
              <w:rPr>
                <w:rFonts w:ascii="宋体" w:hAnsi="宋体"/>
                <w:color w:val="auto"/>
                <w:szCs w:val="21"/>
                <w:highlight w:val="none"/>
              </w:rPr>
            </w:pPr>
            <w:r>
              <w:rPr>
                <w:rFonts w:hint="eastAsia" w:ascii="宋体" w:hAnsi="宋体"/>
                <w:color w:val="auto"/>
                <w:szCs w:val="21"/>
                <w:highlight w:val="none"/>
              </w:rPr>
              <w:t>1……</w:t>
            </w:r>
          </w:p>
          <w:p w14:paraId="567A2CC3">
            <w:pPr>
              <w:jc w:val="left"/>
              <w:rPr>
                <w:rFonts w:ascii="宋体" w:hAnsi="宋体"/>
                <w:color w:val="auto"/>
                <w:szCs w:val="21"/>
                <w:highlight w:val="none"/>
              </w:rPr>
            </w:pPr>
            <w:r>
              <w:rPr>
                <w:rFonts w:ascii="宋体" w:hAnsi="宋体"/>
                <w:color w:val="auto"/>
                <w:szCs w:val="21"/>
                <w:highlight w:val="none"/>
              </w:rPr>
              <w:t>2……</w:t>
            </w:r>
          </w:p>
          <w:p w14:paraId="46FB9F66">
            <w:pPr>
              <w:jc w:val="left"/>
              <w:rPr>
                <w:rFonts w:ascii="宋体" w:hAnsi="宋体"/>
                <w:color w:val="auto"/>
                <w:szCs w:val="21"/>
                <w:highlight w:val="none"/>
              </w:rPr>
            </w:pPr>
            <w:r>
              <w:rPr>
                <w:rFonts w:ascii="宋体" w:hAnsi="宋体"/>
                <w:color w:val="auto"/>
                <w:szCs w:val="21"/>
                <w:highlight w:val="none"/>
              </w:rPr>
              <w:t>3……</w:t>
            </w:r>
          </w:p>
          <w:p w14:paraId="5EC147D2">
            <w:pPr>
              <w:jc w:val="left"/>
              <w:rPr>
                <w:rFonts w:ascii="宋体" w:hAnsi="宋体"/>
                <w:color w:val="auto"/>
                <w:szCs w:val="21"/>
                <w:highlight w:val="none"/>
              </w:rPr>
            </w:pPr>
            <w:r>
              <w:rPr>
                <w:rFonts w:hint="eastAsia" w:ascii="宋体" w:hAnsi="宋体"/>
                <w:color w:val="auto"/>
                <w:szCs w:val="21"/>
                <w:highlight w:val="none"/>
              </w:rPr>
              <w:t>……</w:t>
            </w:r>
          </w:p>
        </w:tc>
        <w:tc>
          <w:tcPr>
            <w:tcW w:w="2787" w:type="dxa"/>
            <w:vAlign w:val="center"/>
          </w:tcPr>
          <w:p w14:paraId="22EA3EB5">
            <w:pPr>
              <w:jc w:val="left"/>
              <w:rPr>
                <w:rFonts w:ascii="宋体" w:hAnsi="宋体"/>
                <w:color w:val="auto"/>
                <w:szCs w:val="21"/>
                <w:highlight w:val="none"/>
              </w:rPr>
            </w:pPr>
            <w:r>
              <w:rPr>
                <w:rFonts w:hint="eastAsia" w:ascii="宋体" w:hAnsi="宋体"/>
                <w:color w:val="auto"/>
                <w:szCs w:val="21"/>
                <w:highlight w:val="none"/>
              </w:rPr>
              <w:t>1……</w:t>
            </w:r>
          </w:p>
          <w:p w14:paraId="561A542B">
            <w:pPr>
              <w:jc w:val="left"/>
              <w:rPr>
                <w:rFonts w:ascii="宋体" w:hAnsi="宋体"/>
                <w:color w:val="auto"/>
                <w:szCs w:val="21"/>
                <w:highlight w:val="none"/>
              </w:rPr>
            </w:pPr>
            <w:r>
              <w:rPr>
                <w:rFonts w:ascii="宋体" w:hAnsi="宋体"/>
                <w:color w:val="auto"/>
                <w:szCs w:val="21"/>
                <w:highlight w:val="none"/>
              </w:rPr>
              <w:t>2……</w:t>
            </w:r>
          </w:p>
          <w:p w14:paraId="755FC807">
            <w:pPr>
              <w:jc w:val="left"/>
              <w:rPr>
                <w:rFonts w:ascii="宋体" w:hAnsi="宋体"/>
                <w:color w:val="auto"/>
                <w:szCs w:val="21"/>
                <w:highlight w:val="none"/>
              </w:rPr>
            </w:pPr>
            <w:r>
              <w:rPr>
                <w:rFonts w:ascii="宋体" w:hAnsi="宋体"/>
                <w:color w:val="auto"/>
                <w:szCs w:val="21"/>
                <w:highlight w:val="none"/>
              </w:rPr>
              <w:t>3……</w:t>
            </w:r>
          </w:p>
          <w:p w14:paraId="47DF05F8">
            <w:pPr>
              <w:jc w:val="left"/>
              <w:rPr>
                <w:rFonts w:ascii="宋体" w:hAnsi="宋体"/>
                <w:color w:val="auto"/>
                <w:szCs w:val="21"/>
                <w:highlight w:val="none"/>
              </w:rPr>
            </w:pPr>
            <w:r>
              <w:rPr>
                <w:rFonts w:hint="eastAsia" w:ascii="宋体" w:hAnsi="宋体"/>
                <w:color w:val="auto"/>
                <w:szCs w:val="21"/>
                <w:highlight w:val="none"/>
              </w:rPr>
              <w:t>……</w:t>
            </w:r>
          </w:p>
        </w:tc>
        <w:tc>
          <w:tcPr>
            <w:tcW w:w="2916" w:type="dxa"/>
            <w:vAlign w:val="center"/>
          </w:tcPr>
          <w:p w14:paraId="1ECE002D">
            <w:pPr>
              <w:jc w:val="center"/>
              <w:rPr>
                <w:rFonts w:ascii="宋体" w:hAnsi="宋体"/>
                <w:color w:val="auto"/>
                <w:szCs w:val="21"/>
                <w:highlight w:val="none"/>
              </w:rPr>
            </w:pPr>
          </w:p>
        </w:tc>
      </w:tr>
      <w:tr w14:paraId="7F37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730" w:type="dxa"/>
            <w:vAlign w:val="center"/>
          </w:tcPr>
          <w:p w14:paraId="17A43A1B">
            <w:pPr>
              <w:jc w:val="center"/>
              <w:rPr>
                <w:rFonts w:ascii="宋体" w:hAnsi="宋体"/>
                <w:color w:val="auto"/>
                <w:szCs w:val="21"/>
                <w:highlight w:val="none"/>
              </w:rPr>
            </w:pPr>
            <w:r>
              <w:rPr>
                <w:rFonts w:hint="eastAsia" w:ascii="宋体" w:hAnsi="宋体"/>
                <w:color w:val="auto"/>
                <w:szCs w:val="21"/>
                <w:highlight w:val="none"/>
              </w:rPr>
              <w:t>二</w:t>
            </w:r>
          </w:p>
        </w:tc>
        <w:tc>
          <w:tcPr>
            <w:tcW w:w="3519" w:type="dxa"/>
            <w:vAlign w:val="center"/>
          </w:tcPr>
          <w:p w14:paraId="0579E586">
            <w:pPr>
              <w:jc w:val="left"/>
              <w:rPr>
                <w:rFonts w:ascii="宋体" w:hAnsi="宋体"/>
                <w:color w:val="auto"/>
                <w:szCs w:val="21"/>
                <w:highlight w:val="none"/>
              </w:rPr>
            </w:pPr>
            <w:r>
              <w:rPr>
                <w:rFonts w:hint="eastAsia" w:ascii="宋体" w:hAnsi="宋体"/>
                <w:color w:val="auto"/>
                <w:szCs w:val="21"/>
                <w:highlight w:val="none"/>
              </w:rPr>
              <w:t>1……</w:t>
            </w:r>
          </w:p>
          <w:p w14:paraId="3CF072AF">
            <w:pPr>
              <w:jc w:val="left"/>
              <w:rPr>
                <w:rFonts w:ascii="宋体" w:hAnsi="宋体"/>
                <w:color w:val="auto"/>
                <w:szCs w:val="21"/>
                <w:highlight w:val="none"/>
              </w:rPr>
            </w:pPr>
            <w:r>
              <w:rPr>
                <w:rFonts w:ascii="宋体" w:hAnsi="宋体"/>
                <w:color w:val="auto"/>
                <w:szCs w:val="21"/>
                <w:highlight w:val="none"/>
              </w:rPr>
              <w:t>2……</w:t>
            </w:r>
          </w:p>
          <w:p w14:paraId="2C797B69">
            <w:pPr>
              <w:jc w:val="left"/>
              <w:rPr>
                <w:rFonts w:ascii="宋体" w:hAnsi="宋体"/>
                <w:color w:val="auto"/>
                <w:szCs w:val="21"/>
                <w:highlight w:val="none"/>
              </w:rPr>
            </w:pPr>
            <w:r>
              <w:rPr>
                <w:rFonts w:ascii="宋体" w:hAnsi="宋体"/>
                <w:color w:val="auto"/>
                <w:szCs w:val="21"/>
                <w:highlight w:val="none"/>
              </w:rPr>
              <w:t>3……</w:t>
            </w:r>
          </w:p>
          <w:p w14:paraId="50E48A47">
            <w:pPr>
              <w:jc w:val="left"/>
              <w:rPr>
                <w:rFonts w:ascii="宋体" w:hAnsi="宋体"/>
                <w:color w:val="auto"/>
                <w:szCs w:val="21"/>
                <w:highlight w:val="none"/>
              </w:rPr>
            </w:pPr>
            <w:r>
              <w:rPr>
                <w:rFonts w:hint="eastAsia" w:ascii="宋体" w:hAnsi="宋体"/>
                <w:color w:val="auto"/>
                <w:szCs w:val="21"/>
                <w:highlight w:val="none"/>
              </w:rPr>
              <w:t>……</w:t>
            </w:r>
          </w:p>
        </w:tc>
        <w:tc>
          <w:tcPr>
            <w:tcW w:w="2787" w:type="dxa"/>
            <w:vAlign w:val="center"/>
          </w:tcPr>
          <w:p w14:paraId="081BFFC2">
            <w:pPr>
              <w:jc w:val="left"/>
              <w:rPr>
                <w:rFonts w:ascii="宋体" w:hAnsi="宋体"/>
                <w:color w:val="auto"/>
                <w:szCs w:val="21"/>
                <w:highlight w:val="none"/>
              </w:rPr>
            </w:pPr>
            <w:r>
              <w:rPr>
                <w:rFonts w:hint="eastAsia" w:ascii="宋体" w:hAnsi="宋体"/>
                <w:color w:val="auto"/>
                <w:szCs w:val="21"/>
                <w:highlight w:val="none"/>
              </w:rPr>
              <w:t>1……</w:t>
            </w:r>
          </w:p>
          <w:p w14:paraId="34453CEF">
            <w:pPr>
              <w:jc w:val="left"/>
              <w:rPr>
                <w:rFonts w:ascii="宋体" w:hAnsi="宋体"/>
                <w:color w:val="auto"/>
                <w:szCs w:val="21"/>
                <w:highlight w:val="none"/>
              </w:rPr>
            </w:pPr>
            <w:r>
              <w:rPr>
                <w:rFonts w:ascii="宋体" w:hAnsi="宋体"/>
                <w:color w:val="auto"/>
                <w:szCs w:val="21"/>
                <w:highlight w:val="none"/>
              </w:rPr>
              <w:t>2……</w:t>
            </w:r>
          </w:p>
          <w:p w14:paraId="58530B3E">
            <w:pPr>
              <w:jc w:val="left"/>
              <w:rPr>
                <w:rFonts w:ascii="宋体" w:hAnsi="宋体"/>
                <w:color w:val="auto"/>
                <w:szCs w:val="21"/>
                <w:highlight w:val="none"/>
              </w:rPr>
            </w:pPr>
            <w:r>
              <w:rPr>
                <w:rFonts w:ascii="宋体" w:hAnsi="宋体"/>
                <w:color w:val="auto"/>
                <w:szCs w:val="21"/>
                <w:highlight w:val="none"/>
              </w:rPr>
              <w:t>3……</w:t>
            </w:r>
          </w:p>
          <w:p w14:paraId="1D078085">
            <w:pPr>
              <w:jc w:val="left"/>
              <w:rPr>
                <w:rFonts w:ascii="宋体" w:hAnsi="宋体"/>
                <w:color w:val="auto"/>
                <w:szCs w:val="21"/>
                <w:highlight w:val="none"/>
              </w:rPr>
            </w:pPr>
            <w:r>
              <w:rPr>
                <w:rFonts w:hint="eastAsia" w:ascii="宋体" w:hAnsi="宋体"/>
                <w:color w:val="auto"/>
                <w:szCs w:val="21"/>
                <w:highlight w:val="none"/>
              </w:rPr>
              <w:t>……</w:t>
            </w:r>
          </w:p>
        </w:tc>
        <w:tc>
          <w:tcPr>
            <w:tcW w:w="2916" w:type="dxa"/>
            <w:vAlign w:val="center"/>
          </w:tcPr>
          <w:p w14:paraId="08DC3E0B">
            <w:pPr>
              <w:jc w:val="center"/>
              <w:rPr>
                <w:rFonts w:ascii="宋体" w:hAnsi="宋体"/>
                <w:color w:val="auto"/>
                <w:szCs w:val="21"/>
                <w:highlight w:val="none"/>
              </w:rPr>
            </w:pPr>
          </w:p>
        </w:tc>
      </w:tr>
      <w:tr w14:paraId="34BE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730" w:type="dxa"/>
            <w:vAlign w:val="center"/>
          </w:tcPr>
          <w:p w14:paraId="02D3DA59">
            <w:pPr>
              <w:jc w:val="center"/>
              <w:rPr>
                <w:rFonts w:ascii="宋体" w:hAnsi="宋体"/>
                <w:color w:val="auto"/>
                <w:szCs w:val="21"/>
                <w:highlight w:val="none"/>
              </w:rPr>
            </w:pPr>
            <w:r>
              <w:rPr>
                <w:rFonts w:hint="eastAsia" w:ascii="宋体" w:hAnsi="宋体"/>
                <w:color w:val="auto"/>
                <w:szCs w:val="21"/>
                <w:highlight w:val="none"/>
              </w:rPr>
              <w:t>…</w:t>
            </w:r>
          </w:p>
        </w:tc>
        <w:tc>
          <w:tcPr>
            <w:tcW w:w="3519" w:type="dxa"/>
            <w:vAlign w:val="center"/>
          </w:tcPr>
          <w:p w14:paraId="3F90CA21">
            <w:pPr>
              <w:jc w:val="left"/>
              <w:rPr>
                <w:rFonts w:ascii="宋体" w:hAnsi="宋体"/>
                <w:color w:val="auto"/>
                <w:szCs w:val="21"/>
                <w:highlight w:val="none"/>
              </w:rPr>
            </w:pPr>
            <w:r>
              <w:rPr>
                <w:rFonts w:hint="eastAsia" w:ascii="宋体" w:hAnsi="宋体"/>
                <w:color w:val="auto"/>
                <w:szCs w:val="21"/>
                <w:highlight w:val="none"/>
              </w:rPr>
              <w:t>1……</w:t>
            </w:r>
          </w:p>
          <w:p w14:paraId="0C644BA4">
            <w:pPr>
              <w:jc w:val="left"/>
              <w:rPr>
                <w:rFonts w:ascii="宋体" w:hAnsi="宋体"/>
                <w:color w:val="auto"/>
                <w:szCs w:val="21"/>
                <w:highlight w:val="none"/>
              </w:rPr>
            </w:pPr>
            <w:r>
              <w:rPr>
                <w:rFonts w:ascii="宋体" w:hAnsi="宋体"/>
                <w:color w:val="auto"/>
                <w:szCs w:val="21"/>
                <w:highlight w:val="none"/>
              </w:rPr>
              <w:t>2……</w:t>
            </w:r>
          </w:p>
          <w:p w14:paraId="134AFACC">
            <w:pPr>
              <w:jc w:val="left"/>
              <w:rPr>
                <w:rFonts w:ascii="宋体" w:hAnsi="宋体"/>
                <w:color w:val="auto"/>
                <w:szCs w:val="21"/>
                <w:highlight w:val="none"/>
              </w:rPr>
            </w:pPr>
            <w:r>
              <w:rPr>
                <w:rFonts w:ascii="宋体" w:hAnsi="宋体"/>
                <w:color w:val="auto"/>
                <w:szCs w:val="21"/>
                <w:highlight w:val="none"/>
              </w:rPr>
              <w:t>3……</w:t>
            </w:r>
          </w:p>
          <w:p w14:paraId="00A71496">
            <w:pPr>
              <w:jc w:val="left"/>
              <w:rPr>
                <w:rFonts w:ascii="宋体" w:hAnsi="宋体"/>
                <w:color w:val="auto"/>
                <w:szCs w:val="21"/>
                <w:highlight w:val="none"/>
              </w:rPr>
            </w:pPr>
            <w:r>
              <w:rPr>
                <w:rFonts w:hint="eastAsia" w:ascii="宋体" w:hAnsi="宋体"/>
                <w:color w:val="auto"/>
                <w:szCs w:val="21"/>
                <w:highlight w:val="none"/>
              </w:rPr>
              <w:t>……</w:t>
            </w:r>
          </w:p>
        </w:tc>
        <w:tc>
          <w:tcPr>
            <w:tcW w:w="2787" w:type="dxa"/>
            <w:vAlign w:val="center"/>
          </w:tcPr>
          <w:p w14:paraId="3ACED6E4">
            <w:pPr>
              <w:jc w:val="left"/>
              <w:rPr>
                <w:rFonts w:ascii="宋体" w:hAnsi="宋体"/>
                <w:color w:val="auto"/>
                <w:szCs w:val="21"/>
                <w:highlight w:val="none"/>
              </w:rPr>
            </w:pPr>
            <w:r>
              <w:rPr>
                <w:rFonts w:hint="eastAsia" w:ascii="宋体" w:hAnsi="宋体"/>
                <w:color w:val="auto"/>
                <w:szCs w:val="21"/>
                <w:highlight w:val="none"/>
              </w:rPr>
              <w:t>1……</w:t>
            </w:r>
          </w:p>
          <w:p w14:paraId="719C7903">
            <w:pPr>
              <w:jc w:val="left"/>
              <w:rPr>
                <w:rFonts w:ascii="宋体" w:hAnsi="宋体"/>
                <w:color w:val="auto"/>
                <w:szCs w:val="21"/>
                <w:highlight w:val="none"/>
              </w:rPr>
            </w:pPr>
            <w:r>
              <w:rPr>
                <w:rFonts w:ascii="宋体" w:hAnsi="宋体"/>
                <w:color w:val="auto"/>
                <w:szCs w:val="21"/>
                <w:highlight w:val="none"/>
              </w:rPr>
              <w:t>2……</w:t>
            </w:r>
          </w:p>
          <w:p w14:paraId="20DDF4C0">
            <w:pPr>
              <w:jc w:val="left"/>
              <w:rPr>
                <w:rFonts w:ascii="宋体" w:hAnsi="宋体"/>
                <w:color w:val="auto"/>
                <w:szCs w:val="21"/>
                <w:highlight w:val="none"/>
              </w:rPr>
            </w:pPr>
            <w:r>
              <w:rPr>
                <w:rFonts w:ascii="宋体" w:hAnsi="宋体"/>
                <w:color w:val="auto"/>
                <w:szCs w:val="21"/>
                <w:highlight w:val="none"/>
              </w:rPr>
              <w:t>3……</w:t>
            </w:r>
          </w:p>
          <w:p w14:paraId="6C0382F8">
            <w:pPr>
              <w:jc w:val="left"/>
              <w:rPr>
                <w:rFonts w:ascii="宋体" w:hAnsi="宋体"/>
                <w:color w:val="auto"/>
                <w:szCs w:val="21"/>
                <w:highlight w:val="none"/>
              </w:rPr>
            </w:pPr>
            <w:r>
              <w:rPr>
                <w:rFonts w:hint="eastAsia" w:ascii="宋体" w:hAnsi="宋体"/>
                <w:color w:val="auto"/>
                <w:szCs w:val="21"/>
                <w:highlight w:val="none"/>
              </w:rPr>
              <w:t>……</w:t>
            </w:r>
          </w:p>
        </w:tc>
        <w:tc>
          <w:tcPr>
            <w:tcW w:w="2916" w:type="dxa"/>
            <w:vAlign w:val="center"/>
          </w:tcPr>
          <w:p w14:paraId="320BA84A">
            <w:pPr>
              <w:jc w:val="center"/>
              <w:rPr>
                <w:rFonts w:ascii="宋体" w:hAnsi="宋体"/>
                <w:color w:val="auto"/>
                <w:szCs w:val="21"/>
                <w:highlight w:val="none"/>
              </w:rPr>
            </w:pPr>
          </w:p>
        </w:tc>
      </w:tr>
    </w:tbl>
    <w:p w14:paraId="1257385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w:t>
      </w:r>
    </w:p>
    <w:p w14:paraId="4B08FAC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1.说明：应对照采购文件“第三章采购需求”的</w:t>
      </w:r>
      <w:r>
        <w:rPr>
          <w:rFonts w:hint="eastAsia" w:ascii="宋体" w:hAnsi="宋体"/>
          <w:b/>
          <w:color w:val="auto"/>
          <w:szCs w:val="21"/>
          <w:highlight w:val="none"/>
        </w:rPr>
        <w:t>商务要求</w:t>
      </w:r>
      <w:r>
        <w:rPr>
          <w:rFonts w:hint="eastAsia" w:ascii="宋体" w:hAnsi="宋体"/>
          <w:color w:val="auto"/>
          <w:szCs w:val="21"/>
          <w:highlight w:val="none"/>
        </w:rPr>
        <w:t>条款</w:t>
      </w:r>
      <w:r>
        <w:rPr>
          <w:rFonts w:hint="eastAsia" w:ascii="宋体" w:hAnsi="宋体"/>
          <w:b/>
          <w:color w:val="auto"/>
          <w:szCs w:val="21"/>
          <w:highlight w:val="none"/>
        </w:rPr>
        <w:t>逐条</w:t>
      </w:r>
      <w:r>
        <w:rPr>
          <w:rFonts w:hint="eastAsia" w:ascii="宋体" w:hAnsi="宋体"/>
          <w:color w:val="auto"/>
          <w:szCs w:val="21"/>
          <w:highlight w:val="none"/>
        </w:rPr>
        <w:t>作出明确响应，并作出偏离说明，否则竞争性谈判无效。</w:t>
      </w:r>
    </w:p>
    <w:p w14:paraId="09E243B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供应商应根据自身的承诺，对照采购文件要求，在“偏离说明”中注明“正偏离”、“负偏离”或者“无偏离”。既不属于“正偏离”也不属于“负偏离”即为“无偏离”。当响应文件的商务内容低于采购文件要求时，供应商应当如实写明“负偏离”，否则视为虚假应标</w:t>
      </w:r>
    </w:p>
    <w:p w14:paraId="2264254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3.表格内容均需按要求填写，不得留空。</w:t>
      </w:r>
    </w:p>
    <w:p w14:paraId="0CD79595">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法定代表人或者委托代理人（签字）：</w:t>
      </w:r>
    </w:p>
    <w:p w14:paraId="06E4A6DE">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2981526E">
      <w:pPr>
        <w:wordWrap w:val="0"/>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2BDB6463">
      <w:pPr>
        <w:spacing w:line="360" w:lineRule="auto"/>
        <w:ind w:firstLine="643" w:firstLineChars="200"/>
        <w:rPr>
          <w:rFonts w:ascii="宋体" w:hAnsi="宋体"/>
          <w:b/>
          <w:color w:val="auto"/>
          <w:sz w:val="32"/>
          <w:szCs w:val="32"/>
          <w:highlight w:val="none"/>
        </w:rPr>
        <w:sectPr>
          <w:pgSz w:w="11906" w:h="16838"/>
          <w:pgMar w:top="1440" w:right="1080" w:bottom="1440" w:left="1080" w:header="851" w:footer="992" w:gutter="0"/>
          <w:cols w:space="425" w:num="1"/>
          <w:docGrid w:type="lines" w:linePitch="312" w:charSpace="0"/>
        </w:sectPr>
      </w:pPr>
    </w:p>
    <w:p w14:paraId="4D74153B">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lang w:val="en-US" w:eastAsia="zh-CN"/>
        </w:rPr>
        <w:t>5</w:t>
      </w:r>
      <w:r>
        <w:rPr>
          <w:rFonts w:hint="eastAsia" w:ascii="宋体" w:hAnsi="宋体" w:cs="Times New Roman"/>
          <w:b/>
          <w:color w:val="auto"/>
          <w:sz w:val="32"/>
          <w:szCs w:val="32"/>
          <w:highlight w:val="none"/>
        </w:rPr>
        <w:t>、技术要求偏离表</w:t>
      </w:r>
    </w:p>
    <w:p w14:paraId="33CE33A9">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（注：按采购需求具体条款修改）</w:t>
      </w:r>
    </w:p>
    <w:p w14:paraId="3FD62D5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w:t>
      </w:r>
    </w:p>
    <w:p w14:paraId="72447ED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项目名称：</w:t>
      </w:r>
    </w:p>
    <w:p w14:paraId="45AA7FA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分标号：</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4246"/>
        <w:gridCol w:w="3735"/>
        <w:gridCol w:w="1234"/>
      </w:tblGrid>
      <w:tr w14:paraId="799C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9" w:type="dxa"/>
            <w:vMerge w:val="restart"/>
            <w:vAlign w:val="center"/>
          </w:tcPr>
          <w:p w14:paraId="1BAF7196">
            <w:pPr>
              <w:spacing w:line="360" w:lineRule="auto"/>
              <w:jc w:val="center"/>
              <w:rPr>
                <w:rFonts w:ascii="宋体" w:hAnsi="宋体"/>
                <w:color w:val="auto"/>
                <w:szCs w:val="21"/>
                <w:highlight w:val="none"/>
              </w:rPr>
            </w:pPr>
            <w:r>
              <w:rPr>
                <w:rFonts w:hint="eastAsia" w:ascii="宋体" w:hAnsi="宋体"/>
                <w:color w:val="auto"/>
                <w:szCs w:val="21"/>
                <w:highlight w:val="none"/>
              </w:rPr>
              <w:t>项号</w:t>
            </w:r>
          </w:p>
        </w:tc>
        <w:tc>
          <w:tcPr>
            <w:tcW w:w="4246" w:type="dxa"/>
            <w:vAlign w:val="center"/>
          </w:tcPr>
          <w:p w14:paraId="3267C92C">
            <w:pPr>
              <w:spacing w:line="360" w:lineRule="auto"/>
              <w:jc w:val="center"/>
              <w:rPr>
                <w:rFonts w:ascii="宋体" w:hAnsi="宋体"/>
                <w:color w:val="auto"/>
                <w:szCs w:val="21"/>
                <w:highlight w:val="none"/>
              </w:rPr>
            </w:pPr>
            <w:r>
              <w:rPr>
                <w:rFonts w:hint="eastAsia" w:ascii="宋体" w:hAnsi="宋体"/>
                <w:color w:val="auto"/>
                <w:szCs w:val="21"/>
                <w:highlight w:val="none"/>
              </w:rPr>
              <w:t>谈判文件技术要求</w:t>
            </w:r>
          </w:p>
        </w:tc>
        <w:tc>
          <w:tcPr>
            <w:tcW w:w="3735" w:type="dxa"/>
            <w:vAlign w:val="center"/>
          </w:tcPr>
          <w:p w14:paraId="432DC230">
            <w:pPr>
              <w:spacing w:line="360" w:lineRule="auto"/>
              <w:jc w:val="center"/>
              <w:rPr>
                <w:rFonts w:ascii="宋体" w:hAnsi="宋体"/>
                <w:color w:val="auto"/>
                <w:szCs w:val="21"/>
                <w:highlight w:val="none"/>
              </w:rPr>
            </w:pPr>
            <w:r>
              <w:rPr>
                <w:rFonts w:hint="eastAsia" w:ascii="宋体" w:hAnsi="宋体"/>
                <w:color w:val="auto"/>
                <w:szCs w:val="21"/>
                <w:highlight w:val="none"/>
              </w:rPr>
              <w:t>竞标响应</w:t>
            </w:r>
          </w:p>
        </w:tc>
        <w:tc>
          <w:tcPr>
            <w:tcW w:w="1234" w:type="dxa"/>
            <w:vMerge w:val="restart"/>
            <w:vAlign w:val="center"/>
          </w:tcPr>
          <w:p w14:paraId="1E5004E5">
            <w:pPr>
              <w:spacing w:line="360" w:lineRule="auto"/>
              <w:jc w:val="center"/>
              <w:rPr>
                <w:rFonts w:ascii="宋体" w:hAnsi="宋体"/>
                <w:color w:val="auto"/>
                <w:szCs w:val="21"/>
                <w:highlight w:val="none"/>
              </w:rPr>
            </w:pPr>
            <w:r>
              <w:rPr>
                <w:rFonts w:hint="eastAsia" w:ascii="宋体" w:hAnsi="宋体"/>
                <w:color w:val="auto"/>
                <w:szCs w:val="21"/>
                <w:highlight w:val="none"/>
              </w:rPr>
              <w:t>偏离说明</w:t>
            </w:r>
          </w:p>
        </w:tc>
      </w:tr>
      <w:tr w14:paraId="0EEA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9" w:type="dxa"/>
            <w:vMerge w:val="continue"/>
            <w:vAlign w:val="center"/>
          </w:tcPr>
          <w:p w14:paraId="708E80D8">
            <w:pPr>
              <w:spacing w:line="360" w:lineRule="auto"/>
              <w:jc w:val="center"/>
              <w:rPr>
                <w:rFonts w:ascii="宋体" w:hAnsi="宋体"/>
                <w:color w:val="auto"/>
                <w:szCs w:val="21"/>
                <w:highlight w:val="none"/>
              </w:rPr>
            </w:pPr>
          </w:p>
        </w:tc>
        <w:tc>
          <w:tcPr>
            <w:tcW w:w="4246" w:type="dxa"/>
            <w:vAlign w:val="center"/>
          </w:tcPr>
          <w:p w14:paraId="6F6B3921">
            <w:pPr>
              <w:spacing w:line="360" w:lineRule="auto"/>
              <w:jc w:val="center"/>
              <w:rPr>
                <w:rFonts w:ascii="宋体" w:hAnsi="宋体"/>
                <w:color w:val="auto"/>
                <w:szCs w:val="21"/>
                <w:highlight w:val="none"/>
              </w:rPr>
            </w:pPr>
            <w:r>
              <w:rPr>
                <w:rFonts w:hint="eastAsia" w:ascii="宋体" w:hAnsi="宋体"/>
                <w:color w:val="auto"/>
                <w:szCs w:val="21"/>
                <w:highlight w:val="none"/>
              </w:rPr>
              <w:t>技术要求</w:t>
            </w:r>
          </w:p>
        </w:tc>
        <w:tc>
          <w:tcPr>
            <w:tcW w:w="3735" w:type="dxa"/>
            <w:vAlign w:val="center"/>
          </w:tcPr>
          <w:p w14:paraId="2ACE0213">
            <w:pPr>
              <w:spacing w:line="360" w:lineRule="auto"/>
              <w:jc w:val="center"/>
              <w:rPr>
                <w:rFonts w:ascii="宋体" w:hAnsi="宋体"/>
                <w:color w:val="auto"/>
                <w:szCs w:val="21"/>
                <w:highlight w:val="none"/>
              </w:rPr>
            </w:pPr>
            <w:r>
              <w:rPr>
                <w:rFonts w:hint="eastAsia" w:ascii="宋体" w:hAnsi="宋体"/>
                <w:color w:val="auto"/>
                <w:szCs w:val="21"/>
                <w:highlight w:val="none"/>
              </w:rPr>
              <w:t>技术参数</w:t>
            </w:r>
          </w:p>
        </w:tc>
        <w:tc>
          <w:tcPr>
            <w:tcW w:w="1234" w:type="dxa"/>
            <w:vMerge w:val="continue"/>
            <w:vAlign w:val="center"/>
          </w:tcPr>
          <w:p w14:paraId="077A40C0">
            <w:pPr>
              <w:spacing w:line="360" w:lineRule="auto"/>
              <w:jc w:val="center"/>
              <w:rPr>
                <w:rFonts w:ascii="宋体" w:hAnsi="宋体"/>
                <w:color w:val="auto"/>
                <w:szCs w:val="21"/>
                <w:highlight w:val="none"/>
              </w:rPr>
            </w:pPr>
          </w:p>
        </w:tc>
      </w:tr>
      <w:tr w14:paraId="3D12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9" w:type="dxa"/>
            <w:vAlign w:val="center"/>
          </w:tcPr>
          <w:p w14:paraId="06DC5527">
            <w:pPr>
              <w:spacing w:line="360" w:lineRule="auto"/>
              <w:jc w:val="center"/>
              <w:rPr>
                <w:rFonts w:ascii="宋体" w:hAnsi="宋体"/>
                <w:color w:val="auto"/>
                <w:szCs w:val="21"/>
                <w:highlight w:val="none"/>
              </w:rPr>
            </w:pPr>
            <w:r>
              <w:rPr>
                <w:rFonts w:ascii="宋体" w:hAnsi="宋体"/>
                <w:color w:val="auto"/>
                <w:szCs w:val="21"/>
                <w:highlight w:val="none"/>
              </w:rPr>
              <w:t>1</w:t>
            </w:r>
          </w:p>
        </w:tc>
        <w:tc>
          <w:tcPr>
            <w:tcW w:w="4246" w:type="dxa"/>
            <w:vAlign w:val="center"/>
          </w:tcPr>
          <w:p w14:paraId="276490D7">
            <w:pPr>
              <w:spacing w:line="360" w:lineRule="auto"/>
              <w:rPr>
                <w:rFonts w:ascii="宋体" w:hAnsi="宋体"/>
                <w:color w:val="auto"/>
                <w:szCs w:val="21"/>
                <w:highlight w:val="none"/>
              </w:rPr>
            </w:pPr>
            <w:r>
              <w:rPr>
                <w:rFonts w:ascii="宋体" w:hAnsi="宋体"/>
                <w:color w:val="auto"/>
                <w:szCs w:val="21"/>
                <w:highlight w:val="none"/>
              </w:rPr>
              <w:t>1……</w:t>
            </w:r>
          </w:p>
          <w:p w14:paraId="05710C1F">
            <w:pPr>
              <w:spacing w:line="360" w:lineRule="auto"/>
              <w:rPr>
                <w:rFonts w:ascii="宋体" w:hAnsi="宋体"/>
                <w:color w:val="auto"/>
                <w:szCs w:val="21"/>
                <w:highlight w:val="none"/>
              </w:rPr>
            </w:pPr>
            <w:r>
              <w:rPr>
                <w:rFonts w:ascii="宋体" w:hAnsi="宋体"/>
                <w:color w:val="auto"/>
                <w:szCs w:val="21"/>
                <w:highlight w:val="none"/>
              </w:rPr>
              <w:t>2……</w:t>
            </w:r>
          </w:p>
          <w:p w14:paraId="4FCC043B">
            <w:pPr>
              <w:spacing w:line="360" w:lineRule="auto"/>
              <w:jc w:val="left"/>
              <w:rPr>
                <w:rFonts w:ascii="宋体" w:hAnsi="宋体"/>
                <w:color w:val="auto"/>
                <w:szCs w:val="21"/>
                <w:highlight w:val="none"/>
              </w:rPr>
            </w:pPr>
            <w:r>
              <w:rPr>
                <w:rFonts w:ascii="宋体" w:hAnsi="宋体"/>
                <w:color w:val="auto"/>
                <w:szCs w:val="21"/>
                <w:highlight w:val="none"/>
              </w:rPr>
              <w:t>3……</w:t>
            </w:r>
          </w:p>
          <w:p w14:paraId="343A9155">
            <w:pPr>
              <w:spacing w:line="360" w:lineRule="auto"/>
              <w:jc w:val="left"/>
              <w:rPr>
                <w:rFonts w:ascii="宋体" w:hAnsi="宋体"/>
                <w:color w:val="auto"/>
                <w:szCs w:val="21"/>
                <w:highlight w:val="none"/>
              </w:rPr>
            </w:pPr>
            <w:r>
              <w:rPr>
                <w:rFonts w:ascii="宋体" w:hAnsi="宋体"/>
                <w:color w:val="auto"/>
                <w:szCs w:val="21"/>
                <w:highlight w:val="none"/>
              </w:rPr>
              <w:t>……</w:t>
            </w:r>
          </w:p>
        </w:tc>
        <w:tc>
          <w:tcPr>
            <w:tcW w:w="3735" w:type="dxa"/>
            <w:vAlign w:val="center"/>
          </w:tcPr>
          <w:p w14:paraId="2429D0F2">
            <w:pPr>
              <w:spacing w:line="360" w:lineRule="auto"/>
              <w:rPr>
                <w:rFonts w:ascii="宋体" w:hAnsi="宋体"/>
                <w:color w:val="auto"/>
                <w:szCs w:val="21"/>
                <w:highlight w:val="none"/>
              </w:rPr>
            </w:pPr>
            <w:r>
              <w:rPr>
                <w:rFonts w:ascii="宋体" w:hAnsi="宋体"/>
                <w:color w:val="auto"/>
                <w:szCs w:val="21"/>
                <w:highlight w:val="none"/>
              </w:rPr>
              <w:t>1……</w:t>
            </w:r>
          </w:p>
          <w:p w14:paraId="19B1440A">
            <w:pPr>
              <w:spacing w:line="360" w:lineRule="auto"/>
              <w:rPr>
                <w:rFonts w:ascii="宋体" w:hAnsi="宋体"/>
                <w:color w:val="auto"/>
                <w:szCs w:val="21"/>
                <w:highlight w:val="none"/>
              </w:rPr>
            </w:pPr>
            <w:r>
              <w:rPr>
                <w:rFonts w:ascii="宋体" w:hAnsi="宋体"/>
                <w:color w:val="auto"/>
                <w:szCs w:val="21"/>
                <w:highlight w:val="none"/>
              </w:rPr>
              <w:t>2……</w:t>
            </w:r>
          </w:p>
          <w:p w14:paraId="2D9B3DE8">
            <w:pPr>
              <w:spacing w:line="360" w:lineRule="auto"/>
              <w:jc w:val="left"/>
              <w:rPr>
                <w:rFonts w:ascii="宋体" w:hAnsi="宋体"/>
                <w:color w:val="auto"/>
                <w:szCs w:val="21"/>
                <w:highlight w:val="none"/>
              </w:rPr>
            </w:pPr>
            <w:r>
              <w:rPr>
                <w:rFonts w:ascii="宋体" w:hAnsi="宋体"/>
                <w:color w:val="auto"/>
                <w:szCs w:val="21"/>
                <w:highlight w:val="none"/>
              </w:rPr>
              <w:t>3……</w:t>
            </w:r>
          </w:p>
          <w:p w14:paraId="219C4A1D">
            <w:pPr>
              <w:spacing w:line="360" w:lineRule="auto"/>
              <w:rPr>
                <w:rFonts w:ascii="宋体" w:hAnsi="宋体"/>
                <w:color w:val="auto"/>
                <w:szCs w:val="21"/>
                <w:highlight w:val="none"/>
              </w:rPr>
            </w:pPr>
            <w:r>
              <w:rPr>
                <w:rFonts w:ascii="宋体" w:hAnsi="宋体"/>
                <w:color w:val="auto"/>
                <w:szCs w:val="21"/>
                <w:highlight w:val="none"/>
              </w:rPr>
              <w:t>……</w:t>
            </w:r>
          </w:p>
        </w:tc>
        <w:tc>
          <w:tcPr>
            <w:tcW w:w="1234" w:type="dxa"/>
            <w:vAlign w:val="center"/>
          </w:tcPr>
          <w:p w14:paraId="717E8869">
            <w:pPr>
              <w:spacing w:line="360" w:lineRule="auto"/>
              <w:jc w:val="center"/>
              <w:rPr>
                <w:rFonts w:ascii="宋体" w:hAnsi="宋体"/>
                <w:color w:val="auto"/>
                <w:szCs w:val="21"/>
                <w:highlight w:val="none"/>
              </w:rPr>
            </w:pPr>
          </w:p>
        </w:tc>
      </w:tr>
      <w:tr w14:paraId="5174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9" w:type="dxa"/>
            <w:vAlign w:val="center"/>
          </w:tcPr>
          <w:p w14:paraId="746329D1">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4246" w:type="dxa"/>
            <w:vAlign w:val="center"/>
          </w:tcPr>
          <w:p w14:paraId="66FC3E77">
            <w:pPr>
              <w:spacing w:line="360" w:lineRule="auto"/>
              <w:rPr>
                <w:rFonts w:ascii="宋体" w:hAnsi="宋体"/>
                <w:color w:val="auto"/>
                <w:szCs w:val="21"/>
                <w:highlight w:val="none"/>
              </w:rPr>
            </w:pPr>
            <w:r>
              <w:rPr>
                <w:rFonts w:ascii="宋体" w:hAnsi="宋体"/>
                <w:color w:val="auto"/>
                <w:szCs w:val="21"/>
                <w:highlight w:val="none"/>
              </w:rPr>
              <w:t>1……</w:t>
            </w:r>
          </w:p>
          <w:p w14:paraId="2D294AC6">
            <w:pPr>
              <w:spacing w:line="360" w:lineRule="auto"/>
              <w:rPr>
                <w:rFonts w:ascii="宋体" w:hAnsi="宋体"/>
                <w:color w:val="auto"/>
                <w:szCs w:val="21"/>
                <w:highlight w:val="none"/>
              </w:rPr>
            </w:pPr>
            <w:r>
              <w:rPr>
                <w:rFonts w:ascii="宋体" w:hAnsi="宋体"/>
                <w:color w:val="auto"/>
                <w:szCs w:val="21"/>
                <w:highlight w:val="none"/>
              </w:rPr>
              <w:t>2……</w:t>
            </w:r>
          </w:p>
          <w:p w14:paraId="393E0D04">
            <w:pPr>
              <w:spacing w:line="360" w:lineRule="auto"/>
              <w:jc w:val="left"/>
              <w:rPr>
                <w:rFonts w:ascii="宋体" w:hAnsi="宋体"/>
                <w:color w:val="auto"/>
                <w:szCs w:val="21"/>
                <w:highlight w:val="none"/>
              </w:rPr>
            </w:pPr>
            <w:r>
              <w:rPr>
                <w:rFonts w:ascii="宋体" w:hAnsi="宋体"/>
                <w:color w:val="auto"/>
                <w:szCs w:val="21"/>
                <w:highlight w:val="none"/>
              </w:rPr>
              <w:t>3……</w:t>
            </w:r>
          </w:p>
          <w:p w14:paraId="49FBC3A4">
            <w:pPr>
              <w:spacing w:line="360" w:lineRule="auto"/>
              <w:rPr>
                <w:rFonts w:ascii="宋体" w:hAnsi="宋体"/>
                <w:color w:val="auto"/>
                <w:szCs w:val="21"/>
                <w:highlight w:val="none"/>
              </w:rPr>
            </w:pPr>
            <w:r>
              <w:rPr>
                <w:rFonts w:ascii="宋体" w:hAnsi="宋体"/>
                <w:color w:val="auto"/>
                <w:szCs w:val="21"/>
                <w:highlight w:val="none"/>
              </w:rPr>
              <w:t>……</w:t>
            </w:r>
          </w:p>
        </w:tc>
        <w:tc>
          <w:tcPr>
            <w:tcW w:w="3735" w:type="dxa"/>
            <w:vAlign w:val="center"/>
          </w:tcPr>
          <w:p w14:paraId="51DA3707">
            <w:pPr>
              <w:spacing w:line="360" w:lineRule="auto"/>
              <w:rPr>
                <w:rFonts w:ascii="宋体" w:hAnsi="宋体"/>
                <w:color w:val="auto"/>
                <w:szCs w:val="21"/>
                <w:highlight w:val="none"/>
              </w:rPr>
            </w:pPr>
            <w:r>
              <w:rPr>
                <w:rFonts w:ascii="宋体" w:hAnsi="宋体"/>
                <w:color w:val="auto"/>
                <w:szCs w:val="21"/>
                <w:highlight w:val="none"/>
              </w:rPr>
              <w:t>1……</w:t>
            </w:r>
          </w:p>
          <w:p w14:paraId="75CC98E0">
            <w:pPr>
              <w:spacing w:line="360" w:lineRule="auto"/>
              <w:rPr>
                <w:rFonts w:ascii="宋体" w:hAnsi="宋体"/>
                <w:color w:val="auto"/>
                <w:szCs w:val="21"/>
                <w:highlight w:val="none"/>
              </w:rPr>
            </w:pPr>
            <w:r>
              <w:rPr>
                <w:rFonts w:ascii="宋体" w:hAnsi="宋体"/>
                <w:color w:val="auto"/>
                <w:szCs w:val="21"/>
                <w:highlight w:val="none"/>
              </w:rPr>
              <w:t>2……</w:t>
            </w:r>
          </w:p>
          <w:p w14:paraId="6358F288">
            <w:pPr>
              <w:spacing w:line="360" w:lineRule="auto"/>
              <w:jc w:val="left"/>
              <w:rPr>
                <w:rFonts w:ascii="宋体" w:hAnsi="宋体"/>
                <w:color w:val="auto"/>
                <w:szCs w:val="21"/>
                <w:highlight w:val="none"/>
              </w:rPr>
            </w:pPr>
            <w:r>
              <w:rPr>
                <w:rFonts w:ascii="宋体" w:hAnsi="宋体"/>
                <w:color w:val="auto"/>
                <w:szCs w:val="21"/>
                <w:highlight w:val="none"/>
              </w:rPr>
              <w:t>3……</w:t>
            </w:r>
          </w:p>
          <w:p w14:paraId="25EF95E9">
            <w:pPr>
              <w:spacing w:line="360" w:lineRule="auto"/>
              <w:rPr>
                <w:rFonts w:ascii="宋体" w:hAnsi="宋体"/>
                <w:color w:val="auto"/>
                <w:szCs w:val="21"/>
                <w:highlight w:val="none"/>
              </w:rPr>
            </w:pPr>
            <w:r>
              <w:rPr>
                <w:rFonts w:ascii="宋体" w:hAnsi="宋体"/>
                <w:color w:val="auto"/>
                <w:szCs w:val="21"/>
                <w:highlight w:val="none"/>
              </w:rPr>
              <w:t>……</w:t>
            </w:r>
          </w:p>
        </w:tc>
        <w:tc>
          <w:tcPr>
            <w:tcW w:w="1234" w:type="dxa"/>
            <w:vAlign w:val="center"/>
          </w:tcPr>
          <w:p w14:paraId="0A0A0241">
            <w:pPr>
              <w:spacing w:line="360" w:lineRule="auto"/>
              <w:jc w:val="center"/>
              <w:rPr>
                <w:rFonts w:ascii="宋体" w:hAnsi="宋体"/>
                <w:color w:val="auto"/>
                <w:szCs w:val="21"/>
                <w:highlight w:val="none"/>
              </w:rPr>
            </w:pPr>
          </w:p>
        </w:tc>
      </w:tr>
      <w:tr w14:paraId="6413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9" w:type="dxa"/>
            <w:vAlign w:val="center"/>
          </w:tcPr>
          <w:p w14:paraId="73AE574B">
            <w:pPr>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4246" w:type="dxa"/>
            <w:vAlign w:val="center"/>
          </w:tcPr>
          <w:p w14:paraId="1EAD821F">
            <w:pPr>
              <w:spacing w:line="360" w:lineRule="auto"/>
              <w:jc w:val="center"/>
              <w:rPr>
                <w:rFonts w:ascii="宋体" w:hAnsi="宋体"/>
                <w:color w:val="auto"/>
                <w:szCs w:val="21"/>
                <w:highlight w:val="none"/>
              </w:rPr>
            </w:pPr>
          </w:p>
        </w:tc>
        <w:tc>
          <w:tcPr>
            <w:tcW w:w="3735" w:type="dxa"/>
            <w:vAlign w:val="center"/>
          </w:tcPr>
          <w:p w14:paraId="3AC21F8B">
            <w:pPr>
              <w:spacing w:line="360" w:lineRule="auto"/>
              <w:jc w:val="center"/>
              <w:rPr>
                <w:rFonts w:ascii="宋体" w:hAnsi="宋体"/>
                <w:color w:val="auto"/>
                <w:szCs w:val="21"/>
                <w:highlight w:val="none"/>
              </w:rPr>
            </w:pPr>
          </w:p>
        </w:tc>
        <w:tc>
          <w:tcPr>
            <w:tcW w:w="1234" w:type="dxa"/>
            <w:vAlign w:val="center"/>
          </w:tcPr>
          <w:p w14:paraId="188575BF">
            <w:pPr>
              <w:spacing w:line="360" w:lineRule="auto"/>
              <w:jc w:val="center"/>
              <w:rPr>
                <w:rFonts w:ascii="宋体" w:hAnsi="宋体"/>
                <w:color w:val="auto"/>
                <w:szCs w:val="21"/>
                <w:highlight w:val="none"/>
              </w:rPr>
            </w:pPr>
          </w:p>
        </w:tc>
      </w:tr>
    </w:tbl>
    <w:p w14:paraId="032AFD8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w:t>
      </w:r>
    </w:p>
    <w:p w14:paraId="4B39C3F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1.应对照采购文件“第三章采购需求”的</w:t>
      </w:r>
      <w:r>
        <w:rPr>
          <w:rFonts w:hint="eastAsia" w:ascii="宋体" w:hAnsi="宋体"/>
          <w:b/>
          <w:color w:val="auto"/>
          <w:szCs w:val="21"/>
          <w:highlight w:val="none"/>
        </w:rPr>
        <w:t>技术要求</w:t>
      </w:r>
      <w:r>
        <w:rPr>
          <w:rFonts w:hint="eastAsia" w:ascii="宋体" w:hAnsi="宋体"/>
          <w:color w:val="auto"/>
          <w:szCs w:val="21"/>
          <w:highlight w:val="none"/>
        </w:rPr>
        <w:t>条款</w:t>
      </w:r>
      <w:r>
        <w:rPr>
          <w:rFonts w:hint="eastAsia" w:ascii="宋体" w:hAnsi="宋体"/>
          <w:b/>
          <w:color w:val="auto"/>
          <w:szCs w:val="21"/>
          <w:highlight w:val="none"/>
        </w:rPr>
        <w:t>逐条</w:t>
      </w:r>
      <w:r>
        <w:rPr>
          <w:rFonts w:hint="eastAsia" w:ascii="宋体" w:hAnsi="宋体"/>
          <w:color w:val="auto"/>
          <w:szCs w:val="21"/>
          <w:highlight w:val="none"/>
        </w:rPr>
        <w:t>作出明确响应，并作出偏离说明，否则竞争性谈判无效。</w:t>
      </w:r>
    </w:p>
    <w:p w14:paraId="5F8B944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供应商应根据自身的承诺，对照采购文件要求，在“偏离说明”中注明“正偏离”、“负偏离”或者“无偏离”。既不属于“正偏离”也不属于“负偏离”即为“无偏离”。当响应文件的技术内容低于采购文件要求时，供应商应当如实写明“负偏离”，否则视为虚假应标。</w:t>
      </w:r>
    </w:p>
    <w:p w14:paraId="7CC9173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3.表格内容均需按要求填写并盖章，不得留空。</w:t>
      </w:r>
    </w:p>
    <w:p w14:paraId="4550672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4.如技术要求偏离表中的竞标响应与佐证材料不一致的，以佐证材料为准。</w:t>
      </w:r>
    </w:p>
    <w:p w14:paraId="20978CD7">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法定代表人或者委托代理人（签字）：</w:t>
      </w:r>
    </w:p>
    <w:p w14:paraId="4A19544E">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39D9002E">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2CB43744">
      <w:pPr>
        <w:spacing w:line="360" w:lineRule="auto"/>
        <w:ind w:firstLine="420" w:firstLineChars="200"/>
        <w:jc w:val="right"/>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76A4AC14">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lang w:val="en-US" w:eastAsia="zh-CN"/>
        </w:rPr>
        <w:t>6</w:t>
      </w:r>
      <w:r>
        <w:rPr>
          <w:rFonts w:hint="eastAsia" w:ascii="宋体" w:hAnsi="宋体" w:cs="Times New Roman"/>
          <w:b/>
          <w:color w:val="auto"/>
          <w:sz w:val="32"/>
          <w:szCs w:val="32"/>
          <w:highlight w:val="none"/>
        </w:rPr>
        <w:t>、施工组织设计</w:t>
      </w:r>
    </w:p>
    <w:p w14:paraId="27A213FA">
      <w:pPr>
        <w:spacing w:line="360" w:lineRule="auto"/>
        <w:ind w:firstLine="420" w:firstLineChars="200"/>
        <w:jc w:val="center"/>
        <w:rPr>
          <w:rFonts w:ascii="宋体" w:hAnsi="宋体"/>
          <w:color w:val="auto"/>
          <w:szCs w:val="21"/>
          <w:highlight w:val="none"/>
        </w:rPr>
      </w:pPr>
      <w:r>
        <w:rPr>
          <w:rFonts w:hint="eastAsia" w:ascii="宋体" w:hAnsi="宋体"/>
          <w:color w:val="auto"/>
          <w:szCs w:val="21"/>
          <w:highlight w:val="none"/>
        </w:rPr>
        <w:t>格式自拟。</w:t>
      </w:r>
    </w:p>
    <w:p w14:paraId="79419AF3">
      <w:pPr>
        <w:spacing w:line="360" w:lineRule="auto"/>
        <w:jc w:val="center"/>
        <w:rPr>
          <w:rFonts w:hint="eastAsia" w:ascii="宋体" w:hAnsi="宋体" w:cs="Times New Roman"/>
          <w:b/>
          <w:color w:val="auto"/>
          <w:sz w:val="32"/>
          <w:szCs w:val="32"/>
          <w:highlight w:val="none"/>
          <w:lang w:val="en-US" w:eastAsia="zh-CN"/>
        </w:rPr>
      </w:pPr>
    </w:p>
    <w:p w14:paraId="08A93064">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lang w:val="en-US" w:eastAsia="zh-CN"/>
        </w:rPr>
        <w:t>7</w:t>
      </w:r>
      <w:r>
        <w:rPr>
          <w:rFonts w:hint="eastAsia" w:ascii="宋体" w:hAnsi="宋体" w:cs="Times New Roman"/>
          <w:b/>
          <w:color w:val="auto"/>
          <w:sz w:val="32"/>
          <w:szCs w:val="32"/>
          <w:highlight w:val="none"/>
        </w:rPr>
        <w:t>、拟分包项目情况表</w:t>
      </w:r>
    </w:p>
    <w:p w14:paraId="06D41822">
      <w:pPr>
        <w:spacing w:line="360" w:lineRule="auto"/>
        <w:ind w:firstLine="420" w:firstLineChars="200"/>
        <w:jc w:val="center"/>
        <w:rPr>
          <w:rFonts w:ascii="宋体" w:hAnsi="宋体"/>
          <w:color w:val="auto"/>
          <w:szCs w:val="21"/>
          <w:highlight w:val="none"/>
        </w:rPr>
      </w:pPr>
      <w:r>
        <w:rPr>
          <w:rFonts w:hint="eastAsia" w:ascii="宋体" w:hAnsi="宋体"/>
          <w:color w:val="auto"/>
          <w:szCs w:val="21"/>
          <w:highlight w:val="none"/>
        </w:rPr>
        <w:t>格式自拟。</w:t>
      </w:r>
    </w:p>
    <w:p w14:paraId="5F892977">
      <w:pPr>
        <w:spacing w:line="360" w:lineRule="auto"/>
        <w:jc w:val="center"/>
        <w:rPr>
          <w:rFonts w:hint="eastAsia" w:ascii="宋体" w:hAnsi="宋体" w:cs="Times New Roman"/>
          <w:b/>
          <w:color w:val="auto"/>
          <w:sz w:val="32"/>
          <w:szCs w:val="32"/>
          <w:highlight w:val="none"/>
          <w:lang w:val="en-US" w:eastAsia="zh-CN"/>
        </w:rPr>
      </w:pPr>
    </w:p>
    <w:p w14:paraId="67A65721">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lang w:val="en-US" w:eastAsia="zh-CN"/>
        </w:rPr>
        <w:t>8</w:t>
      </w:r>
      <w:r>
        <w:rPr>
          <w:rFonts w:hint="eastAsia" w:ascii="宋体" w:hAnsi="宋体" w:cs="Times New Roman"/>
          <w:b/>
          <w:color w:val="auto"/>
          <w:sz w:val="32"/>
          <w:szCs w:val="32"/>
          <w:highlight w:val="none"/>
        </w:rPr>
        <w:t>、项目管理机构配备情况表及主要人员简历表</w:t>
      </w:r>
    </w:p>
    <w:p w14:paraId="4F6A35CD">
      <w:pPr>
        <w:spacing w:line="360" w:lineRule="auto"/>
        <w:ind w:firstLine="420" w:firstLineChars="200"/>
        <w:jc w:val="center"/>
        <w:rPr>
          <w:rFonts w:ascii="宋体" w:hAnsi="宋体"/>
          <w:color w:val="auto"/>
          <w:szCs w:val="21"/>
          <w:highlight w:val="none"/>
        </w:rPr>
      </w:pPr>
      <w:r>
        <w:rPr>
          <w:rFonts w:hint="eastAsia" w:ascii="宋体" w:hAnsi="宋体"/>
          <w:color w:val="auto"/>
          <w:szCs w:val="21"/>
          <w:highlight w:val="none"/>
        </w:rPr>
        <w:t>格式自拟。</w:t>
      </w:r>
    </w:p>
    <w:p w14:paraId="598206BD">
      <w:pPr>
        <w:spacing w:line="360" w:lineRule="auto"/>
        <w:jc w:val="center"/>
        <w:rPr>
          <w:rFonts w:hint="eastAsia" w:ascii="宋体" w:hAnsi="宋体" w:cs="Times New Roman"/>
          <w:b/>
          <w:color w:val="auto"/>
          <w:sz w:val="32"/>
          <w:szCs w:val="32"/>
          <w:highlight w:val="none"/>
        </w:rPr>
      </w:pPr>
    </w:p>
    <w:p w14:paraId="5F1D16B8">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10、供应商业绩一览表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5"/>
        <w:gridCol w:w="1185"/>
        <w:gridCol w:w="1185"/>
        <w:gridCol w:w="1185"/>
        <w:gridCol w:w="1186"/>
      </w:tblGrid>
      <w:tr w14:paraId="28A7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29C1F75D">
            <w:pPr>
              <w:spacing w:line="360" w:lineRule="auto"/>
              <w:jc w:val="center"/>
              <w:rPr>
                <w:rFonts w:ascii="宋体" w:hAnsi="宋体"/>
                <w:color w:val="auto"/>
                <w:szCs w:val="21"/>
                <w:highlight w:val="none"/>
              </w:rPr>
            </w:pPr>
            <w:r>
              <w:rPr>
                <w:rFonts w:hint="eastAsia" w:ascii="宋体" w:hAnsi="宋体"/>
                <w:color w:val="auto"/>
                <w:szCs w:val="21"/>
                <w:highlight w:val="none"/>
              </w:rPr>
              <w:t>采购人名称</w:t>
            </w:r>
          </w:p>
        </w:tc>
        <w:tc>
          <w:tcPr>
            <w:tcW w:w="1185" w:type="dxa"/>
            <w:vAlign w:val="center"/>
          </w:tcPr>
          <w:p w14:paraId="4AB63E7F">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1185" w:type="dxa"/>
            <w:vAlign w:val="center"/>
          </w:tcPr>
          <w:p w14:paraId="48D34976">
            <w:pPr>
              <w:spacing w:line="360" w:lineRule="auto"/>
              <w:jc w:val="center"/>
              <w:rPr>
                <w:rFonts w:ascii="宋体" w:hAnsi="宋体"/>
                <w:color w:val="auto"/>
                <w:szCs w:val="21"/>
                <w:highlight w:val="none"/>
              </w:rPr>
            </w:pPr>
            <w:r>
              <w:rPr>
                <w:rFonts w:hint="eastAsia" w:ascii="宋体" w:hAnsi="宋体"/>
                <w:color w:val="auto"/>
                <w:szCs w:val="21"/>
                <w:highlight w:val="none"/>
              </w:rPr>
              <w:t>合同金额（万元）</w:t>
            </w:r>
          </w:p>
        </w:tc>
        <w:tc>
          <w:tcPr>
            <w:tcW w:w="1185" w:type="dxa"/>
            <w:vAlign w:val="center"/>
          </w:tcPr>
          <w:p w14:paraId="0E59DFE3">
            <w:pPr>
              <w:spacing w:line="360" w:lineRule="auto"/>
              <w:jc w:val="center"/>
              <w:rPr>
                <w:rFonts w:ascii="宋体" w:hAnsi="宋体"/>
                <w:color w:val="auto"/>
                <w:szCs w:val="21"/>
                <w:highlight w:val="none"/>
              </w:rPr>
            </w:pPr>
            <w:r>
              <w:rPr>
                <w:rFonts w:hint="eastAsia" w:ascii="宋体" w:hAnsi="宋体"/>
                <w:color w:val="auto"/>
                <w:szCs w:val="21"/>
                <w:highlight w:val="none"/>
              </w:rPr>
              <w:t>开工日期</w:t>
            </w:r>
          </w:p>
        </w:tc>
        <w:tc>
          <w:tcPr>
            <w:tcW w:w="1185" w:type="dxa"/>
            <w:vAlign w:val="center"/>
          </w:tcPr>
          <w:p w14:paraId="1EC47E5A">
            <w:pPr>
              <w:spacing w:line="360" w:lineRule="auto"/>
              <w:jc w:val="center"/>
              <w:rPr>
                <w:rFonts w:ascii="宋体" w:hAnsi="宋体"/>
                <w:color w:val="auto"/>
                <w:szCs w:val="21"/>
                <w:highlight w:val="none"/>
              </w:rPr>
            </w:pPr>
            <w:r>
              <w:rPr>
                <w:rFonts w:hint="eastAsia" w:ascii="宋体" w:hAnsi="宋体"/>
                <w:color w:val="auto"/>
                <w:szCs w:val="21"/>
                <w:highlight w:val="none"/>
              </w:rPr>
              <w:t>竣工日期</w:t>
            </w:r>
          </w:p>
        </w:tc>
        <w:tc>
          <w:tcPr>
            <w:tcW w:w="1185" w:type="dxa"/>
            <w:vAlign w:val="center"/>
          </w:tcPr>
          <w:p w14:paraId="12A095E8">
            <w:pPr>
              <w:spacing w:line="360" w:lineRule="auto"/>
              <w:jc w:val="center"/>
              <w:rPr>
                <w:rFonts w:ascii="宋体" w:hAnsi="宋体"/>
                <w:color w:val="auto"/>
                <w:szCs w:val="21"/>
                <w:highlight w:val="none"/>
              </w:rPr>
            </w:pPr>
            <w:r>
              <w:rPr>
                <w:rFonts w:hint="eastAsia" w:ascii="宋体" w:hAnsi="宋体"/>
                <w:color w:val="auto"/>
                <w:szCs w:val="21"/>
                <w:highlight w:val="none"/>
              </w:rPr>
              <w:t>在建或已完</w:t>
            </w:r>
          </w:p>
        </w:tc>
        <w:tc>
          <w:tcPr>
            <w:tcW w:w="1186" w:type="dxa"/>
            <w:vAlign w:val="center"/>
          </w:tcPr>
          <w:p w14:paraId="0F8DEECD">
            <w:pPr>
              <w:spacing w:line="360" w:lineRule="auto"/>
              <w:jc w:val="center"/>
              <w:rPr>
                <w:rFonts w:ascii="宋体" w:hAnsi="宋体"/>
                <w:color w:val="auto"/>
                <w:szCs w:val="21"/>
                <w:highlight w:val="none"/>
              </w:rPr>
            </w:pPr>
            <w:r>
              <w:rPr>
                <w:rFonts w:hint="eastAsia" w:ascii="宋体" w:hAnsi="宋体"/>
                <w:color w:val="auto"/>
                <w:szCs w:val="21"/>
                <w:highlight w:val="none"/>
              </w:rPr>
              <w:t>采购人联系人及联系电话</w:t>
            </w:r>
          </w:p>
        </w:tc>
      </w:tr>
      <w:tr w14:paraId="236D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426E5638">
            <w:pPr>
              <w:spacing w:line="360" w:lineRule="auto"/>
              <w:jc w:val="center"/>
              <w:rPr>
                <w:rFonts w:ascii="宋体" w:hAnsi="宋体"/>
                <w:color w:val="auto"/>
                <w:szCs w:val="21"/>
                <w:highlight w:val="none"/>
              </w:rPr>
            </w:pPr>
          </w:p>
        </w:tc>
        <w:tc>
          <w:tcPr>
            <w:tcW w:w="1185" w:type="dxa"/>
            <w:vAlign w:val="center"/>
          </w:tcPr>
          <w:p w14:paraId="7613BA6E">
            <w:pPr>
              <w:spacing w:line="360" w:lineRule="auto"/>
              <w:jc w:val="center"/>
              <w:rPr>
                <w:rFonts w:ascii="宋体" w:hAnsi="宋体"/>
                <w:color w:val="auto"/>
                <w:szCs w:val="21"/>
                <w:highlight w:val="none"/>
              </w:rPr>
            </w:pPr>
          </w:p>
        </w:tc>
        <w:tc>
          <w:tcPr>
            <w:tcW w:w="1185" w:type="dxa"/>
            <w:vAlign w:val="center"/>
          </w:tcPr>
          <w:p w14:paraId="41513FD6">
            <w:pPr>
              <w:spacing w:line="360" w:lineRule="auto"/>
              <w:jc w:val="center"/>
              <w:rPr>
                <w:rFonts w:ascii="宋体" w:hAnsi="宋体"/>
                <w:color w:val="auto"/>
                <w:szCs w:val="21"/>
                <w:highlight w:val="none"/>
              </w:rPr>
            </w:pPr>
          </w:p>
        </w:tc>
        <w:tc>
          <w:tcPr>
            <w:tcW w:w="1185" w:type="dxa"/>
            <w:vAlign w:val="center"/>
          </w:tcPr>
          <w:p w14:paraId="46140BCA">
            <w:pPr>
              <w:spacing w:line="360" w:lineRule="auto"/>
              <w:jc w:val="center"/>
              <w:rPr>
                <w:rFonts w:ascii="宋体" w:hAnsi="宋体"/>
                <w:color w:val="auto"/>
                <w:szCs w:val="21"/>
                <w:highlight w:val="none"/>
              </w:rPr>
            </w:pPr>
          </w:p>
        </w:tc>
        <w:tc>
          <w:tcPr>
            <w:tcW w:w="1185" w:type="dxa"/>
            <w:vAlign w:val="center"/>
          </w:tcPr>
          <w:p w14:paraId="1B380D3E">
            <w:pPr>
              <w:spacing w:line="360" w:lineRule="auto"/>
              <w:jc w:val="center"/>
              <w:rPr>
                <w:rFonts w:ascii="宋体" w:hAnsi="宋体"/>
                <w:color w:val="auto"/>
                <w:szCs w:val="21"/>
                <w:highlight w:val="none"/>
              </w:rPr>
            </w:pPr>
          </w:p>
        </w:tc>
        <w:tc>
          <w:tcPr>
            <w:tcW w:w="1185" w:type="dxa"/>
            <w:vAlign w:val="center"/>
          </w:tcPr>
          <w:p w14:paraId="26C5A890">
            <w:pPr>
              <w:spacing w:line="360" w:lineRule="auto"/>
              <w:jc w:val="center"/>
              <w:rPr>
                <w:rFonts w:ascii="宋体" w:hAnsi="宋体"/>
                <w:color w:val="auto"/>
                <w:szCs w:val="21"/>
                <w:highlight w:val="none"/>
              </w:rPr>
            </w:pPr>
          </w:p>
        </w:tc>
        <w:tc>
          <w:tcPr>
            <w:tcW w:w="1186" w:type="dxa"/>
            <w:vAlign w:val="center"/>
          </w:tcPr>
          <w:p w14:paraId="27BD18DD">
            <w:pPr>
              <w:spacing w:line="360" w:lineRule="auto"/>
              <w:jc w:val="center"/>
              <w:rPr>
                <w:rFonts w:ascii="宋体" w:hAnsi="宋体"/>
                <w:color w:val="auto"/>
                <w:szCs w:val="21"/>
                <w:highlight w:val="none"/>
              </w:rPr>
            </w:pPr>
          </w:p>
        </w:tc>
      </w:tr>
      <w:tr w14:paraId="3CCF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615D559A">
            <w:pPr>
              <w:spacing w:line="360" w:lineRule="auto"/>
              <w:jc w:val="center"/>
              <w:rPr>
                <w:rFonts w:ascii="宋体" w:hAnsi="宋体"/>
                <w:color w:val="auto"/>
                <w:szCs w:val="21"/>
                <w:highlight w:val="none"/>
              </w:rPr>
            </w:pPr>
          </w:p>
        </w:tc>
        <w:tc>
          <w:tcPr>
            <w:tcW w:w="1185" w:type="dxa"/>
            <w:vAlign w:val="center"/>
          </w:tcPr>
          <w:p w14:paraId="21560239">
            <w:pPr>
              <w:spacing w:line="360" w:lineRule="auto"/>
              <w:jc w:val="center"/>
              <w:rPr>
                <w:rFonts w:ascii="宋体" w:hAnsi="宋体"/>
                <w:color w:val="auto"/>
                <w:szCs w:val="21"/>
                <w:highlight w:val="none"/>
              </w:rPr>
            </w:pPr>
          </w:p>
        </w:tc>
        <w:tc>
          <w:tcPr>
            <w:tcW w:w="1185" w:type="dxa"/>
            <w:vAlign w:val="center"/>
          </w:tcPr>
          <w:p w14:paraId="72483C3E">
            <w:pPr>
              <w:spacing w:line="360" w:lineRule="auto"/>
              <w:jc w:val="center"/>
              <w:rPr>
                <w:rFonts w:ascii="宋体" w:hAnsi="宋体"/>
                <w:color w:val="auto"/>
                <w:szCs w:val="21"/>
                <w:highlight w:val="none"/>
              </w:rPr>
            </w:pPr>
          </w:p>
        </w:tc>
        <w:tc>
          <w:tcPr>
            <w:tcW w:w="1185" w:type="dxa"/>
            <w:vAlign w:val="center"/>
          </w:tcPr>
          <w:p w14:paraId="4B464523">
            <w:pPr>
              <w:spacing w:line="360" w:lineRule="auto"/>
              <w:jc w:val="center"/>
              <w:rPr>
                <w:rFonts w:ascii="宋体" w:hAnsi="宋体"/>
                <w:color w:val="auto"/>
                <w:szCs w:val="21"/>
                <w:highlight w:val="none"/>
              </w:rPr>
            </w:pPr>
          </w:p>
        </w:tc>
        <w:tc>
          <w:tcPr>
            <w:tcW w:w="1185" w:type="dxa"/>
            <w:vAlign w:val="center"/>
          </w:tcPr>
          <w:p w14:paraId="7CAE9BA6">
            <w:pPr>
              <w:spacing w:line="360" w:lineRule="auto"/>
              <w:jc w:val="center"/>
              <w:rPr>
                <w:rFonts w:ascii="宋体" w:hAnsi="宋体"/>
                <w:color w:val="auto"/>
                <w:szCs w:val="21"/>
                <w:highlight w:val="none"/>
              </w:rPr>
            </w:pPr>
          </w:p>
        </w:tc>
        <w:tc>
          <w:tcPr>
            <w:tcW w:w="1185" w:type="dxa"/>
            <w:vAlign w:val="center"/>
          </w:tcPr>
          <w:p w14:paraId="1B51CE1A">
            <w:pPr>
              <w:spacing w:line="360" w:lineRule="auto"/>
              <w:jc w:val="center"/>
              <w:rPr>
                <w:rFonts w:ascii="宋体" w:hAnsi="宋体"/>
                <w:color w:val="auto"/>
                <w:szCs w:val="21"/>
                <w:highlight w:val="none"/>
              </w:rPr>
            </w:pPr>
          </w:p>
        </w:tc>
        <w:tc>
          <w:tcPr>
            <w:tcW w:w="1186" w:type="dxa"/>
            <w:vAlign w:val="center"/>
          </w:tcPr>
          <w:p w14:paraId="53B4A03E">
            <w:pPr>
              <w:spacing w:line="360" w:lineRule="auto"/>
              <w:jc w:val="center"/>
              <w:rPr>
                <w:rFonts w:ascii="宋体" w:hAnsi="宋体"/>
                <w:color w:val="auto"/>
                <w:szCs w:val="21"/>
                <w:highlight w:val="none"/>
              </w:rPr>
            </w:pPr>
          </w:p>
        </w:tc>
      </w:tr>
      <w:tr w14:paraId="0AFE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5F3082A0">
            <w:pPr>
              <w:spacing w:line="360" w:lineRule="auto"/>
              <w:jc w:val="center"/>
              <w:rPr>
                <w:rFonts w:ascii="宋体" w:hAnsi="宋体"/>
                <w:color w:val="auto"/>
                <w:szCs w:val="21"/>
                <w:highlight w:val="none"/>
              </w:rPr>
            </w:pPr>
          </w:p>
        </w:tc>
        <w:tc>
          <w:tcPr>
            <w:tcW w:w="1185" w:type="dxa"/>
            <w:vAlign w:val="center"/>
          </w:tcPr>
          <w:p w14:paraId="36A0A6A6">
            <w:pPr>
              <w:spacing w:line="360" w:lineRule="auto"/>
              <w:jc w:val="center"/>
              <w:rPr>
                <w:rFonts w:ascii="宋体" w:hAnsi="宋体"/>
                <w:color w:val="auto"/>
                <w:szCs w:val="21"/>
                <w:highlight w:val="none"/>
              </w:rPr>
            </w:pPr>
          </w:p>
        </w:tc>
        <w:tc>
          <w:tcPr>
            <w:tcW w:w="1185" w:type="dxa"/>
            <w:vAlign w:val="center"/>
          </w:tcPr>
          <w:p w14:paraId="27549853">
            <w:pPr>
              <w:spacing w:line="360" w:lineRule="auto"/>
              <w:jc w:val="center"/>
              <w:rPr>
                <w:rFonts w:ascii="宋体" w:hAnsi="宋体"/>
                <w:color w:val="auto"/>
                <w:szCs w:val="21"/>
                <w:highlight w:val="none"/>
              </w:rPr>
            </w:pPr>
          </w:p>
        </w:tc>
        <w:tc>
          <w:tcPr>
            <w:tcW w:w="1185" w:type="dxa"/>
            <w:vAlign w:val="center"/>
          </w:tcPr>
          <w:p w14:paraId="29D197E3">
            <w:pPr>
              <w:spacing w:line="360" w:lineRule="auto"/>
              <w:jc w:val="center"/>
              <w:rPr>
                <w:rFonts w:ascii="宋体" w:hAnsi="宋体"/>
                <w:color w:val="auto"/>
                <w:szCs w:val="21"/>
                <w:highlight w:val="none"/>
              </w:rPr>
            </w:pPr>
          </w:p>
        </w:tc>
        <w:tc>
          <w:tcPr>
            <w:tcW w:w="1185" w:type="dxa"/>
            <w:vAlign w:val="center"/>
          </w:tcPr>
          <w:p w14:paraId="6B0DA4DF">
            <w:pPr>
              <w:spacing w:line="360" w:lineRule="auto"/>
              <w:jc w:val="center"/>
              <w:rPr>
                <w:rFonts w:ascii="宋体" w:hAnsi="宋体"/>
                <w:color w:val="auto"/>
                <w:szCs w:val="21"/>
                <w:highlight w:val="none"/>
              </w:rPr>
            </w:pPr>
          </w:p>
        </w:tc>
        <w:tc>
          <w:tcPr>
            <w:tcW w:w="1185" w:type="dxa"/>
            <w:vAlign w:val="center"/>
          </w:tcPr>
          <w:p w14:paraId="57611676">
            <w:pPr>
              <w:spacing w:line="360" w:lineRule="auto"/>
              <w:jc w:val="center"/>
              <w:rPr>
                <w:rFonts w:ascii="宋体" w:hAnsi="宋体"/>
                <w:color w:val="auto"/>
                <w:szCs w:val="21"/>
                <w:highlight w:val="none"/>
              </w:rPr>
            </w:pPr>
          </w:p>
        </w:tc>
        <w:tc>
          <w:tcPr>
            <w:tcW w:w="1186" w:type="dxa"/>
            <w:vAlign w:val="center"/>
          </w:tcPr>
          <w:p w14:paraId="335E577A">
            <w:pPr>
              <w:spacing w:line="360" w:lineRule="auto"/>
              <w:jc w:val="center"/>
              <w:rPr>
                <w:rFonts w:ascii="宋体" w:hAnsi="宋体"/>
                <w:color w:val="auto"/>
                <w:szCs w:val="21"/>
                <w:highlight w:val="none"/>
              </w:rPr>
            </w:pPr>
          </w:p>
        </w:tc>
      </w:tr>
      <w:tr w14:paraId="6397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7C68C44C">
            <w:pPr>
              <w:spacing w:line="360" w:lineRule="auto"/>
              <w:jc w:val="center"/>
              <w:rPr>
                <w:rFonts w:ascii="宋体" w:hAnsi="宋体"/>
                <w:color w:val="auto"/>
                <w:szCs w:val="21"/>
                <w:highlight w:val="none"/>
              </w:rPr>
            </w:pPr>
          </w:p>
        </w:tc>
        <w:tc>
          <w:tcPr>
            <w:tcW w:w="1185" w:type="dxa"/>
            <w:vAlign w:val="center"/>
          </w:tcPr>
          <w:p w14:paraId="3759A828">
            <w:pPr>
              <w:spacing w:line="360" w:lineRule="auto"/>
              <w:jc w:val="center"/>
              <w:rPr>
                <w:rFonts w:ascii="宋体" w:hAnsi="宋体"/>
                <w:color w:val="auto"/>
                <w:szCs w:val="21"/>
                <w:highlight w:val="none"/>
              </w:rPr>
            </w:pPr>
          </w:p>
        </w:tc>
        <w:tc>
          <w:tcPr>
            <w:tcW w:w="1185" w:type="dxa"/>
            <w:vAlign w:val="center"/>
          </w:tcPr>
          <w:p w14:paraId="227EFCFC">
            <w:pPr>
              <w:spacing w:line="360" w:lineRule="auto"/>
              <w:jc w:val="center"/>
              <w:rPr>
                <w:rFonts w:ascii="宋体" w:hAnsi="宋体"/>
                <w:color w:val="auto"/>
                <w:szCs w:val="21"/>
                <w:highlight w:val="none"/>
              </w:rPr>
            </w:pPr>
          </w:p>
        </w:tc>
        <w:tc>
          <w:tcPr>
            <w:tcW w:w="1185" w:type="dxa"/>
            <w:vAlign w:val="center"/>
          </w:tcPr>
          <w:p w14:paraId="6C3DF73E">
            <w:pPr>
              <w:spacing w:line="360" w:lineRule="auto"/>
              <w:jc w:val="center"/>
              <w:rPr>
                <w:rFonts w:ascii="宋体" w:hAnsi="宋体"/>
                <w:color w:val="auto"/>
                <w:szCs w:val="21"/>
                <w:highlight w:val="none"/>
              </w:rPr>
            </w:pPr>
          </w:p>
        </w:tc>
        <w:tc>
          <w:tcPr>
            <w:tcW w:w="1185" w:type="dxa"/>
            <w:vAlign w:val="center"/>
          </w:tcPr>
          <w:p w14:paraId="755CF888">
            <w:pPr>
              <w:spacing w:line="360" w:lineRule="auto"/>
              <w:jc w:val="center"/>
              <w:rPr>
                <w:rFonts w:ascii="宋体" w:hAnsi="宋体"/>
                <w:color w:val="auto"/>
                <w:szCs w:val="21"/>
                <w:highlight w:val="none"/>
              </w:rPr>
            </w:pPr>
          </w:p>
        </w:tc>
        <w:tc>
          <w:tcPr>
            <w:tcW w:w="1185" w:type="dxa"/>
            <w:vAlign w:val="center"/>
          </w:tcPr>
          <w:p w14:paraId="20A52543">
            <w:pPr>
              <w:spacing w:line="360" w:lineRule="auto"/>
              <w:jc w:val="center"/>
              <w:rPr>
                <w:rFonts w:ascii="宋体" w:hAnsi="宋体"/>
                <w:color w:val="auto"/>
                <w:szCs w:val="21"/>
                <w:highlight w:val="none"/>
              </w:rPr>
            </w:pPr>
          </w:p>
        </w:tc>
        <w:tc>
          <w:tcPr>
            <w:tcW w:w="1186" w:type="dxa"/>
            <w:vAlign w:val="center"/>
          </w:tcPr>
          <w:p w14:paraId="73979C47">
            <w:pPr>
              <w:spacing w:line="360" w:lineRule="auto"/>
              <w:jc w:val="center"/>
              <w:rPr>
                <w:rFonts w:ascii="宋体" w:hAnsi="宋体"/>
                <w:color w:val="auto"/>
                <w:szCs w:val="21"/>
                <w:highlight w:val="none"/>
              </w:rPr>
            </w:pPr>
          </w:p>
        </w:tc>
      </w:tr>
      <w:tr w14:paraId="2505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4FD1D940">
            <w:pPr>
              <w:spacing w:line="360" w:lineRule="auto"/>
              <w:jc w:val="center"/>
              <w:rPr>
                <w:rFonts w:ascii="宋体" w:hAnsi="宋体"/>
                <w:color w:val="auto"/>
                <w:szCs w:val="21"/>
                <w:highlight w:val="none"/>
              </w:rPr>
            </w:pPr>
          </w:p>
        </w:tc>
        <w:tc>
          <w:tcPr>
            <w:tcW w:w="1185" w:type="dxa"/>
            <w:vAlign w:val="center"/>
          </w:tcPr>
          <w:p w14:paraId="069263A6">
            <w:pPr>
              <w:spacing w:line="360" w:lineRule="auto"/>
              <w:jc w:val="center"/>
              <w:rPr>
                <w:rFonts w:ascii="宋体" w:hAnsi="宋体"/>
                <w:color w:val="auto"/>
                <w:szCs w:val="21"/>
                <w:highlight w:val="none"/>
              </w:rPr>
            </w:pPr>
          </w:p>
        </w:tc>
        <w:tc>
          <w:tcPr>
            <w:tcW w:w="1185" w:type="dxa"/>
            <w:vAlign w:val="center"/>
          </w:tcPr>
          <w:p w14:paraId="2FD68750">
            <w:pPr>
              <w:spacing w:line="360" w:lineRule="auto"/>
              <w:jc w:val="center"/>
              <w:rPr>
                <w:rFonts w:ascii="宋体" w:hAnsi="宋体"/>
                <w:color w:val="auto"/>
                <w:szCs w:val="21"/>
                <w:highlight w:val="none"/>
              </w:rPr>
            </w:pPr>
          </w:p>
        </w:tc>
        <w:tc>
          <w:tcPr>
            <w:tcW w:w="1185" w:type="dxa"/>
            <w:vAlign w:val="center"/>
          </w:tcPr>
          <w:p w14:paraId="3E531959">
            <w:pPr>
              <w:spacing w:line="360" w:lineRule="auto"/>
              <w:jc w:val="center"/>
              <w:rPr>
                <w:rFonts w:ascii="宋体" w:hAnsi="宋体"/>
                <w:color w:val="auto"/>
                <w:szCs w:val="21"/>
                <w:highlight w:val="none"/>
              </w:rPr>
            </w:pPr>
          </w:p>
        </w:tc>
        <w:tc>
          <w:tcPr>
            <w:tcW w:w="1185" w:type="dxa"/>
            <w:vAlign w:val="center"/>
          </w:tcPr>
          <w:p w14:paraId="4B96FA83">
            <w:pPr>
              <w:spacing w:line="360" w:lineRule="auto"/>
              <w:jc w:val="center"/>
              <w:rPr>
                <w:rFonts w:ascii="宋体" w:hAnsi="宋体"/>
                <w:color w:val="auto"/>
                <w:szCs w:val="21"/>
                <w:highlight w:val="none"/>
              </w:rPr>
            </w:pPr>
          </w:p>
        </w:tc>
        <w:tc>
          <w:tcPr>
            <w:tcW w:w="1185" w:type="dxa"/>
            <w:vAlign w:val="center"/>
          </w:tcPr>
          <w:p w14:paraId="2D08D11E">
            <w:pPr>
              <w:spacing w:line="360" w:lineRule="auto"/>
              <w:jc w:val="center"/>
              <w:rPr>
                <w:rFonts w:ascii="宋体" w:hAnsi="宋体"/>
                <w:color w:val="auto"/>
                <w:szCs w:val="21"/>
                <w:highlight w:val="none"/>
              </w:rPr>
            </w:pPr>
          </w:p>
        </w:tc>
        <w:tc>
          <w:tcPr>
            <w:tcW w:w="1186" w:type="dxa"/>
            <w:vAlign w:val="center"/>
          </w:tcPr>
          <w:p w14:paraId="0D715A05">
            <w:pPr>
              <w:spacing w:line="360" w:lineRule="auto"/>
              <w:jc w:val="center"/>
              <w:rPr>
                <w:rFonts w:ascii="宋体" w:hAnsi="宋体"/>
                <w:color w:val="auto"/>
                <w:szCs w:val="21"/>
                <w:highlight w:val="none"/>
              </w:rPr>
            </w:pPr>
          </w:p>
        </w:tc>
      </w:tr>
      <w:tr w14:paraId="03EC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5C2564D0">
            <w:pPr>
              <w:spacing w:line="360" w:lineRule="auto"/>
              <w:jc w:val="center"/>
              <w:rPr>
                <w:rFonts w:ascii="宋体" w:hAnsi="宋体"/>
                <w:color w:val="auto"/>
                <w:szCs w:val="21"/>
                <w:highlight w:val="none"/>
              </w:rPr>
            </w:pPr>
          </w:p>
        </w:tc>
        <w:tc>
          <w:tcPr>
            <w:tcW w:w="1185" w:type="dxa"/>
            <w:vAlign w:val="center"/>
          </w:tcPr>
          <w:p w14:paraId="4524628D">
            <w:pPr>
              <w:spacing w:line="360" w:lineRule="auto"/>
              <w:jc w:val="center"/>
              <w:rPr>
                <w:rFonts w:ascii="宋体" w:hAnsi="宋体"/>
                <w:color w:val="auto"/>
                <w:szCs w:val="21"/>
                <w:highlight w:val="none"/>
              </w:rPr>
            </w:pPr>
          </w:p>
        </w:tc>
        <w:tc>
          <w:tcPr>
            <w:tcW w:w="1185" w:type="dxa"/>
            <w:vAlign w:val="center"/>
          </w:tcPr>
          <w:p w14:paraId="02D49289">
            <w:pPr>
              <w:spacing w:line="360" w:lineRule="auto"/>
              <w:jc w:val="center"/>
              <w:rPr>
                <w:rFonts w:ascii="宋体" w:hAnsi="宋体"/>
                <w:color w:val="auto"/>
                <w:szCs w:val="21"/>
                <w:highlight w:val="none"/>
              </w:rPr>
            </w:pPr>
          </w:p>
        </w:tc>
        <w:tc>
          <w:tcPr>
            <w:tcW w:w="1185" w:type="dxa"/>
            <w:vAlign w:val="center"/>
          </w:tcPr>
          <w:p w14:paraId="6211C364">
            <w:pPr>
              <w:spacing w:line="360" w:lineRule="auto"/>
              <w:jc w:val="center"/>
              <w:rPr>
                <w:rFonts w:ascii="宋体" w:hAnsi="宋体"/>
                <w:color w:val="auto"/>
                <w:szCs w:val="21"/>
                <w:highlight w:val="none"/>
              </w:rPr>
            </w:pPr>
          </w:p>
        </w:tc>
        <w:tc>
          <w:tcPr>
            <w:tcW w:w="1185" w:type="dxa"/>
            <w:vAlign w:val="center"/>
          </w:tcPr>
          <w:p w14:paraId="5B3714EE">
            <w:pPr>
              <w:spacing w:line="360" w:lineRule="auto"/>
              <w:jc w:val="center"/>
              <w:rPr>
                <w:rFonts w:ascii="宋体" w:hAnsi="宋体"/>
                <w:color w:val="auto"/>
                <w:szCs w:val="21"/>
                <w:highlight w:val="none"/>
              </w:rPr>
            </w:pPr>
          </w:p>
        </w:tc>
        <w:tc>
          <w:tcPr>
            <w:tcW w:w="1185" w:type="dxa"/>
            <w:vAlign w:val="center"/>
          </w:tcPr>
          <w:p w14:paraId="685F17A4">
            <w:pPr>
              <w:spacing w:line="360" w:lineRule="auto"/>
              <w:jc w:val="center"/>
              <w:rPr>
                <w:rFonts w:ascii="宋体" w:hAnsi="宋体"/>
                <w:color w:val="auto"/>
                <w:szCs w:val="21"/>
                <w:highlight w:val="none"/>
              </w:rPr>
            </w:pPr>
          </w:p>
        </w:tc>
        <w:tc>
          <w:tcPr>
            <w:tcW w:w="1186" w:type="dxa"/>
            <w:vAlign w:val="center"/>
          </w:tcPr>
          <w:p w14:paraId="71F5F581">
            <w:pPr>
              <w:spacing w:line="360" w:lineRule="auto"/>
              <w:jc w:val="center"/>
              <w:rPr>
                <w:rFonts w:ascii="宋体" w:hAnsi="宋体"/>
                <w:color w:val="auto"/>
                <w:szCs w:val="21"/>
                <w:highlight w:val="none"/>
              </w:rPr>
            </w:pPr>
          </w:p>
        </w:tc>
      </w:tr>
    </w:tbl>
    <w:p w14:paraId="0DA94FBD">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法定代表人或者委托代理人（签字）：</w:t>
      </w:r>
    </w:p>
    <w:p w14:paraId="61029FE0">
      <w:pPr>
        <w:spacing w:line="360" w:lineRule="auto"/>
        <w:ind w:right="1575" w:rightChars="750"/>
        <w:jc w:val="right"/>
        <w:rPr>
          <w:rFonts w:ascii="宋体" w:hAnsi="宋体"/>
          <w:color w:val="auto"/>
          <w:szCs w:val="21"/>
          <w:highlight w:val="none"/>
        </w:rPr>
      </w:pPr>
      <w:r>
        <w:rPr>
          <w:rFonts w:hint="eastAsia" w:ascii="宋体" w:hAnsi="宋体"/>
          <w:color w:val="auto"/>
          <w:szCs w:val="21"/>
          <w:highlight w:val="none"/>
        </w:rPr>
        <w:t>供应商名称（电子签章）：</w:t>
      </w:r>
    </w:p>
    <w:p w14:paraId="2A7FCAA2">
      <w:pPr>
        <w:spacing w:line="360" w:lineRule="auto"/>
        <w:jc w:val="right"/>
        <w:rPr>
          <w:rFonts w:ascii="宋体" w:hAnsi="宋体"/>
          <w:color w:val="auto"/>
          <w:szCs w:val="21"/>
          <w:highlight w:val="none"/>
        </w:rPr>
      </w:pPr>
      <w:r>
        <w:rPr>
          <w:rFonts w:hint="eastAsia" w:ascii="宋体" w:hAnsi="宋体"/>
          <w:color w:val="auto"/>
          <w:szCs w:val="21"/>
          <w:highlight w:val="none"/>
        </w:rPr>
        <w:t>日期：</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年</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月</w:t>
      </w:r>
      <w:r>
        <w:rPr>
          <w:rFonts w:ascii="Times New Roman" w:hAnsi="Times New Roman" w:cs="Times New Roman"/>
          <w:color w:val="auto"/>
          <w:szCs w:val="21"/>
          <w:highlight w:val="none"/>
          <w:u w:val="single"/>
        </w:rPr>
        <w:t xml:space="preserve">   </w:t>
      </w:r>
      <w:r>
        <w:rPr>
          <w:rFonts w:hint="eastAsia" w:ascii="宋体" w:hAnsi="宋体"/>
          <w:color w:val="auto"/>
          <w:szCs w:val="21"/>
          <w:highlight w:val="none"/>
        </w:rPr>
        <w:t>日</w:t>
      </w:r>
    </w:p>
    <w:p w14:paraId="54C1E191">
      <w:pPr>
        <w:spacing w:line="360" w:lineRule="auto"/>
        <w:ind w:firstLine="420" w:firstLineChars="200"/>
        <w:rPr>
          <w:rFonts w:ascii="宋体" w:hAnsi="宋体"/>
          <w:color w:val="auto"/>
          <w:szCs w:val="21"/>
          <w:highlight w:val="none"/>
        </w:rPr>
      </w:pPr>
    </w:p>
    <w:p w14:paraId="0BBF916E">
      <w:pPr>
        <w:spacing w:line="360" w:lineRule="auto"/>
        <w:ind w:firstLine="420" w:firstLineChars="200"/>
        <w:rPr>
          <w:rFonts w:ascii="宋体" w:hAnsi="宋体"/>
          <w:color w:val="auto"/>
          <w:szCs w:val="21"/>
          <w:highlight w:val="none"/>
        </w:rPr>
      </w:pPr>
    </w:p>
    <w:p w14:paraId="5BA7141D">
      <w:pPr>
        <w:spacing w:line="360" w:lineRule="auto"/>
        <w:jc w:val="center"/>
        <w:rPr>
          <w:rFonts w:ascii="宋体" w:hAnsi="宋体" w:cs="Times New Roman"/>
          <w:b/>
          <w:color w:val="auto"/>
          <w:sz w:val="32"/>
          <w:szCs w:val="32"/>
          <w:highlight w:val="none"/>
        </w:rPr>
      </w:pPr>
      <w:r>
        <w:rPr>
          <w:rFonts w:hint="eastAsia" w:ascii="宋体" w:hAnsi="宋体" w:cs="Times New Roman"/>
          <w:b/>
          <w:color w:val="auto"/>
          <w:sz w:val="32"/>
          <w:szCs w:val="32"/>
          <w:highlight w:val="none"/>
        </w:rPr>
        <w:t>11、供应商认为需要提供的其他有关资料</w:t>
      </w:r>
    </w:p>
    <w:p w14:paraId="4F4B7123">
      <w:pPr>
        <w:rPr>
          <w:rFonts w:ascii="宋体" w:hAnsi="宋体"/>
          <w:color w:val="auto"/>
          <w:szCs w:val="21"/>
          <w:highlight w:val="none"/>
        </w:rPr>
      </w:pPr>
      <w:r>
        <w:rPr>
          <w:rFonts w:ascii="宋体" w:hAnsi="宋体"/>
          <w:color w:val="auto"/>
          <w:szCs w:val="21"/>
          <w:highlight w:val="none"/>
        </w:rPr>
        <w:br w:type="page"/>
      </w:r>
    </w:p>
    <w:p w14:paraId="5C7F2BC8">
      <w:pPr>
        <w:spacing w:line="360" w:lineRule="auto"/>
        <w:ind w:firstLine="420" w:firstLineChars="200"/>
        <w:rPr>
          <w:rFonts w:ascii="宋体" w:hAnsi="宋体"/>
          <w:color w:val="auto"/>
          <w:szCs w:val="21"/>
          <w:highlight w:val="none"/>
        </w:rPr>
        <w:sectPr>
          <w:pgSz w:w="11906" w:h="16838"/>
          <w:pgMar w:top="1440" w:right="1080" w:bottom="1440" w:left="1080" w:header="851" w:footer="992" w:gutter="0"/>
          <w:cols w:space="425" w:num="1"/>
          <w:docGrid w:type="lines" w:linePitch="312" w:charSpace="0"/>
        </w:sectPr>
      </w:pPr>
    </w:p>
    <w:p w14:paraId="13D42AA5">
      <w:pPr>
        <w:pStyle w:val="2"/>
        <w:jc w:val="center"/>
        <w:rPr>
          <w:color w:val="auto"/>
          <w:highlight w:val="none"/>
        </w:rPr>
      </w:pPr>
      <w:bookmarkStart w:id="39" w:name="_Toc22994"/>
      <w:bookmarkStart w:id="40" w:name="_Toc24334"/>
      <w:r>
        <w:rPr>
          <w:rFonts w:hint="eastAsia"/>
          <w:color w:val="auto"/>
          <w:highlight w:val="none"/>
        </w:rPr>
        <w:t>第六</w:t>
      </w:r>
      <w:r>
        <w:rPr>
          <w:rFonts w:hint="eastAsia" w:ascii="宋体" w:hAnsi="宋体"/>
          <w:color w:val="auto"/>
          <w:spacing w:val="100"/>
          <w:highlight w:val="none"/>
        </w:rPr>
        <w:t>章</w:t>
      </w:r>
      <w:r>
        <w:rPr>
          <w:rFonts w:hint="eastAsia"/>
          <w:color w:val="auto"/>
          <w:highlight w:val="none"/>
        </w:rPr>
        <w:t>合同文本</w:t>
      </w:r>
      <w:bookmarkEnd w:id="39"/>
      <w:bookmarkEnd w:id="40"/>
    </w:p>
    <w:p w14:paraId="73D67E74">
      <w:pPr>
        <w:rPr>
          <w:rFonts w:eastAsia="仿宋_GB2312"/>
          <w:bCs/>
          <w:color w:val="auto"/>
          <w:sz w:val="32"/>
          <w:szCs w:val="32"/>
          <w:highlight w:val="none"/>
        </w:rPr>
      </w:pPr>
      <w:r>
        <w:rPr>
          <w:rFonts w:eastAsia="仿宋_GB2312"/>
          <w:bCs/>
          <w:color w:val="auto"/>
          <w:sz w:val="32"/>
          <w:szCs w:val="32"/>
          <w:highlight w:val="none"/>
        </w:rPr>
        <w:t>（GF—201</w:t>
      </w:r>
      <w:r>
        <w:rPr>
          <w:rFonts w:hint="eastAsia" w:eastAsia="仿宋_GB2312"/>
          <w:bCs/>
          <w:color w:val="auto"/>
          <w:sz w:val="32"/>
          <w:szCs w:val="32"/>
          <w:highlight w:val="none"/>
        </w:rPr>
        <w:t>7</w:t>
      </w:r>
      <w:r>
        <w:rPr>
          <w:rFonts w:eastAsia="仿宋_GB2312"/>
          <w:bCs/>
          <w:color w:val="auto"/>
          <w:sz w:val="32"/>
          <w:szCs w:val="32"/>
          <w:highlight w:val="none"/>
        </w:rPr>
        <w:t>—</w:t>
      </w:r>
      <w:r>
        <w:rPr>
          <w:rFonts w:hint="eastAsia" w:eastAsia="仿宋_GB2312"/>
          <w:bCs/>
          <w:color w:val="auto"/>
          <w:sz w:val="32"/>
          <w:szCs w:val="32"/>
          <w:highlight w:val="none"/>
        </w:rPr>
        <w:t>0201）</w:t>
      </w:r>
    </w:p>
    <w:p w14:paraId="7666F13F">
      <w:pPr>
        <w:rPr>
          <w:rFonts w:eastAsia="仿宋_GB2312"/>
          <w:bCs/>
          <w:color w:val="auto"/>
          <w:sz w:val="32"/>
          <w:szCs w:val="32"/>
          <w:highlight w:val="none"/>
        </w:rPr>
      </w:pPr>
    </w:p>
    <w:p w14:paraId="6BFD9F26">
      <w:pPr>
        <w:rPr>
          <w:rFonts w:eastAsia="仿宋_GB2312"/>
          <w:bCs/>
          <w:color w:val="auto"/>
          <w:sz w:val="32"/>
          <w:szCs w:val="32"/>
          <w:highlight w:val="none"/>
        </w:rPr>
      </w:pPr>
    </w:p>
    <w:p w14:paraId="2451BB3D">
      <w:pPr>
        <w:rPr>
          <w:rFonts w:eastAsia="仿宋_GB2312"/>
          <w:bCs/>
          <w:color w:val="auto"/>
          <w:sz w:val="32"/>
          <w:szCs w:val="32"/>
          <w:highlight w:val="none"/>
        </w:rPr>
      </w:pPr>
    </w:p>
    <w:p w14:paraId="3F82C5C3">
      <w:pPr>
        <w:jc w:val="center"/>
        <w:rPr>
          <w:rFonts w:eastAsia="华文中宋"/>
          <w:b/>
          <w:color w:val="auto"/>
          <w:sz w:val="72"/>
          <w:szCs w:val="52"/>
          <w:highlight w:val="none"/>
        </w:rPr>
      </w:pPr>
      <w:r>
        <w:rPr>
          <w:rFonts w:eastAsia="华文中宋"/>
          <w:b/>
          <w:color w:val="auto"/>
          <w:sz w:val="72"/>
          <w:szCs w:val="52"/>
          <w:highlight w:val="none"/>
        </w:rPr>
        <w:t>建设工程施工合同</w:t>
      </w:r>
    </w:p>
    <w:p w14:paraId="2A6DC47A">
      <w:pPr>
        <w:jc w:val="center"/>
        <w:rPr>
          <w:rFonts w:eastAsia="华文中宋"/>
          <w:b/>
          <w:color w:val="auto"/>
          <w:sz w:val="52"/>
          <w:szCs w:val="52"/>
          <w:highlight w:val="none"/>
        </w:rPr>
      </w:pPr>
      <w:r>
        <w:rPr>
          <w:rFonts w:eastAsia="华文中宋"/>
          <w:b/>
          <w:color w:val="auto"/>
          <w:sz w:val="52"/>
          <w:szCs w:val="52"/>
          <w:highlight w:val="none"/>
        </w:rPr>
        <w:t>（示范文本）</w:t>
      </w:r>
    </w:p>
    <w:p w14:paraId="46AD6E07">
      <w:pPr>
        <w:jc w:val="center"/>
        <w:rPr>
          <w:rFonts w:eastAsia="华文中宋"/>
          <w:b/>
          <w:color w:val="auto"/>
          <w:sz w:val="52"/>
          <w:szCs w:val="52"/>
          <w:highlight w:val="none"/>
        </w:rPr>
      </w:pPr>
    </w:p>
    <w:p w14:paraId="1532C487">
      <w:pPr>
        <w:jc w:val="center"/>
        <w:rPr>
          <w:rFonts w:eastAsia="黑体"/>
          <w:b/>
          <w:color w:val="auto"/>
          <w:sz w:val="72"/>
          <w:szCs w:val="72"/>
          <w:highlight w:val="none"/>
        </w:rPr>
      </w:pPr>
    </w:p>
    <w:p w14:paraId="6BBF3E23">
      <w:pPr>
        <w:jc w:val="center"/>
        <w:rPr>
          <w:rFonts w:eastAsia="楷体_GB2312"/>
          <w:b/>
          <w:color w:val="auto"/>
          <w:sz w:val="72"/>
          <w:szCs w:val="72"/>
          <w:highlight w:val="none"/>
        </w:rPr>
      </w:pPr>
    </w:p>
    <w:p w14:paraId="502D6DEC">
      <w:pPr>
        <w:jc w:val="center"/>
        <w:rPr>
          <w:rFonts w:eastAsia="黑体"/>
          <w:b/>
          <w:color w:val="auto"/>
          <w:sz w:val="52"/>
          <w:szCs w:val="52"/>
          <w:highlight w:val="none"/>
        </w:rPr>
      </w:pPr>
    </w:p>
    <w:p w14:paraId="4E49FC18">
      <w:pPr>
        <w:rPr>
          <w:b/>
          <w:color w:val="auto"/>
          <w:sz w:val="28"/>
          <w:szCs w:val="28"/>
          <w:highlight w:val="none"/>
        </w:rPr>
      </w:pPr>
    </w:p>
    <w:p w14:paraId="51F33F59">
      <w:pPr>
        <w:rPr>
          <w:b/>
          <w:color w:val="auto"/>
          <w:sz w:val="28"/>
          <w:szCs w:val="28"/>
          <w:highlight w:val="none"/>
        </w:rPr>
      </w:pPr>
    </w:p>
    <w:p w14:paraId="2BD2ACEC">
      <w:pPr>
        <w:ind w:right="2719" w:rightChars="1295"/>
        <w:jc w:val="distribute"/>
        <w:rPr>
          <w:b/>
          <w:color w:val="auto"/>
          <w:sz w:val="32"/>
          <w:szCs w:val="28"/>
          <w:highlight w:val="none"/>
        </w:rPr>
      </w:pPr>
    </w:p>
    <w:p w14:paraId="26B4D98C">
      <w:pPr>
        <w:ind w:right="2719" w:rightChars="1295"/>
        <w:jc w:val="center"/>
        <w:rPr>
          <w:b/>
          <w:color w:val="auto"/>
          <w:sz w:val="32"/>
          <w:szCs w:val="28"/>
          <w:highlight w:val="none"/>
        </w:rPr>
      </w:pPr>
      <w:r>
        <w:rPr>
          <w:rFonts w:cs="黑体"/>
          <w:color w:val="auto"/>
          <w:highlight w:val="none"/>
        </w:rPr>
        <mc:AlternateContent>
          <mc:Choice Requires="wps">
            <w:drawing>
              <wp:anchor distT="0" distB="0" distL="0" distR="0" simplePos="0" relativeHeight="251659264" behindDoc="0" locked="0" layoutInCell="1" allowOverlap="1">
                <wp:simplePos x="0" y="0"/>
                <wp:positionH relativeFrom="column">
                  <wp:posOffset>4198620</wp:posOffset>
                </wp:positionH>
                <wp:positionV relativeFrom="paragraph">
                  <wp:posOffset>24765</wp:posOffset>
                </wp:positionV>
                <wp:extent cx="723900" cy="457200"/>
                <wp:effectExtent l="4445" t="4445" r="18415" b="10795"/>
                <wp:wrapNone/>
                <wp:docPr id="2" name="矩形 9"/>
                <wp:cNvGraphicFramePr/>
                <a:graphic xmlns:a="http://schemas.openxmlformats.org/drawingml/2006/main">
                  <a:graphicData uri="http://schemas.microsoft.com/office/word/2010/wordprocessingShape">
                    <wps:wsp>
                      <wps:cNvSpPr/>
                      <wps:spPr>
                        <a:xfrm>
                          <a:off x="0" y="0"/>
                          <a:ext cx="723900" cy="457200"/>
                        </a:xfrm>
                        <a:prstGeom prst="rect">
                          <a:avLst/>
                        </a:prstGeom>
                        <a:ln w="9525" cap="flat" cmpd="sng">
                          <a:solidFill>
                            <a:srgbClr val="FFFFFF"/>
                          </a:solidFill>
                          <a:prstDash val="solid"/>
                          <a:miter/>
                          <a:headEnd type="none" w="med" len="med"/>
                          <a:tailEnd type="none" w="med" len="med"/>
                        </a:ln>
                      </wps:spPr>
                      <wps:txbx>
                        <w:txbxContent>
                          <w:p w14:paraId="1A7A9F8A">
                            <w:pPr>
                              <w:rPr>
                                <w:b/>
                                <w:bCs/>
                                <w:sz w:val="32"/>
                              </w:rPr>
                            </w:pPr>
                            <w:r>
                              <w:rPr>
                                <w:rFonts w:hint="eastAsia"/>
                                <w:b/>
                                <w:bCs/>
                                <w:sz w:val="32"/>
                              </w:rPr>
                              <w:t>制定</w:t>
                            </w:r>
                          </w:p>
                        </w:txbxContent>
                      </wps:txbx>
                      <wps:bodyPr upright="1"/>
                    </wps:wsp>
                  </a:graphicData>
                </a:graphic>
              </wp:anchor>
            </w:drawing>
          </mc:Choice>
          <mc:Fallback>
            <w:pict>
              <v:rect id="矩形 9" o:spid="_x0000_s1026" o:spt="1" style="position:absolute;left:0pt;margin-left:330.6pt;margin-top:1.95pt;height:36pt;width:57pt;z-index:251659264;mso-width-relative:page;mso-height-relative:page;" filled="f" stroked="t" coordsize="21600,21600" o:gfxdata="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xOAU2QAAAAgBAAAPAAAAAAAAAAEAIAAAACIAAABkcnMvZG93bnJldi54bWxQ&#10;SwECFAAUAAAACACHTuJAl+7ku/YBAAD0AwAADgAAAAAAAAABACAAAAAoAQAAZHJzL2Uyb0RvYy54&#10;bWxQSwUGAAAAAAYABgBZAQAAkAUAAAAA&#10;">
                <v:fill on="f" focussize="0,0"/>
                <v:stroke color="#FFFFFF" joinstyle="miter"/>
                <v:imagedata o:title=""/>
                <o:lock v:ext="edit" aspectratio="f"/>
                <v:textbox>
                  <w:txbxContent>
                    <w:p w14:paraId="1A7A9F8A">
                      <w:pPr>
                        <w:rPr>
                          <w:b/>
                          <w:bCs/>
                          <w:sz w:val="32"/>
                        </w:rPr>
                      </w:pPr>
                      <w:r>
                        <w:rPr>
                          <w:rFonts w:hint="eastAsia"/>
                          <w:b/>
                          <w:bCs/>
                          <w:sz w:val="32"/>
                        </w:rPr>
                        <w:t>制定</w:t>
                      </w:r>
                    </w:p>
                  </w:txbxContent>
                </v:textbox>
              </v:rect>
            </w:pict>
          </mc:Fallback>
        </mc:AlternateContent>
      </w:r>
      <w:r>
        <w:rPr>
          <w:rFonts w:hint="eastAsia"/>
          <w:b/>
          <w:color w:val="auto"/>
          <w:sz w:val="32"/>
          <w:szCs w:val="28"/>
          <w:highlight w:val="none"/>
        </w:rPr>
        <w:t xml:space="preserve">            </w:t>
      </w:r>
      <w:r>
        <w:rPr>
          <w:b/>
          <w:color w:val="auto"/>
          <w:sz w:val="32"/>
          <w:szCs w:val="28"/>
          <w:highlight w:val="none"/>
        </w:rPr>
        <w:t>住房城乡建设部</w:t>
      </w:r>
    </w:p>
    <w:p w14:paraId="0214BF7E">
      <w:pPr>
        <w:ind w:right="2719" w:rightChars="1295"/>
        <w:jc w:val="center"/>
        <w:rPr>
          <w:color w:val="auto"/>
          <w:highlight w:val="none"/>
        </w:rPr>
      </w:pPr>
      <w:r>
        <w:rPr>
          <w:rFonts w:hint="eastAsia"/>
          <w:b/>
          <w:color w:val="auto"/>
          <w:sz w:val="32"/>
          <w:szCs w:val="28"/>
          <w:highlight w:val="none"/>
        </w:rPr>
        <w:t xml:space="preserve">              </w:t>
      </w:r>
      <w:r>
        <w:rPr>
          <w:b/>
          <w:color w:val="auto"/>
          <w:sz w:val="32"/>
          <w:szCs w:val="28"/>
          <w:highlight w:val="none"/>
        </w:rPr>
        <w:t>国家工商行政管理总局</w:t>
      </w:r>
    </w:p>
    <w:p w14:paraId="6E1FDBD5">
      <w:pPr>
        <w:pStyle w:val="16"/>
        <w:ind w:left="63" w:right="63"/>
        <w:rPr>
          <w:rFonts w:ascii="黑体" w:hAnsi="宋体" w:eastAsia="黑体" w:cs="黑体"/>
          <w:b/>
          <w:color w:val="auto"/>
          <w:sz w:val="32"/>
          <w:szCs w:val="32"/>
          <w:highlight w:val="none"/>
        </w:rPr>
        <w:sectPr>
          <w:pgSz w:w="11906" w:h="16838"/>
          <w:pgMar w:top="1440" w:right="1080" w:bottom="1440" w:left="1080" w:header="851" w:footer="992" w:gutter="0"/>
          <w:cols w:space="425" w:num="1"/>
          <w:docGrid w:type="lines" w:linePitch="312" w:charSpace="0"/>
        </w:sectPr>
      </w:pPr>
    </w:p>
    <w:p w14:paraId="070BBD85">
      <w:pPr>
        <w:pStyle w:val="3"/>
        <w:spacing w:before="0" w:after="0" w:line="240" w:lineRule="auto"/>
        <w:jc w:val="center"/>
        <w:rPr>
          <w:rFonts w:ascii="宋体" w:hAnsi="宋体"/>
          <w:color w:val="auto"/>
          <w:sz w:val="30"/>
          <w:szCs w:val="30"/>
          <w:highlight w:val="none"/>
        </w:rPr>
      </w:pPr>
      <w:bookmarkStart w:id="41" w:name="_Toc8139"/>
      <w:r>
        <w:rPr>
          <w:rFonts w:hint="eastAsia" w:ascii="宋体" w:hAnsi="宋体"/>
          <w:color w:val="auto"/>
          <w:sz w:val="30"/>
          <w:szCs w:val="30"/>
          <w:highlight w:val="none"/>
        </w:rPr>
        <w:t>第一部分</w:t>
      </w:r>
      <w:r>
        <w:rPr>
          <w:rFonts w:ascii="宋体" w:hAnsi="宋体"/>
          <w:color w:val="auto"/>
          <w:sz w:val="30"/>
          <w:szCs w:val="30"/>
          <w:highlight w:val="none"/>
        </w:rPr>
        <w:t xml:space="preserve"> </w:t>
      </w:r>
      <w:r>
        <w:rPr>
          <w:rFonts w:hint="eastAsia" w:ascii="宋体" w:hAnsi="宋体"/>
          <w:color w:val="auto"/>
          <w:sz w:val="30"/>
          <w:szCs w:val="30"/>
          <w:highlight w:val="none"/>
        </w:rPr>
        <w:t>合同协议书</w:t>
      </w:r>
      <w:bookmarkEnd w:id="41"/>
    </w:p>
    <w:p w14:paraId="04B1C0B9">
      <w:pPr>
        <w:pStyle w:val="116"/>
        <w:rPr>
          <w:color w:val="auto"/>
          <w:highlight w:val="none"/>
        </w:rPr>
      </w:pPr>
    </w:p>
    <w:p w14:paraId="3B7D7AA0">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发包人（全称）：</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广西壮族自治区人民医院</w:t>
      </w:r>
      <w:r>
        <w:rPr>
          <w:rFonts w:hint="eastAsia" w:ascii="宋体" w:hAnsi="宋体" w:eastAsia="宋体" w:cs="宋体"/>
          <w:color w:val="auto"/>
          <w:sz w:val="24"/>
          <w:highlight w:val="none"/>
          <w:u w:val="single"/>
        </w:rPr>
        <w:t xml:space="preserve">   </w:t>
      </w:r>
    </w:p>
    <w:p w14:paraId="30FB831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承包人（全称）：</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color w:val="auto"/>
          <w:sz w:val="24"/>
          <w:highlight w:val="none"/>
          <w:u w:val="single"/>
        </w:rPr>
        <w:t xml:space="preserve">   </w:t>
      </w:r>
    </w:p>
    <w:p w14:paraId="3FA75AC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根据《中华人民共和国民法典》、《中华人民共和国建筑法》及有关法律规定，遵循平等、自愿、公平和诚实信用的原则，双方就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（项目名称）施工及有关事项协商一致，共同达成如下协议：</w:t>
      </w:r>
      <w:bookmarkStart w:id="42" w:name="_Toc351203481"/>
    </w:p>
    <w:p w14:paraId="79624978">
      <w:pPr>
        <w:spacing w:line="360" w:lineRule="auto"/>
        <w:ind w:firstLine="482" w:firstLineChars="200"/>
        <w:outlineLvl w:val="0"/>
        <w:rPr>
          <w:rFonts w:hint="eastAsia" w:ascii="宋体" w:hAnsi="宋体" w:eastAsia="宋体" w:cs="宋体"/>
          <w:b/>
          <w:bCs/>
          <w:color w:val="auto"/>
          <w:sz w:val="24"/>
          <w:highlight w:val="none"/>
        </w:rPr>
      </w:pPr>
      <w:bookmarkStart w:id="43" w:name="_Toc162971336"/>
      <w:r>
        <w:rPr>
          <w:rFonts w:hint="eastAsia" w:ascii="宋体" w:hAnsi="宋体" w:eastAsia="宋体" w:cs="宋体"/>
          <w:b/>
          <w:bCs/>
          <w:color w:val="auto"/>
          <w:sz w:val="24"/>
          <w:highlight w:val="none"/>
        </w:rPr>
        <w:t>一、工程概况</w:t>
      </w:r>
      <w:bookmarkEnd w:id="42"/>
      <w:bookmarkEnd w:id="43"/>
    </w:p>
    <w:p w14:paraId="34008BD2">
      <w:pPr>
        <w:spacing w:line="360" w:lineRule="auto"/>
        <w:ind w:firstLine="470" w:firstLineChars="19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1、工程名称：</w:t>
      </w:r>
      <w:r>
        <w:rPr>
          <w:rFonts w:hint="eastAsia" w:ascii="宋体" w:hAnsi="宋体" w:eastAsia="宋体" w:cs="宋体"/>
          <w:color w:val="auto"/>
          <w:sz w:val="24"/>
          <w:highlight w:val="none"/>
          <w:u w:val="single"/>
        </w:rPr>
        <w:t xml:space="preserve">                      </w:t>
      </w:r>
    </w:p>
    <w:p w14:paraId="2727052C">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2、工程地点：</w:t>
      </w:r>
      <w:r>
        <w:rPr>
          <w:rFonts w:hint="eastAsia" w:ascii="宋体" w:hAnsi="宋体" w:eastAsia="宋体" w:cs="宋体"/>
          <w:color w:val="auto"/>
          <w:sz w:val="24"/>
          <w:highlight w:val="none"/>
          <w:u w:val="single"/>
        </w:rPr>
        <w:t xml:space="preserve">                       </w:t>
      </w:r>
    </w:p>
    <w:p w14:paraId="04795AF5">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3、工程立项批准文号：</w:t>
      </w:r>
      <w:r>
        <w:rPr>
          <w:rFonts w:hint="eastAsia" w:ascii="宋体" w:hAnsi="宋体" w:eastAsia="宋体" w:cs="宋体"/>
          <w:color w:val="auto"/>
          <w:sz w:val="24"/>
          <w:highlight w:val="none"/>
          <w:u w:val="single"/>
        </w:rPr>
        <w:t xml:space="preserve">  /       </w:t>
      </w:r>
    </w:p>
    <w:p w14:paraId="34AEA67A">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4、资金来源：</w:t>
      </w:r>
      <w:r>
        <w:rPr>
          <w:rFonts w:hint="eastAsia" w:ascii="宋体" w:hAnsi="宋体" w:eastAsia="宋体" w:cs="宋体"/>
          <w:color w:val="auto"/>
          <w:sz w:val="24"/>
          <w:highlight w:val="none"/>
          <w:u w:val="single"/>
        </w:rPr>
        <w:t xml:space="preserve">                 </w:t>
      </w:r>
    </w:p>
    <w:p w14:paraId="05370444">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5、工程内容：</w:t>
      </w:r>
      <w:r>
        <w:rPr>
          <w:rFonts w:hint="eastAsia" w:ascii="宋体" w:hAnsi="宋体" w:eastAsia="宋体" w:cs="宋体"/>
          <w:color w:val="auto"/>
          <w:sz w:val="24"/>
          <w:highlight w:val="none"/>
          <w:u w:val="single"/>
        </w:rPr>
        <w:t xml:space="preserve">                                    </w:t>
      </w:r>
    </w:p>
    <w:p w14:paraId="284E555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6、工程承包范围：</w:t>
      </w:r>
      <w:r>
        <w:rPr>
          <w:rFonts w:hint="eastAsia" w:ascii="宋体" w:hAnsi="宋体" w:eastAsia="宋体" w:cs="宋体"/>
          <w:color w:val="auto"/>
          <w:sz w:val="24"/>
          <w:highlight w:val="none"/>
          <w:u w:val="single"/>
        </w:rPr>
        <w:t xml:space="preserve">                                  </w:t>
      </w:r>
    </w:p>
    <w:p w14:paraId="041A4B4E">
      <w:pPr>
        <w:spacing w:line="360" w:lineRule="auto"/>
        <w:ind w:firstLine="465" w:firstLineChars="193"/>
        <w:outlineLvl w:val="0"/>
        <w:rPr>
          <w:rFonts w:hint="eastAsia" w:ascii="宋体" w:hAnsi="宋体" w:eastAsia="宋体" w:cs="宋体"/>
          <w:b/>
          <w:bCs/>
          <w:color w:val="auto"/>
          <w:sz w:val="24"/>
          <w:highlight w:val="none"/>
        </w:rPr>
      </w:pPr>
      <w:bookmarkStart w:id="44" w:name="_Toc351203482"/>
      <w:bookmarkStart w:id="45" w:name="_Toc162971337"/>
      <w:r>
        <w:rPr>
          <w:rFonts w:hint="eastAsia" w:ascii="宋体" w:hAnsi="宋体" w:eastAsia="宋体" w:cs="宋体"/>
          <w:b/>
          <w:bCs/>
          <w:color w:val="auto"/>
          <w:sz w:val="24"/>
          <w:highlight w:val="none"/>
        </w:rPr>
        <w:t>二、合同工期</w:t>
      </w:r>
      <w:bookmarkEnd w:id="44"/>
      <w:bookmarkEnd w:id="45"/>
    </w:p>
    <w:p w14:paraId="348D1EDE">
      <w:pPr>
        <w:spacing w:line="360" w:lineRule="auto"/>
        <w:ind w:firstLine="459"/>
        <w:rPr>
          <w:rFonts w:hint="eastAsia" w:ascii="宋体" w:hAnsi="宋体" w:eastAsia="宋体" w:cs="宋体"/>
          <w:color w:val="auto"/>
          <w:sz w:val="24"/>
          <w:highlight w:val="none"/>
        </w:rPr>
      </w:pPr>
      <w:r>
        <w:rPr>
          <w:rFonts w:hint="eastAsia" w:ascii="宋体" w:hAnsi="宋体" w:eastAsia="宋体" w:cs="宋体"/>
          <w:color w:val="auto"/>
          <w:sz w:val="24"/>
          <w:highlight w:val="none"/>
        </w:rPr>
        <w:t>计划开工日期：</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日。（实际开工日期具体以发包人书面通知为准）</w:t>
      </w:r>
    </w:p>
    <w:p w14:paraId="11E84F9E">
      <w:pPr>
        <w:spacing w:line="360" w:lineRule="auto"/>
        <w:ind w:firstLine="459"/>
        <w:rPr>
          <w:rFonts w:hint="eastAsia" w:ascii="宋体" w:hAnsi="宋体" w:eastAsia="宋体" w:cs="宋体"/>
          <w:color w:val="auto"/>
          <w:sz w:val="24"/>
          <w:highlight w:val="none"/>
        </w:rPr>
      </w:pPr>
      <w:r>
        <w:rPr>
          <w:rFonts w:hint="eastAsia" w:ascii="宋体" w:hAnsi="宋体" w:eastAsia="宋体" w:cs="宋体"/>
          <w:color w:val="auto"/>
          <w:sz w:val="24"/>
          <w:highlight w:val="none"/>
        </w:rPr>
        <w:t>计划竣工日期：</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C7F6CB2">
      <w:pPr>
        <w:spacing w:line="360" w:lineRule="auto"/>
        <w:ind w:firstLine="459"/>
        <w:rPr>
          <w:rFonts w:hint="eastAsia" w:ascii="宋体" w:hAnsi="宋体" w:eastAsia="宋体" w:cs="宋体"/>
          <w:color w:val="auto"/>
          <w:sz w:val="24"/>
          <w:highlight w:val="none"/>
        </w:rPr>
      </w:pPr>
      <w:r>
        <w:rPr>
          <w:rFonts w:hint="eastAsia" w:ascii="宋体" w:hAnsi="宋体" w:eastAsia="宋体" w:cs="宋体"/>
          <w:color w:val="auto"/>
          <w:sz w:val="24"/>
          <w:highlight w:val="none"/>
        </w:rPr>
        <w:t>工期总日历天数：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工期总日历天数与根据前述计划开竣工日期计算的工期天数不一致的，以工期总日历天数为准。根据通用条款第13.2.3条规定，竣工日期是指工程经竣工验收合格的，以承包人提交竣工验收申请报告且经发包人签字确认之日为实际竣工日期，并在工程接收证书中载明。</w:t>
      </w:r>
    </w:p>
    <w:p w14:paraId="411D4DC5">
      <w:pPr>
        <w:wordWrap w:val="0"/>
        <w:spacing w:line="360" w:lineRule="auto"/>
        <w:ind w:firstLine="459"/>
        <w:outlineLvl w:val="0"/>
        <w:rPr>
          <w:rFonts w:hint="eastAsia" w:ascii="宋体" w:hAnsi="宋体" w:eastAsia="宋体" w:cs="宋体"/>
          <w:b/>
          <w:bCs/>
          <w:color w:val="auto"/>
          <w:sz w:val="24"/>
          <w:highlight w:val="none"/>
        </w:rPr>
      </w:pPr>
      <w:bookmarkStart w:id="46" w:name="_Toc351203483"/>
      <w:bookmarkStart w:id="47" w:name="_Toc162971338"/>
      <w:r>
        <w:rPr>
          <w:rFonts w:hint="eastAsia" w:ascii="宋体" w:hAnsi="宋体" w:eastAsia="宋体" w:cs="宋体"/>
          <w:b/>
          <w:bCs/>
          <w:color w:val="auto"/>
          <w:sz w:val="24"/>
          <w:highlight w:val="none"/>
        </w:rPr>
        <w:t>三、质量标准</w:t>
      </w:r>
      <w:bookmarkEnd w:id="46"/>
      <w:bookmarkEnd w:id="47"/>
    </w:p>
    <w:p w14:paraId="7AD5C723">
      <w:pPr>
        <w:wordWrap w:val="0"/>
        <w:spacing w:line="360" w:lineRule="auto"/>
        <w:ind w:firstLine="459"/>
        <w:rPr>
          <w:rFonts w:hint="eastAsia" w:ascii="宋体" w:hAnsi="宋体" w:eastAsia="宋体" w:cs="宋体"/>
          <w:color w:val="auto"/>
          <w:sz w:val="24"/>
          <w:highlight w:val="none"/>
        </w:rPr>
      </w:pPr>
      <w:r>
        <w:rPr>
          <w:rFonts w:hint="eastAsia" w:ascii="宋体" w:hAnsi="宋体" w:eastAsia="宋体" w:cs="宋体"/>
          <w:color w:val="auto"/>
          <w:sz w:val="24"/>
          <w:highlight w:val="none"/>
        </w:rPr>
        <w:t>工程质量</w:t>
      </w:r>
      <w:r>
        <w:rPr>
          <w:rFonts w:hint="eastAsia" w:ascii="宋体" w:hAnsi="宋体" w:eastAsia="宋体" w:cs="宋体"/>
          <w:color w:val="auto"/>
          <w:sz w:val="24"/>
          <w:highlight w:val="none"/>
          <w:u w:val="single"/>
        </w:rPr>
        <w:t>符合符合国家现行的工程建设标准、技术规范及强制性标准条文、以及施工图纸载明的其他有关规范标准。</w:t>
      </w:r>
    </w:p>
    <w:p w14:paraId="6886806E">
      <w:pPr>
        <w:wordWrap w:val="0"/>
        <w:spacing w:line="360" w:lineRule="auto"/>
        <w:ind w:firstLine="459"/>
        <w:outlineLvl w:val="0"/>
        <w:rPr>
          <w:rFonts w:hint="eastAsia" w:ascii="宋体" w:hAnsi="宋体" w:eastAsia="宋体" w:cs="宋体"/>
          <w:b/>
          <w:bCs/>
          <w:color w:val="auto"/>
          <w:sz w:val="24"/>
          <w:highlight w:val="none"/>
        </w:rPr>
      </w:pPr>
      <w:bookmarkStart w:id="48" w:name="_Toc162971339"/>
      <w:bookmarkStart w:id="49" w:name="_Toc351203484"/>
      <w:r>
        <w:rPr>
          <w:rFonts w:hint="eastAsia" w:ascii="宋体" w:hAnsi="宋体" w:eastAsia="宋体" w:cs="宋体"/>
          <w:b/>
          <w:bCs/>
          <w:color w:val="auto"/>
          <w:sz w:val="24"/>
          <w:highlight w:val="none"/>
          <w:lang w:val="en-US" w:eastAsia="zh-CN"/>
        </w:rPr>
        <w:t>四、</w:t>
      </w:r>
      <w:r>
        <w:rPr>
          <w:rFonts w:hint="eastAsia" w:ascii="宋体" w:hAnsi="宋体" w:eastAsia="宋体" w:cs="宋体"/>
          <w:b/>
          <w:bCs/>
          <w:color w:val="auto"/>
          <w:sz w:val="24"/>
          <w:highlight w:val="none"/>
        </w:rPr>
        <w:t>签约合同价与合同价格形式</w:t>
      </w:r>
      <w:bookmarkEnd w:id="48"/>
      <w:bookmarkEnd w:id="49"/>
    </w:p>
    <w:p w14:paraId="22D8E9BF">
      <w:pPr>
        <w:spacing w:line="360" w:lineRule="auto"/>
        <w:ind w:firstLine="459"/>
        <w:rPr>
          <w:rFonts w:hint="eastAsia" w:ascii="宋体" w:hAnsi="宋体" w:eastAsia="宋体" w:cs="宋体"/>
          <w:color w:val="auto"/>
          <w:sz w:val="24"/>
          <w:highlight w:val="none"/>
        </w:rPr>
      </w:pPr>
      <w:r>
        <w:rPr>
          <w:rFonts w:hint="eastAsia" w:ascii="宋体" w:hAnsi="宋体" w:eastAsia="宋体" w:cs="宋体"/>
          <w:color w:val="auto"/>
          <w:sz w:val="24"/>
          <w:highlight w:val="none"/>
        </w:rPr>
        <w:t>1、签约合同价为人民币：</w:t>
      </w:r>
    </w:p>
    <w:p w14:paraId="55D5C58C">
      <w:pPr>
        <w:spacing w:line="360" w:lineRule="auto"/>
        <w:ind w:firstLine="45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人民币（大写）</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color w:val="auto"/>
          <w:sz w:val="24"/>
          <w:highlight w:val="none"/>
          <w:u w:val="single"/>
        </w:rPr>
        <w:t>（</w:t>
      </w:r>
      <w:r>
        <w:rPr>
          <w:rFonts w:hint="eastAsia" w:ascii="宋体" w:hAnsi="宋体" w:eastAsia="宋体" w:cs="宋体"/>
          <w:bCs/>
          <w:color w:val="auto"/>
          <w:kern w:val="0"/>
          <w:sz w:val="28"/>
          <w:szCs w:val="28"/>
          <w:highlight w:val="none"/>
          <w:u w:val="single"/>
        </w:rPr>
        <w:t>¥          ）</w:t>
      </w:r>
      <w:r>
        <w:rPr>
          <w:rFonts w:hint="eastAsia" w:ascii="宋体" w:hAnsi="宋体" w:eastAsia="宋体" w:cs="宋体"/>
          <w:color w:val="auto"/>
          <w:sz w:val="24"/>
          <w:highlight w:val="none"/>
        </w:rPr>
        <w:t xml:space="preserve"> 。</w:t>
      </w:r>
    </w:p>
    <w:p w14:paraId="1420E0B5">
      <w:pPr>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其中：</w:t>
      </w:r>
    </w:p>
    <w:p w14:paraId="0B8DC20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（1）安全文明施工费为：</w:t>
      </w:r>
    </w:p>
    <w:p w14:paraId="544040CC">
      <w:pPr>
        <w:spacing w:line="360" w:lineRule="auto"/>
        <w:ind w:firstLine="1080" w:firstLineChars="450"/>
        <w:rPr>
          <w:rFonts w:hint="eastAsia" w:ascii="宋体" w:hAnsi="宋体" w:eastAsia="宋体" w:cs="宋体"/>
          <w:bCs/>
          <w:color w:val="auto"/>
          <w:kern w:val="0"/>
          <w:sz w:val="28"/>
          <w:szCs w:val="28"/>
          <w:highlight w:val="none"/>
          <w:u w:val="single"/>
        </w:rPr>
      </w:pPr>
      <w:r>
        <w:rPr>
          <w:rFonts w:hint="eastAsia" w:ascii="宋体" w:hAnsi="宋体" w:eastAsia="宋体" w:cs="宋体"/>
          <w:color w:val="auto"/>
          <w:sz w:val="24"/>
          <w:highlight w:val="none"/>
        </w:rPr>
        <w:t>人民币（大写）</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kern w:val="0"/>
          <w:sz w:val="28"/>
          <w:szCs w:val="28"/>
          <w:highlight w:val="none"/>
          <w:u w:val="single"/>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 xml:space="preserve"> 。</w:t>
      </w:r>
    </w:p>
    <w:p w14:paraId="6B20F50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2"/>
          <w:highlight w:val="none"/>
        </w:rPr>
        <w:t>（2）</w:t>
      </w:r>
      <w:r>
        <w:rPr>
          <w:rFonts w:hint="eastAsia" w:ascii="宋体" w:hAnsi="宋体" w:eastAsia="宋体" w:cs="宋体"/>
          <w:color w:val="auto"/>
          <w:sz w:val="24"/>
          <w:highlight w:val="none"/>
        </w:rPr>
        <w:t>材料和工程设备暂估价金额：</w:t>
      </w:r>
    </w:p>
    <w:p w14:paraId="13A55BBA">
      <w:pPr>
        <w:spacing w:line="360" w:lineRule="auto"/>
        <w:ind w:firstLine="1080" w:firstLineChars="450"/>
        <w:rPr>
          <w:rFonts w:hint="eastAsia" w:ascii="宋体" w:hAnsi="宋体" w:eastAsia="宋体" w:cs="宋体"/>
          <w:color w:val="auto"/>
          <w:sz w:val="24"/>
          <w:highlight w:val="none"/>
        </w:rPr>
      </w:pPr>
      <w:r>
        <w:rPr>
          <w:rFonts w:hint="eastAsia" w:ascii="宋体" w:hAnsi="宋体" w:eastAsia="宋体" w:cs="宋体"/>
          <w:color w:val="auto"/>
          <w:sz w:val="24"/>
          <w:highlight w:val="none"/>
        </w:rPr>
        <w:t>人民币</w:t>
      </w:r>
      <w:r>
        <w:rPr>
          <w:rFonts w:hint="eastAsia" w:ascii="宋体" w:hAnsi="宋体" w:eastAsia="宋体" w:cs="宋体"/>
          <w:color w:val="auto"/>
          <w:sz w:val="24"/>
          <w:highlight w:val="none"/>
          <w:u w:val="single"/>
        </w:rPr>
        <w:t>（大写）   /元（¥   ）</w:t>
      </w:r>
      <w:r>
        <w:rPr>
          <w:rFonts w:hint="eastAsia" w:ascii="宋体" w:hAnsi="宋体" w:eastAsia="宋体" w:cs="宋体"/>
          <w:color w:val="auto"/>
          <w:sz w:val="24"/>
          <w:highlight w:val="none"/>
        </w:rPr>
        <w:t>；</w:t>
      </w:r>
    </w:p>
    <w:p w14:paraId="65CB07D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（3）专业工程暂估价金额：</w:t>
      </w:r>
    </w:p>
    <w:p w14:paraId="7528C971">
      <w:pPr>
        <w:spacing w:line="360" w:lineRule="auto"/>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人民币（大写）</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kern w:val="0"/>
          <w:sz w:val="28"/>
          <w:szCs w:val="28"/>
          <w:highlight w:val="none"/>
          <w:u w:val="single"/>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 xml:space="preserve"> 。</w:t>
      </w:r>
    </w:p>
    <w:p w14:paraId="60034EA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（4）暂列金额：</w:t>
      </w:r>
    </w:p>
    <w:p w14:paraId="59C365CE">
      <w:pPr>
        <w:spacing w:line="360" w:lineRule="auto"/>
        <w:ind w:firstLine="1080" w:firstLineChars="450"/>
        <w:rPr>
          <w:rFonts w:hint="eastAsia" w:ascii="宋体" w:hAnsi="宋体" w:eastAsia="宋体" w:cs="宋体"/>
          <w:color w:val="auto"/>
          <w:sz w:val="24"/>
          <w:highlight w:val="none"/>
        </w:rPr>
      </w:pPr>
      <w:r>
        <w:rPr>
          <w:rFonts w:hint="eastAsia" w:ascii="宋体" w:hAnsi="宋体" w:eastAsia="宋体" w:cs="宋体"/>
          <w:color w:val="auto"/>
          <w:sz w:val="24"/>
          <w:highlight w:val="none"/>
        </w:rPr>
        <w:t>人民币（大写）</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kern w:val="0"/>
          <w:sz w:val="28"/>
          <w:szCs w:val="28"/>
          <w:highlight w:val="none"/>
          <w:u w:val="single"/>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73E27B8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2、合同价格形式：</w:t>
      </w:r>
      <w:r>
        <w:rPr>
          <w:rFonts w:hint="eastAsia" w:ascii="宋体" w:hAnsi="宋体" w:eastAsia="宋体" w:cs="宋体"/>
          <w:color w:val="auto"/>
          <w:sz w:val="24"/>
          <w:highlight w:val="none"/>
          <w:u w:val="single"/>
        </w:rPr>
        <w:t xml:space="preserve">  固定综合单价</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4318176">
      <w:pPr>
        <w:spacing w:line="360" w:lineRule="auto"/>
        <w:ind w:firstLine="482" w:firstLineChars="200"/>
        <w:outlineLvl w:val="0"/>
        <w:rPr>
          <w:rFonts w:hint="eastAsia" w:ascii="宋体" w:hAnsi="宋体" w:eastAsia="宋体" w:cs="宋体"/>
          <w:b/>
          <w:bCs/>
          <w:color w:val="auto"/>
          <w:sz w:val="24"/>
          <w:highlight w:val="none"/>
        </w:rPr>
      </w:pPr>
      <w:bookmarkStart w:id="50" w:name="_Toc351203485"/>
      <w:bookmarkStart w:id="51" w:name="_Toc162971340"/>
      <w:r>
        <w:rPr>
          <w:rFonts w:hint="eastAsia" w:ascii="宋体" w:hAnsi="宋体" w:eastAsia="宋体" w:cs="宋体"/>
          <w:b/>
          <w:bCs/>
          <w:color w:val="auto"/>
          <w:sz w:val="24"/>
          <w:highlight w:val="none"/>
        </w:rPr>
        <w:t>五、</w:t>
      </w:r>
      <w:bookmarkEnd w:id="50"/>
      <w:r>
        <w:rPr>
          <w:rFonts w:hint="eastAsia" w:ascii="宋体" w:hAnsi="宋体" w:eastAsia="宋体" w:cs="宋体"/>
          <w:b/>
          <w:bCs/>
          <w:color w:val="auto"/>
          <w:sz w:val="24"/>
          <w:highlight w:val="none"/>
        </w:rPr>
        <w:t>项目经理</w:t>
      </w:r>
      <w:bookmarkEnd w:id="51"/>
    </w:p>
    <w:p w14:paraId="608BD23D">
      <w:pPr>
        <w:spacing w:line="360" w:lineRule="auto"/>
        <w:ind w:firstLine="480" w:firstLineChars="200"/>
        <w:outlineLvl w:val="0"/>
        <w:rPr>
          <w:rFonts w:hint="eastAsia" w:ascii="宋体" w:hAnsi="宋体" w:eastAsia="宋体" w:cs="宋体"/>
          <w:b/>
          <w:bCs/>
          <w:color w:val="auto"/>
          <w:sz w:val="24"/>
          <w:highlight w:val="none"/>
        </w:rPr>
      </w:pPr>
      <w:bookmarkStart w:id="52" w:name="_Toc162971341"/>
      <w:r>
        <w:rPr>
          <w:rFonts w:hint="eastAsia" w:ascii="宋体" w:hAnsi="宋体" w:eastAsia="宋体" w:cs="宋体"/>
          <w:color w:val="auto"/>
          <w:sz w:val="24"/>
          <w:highlight w:val="none"/>
        </w:rPr>
        <w:t>承包人项目经理：</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bookmarkEnd w:id="52"/>
    </w:p>
    <w:p w14:paraId="5A77DFF4">
      <w:pPr>
        <w:spacing w:line="360" w:lineRule="auto"/>
        <w:ind w:firstLine="482" w:firstLineChars="200"/>
        <w:outlineLvl w:val="0"/>
        <w:rPr>
          <w:rFonts w:hint="eastAsia" w:ascii="宋体" w:hAnsi="宋体" w:eastAsia="宋体" w:cs="宋体"/>
          <w:b/>
          <w:bCs/>
          <w:color w:val="auto"/>
          <w:sz w:val="24"/>
          <w:highlight w:val="none"/>
        </w:rPr>
      </w:pPr>
      <w:bookmarkStart w:id="53" w:name="_Toc351203486"/>
      <w:bookmarkStart w:id="54" w:name="_Toc162971342"/>
      <w:r>
        <w:rPr>
          <w:rFonts w:hint="eastAsia" w:ascii="宋体" w:hAnsi="宋体" w:eastAsia="宋体" w:cs="宋体"/>
          <w:b/>
          <w:bCs/>
          <w:color w:val="auto"/>
          <w:sz w:val="24"/>
          <w:highlight w:val="none"/>
        </w:rPr>
        <w:t>六、合同文件构成</w:t>
      </w:r>
      <w:bookmarkEnd w:id="53"/>
      <w:bookmarkEnd w:id="54"/>
    </w:p>
    <w:p w14:paraId="2F4E8D9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本协议书与下列文件一起构成合同文件：</w:t>
      </w:r>
    </w:p>
    <w:p w14:paraId="0BDDB495">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（1）成交通知书；</w:t>
      </w:r>
    </w:p>
    <w:p w14:paraId="128C7F6A">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（2）响应函及响应函附录；</w:t>
      </w:r>
    </w:p>
    <w:p w14:paraId="0B78F8AA">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（3）专用合同条款及其附件；</w:t>
      </w:r>
    </w:p>
    <w:p w14:paraId="7F53EF99">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（4）通用合同条款；</w:t>
      </w:r>
    </w:p>
    <w:p w14:paraId="3F300063">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（5）技术标准和要求；</w:t>
      </w:r>
    </w:p>
    <w:p w14:paraId="35B8C8AB">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（6）已标价工程量清单或预算书；</w:t>
      </w:r>
    </w:p>
    <w:p w14:paraId="1AC8DC47">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（7）图纸；</w:t>
      </w:r>
    </w:p>
    <w:p w14:paraId="155FAC32">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（8）其他合同文件：</w:t>
      </w:r>
      <w:r>
        <w:rPr>
          <w:rFonts w:hint="eastAsia" w:ascii="宋体" w:hAnsi="宋体" w:eastAsia="宋体" w:cs="宋体"/>
          <w:color w:val="auto"/>
          <w:sz w:val="24"/>
          <w:highlight w:val="none"/>
          <w:u w:val="single"/>
        </w:rPr>
        <w:t>《建设工程工程量清单计价规范（GB50500-2013）》及其广西实施细则及《关于建筑业实施营业税改征增值税后广西壮族自治区建设工程计价依据调整的通知》（桂建标〔2016〕17号）、《自治区住房城乡建设厅关于调整建设工程计价增值税税率的通知》（桂建标〔2018〕14号）、《建设工程工程量清单计算规范（GB50854~50862-2013）》及其广西实施细则（修订本）等国家、自治区颁布的计价定额及有关规定</w:t>
      </w:r>
      <w:r>
        <w:rPr>
          <w:rFonts w:hint="eastAsia" w:ascii="宋体" w:hAnsi="宋体" w:eastAsia="宋体" w:cs="宋体"/>
          <w:color w:val="auto"/>
          <w:sz w:val="24"/>
          <w:highlight w:val="none"/>
        </w:rPr>
        <w:t>。</w:t>
      </w:r>
    </w:p>
    <w:p w14:paraId="272CDCF6">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上述各项合同文件包括合同当事人就该项合同文件所作出的补充和修改，属于同一类内容的文件，应以最新签署的为准（违反招标文件实质性内容的约定除外）。专用合同条款及其附件须经合同当事人法定代表人或委托代理人签字并加盖双方单位公章。</w:t>
      </w:r>
    </w:p>
    <w:p w14:paraId="6806A534">
      <w:pPr>
        <w:autoSpaceDE w:val="0"/>
        <w:autoSpaceDN w:val="0"/>
        <w:adjustRightInd w:val="0"/>
        <w:spacing w:line="360" w:lineRule="auto"/>
        <w:ind w:firstLine="482" w:firstLineChars="200"/>
        <w:jc w:val="left"/>
        <w:outlineLvl w:val="0"/>
        <w:rPr>
          <w:rFonts w:hint="eastAsia" w:ascii="宋体" w:hAnsi="宋体" w:eastAsia="宋体" w:cs="宋体"/>
          <w:b/>
          <w:bCs/>
          <w:color w:val="auto"/>
          <w:sz w:val="24"/>
          <w:highlight w:val="none"/>
        </w:rPr>
      </w:pPr>
      <w:bookmarkStart w:id="55" w:name="_Toc351203487"/>
      <w:bookmarkStart w:id="56" w:name="_Toc162971343"/>
      <w:r>
        <w:rPr>
          <w:rFonts w:hint="eastAsia" w:ascii="宋体" w:hAnsi="宋体" w:eastAsia="宋体" w:cs="宋体"/>
          <w:b/>
          <w:bCs/>
          <w:color w:val="auto"/>
          <w:sz w:val="24"/>
          <w:highlight w:val="none"/>
        </w:rPr>
        <w:t>七、承诺</w:t>
      </w:r>
      <w:bookmarkEnd w:id="55"/>
      <w:bookmarkEnd w:id="56"/>
    </w:p>
    <w:p w14:paraId="0CA8397E">
      <w:pPr>
        <w:spacing w:line="360" w:lineRule="auto"/>
        <w:ind w:firstLine="480" w:firstLineChars="200"/>
        <w:rPr>
          <w:rFonts w:hint="eastAsia" w:ascii="宋体" w:hAnsi="宋体" w:eastAsia="宋体" w:cs="宋体"/>
          <w:bCs/>
          <w:color w:val="auto"/>
          <w:sz w:val="24"/>
          <w:highlight w:val="none"/>
        </w:rPr>
      </w:pPr>
      <w:bookmarkStart w:id="57" w:name="_Toc351203488"/>
      <w:r>
        <w:rPr>
          <w:rFonts w:hint="eastAsia" w:ascii="宋体" w:hAnsi="宋体" w:eastAsia="宋体" w:cs="宋体"/>
          <w:bCs/>
          <w:color w:val="auto"/>
          <w:sz w:val="24"/>
          <w:highlight w:val="none"/>
        </w:rPr>
        <w:t>1. 发包人承诺按照法律规定履行项目审批手续、筹集工程建设资金并按照合同约定的期限和方式支付合同价款。</w:t>
      </w:r>
    </w:p>
    <w:p w14:paraId="7F5DF5D7">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2. </w:t>
      </w:r>
      <w:r>
        <w:rPr>
          <w:rFonts w:hint="eastAsia" w:ascii="宋体" w:hAnsi="宋体" w:eastAsia="宋体" w:cs="宋体"/>
          <w:color w:val="auto"/>
          <w:sz w:val="24"/>
          <w:highlight w:val="none"/>
        </w:rPr>
        <w:t>承包人承诺按照法律规定及合同约定组织完成工程施工，确保工程质量和安全，不进行转包及违法分包，并在缺陷责任期及保修期内承担相应的工程维修责任。</w:t>
      </w:r>
    </w:p>
    <w:p w14:paraId="5C6FF53D">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 发包人和承包人通过招投标形式签订合同的，双方理解并承诺不再就同一工程另行签订与合同实质性内容相背离的协议。</w:t>
      </w:r>
    </w:p>
    <w:p w14:paraId="092AAABF">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双方确认本合同落款通讯地址作为文书送达地址，该通讯地址适用于包括双方合同履行过程中的各类通知、补充协议等文件，以及因履行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或拒绝接听快递员投递电话等原因，导致文书未能被实际接收的，邮寄文书被退回之日视为送达之日。</w:t>
      </w:r>
    </w:p>
    <w:p w14:paraId="000CEEA5">
      <w:pPr>
        <w:spacing w:line="360" w:lineRule="auto"/>
        <w:ind w:firstLine="482" w:firstLineChars="200"/>
        <w:outlineLvl w:val="0"/>
        <w:rPr>
          <w:rFonts w:hint="eastAsia" w:ascii="宋体" w:hAnsi="宋体" w:eastAsia="宋体" w:cs="宋体"/>
          <w:b/>
          <w:bCs/>
          <w:color w:val="auto"/>
          <w:sz w:val="24"/>
          <w:highlight w:val="none"/>
        </w:rPr>
      </w:pPr>
      <w:bookmarkStart w:id="58" w:name="_Toc162971344"/>
      <w:r>
        <w:rPr>
          <w:rFonts w:hint="eastAsia" w:ascii="宋体" w:hAnsi="宋体" w:eastAsia="宋体" w:cs="宋体"/>
          <w:b/>
          <w:bCs/>
          <w:color w:val="auto"/>
          <w:sz w:val="24"/>
          <w:highlight w:val="none"/>
        </w:rPr>
        <w:t>八、词语含义</w:t>
      </w:r>
      <w:bookmarkEnd w:id="57"/>
      <w:bookmarkEnd w:id="58"/>
    </w:p>
    <w:p w14:paraId="0793CD0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本协议书中词语含义与第二部分通用合同条款中赋予的含义相同。</w:t>
      </w:r>
    </w:p>
    <w:p w14:paraId="1733E608">
      <w:pPr>
        <w:spacing w:line="360" w:lineRule="auto"/>
        <w:ind w:firstLine="482" w:firstLineChars="200"/>
        <w:outlineLvl w:val="0"/>
        <w:rPr>
          <w:rFonts w:hint="eastAsia" w:ascii="宋体" w:hAnsi="宋体" w:eastAsia="宋体" w:cs="宋体"/>
          <w:b/>
          <w:bCs/>
          <w:color w:val="auto"/>
          <w:sz w:val="24"/>
          <w:highlight w:val="none"/>
        </w:rPr>
      </w:pPr>
      <w:bookmarkStart w:id="59" w:name="_Toc162971345"/>
      <w:bookmarkStart w:id="60" w:name="_Toc351203489"/>
      <w:r>
        <w:rPr>
          <w:rFonts w:hint="eastAsia" w:ascii="宋体" w:hAnsi="宋体" w:eastAsia="宋体" w:cs="宋体"/>
          <w:b/>
          <w:bCs/>
          <w:color w:val="auto"/>
          <w:sz w:val="24"/>
          <w:highlight w:val="none"/>
        </w:rPr>
        <w:t>九、签订时间</w:t>
      </w:r>
      <w:bookmarkEnd w:id="59"/>
      <w:bookmarkEnd w:id="60"/>
    </w:p>
    <w:p w14:paraId="6C96D16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日签订。</w:t>
      </w:r>
    </w:p>
    <w:p w14:paraId="018570EF">
      <w:pPr>
        <w:spacing w:line="360" w:lineRule="auto"/>
        <w:ind w:firstLine="482" w:firstLineChars="200"/>
        <w:outlineLvl w:val="0"/>
        <w:rPr>
          <w:rFonts w:hint="eastAsia" w:ascii="宋体" w:hAnsi="宋体" w:eastAsia="宋体" w:cs="宋体"/>
          <w:b/>
          <w:bCs/>
          <w:color w:val="auto"/>
          <w:sz w:val="24"/>
          <w:highlight w:val="none"/>
        </w:rPr>
      </w:pPr>
      <w:bookmarkStart w:id="61" w:name="_Toc351203490"/>
      <w:bookmarkStart w:id="62" w:name="_Toc162971346"/>
      <w:r>
        <w:rPr>
          <w:rFonts w:hint="eastAsia" w:ascii="宋体" w:hAnsi="宋体" w:eastAsia="宋体" w:cs="宋体"/>
          <w:b/>
          <w:bCs/>
          <w:color w:val="auto"/>
          <w:sz w:val="24"/>
          <w:highlight w:val="none"/>
        </w:rPr>
        <w:t>十、签订地点</w:t>
      </w:r>
      <w:bookmarkEnd w:id="61"/>
      <w:bookmarkEnd w:id="62"/>
    </w:p>
    <w:p w14:paraId="49F57F2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本合同在</w:t>
      </w:r>
      <w:r>
        <w:rPr>
          <w:rFonts w:hint="eastAsia" w:ascii="宋体" w:hAnsi="宋体" w:eastAsia="宋体" w:cs="宋体"/>
          <w:color w:val="auto"/>
          <w:sz w:val="24"/>
          <w:highlight w:val="none"/>
          <w:u w:val="single"/>
        </w:rPr>
        <w:t xml:space="preserve">  广西壮族自治区南宁市  </w:t>
      </w:r>
      <w:r>
        <w:rPr>
          <w:rFonts w:hint="eastAsia" w:ascii="宋体" w:hAnsi="宋体" w:eastAsia="宋体" w:cs="宋体"/>
          <w:color w:val="auto"/>
          <w:sz w:val="24"/>
          <w:highlight w:val="none"/>
        </w:rPr>
        <w:t>签订。</w:t>
      </w:r>
    </w:p>
    <w:p w14:paraId="6B833350">
      <w:pPr>
        <w:spacing w:line="360" w:lineRule="auto"/>
        <w:ind w:firstLine="482" w:firstLineChars="200"/>
        <w:outlineLvl w:val="0"/>
        <w:rPr>
          <w:rFonts w:hint="eastAsia" w:ascii="宋体" w:hAnsi="宋体" w:eastAsia="宋体" w:cs="宋体"/>
          <w:b/>
          <w:bCs/>
          <w:color w:val="auto"/>
          <w:sz w:val="24"/>
          <w:highlight w:val="none"/>
        </w:rPr>
      </w:pPr>
      <w:bookmarkStart w:id="63" w:name="_Toc162971347"/>
      <w:bookmarkStart w:id="64" w:name="_Toc351203491"/>
      <w:r>
        <w:rPr>
          <w:rFonts w:hint="eastAsia" w:ascii="宋体" w:hAnsi="宋体" w:eastAsia="宋体" w:cs="宋体"/>
          <w:b/>
          <w:bCs/>
          <w:color w:val="auto"/>
          <w:sz w:val="24"/>
          <w:highlight w:val="none"/>
        </w:rPr>
        <w:t>十一、补充协议</w:t>
      </w:r>
      <w:bookmarkEnd w:id="63"/>
      <w:bookmarkEnd w:id="64"/>
    </w:p>
    <w:p w14:paraId="201051F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合同未尽事宜，合同当事人另行签订补充协议，补充协议是合同的组成部分。</w:t>
      </w:r>
    </w:p>
    <w:p w14:paraId="2B4AFB65">
      <w:pPr>
        <w:spacing w:line="360" w:lineRule="auto"/>
        <w:ind w:firstLine="482" w:firstLineChars="200"/>
        <w:outlineLvl w:val="0"/>
        <w:rPr>
          <w:rFonts w:hint="eastAsia" w:ascii="宋体" w:hAnsi="宋体" w:eastAsia="宋体" w:cs="宋体"/>
          <w:b/>
          <w:bCs/>
          <w:color w:val="auto"/>
          <w:sz w:val="24"/>
          <w:highlight w:val="none"/>
        </w:rPr>
      </w:pPr>
      <w:bookmarkStart w:id="65" w:name="_Toc351203492"/>
      <w:bookmarkStart w:id="66" w:name="_Toc162971348"/>
      <w:r>
        <w:rPr>
          <w:rFonts w:hint="eastAsia" w:ascii="宋体" w:hAnsi="宋体" w:eastAsia="宋体" w:cs="宋体"/>
          <w:b/>
          <w:bCs/>
          <w:color w:val="auto"/>
          <w:sz w:val="24"/>
          <w:highlight w:val="none"/>
        </w:rPr>
        <w:t>十二、合同生效</w:t>
      </w:r>
      <w:bookmarkEnd w:id="65"/>
      <w:bookmarkEnd w:id="66"/>
    </w:p>
    <w:p w14:paraId="2C00D7D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本合同自双方法定代表人或授权委托代理人签字并加盖单位公章之日起生效。</w:t>
      </w:r>
    </w:p>
    <w:p w14:paraId="6D37326B">
      <w:pPr>
        <w:spacing w:line="360" w:lineRule="auto"/>
        <w:ind w:firstLine="482" w:firstLineChars="200"/>
        <w:outlineLvl w:val="0"/>
        <w:rPr>
          <w:rFonts w:hint="eastAsia" w:ascii="宋体" w:hAnsi="宋体" w:eastAsia="宋体" w:cs="宋体"/>
          <w:b/>
          <w:bCs/>
          <w:color w:val="auto"/>
          <w:sz w:val="24"/>
          <w:highlight w:val="none"/>
        </w:rPr>
      </w:pPr>
      <w:bookmarkStart w:id="67" w:name="_Toc162971349"/>
      <w:bookmarkStart w:id="68" w:name="_Toc351203493"/>
      <w:r>
        <w:rPr>
          <w:rFonts w:hint="eastAsia" w:ascii="宋体" w:hAnsi="宋体" w:eastAsia="宋体" w:cs="宋体"/>
          <w:b/>
          <w:bCs/>
          <w:color w:val="auto"/>
          <w:sz w:val="24"/>
          <w:highlight w:val="none"/>
        </w:rPr>
        <w:t>十三、合同份数</w:t>
      </w:r>
      <w:bookmarkEnd w:id="67"/>
      <w:bookmarkEnd w:id="68"/>
    </w:p>
    <w:p w14:paraId="7F8780C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本合同一式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份，均具有同等法律效力，发包人执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份，承包人执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p>
    <w:p w14:paraId="375A389A">
      <w:pPr>
        <w:spacing w:line="360" w:lineRule="auto"/>
        <w:rPr>
          <w:rFonts w:hint="eastAsia" w:ascii="宋体" w:hAnsi="宋体" w:eastAsia="宋体" w:cs="宋体"/>
          <w:color w:val="auto"/>
          <w:sz w:val="24"/>
          <w:highlight w:val="none"/>
        </w:rPr>
      </w:pPr>
    </w:p>
    <w:tbl>
      <w:tblPr>
        <w:tblStyle w:val="38"/>
        <w:tblpPr w:leftFromText="180" w:rightFromText="180" w:vertAnchor="text" w:horzAnchor="page" w:tblpX="1067" w:tblpY="470"/>
        <w:tblOverlap w:val="never"/>
        <w:tblW w:w="0" w:type="auto"/>
        <w:tblInd w:w="0" w:type="dxa"/>
        <w:tblLayout w:type="fixed"/>
        <w:tblCellMar>
          <w:top w:w="0" w:type="dxa"/>
          <w:left w:w="108" w:type="dxa"/>
          <w:bottom w:w="0" w:type="dxa"/>
          <w:right w:w="108" w:type="dxa"/>
        </w:tblCellMar>
      </w:tblPr>
      <w:tblGrid>
        <w:gridCol w:w="4725"/>
        <w:gridCol w:w="4890"/>
      </w:tblGrid>
      <w:tr w14:paraId="55711D8A">
        <w:tblPrEx>
          <w:tblCellMar>
            <w:top w:w="0" w:type="dxa"/>
            <w:left w:w="108" w:type="dxa"/>
            <w:bottom w:w="0" w:type="dxa"/>
            <w:right w:w="108" w:type="dxa"/>
          </w:tblCellMar>
        </w:tblPrEx>
        <w:trPr>
          <w:trHeight w:val="680" w:hRule="atLeast"/>
        </w:trPr>
        <w:tc>
          <w:tcPr>
            <w:tcW w:w="4725" w:type="dxa"/>
            <w:noWrap w:val="0"/>
            <w:vAlign w:val="center"/>
          </w:tcPr>
          <w:p w14:paraId="496E1D8F">
            <w:pPr>
              <w:spacing w:line="360" w:lineRule="auto"/>
              <w:ind w:right="105" w:rightChars="50"/>
              <w:textAlignment w:val="top"/>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rPr>
              <w:t>发包人：</w:t>
            </w:r>
            <w:r>
              <w:rPr>
                <w:rFonts w:hint="eastAsia" w:ascii="宋体" w:hAnsi="宋体" w:eastAsia="宋体" w:cs="宋体"/>
                <w:color w:val="auto"/>
                <w:sz w:val="24"/>
                <w:highlight w:val="none"/>
              </w:rPr>
              <w:t>（公章）</w:t>
            </w:r>
            <w:r>
              <w:rPr>
                <w:rFonts w:hint="eastAsia" w:ascii="宋体" w:hAnsi="宋体" w:cs="宋体"/>
                <w:color w:val="auto"/>
                <w:sz w:val="24"/>
                <w:highlight w:val="none"/>
                <w:lang w:eastAsia="zh-CN"/>
              </w:rPr>
              <w:t>广西壮族自治区人民医院</w:t>
            </w:r>
          </w:p>
        </w:tc>
        <w:tc>
          <w:tcPr>
            <w:tcW w:w="4890" w:type="dxa"/>
            <w:noWrap w:val="0"/>
            <w:vAlign w:val="center"/>
          </w:tcPr>
          <w:p w14:paraId="55DECB80">
            <w:pPr>
              <w:spacing w:line="360" w:lineRule="auto"/>
              <w:ind w:right="105" w:rightChars="50"/>
              <w:textAlignment w:val="top"/>
              <w:rPr>
                <w:rFonts w:hint="eastAsia" w:ascii="宋体" w:hAnsi="宋体" w:eastAsia="宋体" w:cs="宋体"/>
                <w:color w:val="auto"/>
                <w:sz w:val="24"/>
                <w:szCs w:val="21"/>
                <w:highlight w:val="none"/>
              </w:rPr>
            </w:pPr>
            <w:r>
              <w:rPr>
                <w:rFonts w:hint="eastAsia" w:ascii="宋体" w:hAnsi="宋体" w:eastAsia="宋体" w:cs="宋体"/>
                <w:color w:val="auto"/>
                <w:sz w:val="24"/>
                <w:highlight w:val="none"/>
              </w:rPr>
              <w:t>承包</w:t>
            </w:r>
            <w:r>
              <w:rPr>
                <w:rFonts w:hint="eastAsia" w:ascii="宋体" w:hAnsi="宋体" w:eastAsia="宋体" w:cs="宋体"/>
                <w:color w:val="auto"/>
                <w:sz w:val="24"/>
                <w:szCs w:val="21"/>
                <w:highlight w:val="none"/>
              </w:rPr>
              <w:t xml:space="preserve">人：                </w:t>
            </w:r>
            <w:r>
              <w:rPr>
                <w:rFonts w:hint="eastAsia" w:ascii="宋体" w:hAnsi="宋体" w:eastAsia="宋体" w:cs="宋体"/>
                <w:color w:val="auto"/>
                <w:sz w:val="24"/>
                <w:highlight w:val="none"/>
              </w:rPr>
              <w:t>（公章）</w:t>
            </w:r>
          </w:p>
        </w:tc>
      </w:tr>
      <w:tr w14:paraId="01E23276">
        <w:tblPrEx>
          <w:tblCellMar>
            <w:top w:w="0" w:type="dxa"/>
            <w:left w:w="108" w:type="dxa"/>
            <w:bottom w:w="0" w:type="dxa"/>
            <w:right w:w="108" w:type="dxa"/>
          </w:tblCellMar>
        </w:tblPrEx>
        <w:trPr>
          <w:trHeight w:val="680" w:hRule="atLeast"/>
        </w:trPr>
        <w:tc>
          <w:tcPr>
            <w:tcW w:w="4725" w:type="dxa"/>
            <w:noWrap w:val="0"/>
            <w:vAlign w:val="center"/>
          </w:tcPr>
          <w:p w14:paraId="75780539">
            <w:pPr>
              <w:spacing w:line="360" w:lineRule="auto"/>
              <w:ind w:right="105" w:rightChars="50"/>
              <w:textAlignment w:val="top"/>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法定代表人或其委托代理人：</w:t>
            </w:r>
          </w:p>
        </w:tc>
        <w:tc>
          <w:tcPr>
            <w:tcW w:w="4890" w:type="dxa"/>
            <w:noWrap w:val="0"/>
            <w:vAlign w:val="center"/>
          </w:tcPr>
          <w:p w14:paraId="13E2A7AF">
            <w:pPr>
              <w:spacing w:line="360" w:lineRule="auto"/>
              <w:ind w:right="105" w:rightChars="50"/>
              <w:textAlignment w:val="top"/>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法定代表人或其委托代理人：</w:t>
            </w:r>
          </w:p>
        </w:tc>
      </w:tr>
      <w:tr w14:paraId="7C1E2188">
        <w:tblPrEx>
          <w:tblCellMar>
            <w:top w:w="0" w:type="dxa"/>
            <w:left w:w="108" w:type="dxa"/>
            <w:bottom w:w="0" w:type="dxa"/>
            <w:right w:w="108" w:type="dxa"/>
          </w:tblCellMar>
        </w:tblPrEx>
        <w:trPr>
          <w:trHeight w:val="680" w:hRule="atLeast"/>
        </w:trPr>
        <w:tc>
          <w:tcPr>
            <w:tcW w:w="4725" w:type="dxa"/>
            <w:noWrap w:val="0"/>
            <w:vAlign w:val="center"/>
          </w:tcPr>
          <w:p w14:paraId="11D625D0">
            <w:pPr>
              <w:spacing w:line="360" w:lineRule="auto"/>
              <w:ind w:right="105" w:rightChars="50" w:firstLine="240" w:firstLineChars="100"/>
              <w:textAlignment w:val="top"/>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w:t>
            </w:r>
            <w:r>
              <w:rPr>
                <w:rFonts w:hint="eastAsia" w:ascii="宋体" w:hAnsi="宋体" w:eastAsia="宋体" w:cs="宋体"/>
                <w:color w:val="auto"/>
                <w:sz w:val="24"/>
                <w:highlight w:val="none"/>
              </w:rPr>
              <w:t>签章</w:t>
            </w:r>
            <w:r>
              <w:rPr>
                <w:rFonts w:hint="eastAsia" w:ascii="宋体" w:hAnsi="宋体" w:eastAsia="宋体" w:cs="宋体"/>
                <w:color w:val="auto"/>
                <w:sz w:val="24"/>
                <w:szCs w:val="21"/>
                <w:highlight w:val="none"/>
              </w:rPr>
              <w:t>）</w:t>
            </w:r>
          </w:p>
        </w:tc>
        <w:tc>
          <w:tcPr>
            <w:tcW w:w="4890" w:type="dxa"/>
            <w:noWrap w:val="0"/>
            <w:vAlign w:val="center"/>
          </w:tcPr>
          <w:p w14:paraId="43DD926E">
            <w:pPr>
              <w:spacing w:line="360" w:lineRule="auto"/>
              <w:ind w:right="105" w:rightChars="50" w:firstLine="240" w:firstLineChars="100"/>
              <w:textAlignment w:val="top"/>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w:t>
            </w:r>
            <w:r>
              <w:rPr>
                <w:rFonts w:hint="eastAsia" w:ascii="宋体" w:hAnsi="宋体" w:eastAsia="宋体" w:cs="宋体"/>
                <w:color w:val="auto"/>
                <w:sz w:val="24"/>
                <w:highlight w:val="none"/>
              </w:rPr>
              <w:t>签章</w:t>
            </w:r>
            <w:r>
              <w:rPr>
                <w:rFonts w:hint="eastAsia" w:ascii="宋体" w:hAnsi="宋体" w:eastAsia="宋体" w:cs="宋体"/>
                <w:color w:val="auto"/>
                <w:sz w:val="24"/>
                <w:szCs w:val="21"/>
                <w:highlight w:val="none"/>
              </w:rPr>
              <w:t>）</w:t>
            </w:r>
          </w:p>
        </w:tc>
      </w:tr>
      <w:tr w14:paraId="44C2317D">
        <w:tblPrEx>
          <w:tblCellMar>
            <w:top w:w="0" w:type="dxa"/>
            <w:left w:w="108" w:type="dxa"/>
            <w:bottom w:w="0" w:type="dxa"/>
            <w:right w:w="108" w:type="dxa"/>
          </w:tblCellMar>
        </w:tblPrEx>
        <w:trPr>
          <w:trHeight w:val="680" w:hRule="atLeast"/>
        </w:trPr>
        <w:tc>
          <w:tcPr>
            <w:tcW w:w="4725" w:type="dxa"/>
            <w:noWrap w:val="0"/>
            <w:vAlign w:val="center"/>
          </w:tcPr>
          <w:p w14:paraId="4785774E">
            <w:pPr>
              <w:spacing w:line="360" w:lineRule="auto"/>
              <w:ind w:right="105" w:rightChars="50"/>
              <w:textAlignment w:val="top"/>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统一社会信用代码：12450000498500618J</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w:t>
            </w:r>
          </w:p>
        </w:tc>
        <w:tc>
          <w:tcPr>
            <w:tcW w:w="4890" w:type="dxa"/>
            <w:noWrap w:val="0"/>
            <w:vAlign w:val="center"/>
          </w:tcPr>
          <w:p w14:paraId="0E405B6B">
            <w:pPr>
              <w:spacing w:line="360" w:lineRule="auto"/>
              <w:ind w:right="105" w:rightChars="50"/>
              <w:jc w:val="left"/>
              <w:textAlignment w:val="top"/>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统一社会信用代码：</w:t>
            </w:r>
          </w:p>
        </w:tc>
      </w:tr>
      <w:tr w14:paraId="60D2AAEA">
        <w:tblPrEx>
          <w:tblCellMar>
            <w:top w:w="0" w:type="dxa"/>
            <w:left w:w="108" w:type="dxa"/>
            <w:bottom w:w="0" w:type="dxa"/>
            <w:right w:w="108" w:type="dxa"/>
          </w:tblCellMar>
        </w:tblPrEx>
        <w:trPr>
          <w:trHeight w:val="737" w:hRule="atLeast"/>
        </w:trPr>
        <w:tc>
          <w:tcPr>
            <w:tcW w:w="4725" w:type="dxa"/>
            <w:noWrap w:val="0"/>
            <w:vAlign w:val="top"/>
          </w:tcPr>
          <w:p w14:paraId="551BD19F">
            <w:pPr>
              <w:spacing w:line="360" w:lineRule="auto"/>
              <w:ind w:right="105" w:rightChars="50"/>
              <w:textAlignment w:val="top"/>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  址：南宁市青秀区桃源路6号 </w:t>
            </w:r>
          </w:p>
        </w:tc>
        <w:tc>
          <w:tcPr>
            <w:tcW w:w="4890" w:type="dxa"/>
            <w:noWrap w:val="0"/>
            <w:vAlign w:val="top"/>
          </w:tcPr>
          <w:p w14:paraId="2554C3D3">
            <w:pPr>
              <w:spacing w:line="360" w:lineRule="auto"/>
              <w:ind w:right="105" w:rightChars="50"/>
              <w:textAlignment w:val="top"/>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地  址：</w:t>
            </w:r>
            <w:r>
              <w:rPr>
                <w:rFonts w:hint="eastAsia" w:ascii="宋体" w:hAnsi="宋体" w:eastAsia="宋体" w:cs="宋体"/>
                <w:color w:val="auto"/>
                <w:sz w:val="24"/>
                <w:highlight w:val="none"/>
              </w:rPr>
              <w:t xml:space="preserve"> </w:t>
            </w:r>
          </w:p>
        </w:tc>
      </w:tr>
      <w:tr w14:paraId="4189EE61">
        <w:tblPrEx>
          <w:tblCellMar>
            <w:top w:w="0" w:type="dxa"/>
            <w:left w:w="108" w:type="dxa"/>
            <w:bottom w:w="0" w:type="dxa"/>
            <w:right w:w="108" w:type="dxa"/>
          </w:tblCellMar>
        </w:tblPrEx>
        <w:trPr>
          <w:trHeight w:val="680" w:hRule="atLeast"/>
        </w:trPr>
        <w:tc>
          <w:tcPr>
            <w:tcW w:w="4725" w:type="dxa"/>
            <w:noWrap w:val="0"/>
            <w:vAlign w:val="center"/>
          </w:tcPr>
          <w:p w14:paraId="678BE389">
            <w:pPr>
              <w:spacing w:line="360" w:lineRule="auto"/>
              <w:ind w:right="105" w:rightChars="50"/>
              <w:textAlignment w:val="top"/>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邮政编码： </w:t>
            </w:r>
            <w:r>
              <w:rPr>
                <w:rFonts w:hint="eastAsia" w:ascii="宋体" w:hAnsi="宋体" w:eastAsia="宋体" w:cs="宋体"/>
                <w:color w:val="auto"/>
                <w:sz w:val="24"/>
                <w:highlight w:val="none"/>
              </w:rPr>
              <w:t>530016</w:t>
            </w:r>
          </w:p>
        </w:tc>
        <w:tc>
          <w:tcPr>
            <w:tcW w:w="4890" w:type="dxa"/>
            <w:noWrap w:val="0"/>
            <w:vAlign w:val="center"/>
          </w:tcPr>
          <w:p w14:paraId="3D415CE0">
            <w:pPr>
              <w:spacing w:line="360" w:lineRule="auto"/>
              <w:ind w:right="105" w:rightChars="50"/>
              <w:textAlignment w:val="top"/>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邮政编码：</w:t>
            </w:r>
          </w:p>
        </w:tc>
      </w:tr>
      <w:tr w14:paraId="3C41080E">
        <w:tblPrEx>
          <w:tblCellMar>
            <w:top w:w="0" w:type="dxa"/>
            <w:left w:w="108" w:type="dxa"/>
            <w:bottom w:w="0" w:type="dxa"/>
            <w:right w:w="108" w:type="dxa"/>
          </w:tblCellMar>
        </w:tblPrEx>
        <w:trPr>
          <w:trHeight w:val="680" w:hRule="atLeast"/>
        </w:trPr>
        <w:tc>
          <w:tcPr>
            <w:tcW w:w="4725" w:type="dxa"/>
            <w:noWrap w:val="0"/>
            <w:vAlign w:val="center"/>
          </w:tcPr>
          <w:p w14:paraId="4B65E629">
            <w:pPr>
              <w:spacing w:line="360" w:lineRule="auto"/>
              <w:ind w:right="105" w:rightChars="50"/>
              <w:textAlignment w:val="top"/>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开户银行：</w:t>
            </w:r>
          </w:p>
        </w:tc>
        <w:tc>
          <w:tcPr>
            <w:tcW w:w="4890" w:type="dxa"/>
            <w:noWrap w:val="0"/>
            <w:vAlign w:val="center"/>
          </w:tcPr>
          <w:p w14:paraId="10FBDF7B">
            <w:pPr>
              <w:spacing w:line="360" w:lineRule="auto"/>
              <w:ind w:right="105" w:rightChars="50"/>
              <w:textAlignment w:val="top"/>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电  话：</w:t>
            </w:r>
            <w:r>
              <w:rPr>
                <w:rFonts w:hint="eastAsia" w:ascii="宋体" w:hAnsi="宋体" w:eastAsia="宋体" w:cs="宋体"/>
                <w:color w:val="auto"/>
                <w:sz w:val="24"/>
                <w:highlight w:val="none"/>
              </w:rPr>
              <w:t xml:space="preserve"> </w:t>
            </w:r>
          </w:p>
        </w:tc>
      </w:tr>
      <w:tr w14:paraId="1E925D87">
        <w:tblPrEx>
          <w:tblCellMar>
            <w:top w:w="0" w:type="dxa"/>
            <w:left w:w="108" w:type="dxa"/>
            <w:bottom w:w="0" w:type="dxa"/>
            <w:right w:w="108" w:type="dxa"/>
          </w:tblCellMar>
        </w:tblPrEx>
        <w:trPr>
          <w:trHeight w:val="680" w:hRule="atLeast"/>
        </w:trPr>
        <w:tc>
          <w:tcPr>
            <w:tcW w:w="4725" w:type="dxa"/>
            <w:noWrap w:val="0"/>
            <w:vAlign w:val="center"/>
          </w:tcPr>
          <w:p w14:paraId="29E04AA8">
            <w:pPr>
              <w:spacing w:line="360" w:lineRule="auto"/>
              <w:ind w:right="105" w:rightChars="50"/>
              <w:textAlignment w:val="top"/>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账  号：</w:t>
            </w:r>
          </w:p>
        </w:tc>
        <w:tc>
          <w:tcPr>
            <w:tcW w:w="4890" w:type="dxa"/>
            <w:noWrap w:val="0"/>
            <w:vAlign w:val="center"/>
          </w:tcPr>
          <w:p w14:paraId="7479F142">
            <w:pPr>
              <w:spacing w:line="360" w:lineRule="auto"/>
              <w:ind w:right="105" w:rightChars="50"/>
              <w:textAlignment w:val="top"/>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传  真：</w:t>
            </w:r>
            <w:r>
              <w:rPr>
                <w:rFonts w:hint="eastAsia" w:ascii="宋体" w:hAnsi="宋体" w:eastAsia="宋体" w:cs="宋体"/>
                <w:color w:val="auto"/>
                <w:sz w:val="24"/>
                <w:highlight w:val="none"/>
              </w:rPr>
              <w:t xml:space="preserve"> </w:t>
            </w:r>
          </w:p>
        </w:tc>
      </w:tr>
      <w:tr w14:paraId="53C2DE96">
        <w:tblPrEx>
          <w:tblCellMar>
            <w:top w:w="0" w:type="dxa"/>
            <w:left w:w="108" w:type="dxa"/>
            <w:bottom w:w="0" w:type="dxa"/>
            <w:right w:w="108" w:type="dxa"/>
          </w:tblCellMar>
        </w:tblPrEx>
        <w:trPr>
          <w:trHeight w:val="680" w:hRule="atLeast"/>
        </w:trPr>
        <w:tc>
          <w:tcPr>
            <w:tcW w:w="4725" w:type="dxa"/>
            <w:noWrap w:val="0"/>
            <w:vAlign w:val="center"/>
          </w:tcPr>
          <w:p w14:paraId="67317546">
            <w:pPr>
              <w:spacing w:line="360" w:lineRule="auto"/>
              <w:ind w:right="105" w:rightChars="50"/>
              <w:textAlignment w:val="top"/>
              <w:rPr>
                <w:rFonts w:hint="eastAsia" w:ascii="宋体" w:hAnsi="宋体" w:eastAsia="宋体" w:cs="宋体"/>
                <w:color w:val="auto"/>
                <w:sz w:val="24"/>
                <w:szCs w:val="21"/>
                <w:highlight w:val="none"/>
              </w:rPr>
            </w:pPr>
          </w:p>
        </w:tc>
        <w:tc>
          <w:tcPr>
            <w:tcW w:w="4890" w:type="dxa"/>
            <w:noWrap w:val="0"/>
            <w:vAlign w:val="center"/>
          </w:tcPr>
          <w:p w14:paraId="2ABE4BFF">
            <w:pPr>
              <w:spacing w:line="360" w:lineRule="auto"/>
              <w:ind w:right="105" w:rightChars="50"/>
              <w:textAlignment w:val="top"/>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电子信箱： </w:t>
            </w:r>
          </w:p>
        </w:tc>
      </w:tr>
      <w:tr w14:paraId="68067EF0">
        <w:tblPrEx>
          <w:tblCellMar>
            <w:top w:w="0" w:type="dxa"/>
            <w:left w:w="108" w:type="dxa"/>
            <w:bottom w:w="0" w:type="dxa"/>
            <w:right w:w="108" w:type="dxa"/>
          </w:tblCellMar>
        </w:tblPrEx>
        <w:trPr>
          <w:trHeight w:val="680" w:hRule="atLeast"/>
        </w:trPr>
        <w:tc>
          <w:tcPr>
            <w:tcW w:w="4725" w:type="dxa"/>
            <w:noWrap w:val="0"/>
            <w:vAlign w:val="center"/>
          </w:tcPr>
          <w:p w14:paraId="63639E2B">
            <w:pPr>
              <w:spacing w:line="360" w:lineRule="auto"/>
              <w:ind w:right="105" w:rightChars="50"/>
              <w:textAlignment w:val="top"/>
              <w:rPr>
                <w:rFonts w:hint="eastAsia" w:ascii="宋体" w:hAnsi="宋体" w:eastAsia="宋体" w:cs="宋体"/>
                <w:color w:val="auto"/>
                <w:sz w:val="24"/>
                <w:szCs w:val="21"/>
                <w:highlight w:val="none"/>
              </w:rPr>
            </w:pPr>
          </w:p>
        </w:tc>
        <w:tc>
          <w:tcPr>
            <w:tcW w:w="4890" w:type="dxa"/>
            <w:noWrap w:val="0"/>
            <w:vAlign w:val="center"/>
          </w:tcPr>
          <w:p w14:paraId="112ED3A3">
            <w:pPr>
              <w:spacing w:line="360" w:lineRule="auto"/>
              <w:ind w:right="105" w:rightChars="50"/>
              <w:textAlignment w:val="top"/>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开户银行：</w:t>
            </w:r>
            <w:r>
              <w:rPr>
                <w:rFonts w:hint="eastAsia" w:ascii="宋体" w:hAnsi="宋体" w:eastAsia="宋体" w:cs="宋体"/>
                <w:color w:val="auto"/>
                <w:sz w:val="24"/>
                <w:highlight w:val="none"/>
              </w:rPr>
              <w:t xml:space="preserve"> </w:t>
            </w:r>
          </w:p>
        </w:tc>
      </w:tr>
      <w:tr w14:paraId="5A361A11">
        <w:tblPrEx>
          <w:tblCellMar>
            <w:top w:w="0" w:type="dxa"/>
            <w:left w:w="108" w:type="dxa"/>
            <w:bottom w:w="0" w:type="dxa"/>
            <w:right w:w="108" w:type="dxa"/>
          </w:tblCellMar>
        </w:tblPrEx>
        <w:trPr>
          <w:trHeight w:val="680" w:hRule="atLeast"/>
        </w:trPr>
        <w:tc>
          <w:tcPr>
            <w:tcW w:w="4725" w:type="dxa"/>
            <w:noWrap w:val="0"/>
            <w:vAlign w:val="center"/>
          </w:tcPr>
          <w:p w14:paraId="009E2E71">
            <w:pPr>
              <w:spacing w:line="360" w:lineRule="auto"/>
              <w:ind w:right="105" w:rightChars="50"/>
              <w:textAlignment w:val="top"/>
              <w:rPr>
                <w:rFonts w:hint="eastAsia" w:ascii="宋体" w:hAnsi="宋体" w:eastAsia="宋体" w:cs="宋体"/>
                <w:color w:val="auto"/>
                <w:sz w:val="24"/>
                <w:szCs w:val="21"/>
                <w:highlight w:val="none"/>
              </w:rPr>
            </w:pPr>
          </w:p>
        </w:tc>
        <w:tc>
          <w:tcPr>
            <w:tcW w:w="4890" w:type="dxa"/>
            <w:noWrap w:val="0"/>
            <w:vAlign w:val="center"/>
          </w:tcPr>
          <w:p w14:paraId="087B25FD">
            <w:pPr>
              <w:spacing w:line="360" w:lineRule="auto"/>
              <w:ind w:right="105" w:rightChars="50"/>
              <w:textAlignment w:val="top"/>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账  号：</w:t>
            </w:r>
            <w:r>
              <w:rPr>
                <w:rFonts w:hint="eastAsia" w:ascii="宋体" w:hAnsi="宋体" w:eastAsia="宋体" w:cs="宋体"/>
                <w:color w:val="auto"/>
                <w:sz w:val="24"/>
                <w:highlight w:val="none"/>
              </w:rPr>
              <w:t xml:space="preserve">  </w:t>
            </w:r>
          </w:p>
        </w:tc>
      </w:tr>
      <w:tr w14:paraId="0E03EC79">
        <w:tblPrEx>
          <w:tblCellMar>
            <w:top w:w="0" w:type="dxa"/>
            <w:left w:w="108" w:type="dxa"/>
            <w:bottom w:w="0" w:type="dxa"/>
            <w:right w:w="108" w:type="dxa"/>
          </w:tblCellMar>
        </w:tblPrEx>
        <w:trPr>
          <w:trHeight w:val="680" w:hRule="atLeast"/>
        </w:trPr>
        <w:tc>
          <w:tcPr>
            <w:tcW w:w="4725" w:type="dxa"/>
            <w:noWrap w:val="0"/>
            <w:vAlign w:val="center"/>
          </w:tcPr>
          <w:p w14:paraId="4A2D695B">
            <w:pPr>
              <w:spacing w:line="360" w:lineRule="auto"/>
              <w:ind w:right="105" w:rightChars="50"/>
              <w:textAlignment w:val="top"/>
              <w:rPr>
                <w:rFonts w:hint="eastAsia" w:ascii="宋体" w:hAnsi="宋体" w:eastAsia="宋体" w:cs="宋体"/>
                <w:color w:val="auto"/>
                <w:sz w:val="24"/>
                <w:szCs w:val="21"/>
                <w:highlight w:val="none"/>
              </w:rPr>
            </w:pPr>
            <w:r>
              <w:rPr>
                <w:rFonts w:hint="eastAsia" w:ascii="宋体" w:hAnsi="宋体" w:eastAsia="宋体" w:cs="宋体"/>
                <w:color w:val="auto"/>
                <w:sz w:val="24"/>
                <w:highlight w:val="none"/>
              </w:rPr>
              <w:t>签订</w:t>
            </w:r>
            <w:r>
              <w:rPr>
                <w:rFonts w:hint="eastAsia" w:ascii="宋体" w:hAnsi="宋体" w:eastAsia="宋体" w:cs="宋体"/>
                <w:color w:val="auto"/>
                <w:sz w:val="24"/>
                <w:szCs w:val="21"/>
                <w:highlight w:val="none"/>
              </w:rPr>
              <w:t>时间：   年   月   日</w:t>
            </w:r>
          </w:p>
        </w:tc>
        <w:tc>
          <w:tcPr>
            <w:tcW w:w="4890" w:type="dxa"/>
            <w:noWrap w:val="0"/>
            <w:vAlign w:val="center"/>
          </w:tcPr>
          <w:p w14:paraId="64562D20">
            <w:pPr>
              <w:spacing w:line="360" w:lineRule="auto"/>
              <w:ind w:right="105" w:rightChars="50"/>
              <w:textAlignment w:val="top"/>
              <w:rPr>
                <w:rFonts w:hint="eastAsia" w:ascii="宋体" w:hAnsi="宋体" w:eastAsia="宋体" w:cs="宋体"/>
                <w:color w:val="auto"/>
                <w:sz w:val="24"/>
                <w:szCs w:val="21"/>
                <w:highlight w:val="none"/>
              </w:rPr>
            </w:pPr>
            <w:r>
              <w:rPr>
                <w:rFonts w:hint="eastAsia" w:ascii="宋体" w:hAnsi="宋体" w:eastAsia="宋体" w:cs="宋体"/>
                <w:color w:val="auto"/>
                <w:sz w:val="24"/>
                <w:highlight w:val="none"/>
              </w:rPr>
              <w:t>签订</w:t>
            </w:r>
            <w:r>
              <w:rPr>
                <w:rFonts w:hint="eastAsia" w:ascii="宋体" w:hAnsi="宋体" w:eastAsia="宋体" w:cs="宋体"/>
                <w:color w:val="auto"/>
                <w:sz w:val="24"/>
                <w:szCs w:val="21"/>
                <w:highlight w:val="none"/>
              </w:rPr>
              <w:t>时间：   年   月   日</w:t>
            </w:r>
          </w:p>
        </w:tc>
      </w:tr>
    </w:tbl>
    <w:p w14:paraId="7794C96D">
      <w:pPr>
        <w:spacing w:line="360" w:lineRule="auto"/>
        <w:rPr>
          <w:rFonts w:hint="eastAsia" w:ascii="宋体" w:hAnsi="宋体" w:eastAsia="宋体" w:cs="宋体"/>
          <w:color w:val="auto"/>
          <w:sz w:val="24"/>
          <w:highlight w:val="none"/>
        </w:rPr>
      </w:pPr>
    </w:p>
    <w:p w14:paraId="1C5A73BC">
      <w:pPr>
        <w:spacing w:line="360" w:lineRule="auto"/>
        <w:rPr>
          <w:rFonts w:hint="eastAsia" w:ascii="宋体" w:hAnsi="宋体" w:eastAsia="宋体" w:cs="宋体"/>
          <w:color w:val="auto"/>
          <w:sz w:val="24"/>
          <w:highlight w:val="none"/>
        </w:rPr>
      </w:pPr>
    </w:p>
    <w:p w14:paraId="3F7DEA25">
      <w:pPr>
        <w:spacing w:line="360" w:lineRule="auto"/>
        <w:rPr>
          <w:rFonts w:hint="eastAsia" w:ascii="宋体" w:hAnsi="宋体" w:eastAsia="宋体" w:cs="宋体"/>
          <w:color w:val="auto"/>
          <w:sz w:val="24"/>
          <w:highlight w:val="none"/>
        </w:rPr>
      </w:pPr>
    </w:p>
    <w:p w14:paraId="01233A8A">
      <w:pPr>
        <w:spacing w:line="360" w:lineRule="auto"/>
        <w:rPr>
          <w:rFonts w:hint="eastAsia" w:ascii="宋体" w:hAnsi="宋体" w:eastAsia="宋体" w:cs="宋体"/>
          <w:color w:val="auto"/>
          <w:kern w:val="0"/>
          <w:sz w:val="24"/>
          <w:highlight w:val="none"/>
        </w:rPr>
      </w:pPr>
    </w:p>
    <w:p w14:paraId="0AAB37F8">
      <w:pPr>
        <w:spacing w:line="360" w:lineRule="auto"/>
        <w:ind w:left="5250" w:leftChars="2500"/>
        <w:rPr>
          <w:rFonts w:hint="eastAsia" w:ascii="宋体" w:hAnsi="宋体" w:eastAsia="宋体" w:cs="宋体"/>
          <w:color w:val="auto"/>
          <w:kern w:val="0"/>
          <w:sz w:val="24"/>
          <w:highlight w:val="none"/>
        </w:rPr>
      </w:pPr>
    </w:p>
    <w:p w14:paraId="7A20F356">
      <w:pPr>
        <w:spacing w:line="360" w:lineRule="auto"/>
        <w:rPr>
          <w:rFonts w:hint="eastAsia" w:ascii="宋体" w:hAnsi="宋体" w:eastAsia="宋体" w:cs="宋体"/>
          <w:color w:val="auto"/>
          <w:szCs w:val="21"/>
          <w:highlight w:val="none"/>
        </w:rPr>
      </w:pPr>
    </w:p>
    <w:p w14:paraId="311463F1">
      <w:pPr>
        <w:spacing w:line="360" w:lineRule="auto"/>
        <w:rPr>
          <w:rFonts w:hint="eastAsia" w:ascii="宋体" w:hAnsi="宋体" w:eastAsia="宋体" w:cs="宋体"/>
          <w:color w:val="auto"/>
          <w:kern w:val="0"/>
          <w:sz w:val="24"/>
          <w:highlight w:val="none"/>
        </w:rPr>
      </w:pPr>
    </w:p>
    <w:p w14:paraId="3CDDF6C6">
      <w:pPr>
        <w:spacing w:line="360" w:lineRule="auto"/>
        <w:rPr>
          <w:rFonts w:hint="eastAsia" w:ascii="宋体" w:hAnsi="宋体" w:eastAsia="宋体" w:cs="宋体"/>
          <w:color w:val="auto"/>
          <w:kern w:val="0"/>
          <w:sz w:val="24"/>
          <w:highlight w:val="none"/>
        </w:rPr>
      </w:pPr>
    </w:p>
    <w:p w14:paraId="1F1B00FC">
      <w:pPr>
        <w:spacing w:line="360" w:lineRule="auto"/>
        <w:rPr>
          <w:rFonts w:hint="eastAsia" w:ascii="宋体" w:hAnsi="宋体" w:eastAsia="宋体" w:cs="宋体"/>
          <w:color w:val="auto"/>
          <w:kern w:val="0"/>
          <w:sz w:val="24"/>
          <w:highlight w:val="none"/>
        </w:rPr>
      </w:pPr>
    </w:p>
    <w:p w14:paraId="44E7E2FD">
      <w:pPr>
        <w:spacing w:line="360" w:lineRule="auto"/>
        <w:ind w:left="5250" w:leftChars="25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p>
    <w:p w14:paraId="30AF5CE3">
      <w:pPr>
        <w:keepNext/>
        <w:keepLines/>
        <w:spacing w:line="360" w:lineRule="auto"/>
        <w:jc w:val="center"/>
        <w:outlineLvl w:val="0"/>
        <w:rPr>
          <w:rFonts w:hint="eastAsia" w:ascii="宋体" w:hAnsi="宋体" w:eastAsia="宋体" w:cs="宋体"/>
          <w:b/>
          <w:bCs/>
          <w:color w:val="auto"/>
          <w:kern w:val="44"/>
          <w:sz w:val="32"/>
          <w:szCs w:val="32"/>
          <w:highlight w:val="none"/>
          <w:lang w:val="zh-CN"/>
        </w:rPr>
      </w:pPr>
      <w:bookmarkStart w:id="69" w:name="_Toc78449778"/>
      <w:bookmarkStart w:id="70" w:name="_Toc162971350"/>
      <w:bookmarkStart w:id="71" w:name="_Toc389065256"/>
      <w:bookmarkStart w:id="72" w:name="_Toc1714491818"/>
      <w:bookmarkStart w:id="73" w:name="_Toc407135192"/>
      <w:bookmarkStart w:id="74" w:name="_Toc86847323"/>
      <w:bookmarkStart w:id="75" w:name="_Toc373478338"/>
      <w:bookmarkStart w:id="76" w:name="_Toc351203632"/>
      <w:bookmarkStart w:id="77" w:name="_Toc373227691"/>
      <w:r>
        <w:rPr>
          <w:rFonts w:hint="eastAsia" w:ascii="宋体" w:hAnsi="宋体" w:eastAsia="宋体" w:cs="宋体"/>
          <w:b/>
          <w:bCs/>
          <w:color w:val="auto"/>
          <w:kern w:val="44"/>
          <w:sz w:val="30"/>
          <w:szCs w:val="30"/>
          <w:highlight w:val="none"/>
          <w:lang w:val="zh-CN"/>
        </w:rPr>
        <w:t>第二部分  通用合同条款</w:t>
      </w:r>
      <w:bookmarkEnd w:id="69"/>
      <w:bookmarkEnd w:id="70"/>
      <w:bookmarkEnd w:id="71"/>
      <w:bookmarkEnd w:id="72"/>
      <w:bookmarkEnd w:id="73"/>
      <w:bookmarkEnd w:id="74"/>
    </w:p>
    <w:p w14:paraId="329EEC21">
      <w:pPr>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采用《建设工程施工合同（示范文本）》（GF—2017—0201）。</w:t>
      </w:r>
      <w:bookmarkStart w:id="78" w:name="_Toc337558727"/>
    </w:p>
    <w:bookmarkEnd w:id="78"/>
    <w:p w14:paraId="3C70CB24">
      <w:pPr>
        <w:spacing w:line="360" w:lineRule="auto"/>
        <w:rPr>
          <w:rFonts w:hint="eastAsia" w:ascii="宋体" w:hAnsi="宋体" w:eastAsia="宋体" w:cs="宋体"/>
          <w:color w:val="auto"/>
          <w:highlight w:val="none"/>
          <w:lang w:val="zh-CN"/>
        </w:rPr>
      </w:pPr>
      <w:bookmarkStart w:id="79" w:name="_Toc1204138598"/>
      <w:bookmarkStart w:id="80" w:name="_Toc78449779"/>
      <w:bookmarkStart w:id="81" w:name="_Toc704444909"/>
      <w:bookmarkStart w:id="82" w:name="_Toc389065257"/>
      <w:bookmarkStart w:id="83" w:name="_Toc407135193"/>
    </w:p>
    <w:p w14:paraId="45508BBA">
      <w:pPr>
        <w:spacing w:line="360" w:lineRule="auto"/>
        <w:jc w:val="center"/>
        <w:outlineLvl w:val="0"/>
        <w:rPr>
          <w:rFonts w:hint="eastAsia" w:ascii="宋体" w:hAnsi="宋体" w:eastAsia="宋体" w:cs="宋体"/>
          <w:b/>
          <w:bCs/>
          <w:color w:val="auto"/>
          <w:kern w:val="44"/>
          <w:sz w:val="30"/>
          <w:szCs w:val="30"/>
          <w:highlight w:val="none"/>
          <w:lang w:val="zh-CN"/>
        </w:rPr>
      </w:pPr>
      <w:bookmarkStart w:id="84" w:name="_Toc162971351"/>
      <w:r>
        <w:rPr>
          <w:rFonts w:hint="eastAsia" w:ascii="宋体" w:hAnsi="宋体" w:eastAsia="宋体" w:cs="宋体"/>
          <w:b/>
          <w:bCs/>
          <w:color w:val="auto"/>
          <w:kern w:val="44"/>
          <w:sz w:val="30"/>
          <w:szCs w:val="30"/>
          <w:highlight w:val="none"/>
          <w:lang w:val="zh-CN"/>
        </w:rPr>
        <w:t>第三部分  专用合同条款</w:t>
      </w:r>
      <w:bookmarkEnd w:id="75"/>
      <w:bookmarkEnd w:id="76"/>
      <w:bookmarkEnd w:id="77"/>
      <w:bookmarkEnd w:id="79"/>
      <w:bookmarkEnd w:id="80"/>
      <w:bookmarkEnd w:id="81"/>
      <w:bookmarkEnd w:id="82"/>
      <w:bookmarkEnd w:id="83"/>
      <w:bookmarkEnd w:id="84"/>
    </w:p>
    <w:p w14:paraId="28C1FFCB">
      <w:pPr>
        <w:spacing w:line="360" w:lineRule="auto"/>
        <w:jc w:val="center"/>
        <w:rPr>
          <w:rFonts w:hint="eastAsia" w:ascii="宋体" w:hAnsi="宋体" w:eastAsia="宋体" w:cs="宋体"/>
          <w:b/>
          <w:bCs/>
          <w:color w:val="auto"/>
          <w:kern w:val="0"/>
          <w:sz w:val="24"/>
          <w:highlight w:val="none"/>
        </w:rPr>
      </w:pPr>
    </w:p>
    <w:p w14:paraId="06DBF4CB">
      <w:pPr>
        <w:keepNext/>
        <w:keepLines/>
        <w:spacing w:before="60" w:after="60" w:line="360" w:lineRule="auto"/>
        <w:outlineLvl w:val="1"/>
        <w:rPr>
          <w:rFonts w:hint="eastAsia" w:ascii="宋体" w:hAnsi="宋体" w:eastAsia="宋体" w:cs="宋体"/>
          <w:b/>
          <w:bCs/>
          <w:color w:val="auto"/>
          <w:kern w:val="0"/>
          <w:sz w:val="24"/>
          <w:highlight w:val="none"/>
          <w:lang w:val="zh-CN"/>
        </w:rPr>
      </w:pPr>
      <w:bookmarkStart w:id="85" w:name="_Toc351203633"/>
      <w:bookmarkStart w:id="86" w:name="_Toc78449780"/>
      <w:bookmarkStart w:id="87" w:name="_Toc1516097295"/>
      <w:bookmarkStart w:id="88" w:name="_Toc373227692"/>
      <w:bookmarkStart w:id="89" w:name="_Toc1013968286"/>
      <w:bookmarkStart w:id="90" w:name="_Toc373478339"/>
      <w:bookmarkStart w:id="91" w:name="_Toc407135194"/>
      <w:bookmarkStart w:id="92" w:name="_Toc389065258"/>
      <w:bookmarkStart w:id="93" w:name="_Toc162971352"/>
      <w:r>
        <w:rPr>
          <w:rFonts w:hint="eastAsia" w:ascii="宋体" w:hAnsi="宋体" w:eastAsia="宋体" w:cs="宋体"/>
          <w:b/>
          <w:bCs/>
          <w:color w:val="auto"/>
          <w:kern w:val="0"/>
          <w:sz w:val="24"/>
          <w:highlight w:val="none"/>
          <w:lang w:val="zh-CN"/>
        </w:rPr>
        <w:t>1</w:t>
      </w:r>
      <w:bookmarkStart w:id="94" w:name="_Toc297048342"/>
      <w:bookmarkStart w:id="95" w:name="_Toc292559866"/>
      <w:bookmarkStart w:id="96" w:name="_Toc296891196"/>
      <w:bookmarkStart w:id="97" w:name="_Toc296503156"/>
      <w:bookmarkStart w:id="98" w:name="_Toc297120456"/>
      <w:bookmarkStart w:id="99" w:name="_Toc296890984"/>
      <w:bookmarkStart w:id="100" w:name="_Toc296346657"/>
      <w:bookmarkStart w:id="101" w:name="_Toc296347155"/>
      <w:bookmarkStart w:id="102" w:name="_Toc296944495"/>
      <w:bookmarkStart w:id="103" w:name="_Toc292559361"/>
      <w:r>
        <w:rPr>
          <w:rFonts w:hint="eastAsia" w:ascii="宋体" w:hAnsi="宋体" w:eastAsia="宋体" w:cs="宋体"/>
          <w:b/>
          <w:bCs/>
          <w:color w:val="auto"/>
          <w:kern w:val="0"/>
          <w:sz w:val="24"/>
          <w:highlight w:val="none"/>
          <w:lang w:val="zh-CN"/>
        </w:rPr>
        <w:t>. 一般约定</w:t>
      </w:r>
      <w:bookmarkEnd w:id="85"/>
      <w:bookmarkEnd w:id="86"/>
      <w:bookmarkEnd w:id="87"/>
      <w:bookmarkEnd w:id="88"/>
      <w:bookmarkEnd w:id="89"/>
      <w:bookmarkEnd w:id="90"/>
      <w:bookmarkEnd w:id="91"/>
      <w:bookmarkEnd w:id="92"/>
      <w:bookmarkEnd w:id="93"/>
    </w:p>
    <w:bookmarkEnd w:id="94"/>
    <w:bookmarkEnd w:id="95"/>
    <w:bookmarkEnd w:id="96"/>
    <w:bookmarkEnd w:id="97"/>
    <w:bookmarkEnd w:id="98"/>
    <w:bookmarkEnd w:id="99"/>
    <w:bookmarkEnd w:id="100"/>
    <w:bookmarkEnd w:id="101"/>
    <w:bookmarkEnd w:id="102"/>
    <w:bookmarkEnd w:id="103"/>
    <w:p w14:paraId="18F1D7E0">
      <w:pPr>
        <w:keepNext/>
        <w:keepLines/>
        <w:spacing w:line="360" w:lineRule="auto"/>
        <w:outlineLvl w:val="2"/>
        <w:rPr>
          <w:rFonts w:hint="eastAsia" w:ascii="宋体" w:hAnsi="宋体" w:eastAsia="宋体" w:cs="宋体"/>
          <w:b/>
          <w:bCs/>
          <w:color w:val="auto"/>
          <w:kern w:val="0"/>
          <w:sz w:val="24"/>
          <w:highlight w:val="none"/>
          <w:lang w:val="zh-CN"/>
        </w:rPr>
      </w:pPr>
      <w:bookmarkStart w:id="104" w:name="_Toc155697041"/>
      <w:bookmarkStart w:id="105" w:name="_Toc162971353"/>
      <w:bookmarkStart w:id="106" w:name="_Toc373478340"/>
      <w:bookmarkStart w:id="107" w:name="_Toc373227693"/>
      <w:bookmarkStart w:id="108" w:name="_Toc1618220701"/>
      <w:bookmarkStart w:id="109" w:name="_Toc78449781"/>
      <w:bookmarkStart w:id="110" w:name="_Toc389065259"/>
      <w:bookmarkStart w:id="111" w:name="_Toc407135195"/>
      <w:r>
        <w:rPr>
          <w:rFonts w:hint="eastAsia" w:ascii="宋体" w:hAnsi="宋体" w:eastAsia="宋体" w:cs="宋体"/>
          <w:b/>
          <w:bCs/>
          <w:color w:val="auto"/>
          <w:kern w:val="0"/>
          <w:sz w:val="24"/>
          <w:highlight w:val="none"/>
          <w:lang w:val="zh-CN"/>
        </w:rPr>
        <w:t>1.1 词语定义</w:t>
      </w:r>
      <w:bookmarkEnd w:id="104"/>
      <w:bookmarkEnd w:id="105"/>
      <w:bookmarkEnd w:id="106"/>
      <w:bookmarkEnd w:id="107"/>
      <w:bookmarkEnd w:id="108"/>
      <w:bookmarkEnd w:id="109"/>
      <w:bookmarkEnd w:id="110"/>
      <w:bookmarkEnd w:id="111"/>
    </w:p>
    <w:p w14:paraId="1C6C778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1.1.1 合同</w:t>
      </w:r>
    </w:p>
    <w:p w14:paraId="195D61D8">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1.1.1.10 其他合同文件包括：</w:t>
      </w:r>
      <w:r>
        <w:rPr>
          <w:rFonts w:hint="eastAsia" w:ascii="宋体" w:hAnsi="宋体" w:eastAsia="宋体" w:cs="宋体"/>
          <w:color w:val="auto"/>
          <w:sz w:val="24"/>
          <w:highlight w:val="none"/>
          <w:u w:val="single"/>
        </w:rPr>
        <w:t>其它有关本工程的洽商、变更等书面协议，经发包人认可的工程签证单，经发包人审核书面同意的施工组织设计及各项施工方案，经发包人、承包人确认的会议纪要、备忘录、往来函件等文件</w:t>
      </w:r>
      <w:r>
        <w:rPr>
          <w:rFonts w:hint="eastAsia" w:ascii="宋体" w:hAnsi="宋体" w:eastAsia="宋体" w:cs="宋体"/>
          <w:color w:val="auto"/>
          <w:sz w:val="24"/>
          <w:highlight w:val="none"/>
        </w:rPr>
        <w:t>。</w:t>
      </w:r>
    </w:p>
    <w:p w14:paraId="3422D4A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合同当事人及其他相关方</w:t>
      </w:r>
    </w:p>
    <w:p w14:paraId="6DC311AB">
      <w:pPr>
        <w:spacing w:line="360" w:lineRule="auto"/>
        <w:ind w:firstLine="480" w:firstLineChars="200"/>
        <w:outlineLvl w:val="0"/>
        <w:rPr>
          <w:rFonts w:hint="eastAsia" w:ascii="宋体" w:hAnsi="宋体" w:eastAsia="宋体" w:cs="宋体"/>
          <w:color w:val="auto"/>
          <w:sz w:val="24"/>
          <w:highlight w:val="none"/>
          <w:u w:val="single"/>
        </w:rPr>
      </w:pPr>
      <w:bookmarkStart w:id="112" w:name="_Toc162971354"/>
      <w:r>
        <w:rPr>
          <w:rFonts w:hint="eastAsia" w:ascii="宋体" w:hAnsi="宋体" w:eastAsia="宋体" w:cs="宋体"/>
          <w:color w:val="auto"/>
          <w:sz w:val="24"/>
          <w:highlight w:val="none"/>
        </w:rPr>
        <w:t>1.1.2.4 监理人：</w:t>
      </w:r>
      <w:bookmarkEnd w:id="112"/>
    </w:p>
    <w:p w14:paraId="5C8314F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7C2A8F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资质类别和等级：</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6C134BD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1E0FA24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电子信箱：</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7ED5C721">
      <w:pPr>
        <w:spacing w:after="120"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通信地址：</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0824A81B">
      <w:pPr>
        <w:spacing w:after="120"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详见监理合同。</w:t>
      </w:r>
    </w:p>
    <w:p w14:paraId="4A0E8703">
      <w:pPr>
        <w:spacing w:line="360" w:lineRule="auto"/>
        <w:ind w:firstLine="480" w:firstLineChars="200"/>
        <w:outlineLvl w:val="0"/>
        <w:rPr>
          <w:rFonts w:hint="eastAsia" w:ascii="宋体" w:hAnsi="宋体" w:eastAsia="宋体" w:cs="宋体"/>
          <w:color w:val="auto"/>
          <w:sz w:val="24"/>
          <w:highlight w:val="none"/>
        </w:rPr>
      </w:pPr>
      <w:bookmarkStart w:id="113" w:name="_Toc162971355"/>
      <w:r>
        <w:rPr>
          <w:rFonts w:hint="eastAsia" w:ascii="宋体" w:hAnsi="宋体" w:eastAsia="宋体" w:cs="宋体"/>
          <w:color w:val="auto"/>
          <w:sz w:val="24"/>
          <w:highlight w:val="none"/>
        </w:rPr>
        <w:t>1.1.2.5 设计人：</w:t>
      </w:r>
      <w:bookmarkEnd w:id="113"/>
    </w:p>
    <w:p w14:paraId="1BE0E77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527707E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资质类别和等级：</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399C9C9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0C47031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通信地址：</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52C8ADAE">
      <w:pPr>
        <w:adjustRightInd w:val="0"/>
        <w:spacing w:after="120" w:line="360" w:lineRule="auto"/>
        <w:ind w:left="63" w:leftChars="30" w:right="63" w:rightChars="30" w:firstLine="360" w:firstLineChars="150"/>
        <w:textAlignment w:val="baseline"/>
        <w:rPr>
          <w:rFonts w:hint="eastAsia" w:ascii="宋体" w:hAnsi="宋体" w:eastAsia="宋体" w:cs="宋体"/>
          <w:color w:val="auto"/>
          <w:szCs w:val="22"/>
          <w:highlight w:val="none"/>
        </w:rPr>
      </w:pPr>
      <w:r>
        <w:rPr>
          <w:rFonts w:hint="eastAsia" w:ascii="宋体" w:hAnsi="宋体" w:eastAsia="宋体" w:cs="宋体"/>
          <w:color w:val="auto"/>
          <w:sz w:val="24"/>
          <w:highlight w:val="none"/>
        </w:rPr>
        <w:t>详见设计合同。</w:t>
      </w:r>
    </w:p>
    <w:p w14:paraId="0FA93C2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工程和设备</w:t>
      </w:r>
    </w:p>
    <w:p w14:paraId="3091AB5B">
      <w:pPr>
        <w:spacing w:line="360" w:lineRule="auto"/>
        <w:ind w:firstLine="480" w:firstLineChars="200"/>
        <w:outlineLvl w:val="0"/>
        <w:rPr>
          <w:rFonts w:hint="eastAsia" w:ascii="宋体" w:hAnsi="宋体" w:eastAsia="宋体" w:cs="宋体"/>
          <w:color w:val="auto"/>
          <w:sz w:val="24"/>
          <w:highlight w:val="none"/>
        </w:rPr>
      </w:pPr>
      <w:bookmarkStart w:id="114" w:name="_Toc162971356"/>
      <w:r>
        <w:rPr>
          <w:rFonts w:hint="eastAsia" w:ascii="宋体" w:hAnsi="宋体" w:eastAsia="宋体" w:cs="宋体"/>
          <w:color w:val="auto"/>
          <w:sz w:val="24"/>
          <w:highlight w:val="none"/>
        </w:rPr>
        <w:t>1.1.3.7 作为施工现场组成部分的其他场所包括：</w:t>
      </w:r>
      <w:r>
        <w:rPr>
          <w:rFonts w:hint="eastAsia" w:ascii="宋体" w:hAnsi="宋体" w:eastAsia="宋体" w:cs="宋体"/>
          <w:color w:val="auto"/>
          <w:sz w:val="24"/>
          <w:highlight w:val="none"/>
          <w:u w:val="single"/>
        </w:rPr>
        <w:t>指为完成合同约定的各项工作所服务的临时性生产和生活设施及临时用地</w:t>
      </w:r>
      <w:r>
        <w:rPr>
          <w:rFonts w:hint="eastAsia" w:ascii="宋体" w:hAnsi="宋体" w:eastAsia="宋体" w:cs="宋体"/>
          <w:color w:val="auto"/>
          <w:sz w:val="24"/>
          <w:highlight w:val="none"/>
        </w:rPr>
        <w:t>。</w:t>
      </w:r>
      <w:bookmarkEnd w:id="114"/>
    </w:p>
    <w:p w14:paraId="078CB667">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1.1.3.9 永久占地包括：</w:t>
      </w:r>
      <w:r>
        <w:rPr>
          <w:rFonts w:hint="eastAsia" w:ascii="宋体" w:hAnsi="宋体" w:eastAsia="宋体" w:cs="宋体"/>
          <w:color w:val="auto"/>
          <w:sz w:val="24"/>
          <w:highlight w:val="none"/>
          <w:u w:val="single"/>
        </w:rPr>
        <w:t>无永久占地</w:t>
      </w:r>
      <w:r>
        <w:rPr>
          <w:rFonts w:hint="eastAsia" w:ascii="宋体" w:hAnsi="宋体" w:eastAsia="宋体" w:cs="宋体"/>
          <w:color w:val="auto"/>
          <w:kern w:val="0"/>
          <w:sz w:val="24"/>
          <w:highlight w:val="none"/>
        </w:rPr>
        <w:t>。</w:t>
      </w:r>
    </w:p>
    <w:p w14:paraId="5A9D46A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1.1.3.10 临时占地包括：</w:t>
      </w:r>
      <w:r>
        <w:rPr>
          <w:rFonts w:hint="eastAsia" w:ascii="宋体" w:hAnsi="宋体" w:eastAsia="宋体" w:cs="宋体"/>
          <w:color w:val="auto"/>
          <w:sz w:val="24"/>
          <w:highlight w:val="none"/>
          <w:u w:val="single"/>
        </w:rPr>
        <w:t>临时设施、运料通道、材料堆放、材料加工等为实施合同工程需临时占用的土地</w:t>
      </w:r>
      <w:r>
        <w:rPr>
          <w:rFonts w:hint="eastAsia" w:ascii="宋体" w:hAnsi="宋体" w:eastAsia="宋体" w:cs="宋体"/>
          <w:color w:val="auto"/>
          <w:kern w:val="0"/>
          <w:sz w:val="24"/>
          <w:highlight w:val="none"/>
        </w:rPr>
        <w:t>。</w:t>
      </w:r>
    </w:p>
    <w:p w14:paraId="7ACB9E42">
      <w:pPr>
        <w:keepNext/>
        <w:keepLines/>
        <w:spacing w:line="360" w:lineRule="auto"/>
        <w:outlineLvl w:val="2"/>
        <w:rPr>
          <w:rFonts w:hint="eastAsia" w:ascii="宋体" w:hAnsi="宋体" w:eastAsia="宋体" w:cs="宋体"/>
          <w:b/>
          <w:bCs/>
          <w:color w:val="auto"/>
          <w:kern w:val="0"/>
          <w:sz w:val="24"/>
          <w:highlight w:val="none"/>
          <w:lang w:val="zh-CN"/>
        </w:rPr>
      </w:pPr>
      <w:bookmarkStart w:id="115" w:name="_Toc373478341"/>
      <w:bookmarkStart w:id="116" w:name="_Toc1162259329"/>
      <w:bookmarkStart w:id="117" w:name="_Toc1182598796"/>
      <w:bookmarkStart w:id="118" w:name="_Toc407135196"/>
      <w:bookmarkStart w:id="119" w:name="_Toc373227694"/>
      <w:bookmarkStart w:id="120" w:name="_Toc78449782"/>
      <w:bookmarkStart w:id="121" w:name="_Toc389065260"/>
      <w:bookmarkStart w:id="122" w:name="_Toc162971357"/>
      <w:r>
        <w:rPr>
          <w:rFonts w:hint="eastAsia" w:ascii="宋体" w:hAnsi="宋体" w:eastAsia="宋体" w:cs="宋体"/>
          <w:b/>
          <w:bCs/>
          <w:color w:val="auto"/>
          <w:kern w:val="0"/>
          <w:sz w:val="24"/>
          <w:highlight w:val="none"/>
          <w:lang w:val="zh-CN"/>
        </w:rPr>
        <w:t>1.3 法律</w:t>
      </w:r>
      <w:bookmarkEnd w:id="115"/>
      <w:bookmarkEnd w:id="116"/>
      <w:bookmarkEnd w:id="117"/>
      <w:bookmarkEnd w:id="118"/>
      <w:bookmarkEnd w:id="119"/>
      <w:bookmarkEnd w:id="120"/>
      <w:bookmarkEnd w:id="121"/>
      <w:bookmarkEnd w:id="122"/>
    </w:p>
    <w:p w14:paraId="14043F1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适用于合同的其他规范性文件：</w:t>
      </w:r>
      <w:r>
        <w:rPr>
          <w:rFonts w:hint="eastAsia" w:ascii="宋体" w:hAnsi="宋体" w:eastAsia="宋体" w:cs="宋体"/>
          <w:color w:val="auto"/>
          <w:sz w:val="24"/>
          <w:highlight w:val="none"/>
          <w:u w:val="single"/>
        </w:rPr>
        <w:t>《中华人民共和国民法典》、《中华人民共和国建筑法》、《建设工程质量管理条例》以及现行国家和地方关于建设工程管理的有关法规、条例等，上述法律、法规、地方性规章有修订的，按新修订的执行，有冲突的按较严格的执行</w:t>
      </w:r>
      <w:r>
        <w:rPr>
          <w:rFonts w:hint="eastAsia" w:ascii="宋体" w:hAnsi="宋体" w:eastAsia="宋体" w:cs="宋体"/>
          <w:color w:val="auto"/>
          <w:sz w:val="24"/>
          <w:highlight w:val="none"/>
        </w:rPr>
        <w:t>。</w:t>
      </w:r>
    </w:p>
    <w:p w14:paraId="5992DB15">
      <w:pPr>
        <w:keepNext/>
        <w:keepLines/>
        <w:spacing w:line="360" w:lineRule="auto"/>
        <w:outlineLvl w:val="2"/>
        <w:rPr>
          <w:rFonts w:hint="eastAsia" w:ascii="宋体" w:hAnsi="宋体" w:eastAsia="宋体" w:cs="宋体"/>
          <w:b/>
          <w:bCs/>
          <w:color w:val="auto"/>
          <w:kern w:val="0"/>
          <w:sz w:val="24"/>
          <w:highlight w:val="none"/>
          <w:lang w:val="zh-CN"/>
        </w:rPr>
      </w:pPr>
      <w:bookmarkStart w:id="123" w:name="_Toc78449783"/>
      <w:bookmarkStart w:id="124" w:name="_Toc373227695"/>
      <w:bookmarkStart w:id="125" w:name="_Toc162971358"/>
      <w:bookmarkStart w:id="126" w:name="_Toc1569433547"/>
      <w:bookmarkStart w:id="127" w:name="_Toc407135197"/>
      <w:bookmarkStart w:id="128" w:name="_Toc373478342"/>
      <w:bookmarkStart w:id="129" w:name="_Toc389065261"/>
      <w:bookmarkStart w:id="130" w:name="_Toc1694357896"/>
      <w:r>
        <w:rPr>
          <w:rFonts w:hint="eastAsia" w:ascii="宋体" w:hAnsi="宋体" w:eastAsia="宋体" w:cs="宋体"/>
          <w:b/>
          <w:bCs/>
          <w:color w:val="auto"/>
          <w:kern w:val="0"/>
          <w:sz w:val="24"/>
          <w:highlight w:val="none"/>
          <w:lang w:val="zh-CN"/>
        </w:rPr>
        <w:t>1.4 标准和规范</w:t>
      </w:r>
      <w:bookmarkEnd w:id="123"/>
      <w:bookmarkEnd w:id="124"/>
      <w:bookmarkEnd w:id="125"/>
      <w:bookmarkEnd w:id="126"/>
      <w:bookmarkEnd w:id="127"/>
      <w:bookmarkEnd w:id="128"/>
      <w:bookmarkEnd w:id="129"/>
      <w:bookmarkEnd w:id="130"/>
    </w:p>
    <w:p w14:paraId="6C17524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适用于工程的标准规范包括：</w:t>
      </w:r>
      <w:r>
        <w:rPr>
          <w:rFonts w:hint="eastAsia" w:ascii="宋体" w:hAnsi="宋体" w:eastAsia="宋体" w:cs="宋体"/>
          <w:color w:val="auto"/>
          <w:sz w:val="24"/>
          <w:highlight w:val="none"/>
          <w:u w:val="single"/>
        </w:rPr>
        <w:t>《建筑工程施工质量验收统一标准》GB50300-2013等适用于本工程的国家标准、行业标准、工程所在地的地方性标准，以及相应的规范、规程</w:t>
      </w:r>
      <w:r>
        <w:rPr>
          <w:rFonts w:hint="eastAsia" w:ascii="宋体" w:hAnsi="宋体" w:eastAsia="宋体" w:cs="宋体"/>
          <w:color w:val="auto"/>
          <w:sz w:val="24"/>
          <w:highlight w:val="none"/>
        </w:rPr>
        <w:t>。</w:t>
      </w:r>
    </w:p>
    <w:p w14:paraId="634E9CF4">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1.4.2 发包人提供国外标准、规范的名称：</w:t>
      </w:r>
      <w:r>
        <w:rPr>
          <w:rFonts w:hint="eastAsia" w:ascii="宋体" w:hAnsi="宋体" w:eastAsia="宋体" w:cs="宋体"/>
          <w:color w:val="auto"/>
          <w:sz w:val="24"/>
          <w:highlight w:val="none"/>
          <w:u w:val="single"/>
        </w:rPr>
        <w:t>无</w:t>
      </w:r>
      <w:r>
        <w:rPr>
          <w:rFonts w:hint="eastAsia" w:ascii="宋体" w:hAnsi="宋体" w:eastAsia="宋体" w:cs="宋体"/>
          <w:color w:val="auto"/>
          <w:sz w:val="24"/>
          <w:highlight w:val="none"/>
        </w:rPr>
        <w:t>；</w:t>
      </w:r>
    </w:p>
    <w:p w14:paraId="14393753">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发包人提供国外标准、规范的份数：</w:t>
      </w:r>
      <w:r>
        <w:rPr>
          <w:rFonts w:hint="eastAsia" w:ascii="宋体" w:hAnsi="宋体" w:eastAsia="宋体" w:cs="宋体"/>
          <w:color w:val="auto"/>
          <w:sz w:val="24"/>
          <w:highlight w:val="none"/>
          <w:u w:val="single"/>
        </w:rPr>
        <w:t>无</w:t>
      </w:r>
      <w:r>
        <w:rPr>
          <w:rFonts w:hint="eastAsia" w:ascii="宋体" w:hAnsi="宋体" w:eastAsia="宋体" w:cs="宋体"/>
          <w:color w:val="auto"/>
          <w:sz w:val="24"/>
          <w:highlight w:val="none"/>
        </w:rPr>
        <w:t>；</w:t>
      </w:r>
    </w:p>
    <w:p w14:paraId="0111D5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发包人提供国外标准、规范的名称：</w:t>
      </w:r>
      <w:r>
        <w:rPr>
          <w:rFonts w:hint="eastAsia" w:ascii="宋体" w:hAnsi="宋体" w:eastAsia="宋体" w:cs="宋体"/>
          <w:color w:val="auto"/>
          <w:sz w:val="24"/>
          <w:highlight w:val="none"/>
          <w:u w:val="single"/>
        </w:rPr>
        <w:t>无</w:t>
      </w:r>
      <w:r>
        <w:rPr>
          <w:rFonts w:hint="eastAsia" w:ascii="宋体" w:hAnsi="宋体" w:eastAsia="宋体" w:cs="宋体"/>
          <w:color w:val="auto"/>
          <w:kern w:val="0"/>
          <w:sz w:val="24"/>
          <w:highlight w:val="none"/>
        </w:rPr>
        <w:t>。</w:t>
      </w:r>
    </w:p>
    <w:p w14:paraId="72D7F2B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1.4.3 发包人对工程的技术标准和功能要求的特殊要求：</w:t>
      </w:r>
      <w:r>
        <w:rPr>
          <w:rFonts w:hint="eastAsia" w:ascii="宋体" w:hAnsi="宋体" w:eastAsia="宋体" w:cs="宋体"/>
          <w:color w:val="auto"/>
          <w:sz w:val="24"/>
          <w:highlight w:val="none"/>
          <w:u w:val="single"/>
        </w:rPr>
        <w:t>无</w:t>
      </w:r>
      <w:r>
        <w:rPr>
          <w:rFonts w:hint="eastAsia" w:ascii="宋体" w:hAnsi="宋体" w:eastAsia="宋体" w:cs="宋体"/>
          <w:color w:val="auto"/>
          <w:sz w:val="24"/>
          <w:highlight w:val="none"/>
        </w:rPr>
        <w:t>。</w:t>
      </w:r>
    </w:p>
    <w:p w14:paraId="32B74B8A">
      <w:pPr>
        <w:adjustRightInd w:val="0"/>
        <w:spacing w:after="120" w:line="360" w:lineRule="auto"/>
        <w:ind w:left="63" w:leftChars="30" w:right="63" w:rightChars="30" w:firstLine="360" w:firstLineChars="150"/>
        <w:textAlignment w:val="baseline"/>
        <w:rPr>
          <w:rFonts w:hint="eastAsia" w:ascii="宋体" w:hAnsi="宋体" w:eastAsia="宋体" w:cs="宋体"/>
          <w:color w:val="auto"/>
          <w:szCs w:val="22"/>
          <w:highlight w:val="none"/>
        </w:rPr>
      </w:pPr>
      <w:r>
        <w:rPr>
          <w:rFonts w:hint="eastAsia" w:ascii="宋体" w:hAnsi="宋体" w:eastAsia="宋体" w:cs="宋体"/>
          <w:color w:val="auto"/>
          <w:sz w:val="24"/>
          <w:highlight w:val="none"/>
        </w:rPr>
        <w:t>1.4.3 发包人对工程的技术标准和功能要求的特殊要求：</w:t>
      </w:r>
      <w:r>
        <w:rPr>
          <w:rFonts w:hint="eastAsia" w:ascii="宋体" w:hAnsi="宋体" w:eastAsia="宋体" w:cs="宋体"/>
          <w:color w:val="auto"/>
          <w:sz w:val="24"/>
          <w:highlight w:val="none"/>
          <w:u w:val="single"/>
        </w:rPr>
        <w:t xml:space="preserve">现行的国家标准、规范，行业、地方标准、规范由承包人自行收集，费用包含在投标报价内 </w:t>
      </w:r>
      <w:r>
        <w:rPr>
          <w:rFonts w:hint="eastAsia" w:ascii="宋体" w:hAnsi="宋体" w:eastAsia="宋体" w:cs="宋体"/>
          <w:color w:val="auto"/>
          <w:sz w:val="24"/>
          <w:highlight w:val="none"/>
        </w:rPr>
        <w:t>。</w:t>
      </w:r>
    </w:p>
    <w:p w14:paraId="4CAAF8F3">
      <w:pPr>
        <w:keepNext/>
        <w:keepLines/>
        <w:spacing w:line="360" w:lineRule="auto"/>
        <w:outlineLvl w:val="2"/>
        <w:rPr>
          <w:rFonts w:hint="eastAsia" w:ascii="宋体" w:hAnsi="宋体" w:eastAsia="宋体" w:cs="宋体"/>
          <w:b/>
          <w:bCs/>
          <w:color w:val="auto"/>
          <w:kern w:val="0"/>
          <w:sz w:val="24"/>
          <w:highlight w:val="none"/>
          <w:lang w:val="zh-CN"/>
        </w:rPr>
      </w:pPr>
      <w:bookmarkStart w:id="131" w:name="_Toc373478343"/>
      <w:bookmarkStart w:id="132" w:name="_Toc162971359"/>
      <w:bookmarkStart w:id="133" w:name="_Toc407135198"/>
      <w:bookmarkStart w:id="134" w:name="_Toc78449784"/>
      <w:bookmarkStart w:id="135" w:name="_Toc389065262"/>
      <w:bookmarkStart w:id="136" w:name="_Toc373227696"/>
      <w:bookmarkStart w:id="137" w:name="_Toc188277238"/>
      <w:bookmarkStart w:id="138" w:name="_Toc24431861"/>
      <w:r>
        <w:rPr>
          <w:rFonts w:hint="eastAsia" w:ascii="宋体" w:hAnsi="宋体" w:eastAsia="宋体" w:cs="宋体"/>
          <w:b/>
          <w:bCs/>
          <w:color w:val="auto"/>
          <w:kern w:val="0"/>
          <w:sz w:val="24"/>
          <w:highlight w:val="none"/>
          <w:lang w:val="zh-CN"/>
        </w:rPr>
        <w:t>1.5 合同文件的优先顺序</w:t>
      </w:r>
      <w:bookmarkEnd w:id="131"/>
      <w:bookmarkEnd w:id="132"/>
      <w:bookmarkEnd w:id="133"/>
      <w:bookmarkEnd w:id="134"/>
      <w:bookmarkEnd w:id="135"/>
      <w:bookmarkEnd w:id="136"/>
      <w:bookmarkEnd w:id="137"/>
      <w:bookmarkEnd w:id="138"/>
    </w:p>
    <w:p w14:paraId="75CB98B1">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合同文件组成及优先顺序为：</w:t>
      </w:r>
    </w:p>
    <w:p w14:paraId="3CB9714B">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（1）合同协议书；</w:t>
      </w:r>
    </w:p>
    <w:p w14:paraId="02CE16D9">
      <w:pPr>
        <w:spacing w:line="360" w:lineRule="auto"/>
        <w:ind w:firstLine="480" w:firstLineChars="200"/>
        <w:rPr>
          <w:rFonts w:hint="eastAsia" w:ascii="宋体" w:hAnsi="宋体" w:eastAsia="宋体" w:cs="宋体"/>
          <w:color w:val="auto"/>
          <w:kern w:val="0"/>
          <w:sz w:val="24"/>
          <w:highlight w:val="none"/>
        </w:rPr>
      </w:pPr>
      <w:bookmarkStart w:id="139" w:name="bookmark916"/>
      <w:bookmarkEnd w:id="139"/>
      <w:r>
        <w:rPr>
          <w:rFonts w:hint="eastAsia" w:ascii="宋体" w:hAnsi="宋体" w:eastAsia="宋体" w:cs="宋体"/>
          <w:color w:val="auto"/>
          <w:kern w:val="0"/>
          <w:sz w:val="24"/>
          <w:highlight w:val="none"/>
        </w:rPr>
        <w:t>（2）中标（或成交）通知书；</w:t>
      </w:r>
    </w:p>
    <w:p w14:paraId="54782FA9">
      <w:pPr>
        <w:spacing w:line="360" w:lineRule="auto"/>
        <w:ind w:firstLine="480" w:firstLineChars="200"/>
        <w:rPr>
          <w:rFonts w:hint="eastAsia" w:ascii="宋体" w:hAnsi="宋体" w:eastAsia="宋体" w:cs="宋体"/>
          <w:color w:val="auto"/>
          <w:kern w:val="0"/>
          <w:sz w:val="24"/>
          <w:highlight w:val="none"/>
        </w:rPr>
      </w:pPr>
      <w:bookmarkStart w:id="140" w:name="bookmark917"/>
      <w:bookmarkEnd w:id="140"/>
      <w:r>
        <w:rPr>
          <w:rFonts w:hint="eastAsia" w:ascii="宋体" w:hAnsi="宋体" w:eastAsia="宋体" w:cs="宋体"/>
          <w:color w:val="auto"/>
          <w:kern w:val="0"/>
          <w:sz w:val="24"/>
          <w:highlight w:val="none"/>
        </w:rPr>
        <w:t>（3）响应函及</w:t>
      </w:r>
      <w:r>
        <w:rPr>
          <w:rFonts w:hint="eastAsia" w:ascii="宋体" w:hAnsi="宋体" w:eastAsia="宋体" w:cs="宋体"/>
          <w:color w:val="auto"/>
          <w:sz w:val="24"/>
          <w:highlight w:val="none"/>
        </w:rPr>
        <w:t>响应函附录</w:t>
      </w:r>
      <w:r>
        <w:rPr>
          <w:rFonts w:hint="eastAsia" w:ascii="宋体" w:hAnsi="宋体" w:eastAsia="宋体" w:cs="宋体"/>
          <w:color w:val="auto"/>
          <w:kern w:val="0"/>
          <w:sz w:val="24"/>
          <w:highlight w:val="none"/>
        </w:rPr>
        <w:t>；</w:t>
      </w:r>
    </w:p>
    <w:p w14:paraId="1C4DDABB">
      <w:pPr>
        <w:spacing w:line="360" w:lineRule="auto"/>
        <w:ind w:firstLine="480" w:firstLineChars="200"/>
        <w:rPr>
          <w:rFonts w:hint="eastAsia" w:ascii="宋体" w:hAnsi="宋体" w:eastAsia="宋体" w:cs="宋体"/>
          <w:color w:val="auto"/>
          <w:kern w:val="0"/>
          <w:sz w:val="24"/>
          <w:highlight w:val="none"/>
        </w:rPr>
      </w:pPr>
      <w:bookmarkStart w:id="141" w:name="bookmark918"/>
      <w:bookmarkEnd w:id="141"/>
      <w:r>
        <w:rPr>
          <w:rFonts w:hint="eastAsia" w:ascii="宋体" w:hAnsi="宋体" w:eastAsia="宋体" w:cs="宋体"/>
          <w:color w:val="auto"/>
          <w:kern w:val="0"/>
          <w:sz w:val="24"/>
          <w:highlight w:val="none"/>
        </w:rPr>
        <w:t>（4）专用合同条款；</w:t>
      </w:r>
    </w:p>
    <w:p w14:paraId="6F7F9855">
      <w:pPr>
        <w:spacing w:line="360" w:lineRule="auto"/>
        <w:ind w:firstLine="480" w:firstLineChars="200"/>
        <w:rPr>
          <w:rFonts w:hint="eastAsia" w:ascii="宋体" w:hAnsi="宋体" w:eastAsia="宋体" w:cs="宋体"/>
          <w:color w:val="auto"/>
          <w:kern w:val="0"/>
          <w:sz w:val="24"/>
          <w:highlight w:val="none"/>
        </w:rPr>
      </w:pPr>
      <w:bookmarkStart w:id="142" w:name="bookmark919"/>
      <w:bookmarkEnd w:id="142"/>
      <w:r>
        <w:rPr>
          <w:rFonts w:hint="eastAsia" w:ascii="宋体" w:hAnsi="宋体" w:eastAsia="宋体" w:cs="宋体"/>
          <w:color w:val="auto"/>
          <w:kern w:val="0"/>
          <w:sz w:val="24"/>
          <w:highlight w:val="none"/>
        </w:rPr>
        <w:t>（5）通用合同条款；</w:t>
      </w:r>
    </w:p>
    <w:p w14:paraId="5BB3B30F">
      <w:pPr>
        <w:spacing w:line="360" w:lineRule="auto"/>
        <w:ind w:firstLine="480" w:firstLineChars="200"/>
        <w:rPr>
          <w:rFonts w:hint="eastAsia" w:ascii="宋体" w:hAnsi="宋体" w:eastAsia="宋体" w:cs="宋体"/>
          <w:color w:val="auto"/>
          <w:kern w:val="0"/>
          <w:sz w:val="24"/>
          <w:highlight w:val="none"/>
        </w:rPr>
      </w:pPr>
      <w:bookmarkStart w:id="143" w:name="bookmark920"/>
      <w:bookmarkEnd w:id="143"/>
      <w:r>
        <w:rPr>
          <w:rFonts w:hint="eastAsia" w:ascii="宋体" w:hAnsi="宋体" w:eastAsia="宋体" w:cs="宋体"/>
          <w:color w:val="auto"/>
          <w:kern w:val="0"/>
          <w:sz w:val="24"/>
          <w:highlight w:val="none"/>
        </w:rPr>
        <w:t>（6）技术标准和要求；</w:t>
      </w:r>
    </w:p>
    <w:p w14:paraId="69F7939C">
      <w:pPr>
        <w:spacing w:line="360" w:lineRule="auto"/>
        <w:ind w:firstLine="480" w:firstLineChars="200"/>
        <w:rPr>
          <w:rFonts w:hint="eastAsia" w:ascii="宋体" w:hAnsi="宋体" w:eastAsia="宋体" w:cs="宋体"/>
          <w:color w:val="auto"/>
          <w:kern w:val="0"/>
          <w:sz w:val="24"/>
          <w:highlight w:val="none"/>
        </w:rPr>
      </w:pPr>
      <w:bookmarkStart w:id="144" w:name="bookmark921"/>
      <w:bookmarkEnd w:id="144"/>
      <w:r>
        <w:rPr>
          <w:rFonts w:hint="eastAsia" w:ascii="宋体" w:hAnsi="宋体" w:eastAsia="宋体" w:cs="宋体"/>
          <w:color w:val="auto"/>
          <w:kern w:val="0"/>
          <w:sz w:val="24"/>
          <w:highlight w:val="none"/>
        </w:rPr>
        <w:t>（7）图纸；</w:t>
      </w:r>
    </w:p>
    <w:p w14:paraId="738B5D46">
      <w:pPr>
        <w:spacing w:line="360" w:lineRule="auto"/>
        <w:ind w:firstLine="480" w:firstLineChars="200"/>
        <w:rPr>
          <w:rFonts w:hint="eastAsia" w:ascii="宋体" w:hAnsi="宋体" w:eastAsia="宋体" w:cs="宋体"/>
          <w:color w:val="auto"/>
          <w:kern w:val="0"/>
          <w:sz w:val="24"/>
          <w:highlight w:val="none"/>
        </w:rPr>
      </w:pPr>
      <w:bookmarkStart w:id="145" w:name="bookmark922"/>
      <w:bookmarkEnd w:id="145"/>
      <w:r>
        <w:rPr>
          <w:rFonts w:hint="eastAsia" w:ascii="宋体" w:hAnsi="宋体" w:eastAsia="宋体" w:cs="宋体"/>
          <w:color w:val="auto"/>
          <w:kern w:val="0"/>
          <w:sz w:val="24"/>
          <w:highlight w:val="none"/>
        </w:rPr>
        <w:t>（8）已标价工程量清单；</w:t>
      </w:r>
    </w:p>
    <w:p w14:paraId="3364AA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szCs w:val="22"/>
          <w:highlight w:val="none"/>
        </w:rPr>
        <w:t>（9）</w:t>
      </w:r>
      <w:r>
        <w:rPr>
          <w:rFonts w:hint="eastAsia" w:ascii="宋体" w:hAnsi="宋体" w:eastAsia="宋体" w:cs="宋体"/>
          <w:color w:val="auto"/>
          <w:kern w:val="0"/>
          <w:sz w:val="24"/>
          <w:highlight w:val="none"/>
        </w:rPr>
        <w:t>其他合同文件：</w:t>
      </w:r>
      <w:r>
        <w:rPr>
          <w:rFonts w:hint="eastAsia" w:ascii="宋体" w:hAnsi="宋体" w:eastAsia="宋体" w:cs="宋体"/>
          <w:color w:val="auto"/>
          <w:sz w:val="24"/>
          <w:highlight w:val="none"/>
          <w:u w:val="single"/>
        </w:rPr>
        <w:t>《建设工程工程量清单计价规范（GB50500-2013）》及其广西实施细则及《关于建筑业实施营业税改征增值税后广西壮族自治区建设工程计价依据调整的通知》（桂建标〔2016〕17号）、《自治区住房城乡建设厅关于调整建设工程计价增值税税率的通知》（桂建标〔2018〕14号）、《建设工程工程量清单计算规范（GB50854~50862-2013）》及其广西实施细则（修订本）等国家、自治区颁布的计价定额及有关规定</w:t>
      </w:r>
      <w:r>
        <w:rPr>
          <w:rFonts w:hint="eastAsia" w:ascii="宋体" w:hAnsi="宋体" w:eastAsia="宋体" w:cs="宋体"/>
          <w:color w:val="auto"/>
          <w:sz w:val="24"/>
          <w:highlight w:val="none"/>
        </w:rPr>
        <w:t>。</w:t>
      </w:r>
    </w:p>
    <w:p w14:paraId="790000FB">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上述各项合同文件包括合同当事人就该项合同文件所作出的补充和修改，属于同一类内容的文件，应以最新签署的为准（违反招标文件实质性内容的约定除外）。专用合同条款及其附件须经合同当事人法定代表人或委托代理人签字并加盖双方单位公章；</w:t>
      </w:r>
    </w:p>
    <w:p w14:paraId="01A2029E">
      <w:pPr>
        <w:keepNext/>
        <w:keepLines/>
        <w:spacing w:line="360" w:lineRule="auto"/>
        <w:outlineLvl w:val="2"/>
        <w:rPr>
          <w:rFonts w:hint="eastAsia" w:ascii="宋体" w:hAnsi="宋体" w:eastAsia="宋体" w:cs="宋体"/>
          <w:b/>
          <w:bCs/>
          <w:color w:val="auto"/>
          <w:kern w:val="0"/>
          <w:sz w:val="24"/>
          <w:highlight w:val="none"/>
          <w:lang w:val="zh-CN"/>
        </w:rPr>
      </w:pPr>
      <w:bookmarkStart w:id="146" w:name="_Toc1531480704"/>
      <w:bookmarkStart w:id="147" w:name="_Toc78449785"/>
      <w:bookmarkStart w:id="148" w:name="_Toc407135199"/>
      <w:bookmarkStart w:id="149" w:name="_Toc162971360"/>
      <w:bookmarkStart w:id="150" w:name="_Toc373478344"/>
      <w:bookmarkStart w:id="151" w:name="_Toc1537247101"/>
      <w:bookmarkStart w:id="152" w:name="_Toc389065263"/>
      <w:bookmarkStart w:id="153" w:name="_Toc373227697"/>
      <w:r>
        <w:rPr>
          <w:rFonts w:hint="eastAsia" w:ascii="宋体" w:hAnsi="宋体" w:eastAsia="宋体" w:cs="宋体"/>
          <w:b/>
          <w:bCs/>
          <w:color w:val="auto"/>
          <w:kern w:val="0"/>
          <w:sz w:val="24"/>
          <w:highlight w:val="none"/>
          <w:lang w:val="zh-CN"/>
        </w:rPr>
        <w:t>1.6 图纸和承包人文件</w:t>
      </w:r>
      <w:bookmarkEnd w:id="146"/>
      <w:bookmarkEnd w:id="147"/>
      <w:bookmarkEnd w:id="148"/>
      <w:bookmarkEnd w:id="149"/>
      <w:bookmarkEnd w:id="150"/>
      <w:bookmarkEnd w:id="151"/>
      <w:bookmarkEnd w:id="152"/>
      <w:bookmarkEnd w:id="153"/>
      <w:r>
        <w:rPr>
          <w:rFonts w:hint="eastAsia" w:ascii="宋体" w:hAnsi="宋体" w:eastAsia="宋体" w:cs="宋体"/>
          <w:b/>
          <w:bCs/>
          <w:color w:val="auto"/>
          <w:kern w:val="0"/>
          <w:sz w:val="24"/>
          <w:highlight w:val="none"/>
          <w:lang w:val="zh-CN"/>
        </w:rPr>
        <w:tab/>
      </w:r>
    </w:p>
    <w:p w14:paraId="21A9141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图纸的提供</w:t>
      </w:r>
    </w:p>
    <w:p w14:paraId="5BDDEBE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发包人向承包人提供图纸的期限：</w:t>
      </w:r>
      <w:r>
        <w:rPr>
          <w:rFonts w:hint="eastAsia" w:ascii="宋体" w:hAnsi="宋体" w:eastAsia="宋体" w:cs="宋体"/>
          <w:color w:val="auto"/>
          <w:sz w:val="24"/>
          <w:highlight w:val="none"/>
          <w:u w:val="single"/>
        </w:rPr>
        <w:t>合同签订之日起 7 个工作日内提供施工图</w:t>
      </w:r>
      <w:r>
        <w:rPr>
          <w:rFonts w:hint="eastAsia" w:ascii="宋体" w:hAnsi="宋体" w:eastAsia="宋体" w:cs="宋体"/>
          <w:color w:val="auto"/>
          <w:sz w:val="24"/>
          <w:highlight w:val="none"/>
        </w:rPr>
        <w:t>；</w:t>
      </w:r>
    </w:p>
    <w:p w14:paraId="6FCE421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发包人向承包人提供图纸的数量：</w:t>
      </w:r>
      <w:r>
        <w:rPr>
          <w:rFonts w:hint="eastAsia" w:ascii="宋体" w:hAnsi="宋体" w:eastAsia="宋体" w:cs="宋体"/>
          <w:color w:val="auto"/>
          <w:sz w:val="24"/>
          <w:highlight w:val="none"/>
          <w:u w:val="single"/>
        </w:rPr>
        <w:t>叁</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rPr>
        <w:t>套（承包人需要增加图纸套数的，发包人应代为复制，复制费用由承包人承担）；</w:t>
      </w:r>
    </w:p>
    <w:p w14:paraId="383FA29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发包人向承包人提供图纸的内容：</w:t>
      </w:r>
      <w:r>
        <w:rPr>
          <w:rFonts w:hint="eastAsia" w:ascii="宋体" w:hAnsi="宋体" w:eastAsia="宋体" w:cs="宋体"/>
          <w:color w:val="auto"/>
          <w:sz w:val="24"/>
          <w:highlight w:val="none"/>
          <w:u w:val="single"/>
        </w:rPr>
        <w:t>全套施工蓝图</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承包人在接到发包人施工图后应认真组织相关专业人员进行审核，图纸中存在问题的应在图纸会审时提出，否则在施工过程中因图纸本身存在的问题而发生变更，并由此导致费用增加的，发包人不予认可，增加费用由承包人自理，且工期不予顺延</w:t>
      </w:r>
      <w:r>
        <w:rPr>
          <w:rFonts w:hint="eastAsia" w:ascii="宋体" w:hAnsi="宋体" w:eastAsia="宋体" w:cs="宋体"/>
          <w:color w:val="auto"/>
          <w:sz w:val="24"/>
          <w:highlight w:val="none"/>
        </w:rPr>
        <w:t>。</w:t>
      </w:r>
    </w:p>
    <w:p w14:paraId="166C29E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 承包人文件</w:t>
      </w:r>
    </w:p>
    <w:p w14:paraId="3089FEAF">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需要由承包人提供的文件，包括：</w:t>
      </w:r>
      <w:r>
        <w:rPr>
          <w:rFonts w:hint="eastAsia" w:ascii="宋体" w:hAnsi="宋体" w:eastAsia="宋体" w:cs="宋体"/>
          <w:color w:val="auto"/>
          <w:sz w:val="24"/>
          <w:highlight w:val="none"/>
          <w:u w:val="single"/>
        </w:rPr>
        <w:t>工程施工组织设计；各专项施工方案；施工进度计划表；总平面布置及临水、临电及场地布置方案；专项深化设计图、必要的加工图和大样图，项目组织架构、竣工资料（含竣工图，竣工图编制费已含在签约合同价中）；项目现场管理人员名单及证件；企业资质及相关审批资料等发包人要求提供的文件；承包人提供文件所需的打印、装订、运输等一切费用由承包人负责</w:t>
      </w:r>
      <w:r>
        <w:rPr>
          <w:rFonts w:hint="eastAsia" w:ascii="宋体" w:hAnsi="宋体" w:eastAsia="宋体" w:cs="宋体"/>
          <w:color w:val="auto"/>
          <w:sz w:val="24"/>
          <w:highlight w:val="none"/>
        </w:rPr>
        <w:t>；</w:t>
      </w:r>
    </w:p>
    <w:p w14:paraId="67818D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承包人提供的文件的期限为：</w:t>
      </w:r>
      <w:r>
        <w:rPr>
          <w:rFonts w:hint="eastAsia" w:ascii="宋体" w:hAnsi="宋体" w:eastAsia="宋体" w:cs="宋体"/>
          <w:color w:val="auto"/>
          <w:sz w:val="24"/>
          <w:highlight w:val="none"/>
          <w:u w:val="single"/>
        </w:rPr>
        <w:t>竣工验收正式通过后 10 天；承包人逾期不提交竣工文件的，发包人有权处以2000元/天的违约金</w:t>
      </w:r>
      <w:r>
        <w:rPr>
          <w:rFonts w:hint="eastAsia" w:ascii="宋体" w:hAnsi="宋体" w:eastAsia="宋体" w:cs="宋体"/>
          <w:color w:val="auto"/>
          <w:sz w:val="24"/>
          <w:highlight w:val="none"/>
        </w:rPr>
        <w:t>；</w:t>
      </w:r>
    </w:p>
    <w:p w14:paraId="22DAE6B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承包人提供的文件的数量为：</w:t>
      </w:r>
      <w:r>
        <w:rPr>
          <w:rFonts w:hint="eastAsia" w:ascii="宋体" w:hAnsi="宋体" w:eastAsia="宋体" w:cs="宋体"/>
          <w:color w:val="auto"/>
          <w:sz w:val="24"/>
          <w:highlight w:val="none"/>
          <w:u w:val="single"/>
        </w:rPr>
        <w:t>提供工程施工组织设计；各专项施工方案；施工进度计划表；总平面布置及临水、临电及场地布置方案；专项深化设计图、必要的加工图和大样图，项目组织架构、竣工资料（含竣工图）、项目现场管理人员名单及证件、企业资质及相关审批资料等发包人要求提供的文件的数量为一式肆套</w:t>
      </w:r>
      <w:r>
        <w:rPr>
          <w:rFonts w:hint="eastAsia" w:ascii="宋体" w:hAnsi="宋体" w:eastAsia="宋体" w:cs="宋体"/>
          <w:color w:val="auto"/>
          <w:sz w:val="24"/>
          <w:highlight w:val="none"/>
        </w:rPr>
        <w:t>；</w:t>
      </w:r>
    </w:p>
    <w:p w14:paraId="6DF6A23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承包人提供的文件的形式为：</w:t>
      </w:r>
      <w:r>
        <w:rPr>
          <w:rFonts w:hint="eastAsia" w:ascii="宋体" w:hAnsi="宋体" w:eastAsia="宋体" w:cs="宋体"/>
          <w:color w:val="auto"/>
          <w:sz w:val="24"/>
          <w:highlight w:val="none"/>
          <w:u w:val="single"/>
        </w:rPr>
        <w:t>以经承包人法定代表人签字并加盖单位公章纸质文件形式提交 ；承包人逾期提供文件（提供的文件内容、数量、形式不满足发包方要求，视为未提供）的，每逾期一天，应当按签约合同价的万分之四向发包方支付违约金</w:t>
      </w:r>
      <w:r>
        <w:rPr>
          <w:rFonts w:hint="eastAsia" w:ascii="宋体" w:hAnsi="宋体" w:eastAsia="宋体" w:cs="宋体"/>
          <w:color w:val="auto"/>
          <w:sz w:val="24"/>
          <w:highlight w:val="none"/>
        </w:rPr>
        <w:t>；</w:t>
      </w:r>
    </w:p>
    <w:p w14:paraId="5D81BF9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发包人审批承包人文件的期限：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79BD58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现场图纸准备</w:t>
      </w:r>
    </w:p>
    <w:p w14:paraId="19C3BC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关于现场图纸准备的约定：</w:t>
      </w:r>
      <w:r>
        <w:rPr>
          <w:rFonts w:hint="eastAsia" w:ascii="宋体" w:hAnsi="宋体" w:eastAsia="宋体" w:cs="宋体"/>
          <w:color w:val="auto"/>
          <w:sz w:val="24"/>
          <w:highlight w:val="none"/>
          <w:u w:val="single"/>
        </w:rPr>
        <w:t>承包人应在施工现场保留一套完整的施工图纸，供工程师及有关人员进行工程检查时使用，未经发包人同意不许将图纸泄露和转让给第三方</w:t>
      </w:r>
      <w:r>
        <w:rPr>
          <w:rFonts w:hint="eastAsia" w:ascii="宋体" w:hAnsi="宋体" w:eastAsia="宋体" w:cs="宋体"/>
          <w:color w:val="auto"/>
          <w:sz w:val="24"/>
          <w:highlight w:val="none"/>
        </w:rPr>
        <w:t>。</w:t>
      </w:r>
    </w:p>
    <w:p w14:paraId="368CC766">
      <w:pPr>
        <w:keepNext/>
        <w:keepLines/>
        <w:spacing w:line="360" w:lineRule="auto"/>
        <w:outlineLvl w:val="2"/>
        <w:rPr>
          <w:rFonts w:hint="eastAsia" w:ascii="宋体" w:hAnsi="宋体" w:eastAsia="宋体" w:cs="宋体"/>
          <w:b/>
          <w:bCs/>
          <w:color w:val="auto"/>
          <w:kern w:val="0"/>
          <w:sz w:val="24"/>
          <w:highlight w:val="none"/>
          <w:lang w:val="zh-CN"/>
        </w:rPr>
      </w:pPr>
      <w:bookmarkStart w:id="154" w:name="_Toc389065264"/>
      <w:bookmarkStart w:id="155" w:name="_Toc78449786"/>
      <w:bookmarkStart w:id="156" w:name="_Toc373478345"/>
      <w:bookmarkStart w:id="157" w:name="_Toc110523719"/>
      <w:bookmarkStart w:id="158" w:name="_Toc1944260835"/>
      <w:bookmarkStart w:id="159" w:name="_Toc373227698"/>
      <w:bookmarkStart w:id="160" w:name="_Toc162971361"/>
      <w:bookmarkStart w:id="161" w:name="_Toc407135200"/>
      <w:r>
        <w:rPr>
          <w:rFonts w:hint="eastAsia" w:ascii="宋体" w:hAnsi="宋体" w:eastAsia="宋体" w:cs="宋体"/>
          <w:b/>
          <w:bCs/>
          <w:color w:val="auto"/>
          <w:kern w:val="0"/>
          <w:sz w:val="24"/>
          <w:highlight w:val="none"/>
          <w:lang w:val="zh-CN"/>
        </w:rPr>
        <w:t>1.7 联络</w:t>
      </w:r>
      <w:bookmarkEnd w:id="154"/>
      <w:bookmarkEnd w:id="155"/>
      <w:bookmarkEnd w:id="156"/>
      <w:bookmarkEnd w:id="157"/>
      <w:bookmarkEnd w:id="158"/>
      <w:bookmarkEnd w:id="159"/>
      <w:bookmarkEnd w:id="160"/>
      <w:bookmarkEnd w:id="161"/>
    </w:p>
    <w:p w14:paraId="51A9279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1.7.1发包人和承包人应当在</w:t>
      </w:r>
      <w:r>
        <w:rPr>
          <w:rFonts w:hint="eastAsia" w:ascii="宋体" w:hAnsi="宋体" w:eastAsia="宋体" w:cs="宋体"/>
          <w:color w:val="auto"/>
          <w:sz w:val="24"/>
          <w:highlight w:val="none"/>
          <w:u w:val="single"/>
        </w:rPr>
        <w:t>7</w:t>
      </w:r>
      <w:r>
        <w:rPr>
          <w:rFonts w:hint="eastAsia" w:ascii="宋体" w:hAnsi="宋体" w:eastAsia="宋体" w:cs="宋体"/>
          <w:color w:val="auto"/>
          <w:kern w:val="0"/>
          <w:sz w:val="24"/>
          <w:highlight w:val="none"/>
        </w:rPr>
        <w:t>天内将与合同有关的通知、批准、证明、证书、指示、指令、要求、请求、同意、意见、确定和决定等书面函件送达对方当事人。</w:t>
      </w:r>
    </w:p>
    <w:p w14:paraId="6A96753D">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1.7.2 发包人接收文件的地点：</w:t>
      </w:r>
      <w:r>
        <w:rPr>
          <w:rFonts w:hint="eastAsia" w:ascii="宋体" w:hAnsi="宋体" w:eastAsia="宋体" w:cs="宋体"/>
          <w:color w:val="auto"/>
          <w:kern w:val="0"/>
          <w:sz w:val="24"/>
          <w:highlight w:val="none"/>
          <w:u w:val="single"/>
        </w:rPr>
        <w:t>施工现场发包人办公室</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kern w:val="0"/>
          <w:sz w:val="24"/>
          <w:highlight w:val="none"/>
        </w:rPr>
        <w:t>；</w:t>
      </w:r>
    </w:p>
    <w:p w14:paraId="04F41A0B">
      <w:pPr>
        <w:adjustRightInd w:val="0"/>
        <w:spacing w:after="120" w:line="360" w:lineRule="auto"/>
        <w:ind w:left="71" w:leftChars="34" w:right="63" w:rightChars="30" w:firstLine="420" w:firstLineChars="175"/>
        <w:textAlignment w:val="baseline"/>
        <w:rPr>
          <w:rFonts w:hint="eastAsia" w:ascii="宋体" w:hAnsi="宋体" w:eastAsia="宋体" w:cs="宋体"/>
          <w:color w:val="auto"/>
          <w:szCs w:val="22"/>
          <w:highlight w:val="none"/>
        </w:rPr>
      </w:pPr>
      <w:r>
        <w:rPr>
          <w:rFonts w:hint="eastAsia" w:ascii="宋体" w:hAnsi="宋体" w:eastAsia="宋体" w:cs="宋体"/>
          <w:color w:val="auto"/>
          <w:kern w:val="0"/>
          <w:sz w:val="24"/>
          <w:highlight w:val="none"/>
        </w:rPr>
        <w:t>邮寄地址为：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p w14:paraId="4AA9248C">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发包人指定的接收人为：</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kern w:val="0"/>
          <w:sz w:val="24"/>
          <w:highlight w:val="none"/>
          <w:u w:val="single"/>
        </w:rPr>
        <w:t>业主代表（现场），手机号：，电子邮箱：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14:paraId="2C2879FC">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承包人接收文件的地点：</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kern w:val="0"/>
          <w:sz w:val="24"/>
          <w:highlight w:val="none"/>
          <w:u w:val="single"/>
        </w:rPr>
        <w:t>施工现场承包人办公室</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kern w:val="0"/>
          <w:sz w:val="24"/>
          <w:highlight w:val="none"/>
        </w:rPr>
        <w:t>；</w:t>
      </w:r>
    </w:p>
    <w:p w14:paraId="698B38CE">
      <w:pPr>
        <w:adjustRightInd w:val="0"/>
        <w:spacing w:after="120" w:line="360" w:lineRule="auto"/>
        <w:ind w:left="71" w:leftChars="34" w:right="63" w:rightChars="30" w:firstLine="420" w:firstLineChars="175"/>
        <w:textAlignment w:val="baseline"/>
        <w:rPr>
          <w:rFonts w:hint="eastAsia" w:ascii="宋体" w:hAnsi="宋体" w:eastAsia="宋体" w:cs="宋体"/>
          <w:color w:val="auto"/>
          <w:szCs w:val="22"/>
          <w:highlight w:val="none"/>
        </w:rPr>
      </w:pPr>
      <w:r>
        <w:rPr>
          <w:rFonts w:hint="eastAsia" w:ascii="宋体" w:hAnsi="宋体" w:eastAsia="宋体" w:cs="宋体"/>
          <w:color w:val="auto"/>
          <w:kern w:val="0"/>
          <w:sz w:val="24"/>
          <w:highlight w:val="none"/>
        </w:rPr>
        <w:t>邮寄地址为：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p w14:paraId="1C038703">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2"/>
          <w:highlight w:val="none"/>
        </w:rPr>
        <w:t>承包人指定的接收人为：</w:t>
      </w:r>
      <w:r>
        <w:rPr>
          <w:rFonts w:hint="eastAsia" w:ascii="宋体" w:hAnsi="宋体" w:eastAsia="宋体" w:cs="宋体"/>
          <w:color w:val="auto"/>
          <w:kern w:val="0"/>
          <w:sz w:val="24"/>
          <w:highlight w:val="none"/>
          <w:u w:val="single"/>
        </w:rPr>
        <w:t>项目经理或技术（现场）负责人，手机号： ，电子邮箱：。</w:t>
      </w:r>
    </w:p>
    <w:p w14:paraId="1BE9BA5B">
      <w:pPr>
        <w:adjustRightInd w:val="0"/>
        <w:spacing w:after="120" w:line="360" w:lineRule="auto"/>
        <w:ind w:left="71" w:leftChars="34" w:right="63" w:rightChars="30" w:firstLine="420" w:firstLineChars="175"/>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监理人接收文件的地点：</w:t>
      </w:r>
      <w:r>
        <w:rPr>
          <w:rFonts w:hint="eastAsia" w:ascii="宋体" w:hAnsi="宋体" w:cs="宋体"/>
          <w:color w:val="auto"/>
          <w:sz w:val="24"/>
          <w:szCs w:val="22"/>
          <w:highlight w:val="none"/>
          <w:u w:val="single"/>
          <w:lang w:val="en-US" w:eastAsia="zh-CN"/>
        </w:rPr>
        <w:t xml:space="preserve"> </w:t>
      </w:r>
      <w:r>
        <w:rPr>
          <w:rFonts w:hint="eastAsia" w:ascii="宋体" w:hAnsi="宋体" w:eastAsia="宋体" w:cs="宋体"/>
          <w:color w:val="auto"/>
          <w:kern w:val="0"/>
          <w:sz w:val="24"/>
          <w:highlight w:val="none"/>
          <w:u w:val="single"/>
        </w:rPr>
        <w:t>施工现场监理人办公室</w:t>
      </w:r>
      <w:r>
        <w:rPr>
          <w:rFonts w:hint="eastAsia" w:ascii="宋体" w:hAnsi="宋体" w:eastAsia="宋体" w:cs="宋体"/>
          <w:color w:val="auto"/>
          <w:sz w:val="24"/>
          <w:szCs w:val="22"/>
          <w:highlight w:val="none"/>
          <w:u w:val="single"/>
        </w:rPr>
        <w:t xml:space="preserve"> </w:t>
      </w:r>
      <w:r>
        <w:rPr>
          <w:rFonts w:hint="eastAsia" w:ascii="宋体" w:hAnsi="宋体" w:cs="宋体"/>
          <w:color w:val="auto"/>
          <w:sz w:val="24"/>
          <w:szCs w:val="22"/>
          <w:highlight w:val="none"/>
          <w:u w:val="single"/>
          <w:lang w:val="en-US" w:eastAsia="zh-CN"/>
        </w:rPr>
        <w:t xml:space="preserve"> </w:t>
      </w:r>
      <w:r>
        <w:rPr>
          <w:rFonts w:hint="eastAsia" w:ascii="宋体" w:hAnsi="宋体" w:eastAsia="宋体" w:cs="宋体"/>
          <w:color w:val="auto"/>
          <w:kern w:val="0"/>
          <w:sz w:val="24"/>
          <w:szCs w:val="22"/>
          <w:highlight w:val="none"/>
        </w:rPr>
        <w:t>；</w:t>
      </w:r>
    </w:p>
    <w:p w14:paraId="26E7F558">
      <w:pPr>
        <w:adjustRightInd w:val="0"/>
        <w:spacing w:after="120" w:line="360" w:lineRule="auto"/>
        <w:ind w:left="71" w:leftChars="34" w:right="63" w:rightChars="30" w:firstLine="420" w:firstLineChars="175"/>
        <w:textAlignment w:val="baseline"/>
        <w:rPr>
          <w:rFonts w:hint="eastAsia" w:ascii="宋体" w:hAnsi="宋体" w:eastAsia="宋体" w:cs="宋体"/>
          <w:color w:val="auto"/>
          <w:szCs w:val="22"/>
          <w:highlight w:val="none"/>
        </w:rPr>
      </w:pPr>
      <w:r>
        <w:rPr>
          <w:rFonts w:hint="eastAsia" w:ascii="宋体" w:hAnsi="宋体" w:eastAsia="宋体" w:cs="宋体"/>
          <w:color w:val="auto"/>
          <w:kern w:val="0"/>
          <w:sz w:val="24"/>
          <w:highlight w:val="none"/>
        </w:rPr>
        <w:t>邮寄地址为：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p w14:paraId="410900E0">
      <w:pPr>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2"/>
          <w:highlight w:val="none"/>
        </w:rPr>
        <w:t>监理人指定的接收人为：</w:t>
      </w:r>
      <w:r>
        <w:rPr>
          <w:rFonts w:hint="eastAsia" w:ascii="宋体" w:hAnsi="宋体" w:eastAsia="宋体" w:cs="宋体"/>
          <w:color w:val="auto"/>
          <w:kern w:val="0"/>
          <w:sz w:val="24"/>
          <w:highlight w:val="none"/>
          <w:u w:val="single"/>
        </w:rPr>
        <w:t>现场项目监理部监理人员，手机号：；电子邮箱：。</w:t>
      </w:r>
    </w:p>
    <w:p w14:paraId="2D4AD6C3">
      <w:pPr>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发包人、承包人、监理人确认以上联系方式适用于包括三方合同履行过程中的各类通知、协议等文件以及就合同发生争议进入诉讼程序阶段法律文书的送达。</w:t>
      </w:r>
    </w:p>
    <w:p w14:paraId="1D48B180">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1.7.4通知方式</w:t>
      </w:r>
    </w:p>
    <w:p w14:paraId="0ECFD04B">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发包人、监理人可以采取直接送达、邮寄、电子邮件的形式向承包人发送与本合同有关的通知、批准、证明、证书、指示、指令、要求、请求、同意、意见、确定和决定等书面函件。</w:t>
      </w:r>
    </w:p>
    <w:p w14:paraId="3AEF9C82">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1.7.4.1直接送达：指发包人、监理人向承包人在本合同指定的邮寄地址和接收人直接送达各种文件通知，并由接收人签收；</w:t>
      </w:r>
    </w:p>
    <w:p w14:paraId="4514C26C">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1.7.4.2邮寄送达：指发包人、监理人向承包人在本合同指定的邮寄地址发送的各种通知文件，可以通过寄送的形式进行送达；</w:t>
      </w:r>
    </w:p>
    <w:p w14:paraId="2E5FF28D">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1.7.4.3电子邮件通知方式：发包人、监理人向承包人发送的通知文件，可以通过向本合同指定接收人的电子邮箱发送通知，发送时间即视为对方收到通知的时间，发送内容即视为通知内容。</w:t>
      </w:r>
    </w:p>
    <w:p w14:paraId="05F1A580">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kern w:val="0"/>
          <w:sz w:val="24"/>
          <w:highlight w:val="none"/>
        </w:rPr>
        <w:t>1.7.4.4以上联系方式若有变更，变更方应当提前15个工作日书面通知其余两方。因提供或者确认的联系方式不准确、联系方式变更后未及时依约定告知其余两方或受送达方拒绝签收等原因，导致文书未能被实际接收的，邮寄送达的，以文书退回之日视为送达之日，电子邮件送达的，一经发送，即视为送达。</w:t>
      </w:r>
    </w:p>
    <w:p w14:paraId="35F6349A">
      <w:pPr>
        <w:keepNext/>
        <w:keepLines/>
        <w:spacing w:line="360" w:lineRule="auto"/>
        <w:outlineLvl w:val="2"/>
        <w:rPr>
          <w:rFonts w:hint="eastAsia" w:ascii="宋体" w:hAnsi="宋体" w:eastAsia="宋体" w:cs="宋体"/>
          <w:b/>
          <w:bCs/>
          <w:color w:val="auto"/>
          <w:kern w:val="0"/>
          <w:sz w:val="24"/>
          <w:highlight w:val="none"/>
          <w:lang w:val="zh-CN"/>
        </w:rPr>
      </w:pPr>
      <w:bookmarkStart w:id="162" w:name="_Toc389065265"/>
      <w:bookmarkStart w:id="163" w:name="_Toc373478346"/>
      <w:bookmarkStart w:id="164" w:name="_Toc224348539"/>
      <w:bookmarkStart w:id="165" w:name="_Toc407135201"/>
      <w:bookmarkStart w:id="166" w:name="_Toc78449787"/>
      <w:bookmarkStart w:id="167" w:name="_Toc1387231545"/>
      <w:bookmarkStart w:id="168" w:name="_Toc373227699"/>
      <w:bookmarkStart w:id="169" w:name="_Toc162971362"/>
      <w:r>
        <w:rPr>
          <w:rFonts w:hint="eastAsia" w:ascii="宋体" w:hAnsi="宋体" w:eastAsia="宋体" w:cs="宋体"/>
          <w:b/>
          <w:bCs/>
          <w:color w:val="auto"/>
          <w:kern w:val="0"/>
          <w:sz w:val="24"/>
          <w:highlight w:val="none"/>
          <w:lang w:val="zh-CN"/>
        </w:rPr>
        <w:t>1.10 交通运输</w:t>
      </w:r>
      <w:bookmarkEnd w:id="162"/>
      <w:bookmarkEnd w:id="163"/>
      <w:bookmarkEnd w:id="164"/>
      <w:bookmarkEnd w:id="165"/>
      <w:bookmarkEnd w:id="166"/>
      <w:bookmarkEnd w:id="167"/>
      <w:bookmarkEnd w:id="168"/>
      <w:bookmarkEnd w:id="169"/>
    </w:p>
    <w:p w14:paraId="0F6AE49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bookmarkStart w:id="170" w:name="_Toc312677986"/>
      <w:bookmarkStart w:id="171" w:name="_Toc318581155"/>
      <w:bookmarkStart w:id="172" w:name="_Toc300934943"/>
      <w:bookmarkStart w:id="173" w:name="_Toc303539100"/>
      <w:bookmarkStart w:id="174" w:name="_Toc304295521"/>
      <w:r>
        <w:rPr>
          <w:rFonts w:hint="eastAsia" w:ascii="宋体" w:hAnsi="宋体" w:eastAsia="宋体" w:cs="宋体"/>
          <w:color w:val="auto"/>
          <w:sz w:val="24"/>
          <w:highlight w:val="none"/>
        </w:rPr>
        <w:t>.10.1 出入现场的权利</w:t>
      </w:r>
    </w:p>
    <w:p w14:paraId="1A52C8B6">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关于出入现场的权利的约定：</w:t>
      </w:r>
      <w:r>
        <w:rPr>
          <w:rFonts w:hint="eastAsia" w:ascii="宋体" w:hAnsi="宋体" w:eastAsia="宋体" w:cs="宋体"/>
          <w:color w:val="auto"/>
          <w:sz w:val="24"/>
          <w:highlight w:val="none"/>
          <w:u w:val="single"/>
        </w:rPr>
        <w:t>经发包人授权同意的，承包人需无条件同意</w:t>
      </w:r>
      <w:r>
        <w:rPr>
          <w:rFonts w:hint="eastAsia" w:ascii="宋体" w:hAnsi="宋体" w:eastAsia="宋体" w:cs="宋体"/>
          <w:color w:val="auto"/>
          <w:sz w:val="24"/>
          <w:highlight w:val="none"/>
        </w:rPr>
        <w:t>。</w:t>
      </w:r>
    </w:p>
    <w:bookmarkEnd w:id="170"/>
    <w:bookmarkEnd w:id="171"/>
    <w:bookmarkEnd w:id="172"/>
    <w:bookmarkEnd w:id="173"/>
    <w:bookmarkEnd w:id="174"/>
    <w:p w14:paraId="73F00D2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bookmarkStart w:id="175" w:name="_Toc300934944"/>
      <w:bookmarkStart w:id="176" w:name="_Toc312677987"/>
      <w:bookmarkStart w:id="177" w:name="_Toc318581156"/>
      <w:bookmarkStart w:id="178" w:name="_Toc304295522"/>
      <w:bookmarkStart w:id="179" w:name="_Toc303539101"/>
      <w:r>
        <w:rPr>
          <w:rFonts w:hint="eastAsia" w:ascii="宋体" w:hAnsi="宋体" w:eastAsia="宋体" w:cs="宋体"/>
          <w:color w:val="auto"/>
          <w:sz w:val="24"/>
          <w:highlight w:val="none"/>
        </w:rPr>
        <w:t>.10.3 场内交通</w:t>
      </w:r>
    </w:p>
    <w:bookmarkEnd w:id="175"/>
    <w:bookmarkEnd w:id="176"/>
    <w:bookmarkEnd w:id="177"/>
    <w:bookmarkEnd w:id="178"/>
    <w:bookmarkEnd w:id="179"/>
    <w:p w14:paraId="343E96BC">
      <w:pPr>
        <w:spacing w:line="360" w:lineRule="auto"/>
        <w:ind w:firstLine="480" w:firstLineChars="200"/>
        <w:jc w:val="left"/>
        <w:rPr>
          <w:rFonts w:hint="eastAsia" w:ascii="宋体" w:hAnsi="宋体" w:eastAsia="宋体" w:cs="宋体"/>
          <w:color w:val="auto"/>
          <w:kern w:val="0"/>
          <w:sz w:val="24"/>
          <w:highlight w:val="none"/>
        </w:rPr>
      </w:pPr>
      <w:bookmarkStart w:id="180" w:name="_Toc318581157"/>
      <w:r>
        <w:rPr>
          <w:rFonts w:hint="eastAsia" w:ascii="宋体" w:hAnsi="宋体" w:eastAsia="宋体" w:cs="宋体"/>
          <w:color w:val="auto"/>
          <w:kern w:val="0"/>
          <w:sz w:val="24"/>
          <w:highlight w:val="none"/>
        </w:rPr>
        <w:t>关于场外交通和场内交通的边界的约定：</w:t>
      </w:r>
      <w:r>
        <w:rPr>
          <w:rFonts w:hint="eastAsia" w:ascii="宋体" w:hAnsi="宋体" w:eastAsia="宋体" w:cs="宋体"/>
          <w:color w:val="auto"/>
          <w:sz w:val="24"/>
          <w:highlight w:val="none"/>
          <w:u w:val="single"/>
        </w:rPr>
        <w:t>以本合同施工图纸为准</w:t>
      </w:r>
      <w:r>
        <w:rPr>
          <w:rFonts w:hint="eastAsia" w:ascii="宋体" w:hAnsi="宋体" w:eastAsia="宋体" w:cs="宋体"/>
          <w:color w:val="auto"/>
          <w:sz w:val="24"/>
          <w:highlight w:val="none"/>
        </w:rPr>
        <w:t>。</w:t>
      </w:r>
    </w:p>
    <w:p w14:paraId="71CA1078">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关于发包人向承包人免费提供满足工程施工需要的场内道路和交通设施的约定：</w:t>
      </w:r>
      <w:r>
        <w:rPr>
          <w:rFonts w:hint="eastAsia" w:ascii="宋体" w:hAnsi="宋体" w:eastAsia="宋体" w:cs="宋体"/>
          <w:color w:val="auto"/>
          <w:sz w:val="24"/>
          <w:highlight w:val="none"/>
          <w:u w:val="single"/>
        </w:rPr>
        <w:t>由承包人根据现场实际自行考虑，费用自理。若因承包人原因造成上述道路或交通设施（包含施工现场所在楼栋消防步梯、电梯等）损坏的，承包人负责按原标准进行修复并承担由此增加的费用，若因此给发包人造成损失的，还应当赔偿发包人全部损失。</w:t>
      </w:r>
    </w:p>
    <w:p w14:paraId="7EBE503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1.10.4 超大件和超重件的运输</w:t>
      </w:r>
    </w:p>
    <w:p w14:paraId="58B40273">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运输超大件或超重件所需的道路和桥梁临时加固改造费用和其他有关费用由</w:t>
      </w:r>
      <w:r>
        <w:rPr>
          <w:rFonts w:hint="eastAsia" w:ascii="宋体" w:hAnsi="宋体" w:eastAsia="宋体" w:cs="宋体"/>
          <w:color w:val="auto"/>
          <w:sz w:val="24"/>
          <w:highlight w:val="none"/>
          <w:u w:val="single"/>
        </w:rPr>
        <w:t>承包人</w:t>
      </w:r>
      <w:r>
        <w:rPr>
          <w:rFonts w:hint="eastAsia" w:ascii="宋体" w:hAnsi="宋体" w:eastAsia="宋体" w:cs="宋体"/>
          <w:color w:val="auto"/>
          <w:sz w:val="24"/>
          <w:highlight w:val="none"/>
        </w:rPr>
        <w:t>承担。</w:t>
      </w:r>
    </w:p>
    <w:bookmarkEnd w:id="180"/>
    <w:p w14:paraId="6D9E12B6">
      <w:pPr>
        <w:keepNext/>
        <w:keepLines/>
        <w:spacing w:line="360" w:lineRule="auto"/>
        <w:outlineLvl w:val="2"/>
        <w:rPr>
          <w:rFonts w:hint="eastAsia" w:ascii="宋体" w:hAnsi="宋体" w:eastAsia="宋体" w:cs="宋体"/>
          <w:b/>
          <w:bCs/>
          <w:color w:val="auto"/>
          <w:kern w:val="0"/>
          <w:sz w:val="24"/>
          <w:highlight w:val="none"/>
          <w:lang w:val="zh-CN"/>
        </w:rPr>
      </w:pPr>
      <w:bookmarkStart w:id="181" w:name="_Toc373227700"/>
      <w:bookmarkStart w:id="182" w:name="_Toc78449788"/>
      <w:bookmarkStart w:id="183" w:name="_Toc373478347"/>
      <w:bookmarkStart w:id="184" w:name="_Toc1495098807"/>
      <w:bookmarkStart w:id="185" w:name="_Toc389065266"/>
      <w:bookmarkStart w:id="186" w:name="_Toc512841653"/>
      <w:bookmarkStart w:id="187" w:name="_Toc407135202"/>
      <w:bookmarkStart w:id="188" w:name="_Toc162971363"/>
      <w:r>
        <w:rPr>
          <w:rFonts w:hint="eastAsia" w:ascii="宋体" w:hAnsi="宋体" w:eastAsia="宋体" w:cs="宋体"/>
          <w:b/>
          <w:bCs/>
          <w:color w:val="auto"/>
          <w:kern w:val="0"/>
          <w:sz w:val="24"/>
          <w:highlight w:val="none"/>
          <w:lang w:val="zh-CN"/>
        </w:rPr>
        <w:t>1.11 知识产权</w:t>
      </w:r>
      <w:bookmarkEnd w:id="181"/>
      <w:bookmarkEnd w:id="182"/>
      <w:bookmarkEnd w:id="183"/>
      <w:bookmarkEnd w:id="184"/>
      <w:bookmarkEnd w:id="185"/>
      <w:bookmarkEnd w:id="186"/>
      <w:bookmarkEnd w:id="187"/>
      <w:bookmarkEnd w:id="188"/>
    </w:p>
    <w:p w14:paraId="199139C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highlight w:val="none"/>
          <w:u w:val="single"/>
        </w:rPr>
        <w:t>发包人</w:t>
      </w:r>
      <w:r>
        <w:rPr>
          <w:rFonts w:hint="eastAsia" w:ascii="宋体" w:hAnsi="宋体" w:eastAsia="宋体" w:cs="宋体"/>
          <w:color w:val="auto"/>
          <w:sz w:val="24"/>
          <w:highlight w:val="none"/>
        </w:rPr>
        <w:t>。</w:t>
      </w:r>
    </w:p>
    <w:p w14:paraId="72C0BE9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关于发包人提供的上述文件的使用限制的要求：</w:t>
      </w:r>
      <w:r>
        <w:rPr>
          <w:rFonts w:hint="eastAsia" w:ascii="宋体" w:hAnsi="宋体" w:eastAsia="宋体" w:cs="宋体"/>
          <w:color w:val="auto"/>
          <w:sz w:val="24"/>
          <w:highlight w:val="none"/>
          <w:u w:val="single"/>
        </w:rPr>
        <w:t>承包人可以为实现本合同目的而复制、使用此类文件，但不能用于与本合同无关的其他事项。未经发包人书面同意，承包人不得为了本合同以外的目的而复制、使用上述文件或将之提供给任何第三方。承包人违反上述文件的使用限制要求的，每违反一次，应当向发包人支付签约合同价 5%的违约金</w:t>
      </w:r>
      <w:r>
        <w:rPr>
          <w:rFonts w:hint="eastAsia" w:ascii="宋体" w:hAnsi="宋体" w:eastAsia="宋体" w:cs="宋体"/>
          <w:color w:val="auto"/>
          <w:sz w:val="24"/>
          <w:highlight w:val="none"/>
        </w:rPr>
        <w:t>。</w:t>
      </w:r>
    </w:p>
    <w:p w14:paraId="751E98E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2"/>
          <w:highlight w:val="none"/>
        </w:rPr>
        <w:t>1.11.2</w:t>
      </w:r>
      <w:r>
        <w:rPr>
          <w:rFonts w:hint="eastAsia" w:ascii="宋体" w:hAnsi="宋体" w:eastAsia="宋体" w:cs="宋体"/>
          <w:color w:val="auto"/>
          <w:sz w:val="24"/>
          <w:highlight w:val="none"/>
        </w:rPr>
        <w:t>关于承包人为实施工程所编制文件的著作权的归属：</w:t>
      </w:r>
      <w:r>
        <w:rPr>
          <w:rFonts w:hint="eastAsia" w:ascii="宋体" w:hAnsi="宋体" w:eastAsia="宋体" w:cs="宋体"/>
          <w:color w:val="auto"/>
          <w:sz w:val="24"/>
          <w:highlight w:val="none"/>
          <w:u w:val="single"/>
        </w:rPr>
        <w:t>发包人</w:t>
      </w:r>
      <w:r>
        <w:rPr>
          <w:rFonts w:hint="eastAsia" w:ascii="宋体" w:hAnsi="宋体" w:eastAsia="宋体" w:cs="宋体"/>
          <w:color w:val="auto"/>
          <w:sz w:val="24"/>
          <w:highlight w:val="none"/>
        </w:rPr>
        <w:t>。</w:t>
      </w:r>
    </w:p>
    <w:p w14:paraId="2D63ACAA">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关于承包人提供的上述文件的使用限制的要求：</w:t>
      </w:r>
      <w:r>
        <w:rPr>
          <w:rFonts w:hint="eastAsia" w:ascii="宋体" w:hAnsi="宋体" w:eastAsia="宋体" w:cs="宋体"/>
          <w:color w:val="auto"/>
          <w:sz w:val="24"/>
          <w:highlight w:val="none"/>
          <w:u w:val="single"/>
        </w:rPr>
        <w:t>仅限于本工程施工使用，未经承包人许可不得透露给第三人</w:t>
      </w:r>
      <w:r>
        <w:rPr>
          <w:rFonts w:hint="eastAsia" w:ascii="宋体" w:hAnsi="宋体" w:eastAsia="宋体" w:cs="宋体"/>
          <w:color w:val="auto"/>
          <w:sz w:val="24"/>
          <w:highlight w:val="none"/>
        </w:rPr>
        <w:t>。</w:t>
      </w:r>
    </w:p>
    <w:p w14:paraId="581B908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1.11.4 承包人在施工过程中所采用的专利、专有技术、技术秘密的使用费的承担方式：</w:t>
      </w:r>
      <w:r>
        <w:rPr>
          <w:rFonts w:hint="eastAsia" w:ascii="宋体" w:hAnsi="宋体" w:eastAsia="宋体" w:cs="宋体"/>
          <w:color w:val="auto"/>
          <w:sz w:val="24"/>
          <w:highlight w:val="none"/>
          <w:u w:val="single"/>
        </w:rPr>
        <w:t>所有费用已包含在本签约合同价款中，发包人不再另外向承包人支付使用费</w:t>
      </w:r>
      <w:r>
        <w:rPr>
          <w:rFonts w:hint="eastAsia" w:ascii="宋体" w:hAnsi="宋体" w:eastAsia="宋体" w:cs="宋体"/>
          <w:color w:val="auto"/>
          <w:kern w:val="0"/>
          <w:sz w:val="24"/>
          <w:highlight w:val="none"/>
        </w:rPr>
        <w:t>。</w:t>
      </w:r>
    </w:p>
    <w:p w14:paraId="57FC4153">
      <w:pPr>
        <w:keepNext/>
        <w:keepLines/>
        <w:spacing w:line="360" w:lineRule="auto"/>
        <w:outlineLvl w:val="2"/>
        <w:rPr>
          <w:rFonts w:hint="eastAsia" w:ascii="宋体" w:hAnsi="宋体" w:eastAsia="宋体" w:cs="宋体"/>
          <w:b/>
          <w:bCs/>
          <w:color w:val="auto"/>
          <w:kern w:val="0"/>
          <w:sz w:val="24"/>
          <w:highlight w:val="none"/>
          <w:lang w:val="zh-CN"/>
        </w:rPr>
      </w:pPr>
      <w:bookmarkStart w:id="189" w:name="_Toc162971364"/>
      <w:bookmarkStart w:id="190" w:name="_Toc1194977599"/>
      <w:bookmarkStart w:id="191" w:name="_Toc407135203"/>
      <w:bookmarkStart w:id="192" w:name="_Toc373227701"/>
      <w:bookmarkStart w:id="193" w:name="_Toc78449789"/>
      <w:bookmarkStart w:id="194" w:name="_Toc373478348"/>
      <w:bookmarkStart w:id="195" w:name="_Toc267680563"/>
      <w:bookmarkStart w:id="196" w:name="_Toc389065267"/>
      <w:r>
        <w:rPr>
          <w:rFonts w:hint="eastAsia" w:ascii="宋体" w:hAnsi="宋体" w:eastAsia="宋体" w:cs="宋体"/>
          <w:b/>
          <w:bCs/>
          <w:color w:val="auto"/>
          <w:kern w:val="0"/>
          <w:sz w:val="24"/>
          <w:highlight w:val="none"/>
          <w:lang w:val="zh-CN"/>
        </w:rPr>
        <w:t>1.13工程量清单错误的修正</w:t>
      </w:r>
      <w:bookmarkEnd w:id="189"/>
      <w:bookmarkEnd w:id="190"/>
      <w:bookmarkEnd w:id="191"/>
      <w:bookmarkEnd w:id="192"/>
      <w:bookmarkEnd w:id="193"/>
      <w:bookmarkEnd w:id="194"/>
      <w:bookmarkEnd w:id="195"/>
      <w:bookmarkEnd w:id="196"/>
    </w:p>
    <w:p w14:paraId="4FA1A9CB">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发包人提供的工程量清单，出现下列情形之一时，发包人应予以修正，并相应调整合同价格：</w:t>
      </w:r>
    </w:p>
    <w:p w14:paraId="02B609A3">
      <w:pPr>
        <w:spacing w:line="360" w:lineRule="auto"/>
        <w:ind w:left="42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工程量清单偏差超出专用合同条款约定的工程量偏差范围的</w:t>
      </w:r>
      <w:r>
        <w:rPr>
          <w:rFonts w:hint="eastAsia" w:ascii="宋体" w:hAnsi="宋体" w:eastAsia="宋体" w:cs="宋体"/>
          <w:color w:val="auto"/>
          <w:sz w:val="24"/>
          <w:highlight w:val="none"/>
        </w:rPr>
        <w:t>；</w:t>
      </w:r>
    </w:p>
    <w:p w14:paraId="6B269DE4">
      <w:pPr>
        <w:spacing w:line="360" w:lineRule="auto"/>
        <w:ind w:left="42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未按照国家现行计量规范强制性规定计量的</w:t>
      </w:r>
      <w:r>
        <w:rPr>
          <w:rFonts w:hint="eastAsia" w:ascii="宋体" w:hAnsi="宋体" w:eastAsia="宋体" w:cs="宋体"/>
          <w:color w:val="auto"/>
          <w:sz w:val="24"/>
          <w:highlight w:val="none"/>
        </w:rPr>
        <w:t>。</w:t>
      </w:r>
    </w:p>
    <w:p w14:paraId="42905ABA">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允许调整合同价格的工程量偏差范围及其调整办法：</w:t>
      </w:r>
      <w:r>
        <w:rPr>
          <w:rFonts w:hint="eastAsia" w:ascii="宋体" w:hAnsi="宋体" w:eastAsia="宋体" w:cs="宋体"/>
          <w:color w:val="auto"/>
          <w:sz w:val="24"/>
          <w:highlight w:val="none"/>
          <w:u w:val="single"/>
        </w:rPr>
        <w:t xml:space="preserve">如承包人实际完成工程量与招标工程量偏差超过 15%（含 15%）且该单项清单造价未超过合同总价 2% 以内（含 2%），按招标工程量清单据实结算； 如果承包人实际完成工程量与采购工程量偏差超过 15%以上且该单项清单造价超过合同总价 2%以上 的，或当工程量减少 15%以上且该单项清单造价超过合同总价 2%以上的综合单价按以下方法计算:有定额的套定额计算，执行本招标文件工程计价参考依据，并乘以下浮系数（中标价/经审定的工程招标控制价） 结算，其中材料价格有信息价的按施工期间信息价的平均价计取，无信息价的由发包人、监理单位及承包 人根据市场价格协商议定。 </w:t>
      </w:r>
    </w:p>
    <w:p w14:paraId="55763AF2">
      <w:pPr>
        <w:spacing w:line="360" w:lineRule="auto"/>
        <w:ind w:firstLine="480" w:firstLineChars="200"/>
        <w:rPr>
          <w:rFonts w:hint="eastAsia" w:ascii="宋体" w:hAnsi="宋体" w:eastAsia="宋体" w:cs="宋体"/>
          <w:color w:val="auto"/>
          <w:sz w:val="24"/>
          <w:highlight w:val="none"/>
          <w:shd w:val="clear" w:color="auto" w:fill="FFFF00"/>
        </w:rPr>
      </w:pPr>
      <w:r>
        <w:rPr>
          <w:rFonts w:hint="eastAsia" w:ascii="宋体" w:hAnsi="宋体" w:eastAsia="宋体" w:cs="宋体"/>
          <w:color w:val="auto"/>
          <w:sz w:val="24"/>
          <w:highlight w:val="none"/>
          <w:u w:val="single"/>
        </w:rPr>
        <w:t>协商形式：合同当事人进行商定或确定时，总监理工程师应当会同合同当事人尽量通过协商达成一致， 不能达成一致的，由总监理工程师按照合同约定审慎做出公正的确定。总监理工程师应将确定以书面形式 通知发包人和承包人，并附详细依据。合同当事人对总监理工程师的确定没有异议的，按照总监理工程师 的确定执行。如果任何一方对决定有异议，则按照合同中约定的争议解决条款进行处理</w:t>
      </w:r>
      <w:r>
        <w:rPr>
          <w:rFonts w:hint="eastAsia" w:ascii="宋体" w:hAnsi="宋体" w:eastAsia="宋体" w:cs="宋体"/>
          <w:color w:val="auto"/>
          <w:sz w:val="24"/>
          <w:highlight w:val="none"/>
        </w:rPr>
        <w:t>。</w:t>
      </w:r>
    </w:p>
    <w:p w14:paraId="4682F2F8">
      <w:pPr>
        <w:keepNext/>
        <w:keepLines/>
        <w:spacing w:before="60" w:after="60" w:line="360" w:lineRule="auto"/>
        <w:outlineLvl w:val="1"/>
        <w:rPr>
          <w:rFonts w:hint="eastAsia" w:ascii="宋体" w:hAnsi="宋体" w:eastAsia="宋体" w:cs="宋体"/>
          <w:b/>
          <w:bCs/>
          <w:color w:val="auto"/>
          <w:kern w:val="0"/>
          <w:sz w:val="24"/>
          <w:highlight w:val="none"/>
          <w:lang w:val="zh-CN"/>
        </w:rPr>
      </w:pPr>
      <w:bookmarkStart w:id="197" w:name="_Toc351203634"/>
      <w:bookmarkStart w:id="198" w:name="_Toc373478349"/>
      <w:bookmarkStart w:id="199" w:name="_Toc373227702"/>
      <w:bookmarkStart w:id="200" w:name="_Toc162971365"/>
      <w:bookmarkStart w:id="201" w:name="_Toc389065268"/>
      <w:bookmarkStart w:id="202" w:name="_Toc1415467590"/>
      <w:bookmarkStart w:id="203" w:name="_Toc407135204"/>
      <w:bookmarkStart w:id="204" w:name="_Toc78449790"/>
      <w:bookmarkStart w:id="205" w:name="_Toc143780453"/>
      <w:r>
        <w:rPr>
          <w:rFonts w:hint="eastAsia" w:ascii="宋体" w:hAnsi="宋体" w:eastAsia="宋体" w:cs="宋体"/>
          <w:b/>
          <w:bCs/>
          <w:color w:val="auto"/>
          <w:kern w:val="0"/>
          <w:sz w:val="24"/>
          <w:highlight w:val="none"/>
          <w:lang w:val="zh-CN"/>
        </w:rPr>
        <w:t>2</w:t>
      </w:r>
      <w:bookmarkStart w:id="206" w:name="_Toc292559867"/>
      <w:bookmarkStart w:id="207" w:name="_Toc296503157"/>
      <w:bookmarkStart w:id="208" w:name="_Toc296891197"/>
      <w:bookmarkStart w:id="209" w:name="_Toc296890985"/>
      <w:bookmarkStart w:id="210" w:name="_Toc297120457"/>
      <w:bookmarkStart w:id="211" w:name="_Toc292559362"/>
      <w:bookmarkStart w:id="212" w:name="_Toc296347156"/>
      <w:bookmarkStart w:id="213" w:name="_Toc296944496"/>
      <w:bookmarkStart w:id="214" w:name="_Toc297048343"/>
      <w:bookmarkStart w:id="215" w:name="_Toc296346658"/>
      <w:r>
        <w:rPr>
          <w:rFonts w:hint="eastAsia" w:ascii="宋体" w:hAnsi="宋体" w:eastAsia="宋体" w:cs="宋体"/>
          <w:b/>
          <w:bCs/>
          <w:color w:val="auto"/>
          <w:kern w:val="0"/>
          <w:sz w:val="24"/>
          <w:highlight w:val="none"/>
          <w:lang w:val="zh-CN"/>
        </w:rPr>
        <w:t>. 发包人</w:t>
      </w:r>
      <w:bookmarkEnd w:id="197"/>
      <w:bookmarkEnd w:id="198"/>
      <w:bookmarkEnd w:id="199"/>
      <w:bookmarkEnd w:id="200"/>
      <w:bookmarkEnd w:id="201"/>
      <w:bookmarkEnd w:id="202"/>
      <w:bookmarkEnd w:id="203"/>
      <w:bookmarkEnd w:id="204"/>
      <w:bookmarkEnd w:id="205"/>
    </w:p>
    <w:bookmarkEnd w:id="206"/>
    <w:bookmarkEnd w:id="207"/>
    <w:bookmarkEnd w:id="208"/>
    <w:bookmarkEnd w:id="209"/>
    <w:bookmarkEnd w:id="210"/>
    <w:bookmarkEnd w:id="211"/>
    <w:bookmarkEnd w:id="212"/>
    <w:bookmarkEnd w:id="213"/>
    <w:bookmarkEnd w:id="214"/>
    <w:bookmarkEnd w:id="215"/>
    <w:p w14:paraId="026C7D90">
      <w:pPr>
        <w:keepNext/>
        <w:keepLines/>
        <w:spacing w:line="360" w:lineRule="auto"/>
        <w:outlineLvl w:val="2"/>
        <w:rPr>
          <w:rFonts w:hint="eastAsia" w:ascii="宋体" w:hAnsi="宋体" w:eastAsia="宋体" w:cs="宋体"/>
          <w:b/>
          <w:bCs/>
          <w:color w:val="auto"/>
          <w:kern w:val="0"/>
          <w:sz w:val="24"/>
          <w:highlight w:val="none"/>
          <w:lang w:val="zh-CN"/>
        </w:rPr>
      </w:pPr>
      <w:bookmarkStart w:id="216" w:name="_Toc162971366"/>
      <w:bookmarkStart w:id="217" w:name="_Toc407135205"/>
      <w:bookmarkStart w:id="218" w:name="_Toc373478350"/>
      <w:bookmarkStart w:id="219" w:name="_Toc971240048"/>
      <w:bookmarkStart w:id="220" w:name="_Toc78449791"/>
      <w:bookmarkStart w:id="221" w:name="_Toc373227703"/>
      <w:bookmarkStart w:id="222" w:name="_Toc547644210"/>
      <w:bookmarkStart w:id="223" w:name="_Toc389065269"/>
      <w:r>
        <w:rPr>
          <w:rFonts w:hint="eastAsia" w:ascii="宋体" w:hAnsi="宋体" w:eastAsia="宋体" w:cs="宋体"/>
          <w:b/>
          <w:bCs/>
          <w:color w:val="auto"/>
          <w:kern w:val="0"/>
          <w:sz w:val="24"/>
          <w:highlight w:val="none"/>
          <w:lang w:val="zh-CN"/>
        </w:rPr>
        <w:t>2.2 发包人代表</w:t>
      </w:r>
      <w:bookmarkEnd w:id="216"/>
      <w:bookmarkEnd w:id="217"/>
      <w:bookmarkEnd w:id="218"/>
      <w:bookmarkEnd w:id="219"/>
      <w:bookmarkEnd w:id="220"/>
      <w:bookmarkEnd w:id="221"/>
      <w:bookmarkEnd w:id="222"/>
      <w:bookmarkEnd w:id="223"/>
    </w:p>
    <w:p w14:paraId="44CA5D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发包人代表：</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00AA918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646F7E5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2CE7089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电子信箱：</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4C11FF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通信地址：</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07F200D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2"/>
          <w:highlight w:val="none"/>
        </w:rPr>
        <w:t>发包人对发包人代表的授权范围如下：</w:t>
      </w:r>
      <w:r>
        <w:rPr>
          <w:rFonts w:hint="eastAsia" w:ascii="宋体" w:hAnsi="宋体" w:eastAsia="宋体" w:cs="宋体"/>
          <w:color w:val="auto"/>
          <w:sz w:val="24"/>
          <w:highlight w:val="none"/>
        </w:rPr>
        <w:t>对本工程的质量、进度、投资、安全、信息等事宜进行管理和控制，协调各有关单位和承包人的工作关系。应遵守法律，并办理法律规定由其办理的许可、批准或备案，包括但不限于建设用地规划许可证、建设工程规划许可证、建设工程施工许可证、施工所需临时用水、临时用电、中断道路交通、临时占用土地等许可和批准。应协助承包人办理法律规定的有关施工证件和批件，协调处理施工现场周围地下管线和邻近建筑物、构筑物、古树名木的保护工作，并由承包人承担相关费用。</w:t>
      </w:r>
    </w:p>
    <w:p w14:paraId="3D4B8681">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凡涉及合同价款或工程造价增减变化的施工方案和施工工艺实施、设计变更、现场签证、索赔、工程量、材料设备品牌选择、人工材料设备和机械台班数量及价格等事项的确认文件和工程计量、工程结算和工程款核付的确认文件及顺延工期、工程验收、工程竣工验收的确认文件，必须由发包人代表、监理工程师代表签名及加盖监理人、发包人公章后方能生效，否则无效。其他事项的确认文件，由发包人代表、监理工程师共同签名及加盖监理人、发包人分管基建工程的职能部门公章后生效</w:t>
      </w:r>
      <w:r>
        <w:rPr>
          <w:rFonts w:hint="eastAsia" w:ascii="宋体" w:hAnsi="宋体" w:eastAsia="宋体" w:cs="宋体"/>
          <w:color w:val="auto"/>
          <w:sz w:val="24"/>
          <w:highlight w:val="none"/>
        </w:rPr>
        <w:t>。发包人代表依据合同行使管理权利或发出各种指令时，承包人必须服从并遵照执行。</w:t>
      </w:r>
    </w:p>
    <w:p w14:paraId="1D45079F">
      <w:pPr>
        <w:keepNext/>
        <w:keepLines/>
        <w:spacing w:line="360" w:lineRule="auto"/>
        <w:outlineLvl w:val="2"/>
        <w:rPr>
          <w:rFonts w:hint="eastAsia" w:ascii="宋体" w:hAnsi="宋体" w:eastAsia="宋体" w:cs="宋体"/>
          <w:b/>
          <w:bCs/>
          <w:color w:val="auto"/>
          <w:kern w:val="0"/>
          <w:sz w:val="24"/>
          <w:highlight w:val="none"/>
          <w:lang w:val="zh-CN"/>
        </w:rPr>
      </w:pPr>
      <w:bookmarkStart w:id="224" w:name="_Toc407135206"/>
      <w:bookmarkStart w:id="225" w:name="_Toc162971367"/>
      <w:bookmarkStart w:id="226" w:name="_Toc389065270"/>
      <w:bookmarkStart w:id="227" w:name="_Toc373227704"/>
      <w:bookmarkStart w:id="228" w:name="_Toc2077499244"/>
      <w:bookmarkStart w:id="229" w:name="_Toc2066513957"/>
      <w:bookmarkStart w:id="230" w:name="_Toc373478351"/>
      <w:bookmarkStart w:id="231" w:name="_Toc78449792"/>
      <w:r>
        <w:rPr>
          <w:rFonts w:hint="eastAsia" w:ascii="宋体" w:hAnsi="宋体" w:eastAsia="宋体" w:cs="宋体"/>
          <w:b/>
          <w:bCs/>
          <w:color w:val="auto"/>
          <w:kern w:val="0"/>
          <w:sz w:val="24"/>
          <w:highlight w:val="none"/>
          <w:lang w:val="zh-CN"/>
        </w:rPr>
        <w:t>2.4 施工现场、施工条件和基础资料的提供</w:t>
      </w:r>
      <w:bookmarkEnd w:id="224"/>
      <w:bookmarkEnd w:id="225"/>
      <w:bookmarkEnd w:id="226"/>
      <w:bookmarkEnd w:id="227"/>
      <w:bookmarkEnd w:id="228"/>
      <w:bookmarkEnd w:id="229"/>
      <w:bookmarkEnd w:id="230"/>
      <w:bookmarkEnd w:id="231"/>
    </w:p>
    <w:p w14:paraId="7FEE206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 提供施工现场</w:t>
      </w:r>
    </w:p>
    <w:p w14:paraId="1530414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关于发包人移交施工现场的期限要求：</w:t>
      </w:r>
      <w:r>
        <w:rPr>
          <w:rFonts w:hint="eastAsia" w:ascii="宋体" w:hAnsi="宋体" w:eastAsia="宋体" w:cs="宋体"/>
          <w:color w:val="auto"/>
          <w:sz w:val="24"/>
          <w:highlight w:val="none"/>
          <w:u w:val="single"/>
        </w:rPr>
        <w:t>发包人应最迟于开工日期7天前向承包人移交施工现场</w:t>
      </w:r>
      <w:r>
        <w:rPr>
          <w:rFonts w:hint="eastAsia" w:ascii="宋体" w:hAnsi="宋体" w:eastAsia="宋体" w:cs="宋体"/>
          <w:color w:val="auto"/>
          <w:sz w:val="24"/>
          <w:highlight w:val="none"/>
        </w:rPr>
        <w:t>。</w:t>
      </w:r>
    </w:p>
    <w:p w14:paraId="1F33E78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提供施工条件</w:t>
      </w:r>
    </w:p>
    <w:p w14:paraId="18AA4781">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关于发包人应负责提供施工所需要的条件，包括：</w:t>
      </w:r>
      <w:r>
        <w:rPr>
          <w:rFonts w:hint="eastAsia" w:ascii="宋体" w:hAnsi="宋体" w:eastAsia="宋体" w:cs="宋体"/>
          <w:color w:val="auto"/>
          <w:sz w:val="24"/>
          <w:highlight w:val="none"/>
          <w:u w:val="single"/>
        </w:rPr>
        <w:t>距离用地边界500米范围内提供施工用水、电接口，由承包人自行接入，并承担相应费用；承包人可在用地边界内设置施工临时设施，项目竣工前恢复场地原状，若因外部的原因造成停水停电，承包人必须自行解决，费用自理，工期不予顺延。</w:t>
      </w:r>
    </w:p>
    <w:p w14:paraId="5FA36F61">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承包单位施工期间所使用的临水、临电等条件，发包人提供接驳点，其余均由承包人自行解决。若因外部的原因造成停水停电，承包人必须自行解决，费用自理。</w:t>
      </w:r>
    </w:p>
    <w:p w14:paraId="0C37BC8A">
      <w:pPr>
        <w:spacing w:line="360" w:lineRule="auto"/>
        <w:ind w:firstLine="556" w:firstLineChars="232"/>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施工水电费用约定：（1）发包人开通用水用电；（2）由承包人安装临时水表及临时电表，每月与发包人共同抄表。承包人按月及时缴纳费用，如逾期未缴纳费用，发包人有权停水停电，造成的一切后果由承包人承担</w:t>
      </w:r>
      <w:r>
        <w:rPr>
          <w:rFonts w:hint="eastAsia" w:ascii="宋体" w:hAnsi="宋体" w:eastAsia="宋体" w:cs="宋体"/>
          <w:color w:val="auto"/>
          <w:kern w:val="0"/>
          <w:sz w:val="24"/>
          <w:highlight w:val="none"/>
          <w:u w:val="single"/>
        </w:rPr>
        <w:t>。</w:t>
      </w:r>
    </w:p>
    <w:p w14:paraId="0DFB2F48">
      <w:pPr>
        <w:keepNext/>
        <w:keepLines/>
        <w:spacing w:line="360" w:lineRule="auto"/>
        <w:outlineLvl w:val="2"/>
        <w:rPr>
          <w:rFonts w:hint="eastAsia" w:ascii="宋体" w:hAnsi="宋体" w:eastAsia="宋体" w:cs="宋体"/>
          <w:b/>
          <w:bCs/>
          <w:color w:val="auto"/>
          <w:kern w:val="0"/>
          <w:sz w:val="24"/>
          <w:highlight w:val="none"/>
          <w:lang w:val="zh-CN"/>
        </w:rPr>
      </w:pPr>
      <w:bookmarkStart w:id="232" w:name="_Toc407135207"/>
      <w:bookmarkStart w:id="233" w:name="_Toc672429943"/>
      <w:bookmarkStart w:id="234" w:name="_Toc162971368"/>
      <w:bookmarkStart w:id="235" w:name="_Toc78449793"/>
      <w:bookmarkStart w:id="236" w:name="_Toc389065271"/>
      <w:bookmarkStart w:id="237" w:name="_Toc1238195908"/>
      <w:bookmarkStart w:id="238" w:name="_Toc373227705"/>
      <w:bookmarkStart w:id="239" w:name="_Toc373478352"/>
      <w:r>
        <w:rPr>
          <w:rFonts w:hint="eastAsia" w:ascii="宋体" w:hAnsi="宋体" w:eastAsia="宋体" w:cs="宋体"/>
          <w:b/>
          <w:bCs/>
          <w:color w:val="auto"/>
          <w:kern w:val="0"/>
          <w:sz w:val="24"/>
          <w:highlight w:val="none"/>
          <w:lang w:val="zh-CN"/>
        </w:rPr>
        <w:t>2.5 资金来源证明及支付担保</w:t>
      </w:r>
      <w:bookmarkEnd w:id="232"/>
      <w:bookmarkEnd w:id="233"/>
      <w:bookmarkEnd w:id="234"/>
      <w:bookmarkEnd w:id="235"/>
      <w:bookmarkEnd w:id="236"/>
      <w:bookmarkEnd w:id="237"/>
      <w:bookmarkEnd w:id="238"/>
      <w:bookmarkEnd w:id="239"/>
    </w:p>
    <w:p w14:paraId="64AD6FD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发包人提供资金来源证明的期限要求：</w:t>
      </w:r>
      <w:r>
        <w:rPr>
          <w:rFonts w:hint="eastAsia" w:ascii="宋体" w:hAnsi="宋体" w:eastAsia="宋体" w:cs="宋体"/>
          <w:color w:val="auto"/>
          <w:sz w:val="24"/>
          <w:highlight w:val="none"/>
          <w:u w:val="single"/>
        </w:rPr>
        <w:t>不提供</w:t>
      </w:r>
      <w:r>
        <w:rPr>
          <w:rFonts w:hint="eastAsia" w:ascii="宋体" w:hAnsi="宋体" w:eastAsia="宋体" w:cs="宋体"/>
          <w:color w:val="auto"/>
          <w:sz w:val="24"/>
          <w:highlight w:val="none"/>
        </w:rPr>
        <w:t>。</w:t>
      </w:r>
    </w:p>
    <w:p w14:paraId="730E017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发包人是否提供支付担保：</w:t>
      </w:r>
      <w:r>
        <w:rPr>
          <w:rFonts w:hint="eastAsia" w:ascii="宋体" w:hAnsi="宋体" w:eastAsia="宋体" w:cs="宋体"/>
          <w:color w:val="auto"/>
          <w:sz w:val="24"/>
          <w:highlight w:val="none"/>
          <w:u w:val="single"/>
        </w:rPr>
        <w:t>不提供</w:t>
      </w:r>
      <w:r>
        <w:rPr>
          <w:rFonts w:hint="eastAsia" w:ascii="宋体" w:hAnsi="宋体" w:eastAsia="宋体" w:cs="宋体"/>
          <w:color w:val="auto"/>
          <w:sz w:val="24"/>
          <w:highlight w:val="none"/>
        </w:rPr>
        <w:t>。</w:t>
      </w:r>
    </w:p>
    <w:p w14:paraId="390036A4">
      <w:pPr>
        <w:keepNext/>
        <w:keepLines/>
        <w:spacing w:before="60" w:after="60" w:line="360" w:lineRule="auto"/>
        <w:outlineLvl w:val="1"/>
        <w:rPr>
          <w:rFonts w:hint="eastAsia" w:ascii="宋体" w:hAnsi="宋体" w:eastAsia="宋体" w:cs="宋体"/>
          <w:b/>
          <w:bCs/>
          <w:color w:val="auto"/>
          <w:kern w:val="0"/>
          <w:sz w:val="24"/>
          <w:highlight w:val="none"/>
          <w:lang w:val="zh-CN"/>
        </w:rPr>
      </w:pPr>
      <w:bookmarkStart w:id="240" w:name="_Toc407135208"/>
      <w:bookmarkStart w:id="241" w:name="_Toc162971369"/>
      <w:bookmarkStart w:id="242" w:name="_Toc1181400362"/>
      <w:bookmarkStart w:id="243" w:name="_Toc729657770"/>
      <w:bookmarkStart w:id="244" w:name="_Toc351203635"/>
      <w:bookmarkStart w:id="245" w:name="_Toc373478353"/>
      <w:bookmarkStart w:id="246" w:name="_Toc389065272"/>
      <w:bookmarkStart w:id="247" w:name="_Toc78449794"/>
      <w:bookmarkStart w:id="248" w:name="_Toc373227706"/>
      <w:r>
        <w:rPr>
          <w:rFonts w:hint="eastAsia" w:ascii="宋体" w:hAnsi="宋体" w:eastAsia="宋体" w:cs="宋体"/>
          <w:b/>
          <w:bCs/>
          <w:color w:val="auto"/>
          <w:kern w:val="0"/>
          <w:sz w:val="24"/>
          <w:highlight w:val="none"/>
          <w:lang w:val="zh-CN"/>
        </w:rPr>
        <w:t>3</w:t>
      </w:r>
      <w:bookmarkStart w:id="249" w:name="_Toc296346659"/>
      <w:bookmarkStart w:id="250" w:name="_Toc292559868"/>
      <w:bookmarkStart w:id="251" w:name="_Toc296890986"/>
      <w:bookmarkStart w:id="252" w:name="_Toc296944497"/>
      <w:bookmarkStart w:id="253" w:name="_Toc296891198"/>
      <w:bookmarkStart w:id="254" w:name="_Toc292559363"/>
      <w:bookmarkStart w:id="255" w:name="_Toc297048344"/>
      <w:bookmarkStart w:id="256" w:name="_Toc296503158"/>
      <w:bookmarkStart w:id="257" w:name="_Toc296347157"/>
      <w:bookmarkStart w:id="258" w:name="_Toc297120458"/>
      <w:r>
        <w:rPr>
          <w:rFonts w:hint="eastAsia" w:ascii="宋体" w:hAnsi="宋体" w:eastAsia="宋体" w:cs="宋体"/>
          <w:b/>
          <w:bCs/>
          <w:color w:val="auto"/>
          <w:kern w:val="0"/>
          <w:sz w:val="24"/>
          <w:highlight w:val="none"/>
          <w:lang w:val="zh-CN"/>
        </w:rPr>
        <w:t>. 承包人</w:t>
      </w:r>
      <w:bookmarkEnd w:id="240"/>
      <w:bookmarkEnd w:id="241"/>
      <w:bookmarkEnd w:id="242"/>
      <w:bookmarkEnd w:id="243"/>
      <w:bookmarkEnd w:id="244"/>
      <w:bookmarkEnd w:id="245"/>
      <w:bookmarkEnd w:id="246"/>
      <w:bookmarkEnd w:id="247"/>
      <w:bookmarkEnd w:id="248"/>
    </w:p>
    <w:bookmarkEnd w:id="249"/>
    <w:bookmarkEnd w:id="250"/>
    <w:bookmarkEnd w:id="251"/>
    <w:bookmarkEnd w:id="252"/>
    <w:bookmarkEnd w:id="253"/>
    <w:bookmarkEnd w:id="254"/>
    <w:bookmarkEnd w:id="255"/>
    <w:bookmarkEnd w:id="256"/>
    <w:bookmarkEnd w:id="257"/>
    <w:bookmarkEnd w:id="258"/>
    <w:p w14:paraId="5C5BB82D">
      <w:pPr>
        <w:keepNext/>
        <w:keepLines/>
        <w:spacing w:line="360" w:lineRule="auto"/>
        <w:outlineLvl w:val="2"/>
        <w:rPr>
          <w:rFonts w:hint="eastAsia" w:ascii="宋体" w:hAnsi="宋体" w:eastAsia="宋体" w:cs="宋体"/>
          <w:b/>
          <w:bCs/>
          <w:color w:val="auto"/>
          <w:kern w:val="0"/>
          <w:sz w:val="24"/>
          <w:highlight w:val="none"/>
          <w:lang w:val="zh-CN"/>
        </w:rPr>
      </w:pPr>
      <w:bookmarkStart w:id="259" w:name="_Toc962678435"/>
      <w:bookmarkStart w:id="260" w:name="_Toc1642190822"/>
      <w:bookmarkStart w:id="261" w:name="_Toc373227707"/>
      <w:bookmarkStart w:id="262" w:name="_Toc78449795"/>
      <w:bookmarkStart w:id="263" w:name="_Toc389065273"/>
      <w:bookmarkStart w:id="264" w:name="_Toc407135209"/>
      <w:bookmarkStart w:id="265" w:name="_Toc162971370"/>
      <w:bookmarkStart w:id="266" w:name="_Toc373478354"/>
      <w:r>
        <w:rPr>
          <w:rFonts w:hint="eastAsia" w:ascii="宋体" w:hAnsi="宋体" w:eastAsia="宋体" w:cs="宋体"/>
          <w:b/>
          <w:bCs/>
          <w:color w:val="auto"/>
          <w:kern w:val="0"/>
          <w:sz w:val="24"/>
          <w:highlight w:val="none"/>
          <w:lang w:val="zh-CN"/>
        </w:rPr>
        <w:t>3.1 承包人的一般义务</w:t>
      </w:r>
      <w:bookmarkEnd w:id="259"/>
      <w:bookmarkEnd w:id="260"/>
      <w:bookmarkEnd w:id="261"/>
      <w:bookmarkEnd w:id="262"/>
      <w:bookmarkEnd w:id="263"/>
      <w:bookmarkEnd w:id="264"/>
      <w:bookmarkEnd w:id="265"/>
      <w:bookmarkEnd w:id="266"/>
    </w:p>
    <w:p w14:paraId="07781097">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kern w:val="0"/>
          <w:sz w:val="24"/>
          <w:highlight w:val="none"/>
        </w:rPr>
        <w:t>（9）</w:t>
      </w:r>
      <w:r>
        <w:rPr>
          <w:rFonts w:hint="eastAsia" w:ascii="宋体" w:hAnsi="宋体" w:eastAsia="宋体" w:cs="宋体"/>
          <w:color w:val="auto"/>
          <w:sz w:val="24"/>
          <w:highlight w:val="none"/>
        </w:rPr>
        <w:t>承包人提交的竣工资料的内容：</w:t>
      </w:r>
      <w:r>
        <w:rPr>
          <w:rFonts w:hint="eastAsia" w:ascii="宋体" w:hAnsi="宋体" w:eastAsia="宋体" w:cs="宋体"/>
          <w:color w:val="auto"/>
          <w:sz w:val="24"/>
          <w:highlight w:val="none"/>
          <w:u w:val="single"/>
        </w:rPr>
        <w:t>完整的技术档案和施工管理资料；工程使用的主要建筑材料、建筑构配件和设备的进场试验报告；勘察、设计、施工、监理等单位分别签署的质量合格文件；承包人签署的工程保修书等本合同约定应提交的竣工资料。承包人应保证竣工图质量，如实反映现场实际情况，确保竣工图与现场一致，符合法律规定和合同约定的工程建设竣工验收要求。</w:t>
      </w:r>
    </w:p>
    <w:p w14:paraId="5CC04A0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承包人需要提交的竣工资料套数：</w:t>
      </w:r>
      <w:r>
        <w:rPr>
          <w:rFonts w:hint="eastAsia" w:ascii="宋体" w:hAnsi="宋体" w:eastAsia="宋体" w:cs="宋体"/>
          <w:color w:val="auto"/>
          <w:sz w:val="24"/>
          <w:highlight w:val="none"/>
          <w:u w:val="single"/>
        </w:rPr>
        <w:t>一式肆套</w:t>
      </w:r>
      <w:r>
        <w:rPr>
          <w:rFonts w:hint="eastAsia" w:ascii="宋体" w:hAnsi="宋体" w:eastAsia="宋体" w:cs="宋体"/>
          <w:color w:val="auto"/>
          <w:sz w:val="24"/>
          <w:highlight w:val="none"/>
        </w:rPr>
        <w:t>。</w:t>
      </w:r>
    </w:p>
    <w:p w14:paraId="6B56D108">
      <w:pPr>
        <w:spacing w:line="360" w:lineRule="auto"/>
        <w:ind w:left="424" w:left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承包人提交的竣工资料的费用承担：</w:t>
      </w:r>
      <w:r>
        <w:rPr>
          <w:rFonts w:hint="eastAsia" w:ascii="宋体" w:hAnsi="宋体" w:eastAsia="宋体" w:cs="宋体"/>
          <w:color w:val="auto"/>
          <w:sz w:val="24"/>
          <w:highlight w:val="none"/>
          <w:u w:val="single"/>
        </w:rPr>
        <w:t>由承包人承担</w:t>
      </w:r>
      <w:r>
        <w:rPr>
          <w:rFonts w:hint="eastAsia" w:ascii="宋体" w:hAnsi="宋体" w:eastAsia="宋体" w:cs="宋体"/>
          <w:color w:val="auto"/>
          <w:sz w:val="24"/>
          <w:highlight w:val="none"/>
        </w:rPr>
        <w:t>。</w:t>
      </w:r>
    </w:p>
    <w:p w14:paraId="67302555">
      <w:pPr>
        <w:spacing w:line="360" w:lineRule="auto"/>
        <w:ind w:left="424" w:left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承包人提交的竣工资料移交时间：</w:t>
      </w:r>
      <w:r>
        <w:rPr>
          <w:rFonts w:hint="eastAsia" w:ascii="宋体" w:hAnsi="宋体" w:eastAsia="宋体" w:cs="宋体"/>
          <w:color w:val="auto"/>
          <w:sz w:val="24"/>
          <w:highlight w:val="none"/>
          <w:u w:val="single"/>
        </w:rPr>
        <w:t>全部工程竣工验收合格后15天内</w:t>
      </w:r>
      <w:r>
        <w:rPr>
          <w:rFonts w:hint="eastAsia" w:ascii="宋体" w:hAnsi="宋体" w:eastAsia="宋体" w:cs="宋体"/>
          <w:color w:val="auto"/>
          <w:sz w:val="24"/>
          <w:highlight w:val="none"/>
        </w:rPr>
        <w:t>。</w:t>
      </w:r>
    </w:p>
    <w:p w14:paraId="45E2E5BE">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承包人提交的竣工资料形式要求：</w:t>
      </w:r>
      <w:r>
        <w:rPr>
          <w:rFonts w:hint="eastAsia" w:ascii="宋体" w:hAnsi="宋体" w:eastAsia="宋体" w:cs="宋体"/>
          <w:color w:val="auto"/>
          <w:sz w:val="24"/>
          <w:highlight w:val="none"/>
          <w:u w:val="single"/>
        </w:rPr>
        <w:t>纸质文件和电子文件</w:t>
      </w:r>
      <w:r>
        <w:rPr>
          <w:rFonts w:hint="eastAsia" w:ascii="宋体" w:hAnsi="宋体" w:eastAsia="宋体" w:cs="宋体"/>
          <w:color w:val="auto"/>
          <w:sz w:val="24"/>
          <w:highlight w:val="none"/>
        </w:rPr>
        <w:t>。</w:t>
      </w:r>
    </w:p>
    <w:p w14:paraId="6FECFB12">
      <w:pPr>
        <w:numPr>
          <w:ilvl w:val="0"/>
          <w:numId w:val="2"/>
        </w:num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承包人应履行的其他义务：</w:t>
      </w:r>
    </w:p>
    <w:p w14:paraId="0188BF2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施工场地周围地下管线和邻近建筑物、构筑物（含文物保护建筑）、古树名木的保护要求及费用承担：承包人施工时应探明并负责保护且承包费用，施工时如损坏地下管线、邻近建筑物、构筑物，所发生费用由承包人承担。 </w:t>
      </w:r>
    </w:p>
    <w:p w14:paraId="604D7A3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2）取土场及弃土场由承包人自行解决，但不得违反相关管理规定，并承担相关费用。 </w:t>
      </w:r>
    </w:p>
    <w:p w14:paraId="1C09401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3）向发包人提供的办公和生活房屋及设施的要求：向发包人及监理提供办公室和休息室各2 间，每间面积约 15㎡，费用由承包人承担。 </w:t>
      </w:r>
    </w:p>
    <w:p w14:paraId="27A7631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4）已完工程成品保护的特殊要求及费用承担：已竣工工程未交付发包人之前，承包人按协 议条款约定负责已完成工程的成品保护工作，保护期间发生损坏，承包人自费予以修复。 </w:t>
      </w:r>
    </w:p>
    <w:p w14:paraId="60BBDF0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5）施工场地、水电运输通道及施工便道的修建和维护、清场等费用：由承包人承担。 </w:t>
      </w:r>
    </w:p>
    <w:p w14:paraId="4AE928D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6）本工程施工场地范围内水、电（含发包人的供水、供电部分设备）使用、维护、拆除、 恢复等由承包人负责，以上费用在投标报价中综合考虑。 </w:t>
      </w:r>
    </w:p>
    <w:p w14:paraId="4909668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7）承包人的临时占地（含项目部驻地等）租用费（含拆迁补偿）、临时用地的环保、恢复 及施工范围内临时性占地的青苗补偿及地面附着物发生的费用均由承包人负责，发生的一切费用已包含在相关报价中。 </w:t>
      </w:r>
    </w:p>
    <w:p w14:paraId="040460A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8）承包人应按监理人的指示负责拆除拆迁残留基础和构筑物等，清除本工程施工范围的零 星拆迁垃圾、杂物以及场地中的树根等，所需费用均由承包人负责，在土方工程投标报价中考虑。 </w:t>
      </w:r>
    </w:p>
    <w:p w14:paraId="71AA34F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9）各合同承包人应允许本工程其他承包人在本合同承包人施工场地上架设施工用电线路， 线路走向由监理人会同各有关合同承包人共同协商确定。 </w:t>
      </w:r>
    </w:p>
    <w:p w14:paraId="3C6F323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10）承包人应充分理解有一些设施（如施工道路）将会由一个以上的承包人使用，如果在使 用过程中发生干扰时，应立即通知监理人并服从监理人的决定。 </w:t>
      </w:r>
    </w:p>
    <w:p w14:paraId="18A50BE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11）凡属于承包人交付给其他承包人的工作面以及与其他承包人交叉作业的工作面，承包人 必须服从监理人的决定，按规定的完工日期完成并将清理好的工作面移交给发包人，并取得监理人的同意。 </w:t>
      </w:r>
    </w:p>
    <w:p w14:paraId="554B3F5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12）承包人应为监理人、发包人现场代表对施工现场的检查监督提供必要的配合，并对这种 配合对施工的影响应有充分的考虑。 </w:t>
      </w:r>
    </w:p>
    <w:p w14:paraId="6823934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13）对上述9）～12）项工作，费用已包括在有关单价和总价中，发包人不再另行支付由此所 发生的一切费用。 </w:t>
      </w:r>
    </w:p>
    <w:p w14:paraId="3852DA2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14）土料场由承包人自行解决，并负责提供经检测合格的土料。 </w:t>
      </w:r>
    </w:p>
    <w:p w14:paraId="603BFBE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15）承包人应负责施工场内交通管制和协调通行工作。连接施工场地内外道路出口处须设洗 车场，对从施工场地进入市区道路的所有车辆进行清洗，并派专人在出口处负责看守，严禁与 工程施工无关的人员及车辆进出施工场地，所发生的费用由监理人负责协调有关标段共同承担。 如承包人违反以上有关规定，由此所造成的一切后果由承包人负责。 </w:t>
      </w:r>
    </w:p>
    <w:p w14:paraId="3DF96F8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16）承包人负责其本合同段在合同实施期内临时交通道路（含场内外连接公共交通道路）和 交通设施的修建、维修、养护和交通管理工作，并承担一切费用。 </w:t>
      </w:r>
    </w:p>
    <w:p w14:paraId="1CC0D6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17）承包人修建的临时道路和交通设施，应免费提供给发包人、监理人和其他合同段的承包 人使用，如共同使用的路基损坏严重，发包人或监理人将负责通知有关承包人共同出资修复， 若使用频率相差悬殊，则按比例分摊。 </w:t>
      </w:r>
    </w:p>
    <w:p w14:paraId="277F648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18）承包人在实施合同工程所使用公共道路、水源、公共设施等必须保障发包人及其他人的 财产、利益和权利免受损害，造成损害的自费负责维修或赔偿。 </w:t>
      </w:r>
    </w:p>
    <w:p w14:paraId="484ECC6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19）承包人的施工管理区及施工场地应设有临时的污水处理设施和施工排水设施，生活、 施工垃圾等处置应妥当，施工材料如涂料、化学品等应妥善存放，并设有防雨、防风等措施，并承担一切费用。 </w:t>
      </w:r>
    </w:p>
    <w:p w14:paraId="2C74662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20）移交证书签发后，承包人应立即从签发了移交证书的工地上将所有有关的承包人的设 备、多余材料、垃圾及各种临时工程清除、移走，并使这一部分工程及工地保持清洁，使发包人满意。 </w:t>
      </w:r>
    </w:p>
    <w:p w14:paraId="022ADCF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21）承包人应全权自费负责其劳务及职员的雇佣、工资的支付、房屋、膳食及运输的安排。 承包人在任何时候应采取一切合理的预防措施，以防止其职员发生任何违法的、妨碍治安的行 为，并维护治安和保护工程附近的单位、个人或财产免遭上述行为的破坏，否则，由此造成的后果和费用均由承包人承担。 </w:t>
      </w:r>
    </w:p>
    <w:p w14:paraId="7DA6C47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22）承包人应按安全施工管理有关规定，配备安全管理机构，配备合格的安全管理人员，负责处理全体工作人员和劳务人员的安全保护和防止事故等问题，如因承包人原因造成人员伤亡、财产损失等一切事故，由承包人负全责并承担费用。 </w:t>
      </w:r>
    </w:p>
    <w:p w14:paraId="1EA208A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23）承包人在施工期间应协调好与邻近相关单位（含居民、农民）的关系、应避免发生矛盾与冲突，否则，由此造成的一切后果由承包人承担。</w:t>
      </w:r>
    </w:p>
    <w:p w14:paraId="63F66024">
      <w:pPr>
        <w:keepNext/>
        <w:keepLines/>
        <w:spacing w:line="360" w:lineRule="auto"/>
        <w:outlineLvl w:val="2"/>
        <w:rPr>
          <w:rFonts w:hint="eastAsia" w:ascii="宋体" w:hAnsi="宋体" w:eastAsia="宋体" w:cs="宋体"/>
          <w:b/>
          <w:bCs/>
          <w:color w:val="auto"/>
          <w:kern w:val="0"/>
          <w:sz w:val="24"/>
          <w:highlight w:val="none"/>
          <w:lang w:val="zh-CN"/>
        </w:rPr>
      </w:pPr>
      <w:bookmarkStart w:id="267" w:name="_Toc1659520837"/>
      <w:bookmarkStart w:id="268" w:name="_Toc407135210"/>
      <w:bookmarkStart w:id="269" w:name="_Toc162971371"/>
      <w:bookmarkStart w:id="270" w:name="_Toc389065274"/>
      <w:bookmarkStart w:id="271" w:name="_Toc373227708"/>
      <w:bookmarkStart w:id="272" w:name="_Toc501741485"/>
      <w:bookmarkStart w:id="273" w:name="_Toc78449796"/>
      <w:bookmarkStart w:id="274" w:name="_Toc373478355"/>
      <w:r>
        <w:rPr>
          <w:rFonts w:hint="eastAsia" w:ascii="宋体" w:hAnsi="宋体" w:eastAsia="宋体" w:cs="宋体"/>
          <w:b/>
          <w:bCs/>
          <w:color w:val="auto"/>
          <w:kern w:val="0"/>
          <w:sz w:val="24"/>
          <w:highlight w:val="none"/>
          <w:lang w:val="zh-CN"/>
        </w:rPr>
        <w:t>3.2 项目经理</w:t>
      </w:r>
      <w:bookmarkEnd w:id="267"/>
      <w:bookmarkEnd w:id="268"/>
      <w:bookmarkEnd w:id="269"/>
      <w:bookmarkEnd w:id="270"/>
      <w:bookmarkEnd w:id="271"/>
      <w:bookmarkEnd w:id="272"/>
      <w:bookmarkEnd w:id="273"/>
      <w:bookmarkEnd w:id="274"/>
    </w:p>
    <w:p w14:paraId="12FD637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 xml:space="preserve">3.2.1 </w:t>
      </w:r>
      <w:r>
        <w:rPr>
          <w:rFonts w:hint="eastAsia" w:ascii="宋体" w:hAnsi="宋体" w:eastAsia="宋体" w:cs="宋体"/>
          <w:color w:val="auto"/>
          <w:sz w:val="24"/>
          <w:highlight w:val="none"/>
        </w:rPr>
        <w:t>项目经理：</w:t>
      </w:r>
    </w:p>
    <w:p w14:paraId="0DBE9CF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17B049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19F3411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建造师执业资格等级：</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23C9280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建造师注册证书号：</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14AB20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安全生产考核合格证书号：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39D2A1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3A7D1BE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电子信箱：</w:t>
      </w:r>
      <w:r>
        <w:rPr>
          <w:rFonts w:hint="eastAsia" w:ascii="宋体" w:hAnsi="宋体" w:eastAsia="宋体" w:cs="宋体"/>
          <w:color w:val="auto"/>
          <w:sz w:val="24"/>
          <w:highlight w:val="none"/>
          <w:u w:val="single"/>
        </w:rPr>
        <w:fldChar w:fldCharType="begin"/>
      </w:r>
      <w:r>
        <w:rPr>
          <w:rFonts w:hint="eastAsia" w:ascii="宋体" w:hAnsi="宋体" w:eastAsia="宋体" w:cs="宋体"/>
          <w:color w:val="auto"/>
          <w:sz w:val="24"/>
          <w:highlight w:val="none"/>
          <w:u w:val="single"/>
        </w:rPr>
        <w:instrText xml:space="preserve"> HYPERLINK "mailto: 1243806823@qq.com" </w:instrText>
      </w:r>
      <w:r>
        <w:rPr>
          <w:rFonts w:hint="eastAsia" w:ascii="宋体" w:hAnsi="宋体" w:eastAsia="宋体" w:cs="宋体"/>
          <w:color w:val="auto"/>
          <w:sz w:val="24"/>
          <w:highlight w:val="none"/>
          <w:u w:val="single"/>
        </w:rPr>
        <w:fldChar w:fldCharType="separate"/>
      </w:r>
      <w:r>
        <w:rPr>
          <w:rFonts w:hint="eastAsia" w:ascii="宋体" w:hAnsi="宋体" w:eastAsia="宋体" w:cs="宋体"/>
          <w:color w:val="auto"/>
          <w:sz w:val="24"/>
          <w:szCs w:val="22"/>
          <w:highlight w:val="none"/>
          <w:u w:val="single"/>
        </w:rPr>
        <w:t xml:space="preserve">            </w:t>
      </w:r>
      <w:r>
        <w:rPr>
          <w:rFonts w:hint="eastAsia" w:ascii="宋体" w:hAnsi="宋体" w:cs="宋体"/>
          <w:color w:val="auto"/>
          <w:sz w:val="24"/>
          <w:szCs w:val="22"/>
          <w:highlight w:val="none"/>
          <w:u w:val="single"/>
          <w:lang w:val="en-US" w:eastAsia="zh-CN"/>
        </w:rPr>
        <w:t xml:space="preserve"> </w:t>
      </w:r>
      <w:r>
        <w:rPr>
          <w:rFonts w:hint="eastAsia" w:ascii="宋体" w:hAnsi="宋体" w:eastAsia="宋体" w:cs="宋体"/>
          <w:color w:val="auto"/>
          <w:sz w:val="24"/>
          <w:highlight w:val="none"/>
          <w:u w:val="single"/>
        </w:rPr>
        <w:fldChar w:fldCharType="end"/>
      </w:r>
    </w:p>
    <w:p w14:paraId="3AB3FC27">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通信地址：</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171D708E">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承包人对项目经理的授权范围如下：</w:t>
      </w:r>
      <w:r>
        <w:rPr>
          <w:rFonts w:hint="eastAsia" w:ascii="宋体" w:hAnsi="宋体" w:eastAsia="宋体" w:cs="宋体"/>
          <w:color w:val="auto"/>
          <w:sz w:val="24"/>
          <w:highlight w:val="none"/>
          <w:u w:val="single"/>
        </w:rPr>
        <w:t>项目经理仅限于工程的现场施工管理，但未经承包人盖章同意，不得以承包人名义向外采购材料设备、租用建筑周转材料、雇用劳动力、签订分包合同等从事一切为承包人设立义务或责任的行为。</w:t>
      </w:r>
    </w:p>
    <w:p w14:paraId="23727EF9">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关于项目经理每月在施工现场的时间要求：项目经理无正当理由不得请假，到施工现场的时间每月不少于25天，每少到一天支付违约金1000元，违约金须当月向发包人缴清，否则发包人有权延期支付当月工程进度款（由发包人派驻代表或监理人员确认项目经理到场天数）。项目经理无故连续七天不到施工现场的，发包人将本项目视为挂靠工程,有权解除合同。</w:t>
      </w:r>
    </w:p>
    <w:p w14:paraId="7B101D5A">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未提交劳动合同，以及没有为项目经理缴纳社会保险证明的违约责任：承包人应向发包人支付50000元违约金，按发包人要求提交劳动合同并补缴社会保险，以上违约金由发包人从工程进度款中扣除。承包人不能提交上述文件的，项目经理无权履行职责，发包人有权要求更换项目经理，由此增加的费用及延误的工期由承包人承担。</w:t>
      </w:r>
    </w:p>
    <w:p w14:paraId="681C2EA9">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项目经理未经批准，擅自离开施工现场的违约责任：项目经理每月在岗带班时间不得少于当月施工时间的80%。未经发包人同意或正当理由，项目经理每月在岗带班时间少于当月施工时间 80%的，少在岗带班一天，发包人有权处违约金 1000 元/日（人民币）。</w:t>
      </w:r>
    </w:p>
    <w:p w14:paraId="66BBCA5E">
      <w:pPr>
        <w:adjustRightInd w:val="0"/>
        <w:snapToGrid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3.2.3 承包人擅自更换项目经理的违约责任：</w:t>
      </w:r>
      <w:r>
        <w:rPr>
          <w:rFonts w:hint="eastAsia" w:ascii="宋体" w:hAnsi="宋体" w:eastAsia="宋体" w:cs="宋体"/>
          <w:color w:val="auto"/>
          <w:sz w:val="24"/>
          <w:highlight w:val="none"/>
          <w:u w:val="single"/>
        </w:rPr>
        <w:t>承包人项目经理必须与承包人投标时所承诺的人员一致，并在（开工日期）3 日前到任。在监理人向承包人颁发工程接收证书3 日前，项目经理不得同时兼任其他任何项目的项目经理（符合桂建管﹝2013﹞17 号和桂建管﹝2014﹞25 号文除外）。未经发包人书面同意，承包人擅自更换项目经理的视为违约，违约金处 50000 元/人•次（人民币）。</w:t>
      </w:r>
    </w:p>
    <w:p w14:paraId="3E60B4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3.2.4 承包人无正当理由拒绝更换项目经理的违约责任：因承包人项目经理不称职，发包人要求调换而未及时调换的，视为承包人违约，必须向发包人支付违约金10000 元/人•天（人民币）。如承包人第二次接到发包人要求更换项目经理的通知后，逾期仍未调换的，发包人有权解除合同。</w:t>
      </w:r>
    </w:p>
    <w:p w14:paraId="29D9F0A4">
      <w:pPr>
        <w:keepNext/>
        <w:keepLines/>
        <w:spacing w:line="360" w:lineRule="auto"/>
        <w:outlineLvl w:val="2"/>
        <w:rPr>
          <w:rFonts w:hint="eastAsia" w:ascii="宋体" w:hAnsi="宋体" w:eastAsia="宋体" w:cs="宋体"/>
          <w:b/>
          <w:bCs/>
          <w:color w:val="auto"/>
          <w:kern w:val="0"/>
          <w:sz w:val="24"/>
          <w:highlight w:val="none"/>
          <w:lang w:val="zh-CN"/>
        </w:rPr>
      </w:pPr>
      <w:bookmarkStart w:id="275" w:name="_Toc373478356"/>
      <w:bookmarkStart w:id="276" w:name="_Toc78449797"/>
      <w:bookmarkStart w:id="277" w:name="_Toc747710271"/>
      <w:bookmarkStart w:id="278" w:name="_Toc407135211"/>
      <w:bookmarkStart w:id="279" w:name="_Toc389065275"/>
      <w:bookmarkStart w:id="280" w:name="_Toc373227709"/>
      <w:bookmarkStart w:id="281" w:name="_Toc162971372"/>
      <w:bookmarkStart w:id="282" w:name="_Toc1443830486"/>
      <w:r>
        <w:rPr>
          <w:rFonts w:hint="eastAsia" w:ascii="宋体" w:hAnsi="宋体" w:eastAsia="宋体" w:cs="宋体"/>
          <w:b/>
          <w:bCs/>
          <w:color w:val="auto"/>
          <w:kern w:val="0"/>
          <w:sz w:val="24"/>
          <w:highlight w:val="none"/>
          <w:lang w:val="zh-CN"/>
        </w:rPr>
        <w:t>3.3 承包人人员</w:t>
      </w:r>
      <w:bookmarkEnd w:id="275"/>
      <w:bookmarkEnd w:id="276"/>
      <w:bookmarkEnd w:id="277"/>
      <w:bookmarkEnd w:id="278"/>
      <w:bookmarkEnd w:id="279"/>
      <w:bookmarkEnd w:id="280"/>
      <w:bookmarkEnd w:id="281"/>
      <w:bookmarkEnd w:id="282"/>
    </w:p>
    <w:p w14:paraId="2CA3DD9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2"/>
          <w:highlight w:val="none"/>
        </w:rPr>
        <w:t>3.3.1</w:t>
      </w:r>
      <w:r>
        <w:rPr>
          <w:rFonts w:hint="eastAsia" w:ascii="宋体" w:hAnsi="宋体" w:eastAsia="宋体" w:cs="宋体"/>
          <w:color w:val="auto"/>
          <w:sz w:val="24"/>
          <w:highlight w:val="none"/>
        </w:rPr>
        <w:t>承包人提交项目管理机构及施工现场管理人员安排报告（格式见合同附件5）的期限：</w:t>
      </w:r>
    </w:p>
    <w:p w14:paraId="76CB2B5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工程开工前7天，逾期提交的，每逾期一天，承包人应当按签约合同价的万分之四向发包人支付违约金。</w:t>
      </w:r>
    </w:p>
    <w:p w14:paraId="04C4902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3.3.3 承包人无正当理由拒绝撤换主要施工管理人员的违约责任：</w:t>
      </w:r>
      <w:r>
        <w:rPr>
          <w:rFonts w:hint="eastAsia" w:ascii="宋体" w:hAnsi="宋体" w:eastAsia="宋体" w:cs="宋体"/>
          <w:color w:val="auto"/>
          <w:sz w:val="24"/>
          <w:highlight w:val="none"/>
          <w:u w:val="single"/>
        </w:rPr>
        <w:t>因承包人主要施工管理人员不称职，发包人要求调换而无正当理由拒绝撤换或未及时调换的，视为承包人违约，必须立即更换并向发包人支付违约金，违约金标准：技术负责人10000元/人•次（人民币）；其他管理人员专业工程师5000元/人•次（人民币）</w:t>
      </w:r>
      <w:r>
        <w:rPr>
          <w:rFonts w:hint="eastAsia" w:ascii="宋体" w:hAnsi="宋体" w:eastAsia="宋体" w:cs="宋体"/>
          <w:color w:val="auto"/>
          <w:sz w:val="24"/>
          <w:highlight w:val="none"/>
        </w:rPr>
        <w:t>。</w:t>
      </w:r>
    </w:p>
    <w:p w14:paraId="11CE69D6">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3.3.4 承包人主要施工管理人员离开施工现场的批准要求：须经发包人书面同意方可离开施工现场</w:t>
      </w:r>
      <w:r>
        <w:rPr>
          <w:rFonts w:hint="eastAsia" w:ascii="宋体" w:hAnsi="宋体" w:eastAsia="宋体" w:cs="宋体"/>
          <w:color w:val="auto"/>
          <w:sz w:val="24"/>
          <w:highlight w:val="none"/>
          <w:u w:val="single"/>
        </w:rPr>
        <w:t>。</w:t>
      </w:r>
    </w:p>
    <w:p w14:paraId="65C6673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3.3.5 承包人擅自更换主要施工管理人员的违约责任：</w:t>
      </w:r>
      <w:r>
        <w:rPr>
          <w:rFonts w:hint="eastAsia" w:ascii="宋体" w:hAnsi="宋体" w:eastAsia="宋体" w:cs="宋体"/>
          <w:color w:val="auto"/>
          <w:sz w:val="24"/>
          <w:highlight w:val="none"/>
          <w:u w:val="single"/>
        </w:rPr>
        <w:t>项目技术负责人、专职安全生产管理人员及其承诺的其它在场管理人员未经发包人书面同意不准擅自更换，擅自更换项目技术负责人处20000元/人•次（人民币）违约金；擅自更换专职安全生产管理人员处10000元/人•次（人民币）违约金；擅自更换其他在场管理人员处10000元/人•次（人民币）违约金，如在开工前更换，则取消中标资格。</w:t>
      </w:r>
    </w:p>
    <w:p w14:paraId="1D0E698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承包人主要施工管理人员擅自离开施工现场的违约责任：</w:t>
      </w:r>
      <w:r>
        <w:rPr>
          <w:rFonts w:hint="eastAsia" w:ascii="宋体" w:hAnsi="宋体" w:eastAsia="宋体" w:cs="宋体"/>
          <w:color w:val="auto"/>
          <w:sz w:val="24"/>
          <w:highlight w:val="none"/>
          <w:u w:val="single"/>
        </w:rPr>
        <w:t>未经发包人书面同意，项目技术负责人擅自离岗的，视为承包人违约，发包人有权处违约金10000元/人•次（人民币）；未经发包人同意，专职安全生产管理人员擅自离岗的，视为承包人违约，发包人有权处违约金5000元/人•次（人民币）；其它在场管理人员擅自离岗的，视为承包人违约，发包人有权处违约金2500元/人•次（人民币）</w:t>
      </w:r>
      <w:r>
        <w:rPr>
          <w:rFonts w:hint="eastAsia" w:ascii="宋体" w:hAnsi="宋体" w:eastAsia="宋体" w:cs="宋体"/>
          <w:color w:val="auto"/>
          <w:sz w:val="24"/>
          <w:highlight w:val="none"/>
        </w:rPr>
        <w:t>。</w:t>
      </w:r>
    </w:p>
    <w:p w14:paraId="006B92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 在承包人签署合同文件时，承包人应被认为已对现场的相关条件进行了周详的了解和考查，并已充分掌握了下述因素及其对合同履行成本、费用、税金和时间的影响： </w:t>
      </w:r>
    </w:p>
    <w:p w14:paraId="0301D3F9">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（1）现场的状况、环境与限制； </w:t>
      </w:r>
    </w:p>
    <w:p w14:paraId="77F8AA5A">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（2）施工及承担质量保证责任所需的工作、人力、机械、材料； </w:t>
      </w:r>
    </w:p>
    <w:p w14:paraId="5193A361">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（3）材料、设备的采购、运输、存放、保管及检测； </w:t>
      </w:r>
    </w:p>
    <w:p w14:paraId="4774137C">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（4）进出现场的手段及承包人可能需要的食宿与办公条件； </w:t>
      </w:r>
    </w:p>
    <w:p w14:paraId="44636DAE">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（5）可能受到的来自现场其它承包人的各种影响及所需要的相互配合； </w:t>
      </w:r>
    </w:p>
    <w:p w14:paraId="23171BDA">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（6）对合同履行有影响或起作用的其它各种可能的风险。 </w:t>
      </w:r>
    </w:p>
    <w:p w14:paraId="7756691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承包人不得以上述理由为由，而要求对合同进行变更或免责</w:t>
      </w:r>
      <w:r>
        <w:rPr>
          <w:rFonts w:hint="eastAsia" w:ascii="宋体" w:hAnsi="宋体" w:eastAsia="宋体" w:cs="宋体"/>
          <w:color w:val="auto"/>
          <w:sz w:val="24"/>
          <w:highlight w:val="none"/>
        </w:rPr>
        <w:t>。</w:t>
      </w:r>
    </w:p>
    <w:p w14:paraId="7C350C5C">
      <w:pPr>
        <w:keepNext/>
        <w:keepLines/>
        <w:spacing w:line="360" w:lineRule="auto"/>
        <w:outlineLvl w:val="2"/>
        <w:rPr>
          <w:rFonts w:hint="eastAsia" w:ascii="宋体" w:hAnsi="宋体" w:eastAsia="宋体" w:cs="宋体"/>
          <w:b/>
          <w:bCs/>
          <w:color w:val="auto"/>
          <w:kern w:val="0"/>
          <w:sz w:val="24"/>
          <w:highlight w:val="none"/>
          <w:lang w:val="zh-CN"/>
        </w:rPr>
      </w:pPr>
      <w:bookmarkStart w:id="283" w:name="_Toc373227710"/>
      <w:bookmarkStart w:id="284" w:name="_Toc373478357"/>
      <w:bookmarkStart w:id="285" w:name="_Toc162971373"/>
      <w:bookmarkStart w:id="286" w:name="_Toc2025600126"/>
      <w:bookmarkStart w:id="287" w:name="_Toc389065276"/>
      <w:bookmarkStart w:id="288" w:name="_Toc78449798"/>
      <w:bookmarkStart w:id="289" w:name="_Toc2066279184"/>
      <w:bookmarkStart w:id="290" w:name="_Toc407135212"/>
      <w:r>
        <w:rPr>
          <w:rFonts w:hint="eastAsia" w:ascii="宋体" w:hAnsi="宋体" w:eastAsia="宋体" w:cs="宋体"/>
          <w:b/>
          <w:bCs/>
          <w:color w:val="auto"/>
          <w:kern w:val="0"/>
          <w:sz w:val="24"/>
          <w:highlight w:val="none"/>
          <w:lang w:val="zh-CN"/>
        </w:rPr>
        <w:t>3</w:t>
      </w:r>
      <w:bookmarkStart w:id="291" w:name="_Toc300934945"/>
      <w:bookmarkStart w:id="292" w:name="_Toc297048345"/>
      <w:bookmarkStart w:id="293" w:name="_Toc296346660"/>
      <w:bookmarkStart w:id="294" w:name="_Toc312677988"/>
      <w:bookmarkStart w:id="295" w:name="_Toc296347158"/>
      <w:bookmarkStart w:id="296" w:name="_Toc296890987"/>
      <w:bookmarkStart w:id="297" w:name="_Toc304295523"/>
      <w:bookmarkStart w:id="298" w:name="_Toc297120459"/>
      <w:bookmarkStart w:id="299" w:name="_Toc297123492"/>
      <w:bookmarkStart w:id="300" w:name="_Toc292559364"/>
      <w:bookmarkStart w:id="301" w:name="_Toc297216151"/>
      <w:bookmarkStart w:id="302" w:name="_Toc296944498"/>
      <w:bookmarkStart w:id="303" w:name="_Toc296503159"/>
      <w:bookmarkStart w:id="304" w:name="_Toc303539102"/>
      <w:bookmarkStart w:id="305" w:name="_Toc296891199"/>
      <w:bookmarkStart w:id="306" w:name="_Toc292559869"/>
      <w:r>
        <w:rPr>
          <w:rFonts w:hint="eastAsia" w:ascii="宋体" w:hAnsi="宋体" w:eastAsia="宋体" w:cs="宋体"/>
          <w:b/>
          <w:bCs/>
          <w:color w:val="auto"/>
          <w:kern w:val="0"/>
          <w:sz w:val="24"/>
          <w:highlight w:val="none"/>
          <w:lang w:val="zh-CN"/>
        </w:rPr>
        <w:t>.5 分包</w:t>
      </w:r>
      <w:bookmarkEnd w:id="283"/>
      <w:bookmarkEnd w:id="284"/>
      <w:bookmarkEnd w:id="285"/>
      <w:bookmarkEnd w:id="286"/>
      <w:bookmarkEnd w:id="287"/>
      <w:bookmarkEnd w:id="288"/>
      <w:bookmarkEnd w:id="289"/>
      <w:bookmarkEnd w:id="290"/>
    </w:p>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14:paraId="39A704B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bookmarkStart w:id="307" w:name="_Toc296346661"/>
      <w:bookmarkStart w:id="308" w:name="_Toc292559365"/>
      <w:bookmarkStart w:id="309" w:name="_Toc297048346"/>
      <w:bookmarkStart w:id="310" w:name="_Toc296890988"/>
      <w:bookmarkStart w:id="311" w:name="_Toc297216152"/>
      <w:bookmarkStart w:id="312" w:name="_Toc292559870"/>
      <w:bookmarkStart w:id="313" w:name="_Toc303539103"/>
      <w:bookmarkStart w:id="314" w:name="_Toc296503160"/>
      <w:bookmarkStart w:id="315" w:name="_Toc297123493"/>
      <w:bookmarkStart w:id="316" w:name="_Toc300934946"/>
      <w:bookmarkStart w:id="317" w:name="_Toc318581158"/>
      <w:bookmarkStart w:id="318" w:name="_Toc296944499"/>
      <w:bookmarkStart w:id="319" w:name="_Toc312677989"/>
      <w:bookmarkStart w:id="320" w:name="_Toc296347159"/>
      <w:bookmarkStart w:id="321" w:name="_Toc297120460"/>
      <w:bookmarkStart w:id="322" w:name="_Toc304295524"/>
      <w:bookmarkStart w:id="323" w:name="_Toc296891200"/>
      <w:r>
        <w:rPr>
          <w:rFonts w:hint="eastAsia" w:ascii="宋体" w:hAnsi="宋体" w:eastAsia="宋体" w:cs="宋体"/>
          <w:color w:val="auto"/>
          <w:sz w:val="24"/>
          <w:highlight w:val="none"/>
        </w:rPr>
        <w:t>.5.1 分包的一般约定</w:t>
      </w:r>
    </w:p>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14:paraId="3DEBDFDC">
      <w:pPr>
        <w:spacing w:line="360" w:lineRule="auto"/>
        <w:ind w:firstLine="480" w:firstLineChars="200"/>
        <w:jc w:val="left"/>
        <w:rPr>
          <w:rFonts w:hint="eastAsia" w:ascii="宋体" w:hAnsi="宋体" w:eastAsia="宋体" w:cs="宋体"/>
          <w:color w:val="auto"/>
          <w:sz w:val="24"/>
          <w:highlight w:val="none"/>
        </w:rPr>
      </w:pPr>
      <w:bookmarkStart w:id="324" w:name="_Toc373227711"/>
      <w:bookmarkStart w:id="325" w:name="_Toc389065277"/>
      <w:bookmarkStart w:id="326" w:name="_Toc373478358"/>
      <w:r>
        <w:rPr>
          <w:rFonts w:hint="eastAsia" w:ascii="宋体" w:hAnsi="宋体" w:eastAsia="宋体" w:cs="宋体"/>
          <w:color w:val="auto"/>
          <w:sz w:val="24"/>
          <w:highlight w:val="none"/>
        </w:rPr>
        <w:t>禁止分包的工程包括：</w:t>
      </w:r>
      <w:r>
        <w:rPr>
          <w:rFonts w:hint="eastAsia" w:ascii="宋体" w:hAnsi="宋体" w:eastAsia="宋体" w:cs="宋体"/>
          <w:color w:val="auto"/>
          <w:sz w:val="24"/>
          <w:highlight w:val="none"/>
          <w:u w:val="single"/>
        </w:rPr>
        <w:t>主体结构工程。</w:t>
      </w:r>
    </w:p>
    <w:p w14:paraId="2697A40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主体结构、关键性工作的范围：</w:t>
      </w:r>
      <w:r>
        <w:rPr>
          <w:rFonts w:hint="eastAsia" w:ascii="宋体" w:hAnsi="宋体" w:eastAsia="宋体" w:cs="宋体"/>
          <w:color w:val="auto"/>
          <w:sz w:val="24"/>
          <w:highlight w:val="none"/>
          <w:u w:val="single"/>
        </w:rPr>
        <w:t>按法律、法规的规定</w:t>
      </w:r>
      <w:r>
        <w:rPr>
          <w:rFonts w:hint="eastAsia" w:ascii="宋体" w:hAnsi="宋体" w:eastAsia="宋体" w:cs="宋体"/>
          <w:color w:val="auto"/>
          <w:sz w:val="24"/>
          <w:highlight w:val="none"/>
        </w:rPr>
        <w:t>。</w:t>
      </w:r>
    </w:p>
    <w:p w14:paraId="267D4A6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bookmarkStart w:id="327" w:name="_Toc312677990"/>
      <w:bookmarkStart w:id="328" w:name="_Toc318581159"/>
      <w:r>
        <w:rPr>
          <w:rFonts w:hint="eastAsia" w:ascii="宋体" w:hAnsi="宋体" w:eastAsia="宋体" w:cs="宋体"/>
          <w:color w:val="auto"/>
          <w:sz w:val="24"/>
          <w:highlight w:val="none"/>
        </w:rPr>
        <w:t>.5.2 分包的确定</w:t>
      </w:r>
    </w:p>
    <w:p w14:paraId="28F7E00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允许分包的专业工程包括：需要专业资质的非主体施工内容确需分包时应依法进行分包，并且经过发包人书面同意后方可分包，且不得再次分包。</w:t>
      </w:r>
    </w:p>
    <w:p w14:paraId="38C8039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其他关于分包的约定：</w:t>
      </w:r>
    </w:p>
    <w:p w14:paraId="587CB5F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前款约定的分包内容外，经过发包人和监理人书面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0338D2BE">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（2）在相关分包合同签订并报送有关建设行政主管部门备案后7天内，承包人应当将一份副本提交给监理人，承包人应保障分包工作不得再次分包。</w:t>
      </w:r>
    </w:p>
    <w:p w14:paraId="3387BD1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（3）未经承包人和监理人审批同意的分包工程和分包人，承包人有权拒绝验收分包工程和支付相应款项，由此引起的发包人费用增加和(或)延误的工期由发包人承担。</w:t>
      </w:r>
    </w:p>
    <w:p w14:paraId="5C9FA3B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（4）承包人有以下情况之一者，发包人有权解除合同，并视情况扣除其履约保证金：</w:t>
      </w:r>
    </w:p>
    <w:p w14:paraId="3E243AD1">
      <w:pPr>
        <w:spacing w:line="360" w:lineRule="auto"/>
        <w:ind w:firstLine="504" w:firstLineChars="210"/>
        <w:rPr>
          <w:rFonts w:hint="eastAsia" w:ascii="宋体" w:hAnsi="宋体" w:eastAsia="宋体" w:cs="宋体"/>
          <w:color w:val="auto"/>
          <w:sz w:val="24"/>
          <w:highlight w:val="none"/>
        </w:rPr>
      </w:pPr>
      <w:r>
        <w:rPr>
          <w:rFonts w:hint="eastAsia" w:ascii="宋体" w:hAnsi="宋体" w:eastAsia="宋体" w:cs="宋体"/>
          <w:color w:val="auto"/>
          <w:sz w:val="24"/>
          <w:highlight w:val="none"/>
        </w:rPr>
        <w:t>①个人承包工程，包括本人单位及外单位人员承包，发包人不承认其个人拥有任何资质等级及营业许可资格。没收全部履约保证金。</w:t>
      </w:r>
    </w:p>
    <w:p w14:paraId="6EA2D35D">
      <w:pPr>
        <w:spacing w:line="360" w:lineRule="auto"/>
        <w:ind w:firstLine="504" w:firstLineChars="210"/>
        <w:rPr>
          <w:rFonts w:hint="eastAsia" w:ascii="宋体" w:hAnsi="宋体" w:eastAsia="宋体" w:cs="宋体"/>
          <w:color w:val="auto"/>
          <w:sz w:val="24"/>
          <w:highlight w:val="none"/>
        </w:rPr>
      </w:pPr>
      <w:r>
        <w:rPr>
          <w:rFonts w:hint="eastAsia" w:ascii="宋体" w:hAnsi="宋体" w:eastAsia="宋体" w:cs="宋体"/>
          <w:color w:val="auto"/>
          <w:sz w:val="24"/>
          <w:highlight w:val="none"/>
        </w:rPr>
        <w:t>②几个人联合承包工程，就地组织暗分包队伍，不具备完成本工程的技术、机械能力，被发包人判定为没有能力履行的承包人。没收全部履约保证金。</w:t>
      </w:r>
    </w:p>
    <w:p w14:paraId="7531ECFE">
      <w:pPr>
        <w:spacing w:line="360" w:lineRule="auto"/>
        <w:ind w:firstLine="504" w:firstLineChars="210"/>
        <w:rPr>
          <w:rFonts w:hint="eastAsia" w:ascii="宋体" w:hAnsi="宋体" w:eastAsia="宋体" w:cs="宋体"/>
          <w:color w:val="auto"/>
          <w:sz w:val="24"/>
          <w:highlight w:val="none"/>
        </w:rPr>
      </w:pPr>
      <w:r>
        <w:rPr>
          <w:rFonts w:hint="eastAsia" w:ascii="宋体" w:hAnsi="宋体" w:eastAsia="宋体" w:cs="宋体"/>
          <w:color w:val="auto"/>
          <w:sz w:val="24"/>
          <w:highlight w:val="none"/>
        </w:rPr>
        <w:t>③就地转包全部的工程，以谋取高额转让费、管理费的承包人。没收全部履约保证金。</w:t>
      </w:r>
    </w:p>
    <w:p w14:paraId="12A2B51A">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0AE87C3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3.5.4 分包合同价款</w:t>
      </w:r>
    </w:p>
    <w:bookmarkEnd w:id="327"/>
    <w:bookmarkEnd w:id="328"/>
    <w:p w14:paraId="3031A4F3">
      <w:pPr>
        <w:numPr>
          <w:ilvl w:val="0"/>
          <w:numId w:val="3"/>
        </w:num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关于分包合同价款支付的约定：</w:t>
      </w:r>
      <w:r>
        <w:rPr>
          <w:rFonts w:hint="eastAsia" w:ascii="宋体" w:hAnsi="宋体" w:eastAsia="宋体" w:cs="宋体"/>
          <w:color w:val="auto"/>
          <w:sz w:val="24"/>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Fonts w:hint="eastAsia" w:ascii="宋体" w:hAnsi="宋体" w:eastAsia="宋体" w:cs="宋体"/>
          <w:color w:val="auto"/>
          <w:sz w:val="24"/>
          <w:highlight w:val="none"/>
        </w:rPr>
        <w:t>。</w:t>
      </w:r>
    </w:p>
    <w:p w14:paraId="5DD7A4E2">
      <w:pPr>
        <w:keepNext/>
        <w:keepLines/>
        <w:spacing w:line="360" w:lineRule="auto"/>
        <w:outlineLvl w:val="2"/>
        <w:rPr>
          <w:rFonts w:hint="eastAsia" w:ascii="宋体" w:hAnsi="宋体" w:eastAsia="宋体" w:cs="宋体"/>
          <w:b/>
          <w:bCs/>
          <w:color w:val="auto"/>
          <w:kern w:val="0"/>
          <w:sz w:val="24"/>
          <w:highlight w:val="none"/>
          <w:lang w:val="zh-CN"/>
        </w:rPr>
      </w:pPr>
      <w:bookmarkStart w:id="329" w:name="_Toc162971374"/>
      <w:bookmarkStart w:id="330" w:name="_Toc57329529"/>
      <w:bookmarkStart w:id="331" w:name="_Toc101808609"/>
      <w:bookmarkStart w:id="332" w:name="_Toc78449799"/>
      <w:bookmarkStart w:id="333" w:name="_Toc407135213"/>
      <w:r>
        <w:rPr>
          <w:rFonts w:hint="eastAsia" w:ascii="宋体" w:hAnsi="宋体" w:eastAsia="宋体" w:cs="宋体"/>
          <w:b/>
          <w:bCs/>
          <w:color w:val="auto"/>
          <w:kern w:val="0"/>
          <w:sz w:val="24"/>
          <w:highlight w:val="none"/>
          <w:lang w:val="zh-CN"/>
        </w:rPr>
        <w:t>3.6 工程照管与成品、半成品保护</w:t>
      </w:r>
      <w:bookmarkEnd w:id="324"/>
      <w:bookmarkEnd w:id="325"/>
      <w:bookmarkEnd w:id="326"/>
      <w:bookmarkEnd w:id="329"/>
      <w:bookmarkEnd w:id="330"/>
      <w:bookmarkEnd w:id="331"/>
      <w:bookmarkEnd w:id="332"/>
      <w:bookmarkEnd w:id="333"/>
    </w:p>
    <w:p w14:paraId="74E40618">
      <w:pPr>
        <w:spacing w:line="360" w:lineRule="auto"/>
        <w:ind w:firstLine="480" w:firstLineChars="200"/>
        <w:outlineLvl w:val="0"/>
        <w:rPr>
          <w:rFonts w:hint="eastAsia" w:ascii="宋体" w:hAnsi="宋体" w:eastAsia="宋体" w:cs="宋体"/>
          <w:color w:val="auto"/>
          <w:kern w:val="0"/>
          <w:sz w:val="24"/>
          <w:highlight w:val="none"/>
          <w:u w:val="single"/>
        </w:rPr>
      </w:pPr>
      <w:bookmarkStart w:id="334" w:name="_Toc162971378"/>
      <w:r>
        <w:rPr>
          <w:rFonts w:hint="eastAsia" w:ascii="宋体" w:hAnsi="宋体" w:eastAsia="宋体" w:cs="宋体"/>
          <w:color w:val="auto"/>
          <w:sz w:val="24"/>
          <w:highlight w:val="none"/>
        </w:rPr>
        <w:t>承包人负责照管工程及工程相关的材料、工程设备的起始时间：设备、人员进场至发包人确认验收交付使用前由承包人负责保管、保护、保修，该期间材料、设备等发生损坏、灭失的，承包人负责及时予以修复或照价赔偿，费用由承包人承担。</w:t>
      </w:r>
      <w:bookmarkEnd w:id="334"/>
    </w:p>
    <w:p w14:paraId="6DC02688">
      <w:pPr>
        <w:keepNext/>
        <w:keepLines/>
        <w:spacing w:line="360" w:lineRule="auto"/>
        <w:outlineLvl w:val="2"/>
        <w:rPr>
          <w:rFonts w:hint="eastAsia" w:ascii="宋体" w:hAnsi="宋体" w:eastAsia="宋体" w:cs="宋体"/>
          <w:b/>
          <w:bCs/>
          <w:color w:val="auto"/>
          <w:kern w:val="0"/>
          <w:sz w:val="24"/>
          <w:highlight w:val="none"/>
          <w:lang w:val="zh-CN"/>
        </w:rPr>
      </w:pPr>
      <w:bookmarkStart w:id="335" w:name="_Toc389065278"/>
      <w:bookmarkStart w:id="336" w:name="_Toc373227712"/>
      <w:bookmarkStart w:id="337" w:name="_Toc373478359"/>
      <w:bookmarkStart w:id="338" w:name="_Toc78449800"/>
      <w:bookmarkStart w:id="339" w:name="_Toc162971379"/>
      <w:bookmarkStart w:id="340" w:name="_Toc1042049436"/>
      <w:bookmarkStart w:id="341" w:name="_Toc1649716734"/>
      <w:bookmarkStart w:id="342" w:name="_Toc407135214"/>
      <w:r>
        <w:rPr>
          <w:rFonts w:hint="eastAsia" w:ascii="宋体" w:hAnsi="宋体" w:eastAsia="宋体" w:cs="宋体"/>
          <w:b/>
          <w:bCs/>
          <w:color w:val="auto"/>
          <w:kern w:val="0"/>
          <w:sz w:val="24"/>
          <w:highlight w:val="none"/>
          <w:lang w:val="zh-CN"/>
        </w:rPr>
        <w:t>3.7 履约</w:t>
      </w:r>
      <w:bookmarkEnd w:id="335"/>
      <w:bookmarkEnd w:id="336"/>
      <w:bookmarkEnd w:id="337"/>
      <w:r>
        <w:rPr>
          <w:rFonts w:hint="eastAsia" w:ascii="宋体" w:hAnsi="宋体" w:eastAsia="宋体" w:cs="宋体"/>
          <w:b/>
          <w:bCs/>
          <w:color w:val="auto"/>
          <w:kern w:val="0"/>
          <w:sz w:val="24"/>
          <w:highlight w:val="none"/>
          <w:lang w:val="zh-CN"/>
        </w:rPr>
        <w:t>保证金</w:t>
      </w:r>
      <w:bookmarkEnd w:id="338"/>
      <w:bookmarkEnd w:id="339"/>
      <w:bookmarkEnd w:id="340"/>
      <w:bookmarkEnd w:id="341"/>
      <w:bookmarkEnd w:id="342"/>
    </w:p>
    <w:p w14:paraId="2CCE87E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承包人提供履约担保金额及期限：承包人在收到中标通知书后向采购人缴纳合同总金额5%（中小企业2%）的履约保证金，须在25日内向发包人提交人民币</w:t>
      </w:r>
      <w:r>
        <w:rPr>
          <w:rFonts w:hint="eastAsia" w:ascii="宋体" w:hAnsi="宋体" w:eastAsia="宋体" w:cs="宋体"/>
          <w:color w:val="auto"/>
          <w:sz w:val="24"/>
          <w:highlight w:val="none"/>
          <w:u w:val="single"/>
          <w:lang w:val="en-US" w:eastAsia="zh-CN"/>
        </w:rPr>
        <w:t xml:space="preserve">     元</w:t>
      </w:r>
      <w:r>
        <w:rPr>
          <w:rFonts w:hint="eastAsia" w:ascii="宋体" w:hAnsi="宋体" w:eastAsia="宋体" w:cs="宋体"/>
          <w:color w:val="auto"/>
          <w:sz w:val="24"/>
          <w:highlight w:val="none"/>
        </w:rPr>
        <w:t>的履约担保（格式见合同附件7）。履约担保的有效期应当自本合同生效之日起至发包人签认并由监理人向承包人出具竣工验收意见书或竣工验收报告之日止。如果承包人无法获得一份不带具体截止日期的担保，履约担保中应当有“变更工程竣工日期的，保证期间按照变更后的竣工日期做相应调整”或类似约定的条款。</w:t>
      </w:r>
    </w:p>
    <w:p w14:paraId="2BA4F89E">
      <w:pPr>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同时，承包人应在原履约担保到期前提供新的履约担保，未能按时提供新的履约担保的，视为承包人违约，承包人按履约担保金额的4‰/日向发包人支付违约金， 并且发包人有权终止向承包人支付任何合同款项，直至承包人提供新的履约担保。</w:t>
      </w:r>
    </w:p>
    <w:p w14:paraId="4ACEC07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承包人提供履约担保的形式：银行转账或银行保函。</w:t>
      </w:r>
    </w:p>
    <w:p w14:paraId="3A340E1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的退还：保证金收取单位在收到验收合格材料后，承包人提出书面申请，发包人在扣除承包人赔偿金或其他应从承包人扣回的款项后，20个工作日内，一次性向承包人返还剩余部分的履约保证金（无息）。</w:t>
      </w:r>
    </w:p>
    <w:p w14:paraId="1689CAF4">
      <w:pPr>
        <w:keepNext/>
        <w:keepLines/>
        <w:spacing w:before="60" w:after="60" w:line="360" w:lineRule="auto"/>
        <w:outlineLvl w:val="1"/>
        <w:rPr>
          <w:rFonts w:hint="eastAsia" w:ascii="宋体" w:hAnsi="宋体" w:eastAsia="宋体" w:cs="宋体"/>
          <w:b/>
          <w:bCs/>
          <w:color w:val="auto"/>
          <w:kern w:val="0"/>
          <w:sz w:val="24"/>
          <w:highlight w:val="none"/>
          <w:lang w:val="zh-CN"/>
        </w:rPr>
      </w:pPr>
      <w:bookmarkStart w:id="343" w:name="_Toc407135215"/>
      <w:bookmarkStart w:id="344" w:name="_Toc162971380"/>
      <w:bookmarkStart w:id="345" w:name="_Toc931514330"/>
      <w:bookmarkStart w:id="346" w:name="_Toc78449801"/>
      <w:bookmarkStart w:id="347" w:name="_Toc907912356"/>
      <w:r>
        <w:rPr>
          <w:rFonts w:hint="eastAsia" w:ascii="宋体" w:hAnsi="宋体" w:eastAsia="宋体" w:cs="宋体"/>
          <w:b/>
          <w:bCs/>
          <w:color w:val="auto"/>
          <w:kern w:val="0"/>
          <w:sz w:val="24"/>
          <w:highlight w:val="none"/>
          <w:lang w:val="zh-CN"/>
        </w:rPr>
        <w:t>4</w:t>
      </w:r>
      <w:bookmarkStart w:id="348" w:name="_Toc292559366"/>
      <w:bookmarkStart w:id="349" w:name="_Toc267251413"/>
      <w:bookmarkStart w:id="350" w:name="_Toc296346663"/>
      <w:bookmarkStart w:id="351" w:name="_Toc296890990"/>
      <w:bookmarkStart w:id="352" w:name="_Toc297048348"/>
      <w:bookmarkStart w:id="353" w:name="_Toc292559871"/>
      <w:bookmarkStart w:id="354" w:name="_Toc296891202"/>
      <w:bookmarkStart w:id="355" w:name="_Toc297120462"/>
      <w:bookmarkStart w:id="356" w:name="_Toc296944501"/>
      <w:bookmarkStart w:id="357" w:name="_Toc296347161"/>
      <w:bookmarkStart w:id="358" w:name="_Toc296503162"/>
      <w:r>
        <w:rPr>
          <w:rFonts w:hint="eastAsia" w:ascii="宋体" w:hAnsi="宋体" w:eastAsia="宋体" w:cs="宋体"/>
          <w:b/>
          <w:bCs/>
          <w:color w:val="auto"/>
          <w:kern w:val="0"/>
          <w:sz w:val="24"/>
          <w:highlight w:val="none"/>
          <w:lang w:val="zh-CN"/>
        </w:rPr>
        <w:t>. 监</w:t>
      </w:r>
      <w:bookmarkEnd w:id="348"/>
      <w:bookmarkEnd w:id="349"/>
      <w:bookmarkEnd w:id="350"/>
      <w:bookmarkEnd w:id="351"/>
      <w:bookmarkEnd w:id="352"/>
      <w:bookmarkEnd w:id="353"/>
      <w:bookmarkEnd w:id="354"/>
      <w:bookmarkEnd w:id="355"/>
      <w:bookmarkEnd w:id="356"/>
      <w:bookmarkEnd w:id="357"/>
      <w:bookmarkEnd w:id="358"/>
      <w:r>
        <w:rPr>
          <w:rFonts w:hint="eastAsia" w:ascii="宋体" w:hAnsi="宋体" w:eastAsia="宋体" w:cs="宋体"/>
          <w:b/>
          <w:bCs/>
          <w:color w:val="auto"/>
          <w:kern w:val="0"/>
          <w:sz w:val="24"/>
          <w:highlight w:val="none"/>
          <w:lang w:val="zh-CN"/>
        </w:rPr>
        <w:t>理人</w:t>
      </w:r>
      <w:bookmarkEnd w:id="343"/>
      <w:bookmarkEnd w:id="344"/>
      <w:bookmarkEnd w:id="345"/>
      <w:bookmarkEnd w:id="346"/>
      <w:bookmarkEnd w:id="347"/>
    </w:p>
    <w:p w14:paraId="24CB2BDA">
      <w:pPr>
        <w:keepNext/>
        <w:keepLines/>
        <w:spacing w:line="360" w:lineRule="auto"/>
        <w:outlineLvl w:val="2"/>
        <w:rPr>
          <w:rFonts w:hint="eastAsia" w:ascii="宋体" w:hAnsi="宋体" w:eastAsia="宋体" w:cs="宋体"/>
          <w:b/>
          <w:bCs/>
          <w:color w:val="auto"/>
          <w:kern w:val="0"/>
          <w:sz w:val="24"/>
          <w:highlight w:val="none"/>
          <w:lang w:val="zh-CN"/>
        </w:rPr>
      </w:pPr>
      <w:bookmarkStart w:id="359" w:name="_Toc373227714"/>
      <w:bookmarkStart w:id="360" w:name="_Toc373478361"/>
      <w:bookmarkStart w:id="361" w:name="_Toc1595043148"/>
      <w:bookmarkStart w:id="362" w:name="_Toc1008304989"/>
      <w:bookmarkStart w:id="363" w:name="_Toc389065280"/>
      <w:bookmarkStart w:id="364" w:name="_Toc162971381"/>
      <w:bookmarkStart w:id="365" w:name="_Toc78449802"/>
      <w:bookmarkStart w:id="366" w:name="_Toc407135216"/>
      <w:r>
        <w:rPr>
          <w:rFonts w:hint="eastAsia" w:ascii="宋体" w:hAnsi="宋体" w:eastAsia="宋体" w:cs="宋体"/>
          <w:b/>
          <w:bCs/>
          <w:color w:val="auto"/>
          <w:kern w:val="0"/>
          <w:sz w:val="24"/>
          <w:highlight w:val="none"/>
          <w:lang w:val="zh-CN"/>
        </w:rPr>
        <w:t>4.1 监理人的一般规定</w:t>
      </w:r>
      <w:bookmarkEnd w:id="359"/>
      <w:bookmarkEnd w:id="360"/>
      <w:bookmarkEnd w:id="361"/>
      <w:bookmarkEnd w:id="362"/>
      <w:bookmarkEnd w:id="363"/>
      <w:bookmarkEnd w:id="364"/>
      <w:bookmarkEnd w:id="365"/>
      <w:bookmarkEnd w:id="366"/>
    </w:p>
    <w:p w14:paraId="798852C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关于监理人的监理内容：</w:t>
      </w:r>
      <w:r>
        <w:rPr>
          <w:rFonts w:hint="eastAsia" w:ascii="宋体" w:hAnsi="宋体" w:eastAsia="宋体" w:cs="宋体"/>
          <w:color w:val="auto"/>
          <w:sz w:val="24"/>
          <w:highlight w:val="none"/>
          <w:u w:val="single"/>
        </w:rPr>
        <w:t>质量、进度、投资控制；合同管理、信息管理、安全管理；项目有关单位的协调。具体以监理合同约定为准</w:t>
      </w:r>
      <w:r>
        <w:rPr>
          <w:rFonts w:hint="eastAsia" w:ascii="宋体" w:hAnsi="宋体" w:eastAsia="宋体" w:cs="宋体"/>
          <w:color w:val="auto"/>
          <w:sz w:val="24"/>
          <w:highlight w:val="none"/>
        </w:rPr>
        <w:t>。</w:t>
      </w:r>
    </w:p>
    <w:p w14:paraId="772B69A7">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关于监理人的监理权限：</w:t>
      </w:r>
      <w:r>
        <w:rPr>
          <w:rFonts w:hint="eastAsia" w:ascii="宋体" w:hAnsi="宋体" w:eastAsia="宋体" w:cs="宋体"/>
          <w:color w:val="auto"/>
          <w:sz w:val="24"/>
          <w:highlight w:val="none"/>
          <w:u w:val="single"/>
        </w:rPr>
        <w:t>对施工中的质量、进度、安全、投资进行监督控制，收集整理与施工有关的信息，协助发包人处理与施工相关的问题；对于涉及设计、工期、造价等变更文件的确认，须由发包人盖章及发包人代表、总监理工程师签字后方能生效</w:t>
      </w:r>
      <w:r>
        <w:rPr>
          <w:rFonts w:hint="eastAsia" w:ascii="宋体" w:hAnsi="宋体" w:eastAsia="宋体" w:cs="宋体"/>
          <w:color w:val="auto"/>
          <w:sz w:val="24"/>
          <w:highlight w:val="none"/>
        </w:rPr>
        <w:t>。</w:t>
      </w:r>
    </w:p>
    <w:p w14:paraId="2D16A8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关于监理人在施工现场的办公场所、生活场所的提供和费用承担的约定：</w:t>
      </w:r>
      <w:r>
        <w:rPr>
          <w:rFonts w:hint="eastAsia" w:ascii="宋体" w:hAnsi="宋体" w:eastAsia="宋体" w:cs="宋体"/>
          <w:color w:val="auto"/>
          <w:sz w:val="24"/>
          <w:highlight w:val="none"/>
          <w:u w:val="single"/>
        </w:rPr>
        <w:t xml:space="preserve">监理人进场前提供经过与发包人、承包人协商认可的施工现场办公、住宿场所的需用计划给承包人，承包人根据计划提供且承担所发生的费用  </w:t>
      </w:r>
      <w:r>
        <w:rPr>
          <w:rFonts w:hint="eastAsia" w:ascii="宋体" w:hAnsi="宋体" w:eastAsia="宋体" w:cs="宋体"/>
          <w:color w:val="auto"/>
          <w:sz w:val="24"/>
          <w:highlight w:val="none"/>
        </w:rPr>
        <w:t>。</w:t>
      </w:r>
    </w:p>
    <w:p w14:paraId="7617FD76">
      <w:pPr>
        <w:spacing w:line="360" w:lineRule="auto"/>
        <w:rPr>
          <w:rFonts w:hint="eastAsia" w:ascii="宋体" w:hAnsi="宋体" w:eastAsia="宋体" w:cs="宋体"/>
          <w:color w:val="auto"/>
          <w:kern w:val="0"/>
          <w:sz w:val="24"/>
          <w:highlight w:val="none"/>
        </w:rPr>
      </w:pPr>
    </w:p>
    <w:p w14:paraId="080403D8">
      <w:pPr>
        <w:keepNext/>
        <w:keepLines/>
        <w:spacing w:line="360" w:lineRule="auto"/>
        <w:outlineLvl w:val="2"/>
        <w:rPr>
          <w:rFonts w:hint="eastAsia" w:ascii="宋体" w:hAnsi="宋体" w:eastAsia="宋体" w:cs="宋体"/>
          <w:b/>
          <w:bCs/>
          <w:color w:val="auto"/>
          <w:kern w:val="0"/>
          <w:sz w:val="24"/>
          <w:highlight w:val="none"/>
          <w:lang w:val="zh-CN"/>
        </w:rPr>
      </w:pPr>
      <w:bookmarkStart w:id="367" w:name="_Toc373227715"/>
      <w:bookmarkStart w:id="368" w:name="_Toc78449803"/>
      <w:bookmarkStart w:id="369" w:name="_Toc386397261"/>
      <w:bookmarkStart w:id="370" w:name="_Toc389065281"/>
      <w:bookmarkStart w:id="371" w:name="_Toc407135217"/>
      <w:bookmarkStart w:id="372" w:name="_Toc162971382"/>
      <w:bookmarkStart w:id="373" w:name="_Toc373478362"/>
      <w:bookmarkStart w:id="374" w:name="_Toc1350458461"/>
      <w:r>
        <w:rPr>
          <w:rFonts w:hint="eastAsia" w:ascii="宋体" w:hAnsi="宋体" w:eastAsia="宋体" w:cs="宋体"/>
          <w:b/>
          <w:bCs/>
          <w:color w:val="auto"/>
          <w:kern w:val="0"/>
          <w:sz w:val="24"/>
          <w:highlight w:val="none"/>
          <w:lang w:val="zh-CN"/>
        </w:rPr>
        <w:t>4.2 监理人员</w:t>
      </w:r>
      <w:bookmarkEnd w:id="367"/>
      <w:bookmarkEnd w:id="368"/>
      <w:bookmarkEnd w:id="369"/>
      <w:bookmarkEnd w:id="370"/>
      <w:bookmarkEnd w:id="371"/>
      <w:bookmarkEnd w:id="372"/>
      <w:bookmarkEnd w:id="373"/>
      <w:bookmarkEnd w:id="374"/>
    </w:p>
    <w:p w14:paraId="6075605D">
      <w:pPr>
        <w:spacing w:after="120" w:line="360" w:lineRule="auto"/>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见监理合同。</w:t>
      </w:r>
    </w:p>
    <w:p w14:paraId="6ACE3BC3">
      <w:pPr>
        <w:keepNext/>
        <w:keepLines/>
        <w:spacing w:line="360" w:lineRule="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zh-CN"/>
        </w:rPr>
        <w:t>4.</w:t>
      </w: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zh-CN"/>
        </w:rPr>
        <w:t>监理人</w:t>
      </w:r>
      <w:r>
        <w:rPr>
          <w:rFonts w:hint="eastAsia" w:ascii="宋体" w:hAnsi="宋体" w:eastAsia="宋体" w:cs="宋体"/>
          <w:b/>
          <w:bCs/>
          <w:color w:val="auto"/>
          <w:sz w:val="24"/>
          <w:highlight w:val="none"/>
        </w:rPr>
        <w:t>的指示</w:t>
      </w:r>
    </w:p>
    <w:p w14:paraId="63560ED1">
      <w:pPr>
        <w:adjustRightInd w:val="0"/>
        <w:spacing w:after="120" w:line="360" w:lineRule="auto"/>
        <w:ind w:left="63" w:leftChars="30" w:right="63" w:rightChars="30" w:firstLine="240" w:firstLineChars="100"/>
        <w:textAlignment w:val="baseline"/>
        <w:rPr>
          <w:rFonts w:hint="eastAsia" w:ascii="宋体" w:hAnsi="宋体" w:eastAsia="宋体" w:cs="宋体"/>
          <w:color w:val="auto"/>
          <w:szCs w:val="22"/>
          <w:highlight w:val="none"/>
        </w:rPr>
      </w:pPr>
      <w:r>
        <w:rPr>
          <w:rFonts w:hint="eastAsia" w:ascii="宋体" w:hAnsi="宋体" w:eastAsia="宋体" w:cs="宋体"/>
          <w:color w:val="auto"/>
          <w:sz w:val="24"/>
          <w:highlight w:val="none"/>
        </w:rPr>
        <w:t>监理人在合同履行期间所作出的任何意见、承诺、指示以及其他行为等，未经发包人确认的，均对发包人不生效。</w:t>
      </w:r>
    </w:p>
    <w:p w14:paraId="56AE8E7C">
      <w:pPr>
        <w:keepNext/>
        <w:keepLines/>
        <w:spacing w:line="360" w:lineRule="auto"/>
        <w:outlineLvl w:val="0"/>
        <w:rPr>
          <w:rFonts w:hint="eastAsia" w:ascii="宋体" w:hAnsi="宋体" w:eastAsia="宋体" w:cs="宋体"/>
          <w:b/>
          <w:bCs/>
          <w:color w:val="auto"/>
          <w:sz w:val="24"/>
          <w:highlight w:val="none"/>
        </w:rPr>
      </w:pPr>
      <w:bookmarkStart w:id="375" w:name="_Toc389065282"/>
      <w:bookmarkStart w:id="376" w:name="_Toc6626"/>
      <w:bookmarkStart w:id="377" w:name="_Toc373227716"/>
      <w:bookmarkStart w:id="378" w:name="_Toc373478363"/>
      <w:r>
        <w:rPr>
          <w:rFonts w:hint="eastAsia" w:ascii="宋体" w:hAnsi="宋体" w:eastAsia="宋体" w:cs="宋体"/>
          <w:b/>
          <w:bCs/>
          <w:color w:val="auto"/>
          <w:sz w:val="24"/>
          <w:highlight w:val="none"/>
        </w:rPr>
        <w:t>4.4 商定或确定</w:t>
      </w:r>
      <w:bookmarkEnd w:id="375"/>
      <w:bookmarkEnd w:id="376"/>
      <w:bookmarkEnd w:id="377"/>
      <w:bookmarkEnd w:id="378"/>
    </w:p>
    <w:p w14:paraId="7CCE940C">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在发包人和承包人不能通过协商达成一致意见时，发包人授权监理人对以下事项进行确定</w:t>
      </w:r>
      <w:r>
        <w:rPr>
          <w:rFonts w:hint="eastAsia" w:ascii="宋体" w:hAnsi="宋体" w:eastAsia="宋体" w:cs="宋体"/>
          <w:color w:val="auto"/>
          <w:sz w:val="24"/>
          <w:highlight w:val="none"/>
          <w:u w:val="single"/>
        </w:rPr>
        <w:t>：无。</w:t>
      </w:r>
    </w:p>
    <w:p w14:paraId="5E1C5921">
      <w:pPr>
        <w:keepNext/>
        <w:keepLines/>
        <w:spacing w:before="60" w:after="60" w:line="360" w:lineRule="auto"/>
        <w:outlineLvl w:val="1"/>
        <w:rPr>
          <w:rFonts w:hint="eastAsia" w:ascii="宋体" w:hAnsi="宋体" w:eastAsia="宋体" w:cs="宋体"/>
          <w:b/>
          <w:bCs/>
          <w:color w:val="auto"/>
          <w:kern w:val="0"/>
          <w:sz w:val="24"/>
          <w:highlight w:val="none"/>
          <w:lang w:val="zh-CN"/>
        </w:rPr>
      </w:pPr>
      <w:bookmarkStart w:id="379" w:name="_Toc267251418"/>
      <w:bookmarkStart w:id="380" w:name="_Toc1687297496"/>
      <w:bookmarkStart w:id="381" w:name="_Toc162971383"/>
      <w:bookmarkStart w:id="382" w:name="_Toc351203637"/>
      <w:bookmarkStart w:id="383" w:name="_Toc78449805"/>
      <w:bookmarkStart w:id="384" w:name="_Toc389065283"/>
      <w:bookmarkStart w:id="385" w:name="_Toc407135219"/>
      <w:bookmarkStart w:id="386" w:name="_Toc1603077308"/>
      <w:bookmarkStart w:id="387" w:name="_Toc373227717"/>
      <w:bookmarkStart w:id="388" w:name="_Toc373478364"/>
      <w:r>
        <w:rPr>
          <w:rFonts w:hint="eastAsia" w:ascii="宋体" w:hAnsi="宋体" w:eastAsia="宋体" w:cs="宋体"/>
          <w:b/>
          <w:bCs/>
          <w:color w:val="auto"/>
          <w:kern w:val="0"/>
          <w:sz w:val="24"/>
          <w:highlight w:val="none"/>
          <w:lang w:val="zh-CN"/>
        </w:rPr>
        <w:t>5</w:t>
      </w:r>
      <w:bookmarkEnd w:id="379"/>
      <w:bookmarkStart w:id="389" w:name="_Toc292559367"/>
      <w:bookmarkStart w:id="390" w:name="_Toc296944502"/>
      <w:bookmarkStart w:id="391" w:name="_Toc296346664"/>
      <w:bookmarkStart w:id="392" w:name="_Toc296890991"/>
      <w:bookmarkStart w:id="393" w:name="_Toc297120463"/>
      <w:bookmarkStart w:id="394" w:name="_Toc296347162"/>
      <w:bookmarkStart w:id="395" w:name="_Toc292559872"/>
      <w:bookmarkStart w:id="396" w:name="_Toc296503163"/>
      <w:bookmarkStart w:id="397" w:name="_Toc296891203"/>
      <w:bookmarkStart w:id="398" w:name="_Toc297048349"/>
      <w:r>
        <w:rPr>
          <w:rFonts w:hint="eastAsia" w:ascii="宋体" w:hAnsi="宋体" w:eastAsia="宋体" w:cs="宋体"/>
          <w:b/>
          <w:bCs/>
          <w:color w:val="auto"/>
          <w:kern w:val="0"/>
          <w:sz w:val="24"/>
          <w:highlight w:val="none"/>
          <w:lang w:val="zh-CN"/>
        </w:rPr>
        <w:t>. 工程质量</w:t>
      </w:r>
      <w:bookmarkEnd w:id="380"/>
      <w:bookmarkEnd w:id="381"/>
      <w:bookmarkEnd w:id="382"/>
      <w:bookmarkEnd w:id="383"/>
      <w:bookmarkEnd w:id="384"/>
      <w:bookmarkEnd w:id="385"/>
      <w:bookmarkEnd w:id="386"/>
      <w:bookmarkEnd w:id="387"/>
      <w:bookmarkEnd w:id="388"/>
    </w:p>
    <w:p w14:paraId="5D03CFC0">
      <w:pPr>
        <w:keepNext/>
        <w:keepLines/>
        <w:spacing w:line="360" w:lineRule="auto"/>
        <w:outlineLvl w:val="2"/>
        <w:rPr>
          <w:rFonts w:hint="eastAsia" w:ascii="宋体" w:hAnsi="宋体" w:eastAsia="宋体" w:cs="宋体"/>
          <w:b/>
          <w:bCs/>
          <w:color w:val="auto"/>
          <w:kern w:val="0"/>
          <w:sz w:val="24"/>
          <w:highlight w:val="none"/>
          <w:lang w:val="zh-CN"/>
        </w:rPr>
      </w:pPr>
      <w:bookmarkStart w:id="399" w:name="_Toc373478365"/>
      <w:bookmarkStart w:id="400" w:name="_Toc78449806"/>
      <w:bookmarkStart w:id="401" w:name="_Toc1952042622"/>
      <w:bookmarkStart w:id="402" w:name="_Toc389065284"/>
      <w:bookmarkStart w:id="403" w:name="_Toc373227718"/>
      <w:bookmarkStart w:id="404" w:name="_Toc1835421345"/>
      <w:bookmarkStart w:id="405" w:name="_Toc407135220"/>
      <w:bookmarkStart w:id="406" w:name="_Toc162971384"/>
      <w:r>
        <w:rPr>
          <w:rFonts w:hint="eastAsia" w:ascii="宋体" w:hAnsi="宋体" w:eastAsia="宋体" w:cs="宋体"/>
          <w:b/>
          <w:bCs/>
          <w:color w:val="auto"/>
          <w:kern w:val="0"/>
          <w:sz w:val="24"/>
          <w:highlight w:val="none"/>
          <w:lang w:val="zh-CN"/>
        </w:rPr>
        <w:t>5.1 质量要求</w:t>
      </w:r>
      <w:bookmarkEnd w:id="399"/>
      <w:bookmarkEnd w:id="400"/>
      <w:bookmarkEnd w:id="401"/>
      <w:bookmarkEnd w:id="402"/>
      <w:bookmarkEnd w:id="403"/>
      <w:bookmarkEnd w:id="404"/>
      <w:bookmarkEnd w:id="405"/>
      <w:bookmarkEnd w:id="406"/>
    </w:p>
    <w:p w14:paraId="67976073">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szCs w:val="22"/>
          <w:highlight w:val="none"/>
        </w:rPr>
        <w:t>5</w:t>
      </w:r>
      <w:bookmarkStart w:id="407" w:name="_Toc300934949"/>
      <w:bookmarkStart w:id="408" w:name="_Toc297123496"/>
      <w:bookmarkStart w:id="409" w:name="_Toc297216155"/>
      <w:bookmarkStart w:id="410" w:name="_Toc303539106"/>
      <w:bookmarkStart w:id="411" w:name="_Toc312677997"/>
      <w:bookmarkStart w:id="412" w:name="_Toc304295527"/>
      <w:bookmarkStart w:id="413" w:name="_Toc318581164"/>
      <w:r>
        <w:rPr>
          <w:rFonts w:hint="eastAsia" w:ascii="宋体" w:hAnsi="宋体" w:eastAsia="宋体" w:cs="宋体"/>
          <w:color w:val="auto"/>
          <w:sz w:val="24"/>
          <w:szCs w:val="22"/>
          <w:highlight w:val="none"/>
        </w:rPr>
        <w:t>.1.1</w:t>
      </w:r>
      <w:r>
        <w:rPr>
          <w:rFonts w:hint="eastAsia" w:ascii="宋体" w:hAnsi="宋体" w:eastAsia="宋体" w:cs="宋体"/>
          <w:color w:val="auto"/>
          <w:sz w:val="24"/>
          <w:highlight w:val="none"/>
        </w:rPr>
        <w:t>特殊质量标准和要求：</w:t>
      </w:r>
      <w:r>
        <w:rPr>
          <w:rFonts w:hint="eastAsia" w:ascii="宋体" w:hAnsi="宋体" w:eastAsia="宋体" w:cs="宋体"/>
          <w:color w:val="auto"/>
          <w:sz w:val="24"/>
          <w:highlight w:val="none"/>
          <w:u w:val="single"/>
        </w:rPr>
        <w:t>严格执行广西壮族自治区住房和城乡建设厅《关于严格实行房屋建筑和市政基础设施工程质量终身责任承诺、永久性质量责任标牌、终身责任信息档案等制度的通知》(桂建管[2014]96号)和南宁市城乡建设委员会《关于落实建设工程质量终身责任，加强工程质量管理的通知》（南建质安[2014]155号）要求，落实建设工程质量终身责任</w:t>
      </w:r>
      <w:r>
        <w:rPr>
          <w:rFonts w:hint="eastAsia" w:ascii="宋体" w:hAnsi="宋体" w:eastAsia="宋体" w:cs="宋体"/>
          <w:color w:val="auto"/>
          <w:sz w:val="24"/>
          <w:highlight w:val="none"/>
        </w:rPr>
        <w:t>。</w:t>
      </w:r>
    </w:p>
    <w:p w14:paraId="5922CCC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关于工程奖项的约定：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78E2F63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5.2 工程质量应符合规范、标准和设计要求，质量不合格者必须按合同的要求进行返工，返 修费用由承包人负责，工期不予延长。在保修期内，如承包人未能按合同约定及时处理工程质量问题，发包人有权自行或委托他人处理，所发生的费用（无须经承包人认可，以发包人与第三方签订的合同金额为准）由承包人承担，发包人有权从需支付给承包人的任何款项中直接扣回。</w:t>
      </w:r>
    </w:p>
    <w:p w14:paraId="5350866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5.3 隐蔽工程检查</w:t>
      </w:r>
    </w:p>
    <w:p w14:paraId="25643787">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修改的一切费用由承包人负责，工期不予延长。</w:t>
      </w:r>
    </w:p>
    <w:p w14:paraId="542F81F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监理人不能按时进行检查时，应提前</w:t>
      </w:r>
      <w:r>
        <w:rPr>
          <w:rFonts w:hint="eastAsia" w:ascii="宋体" w:hAnsi="宋体" w:eastAsia="宋体" w:cs="宋体"/>
          <w:color w:val="auto"/>
          <w:sz w:val="24"/>
          <w:highlight w:val="none"/>
          <w:u w:val="single"/>
        </w:rPr>
        <w:t>8</w:t>
      </w:r>
      <w:r>
        <w:rPr>
          <w:rFonts w:hint="eastAsia" w:ascii="宋体" w:hAnsi="宋体" w:eastAsia="宋体" w:cs="宋体"/>
          <w:color w:val="auto"/>
          <w:sz w:val="24"/>
          <w:highlight w:val="none"/>
        </w:rPr>
        <w:t>小时提交书面延期要求。</w:t>
      </w:r>
    </w:p>
    <w:p w14:paraId="32B5FF1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关于延期最长不得超过：</w:t>
      </w:r>
      <w:r>
        <w:rPr>
          <w:rFonts w:hint="eastAsia" w:ascii="宋体" w:hAnsi="宋体" w:eastAsia="宋体" w:cs="宋体"/>
          <w:color w:val="auto"/>
          <w:sz w:val="24"/>
          <w:highlight w:val="none"/>
          <w:u w:val="single"/>
        </w:rPr>
        <w:t>12</w:t>
      </w:r>
      <w:r>
        <w:rPr>
          <w:rFonts w:hint="eastAsia" w:ascii="宋体" w:hAnsi="宋体" w:eastAsia="宋体" w:cs="宋体"/>
          <w:color w:val="auto"/>
          <w:sz w:val="24"/>
          <w:highlight w:val="none"/>
        </w:rPr>
        <w:t>小时。</w:t>
      </w:r>
    </w:p>
    <w:p w14:paraId="12A39E15">
      <w:pPr>
        <w:keepNext/>
        <w:keepLines/>
        <w:spacing w:before="60" w:after="60" w:line="360" w:lineRule="auto"/>
        <w:outlineLvl w:val="1"/>
        <w:rPr>
          <w:rFonts w:hint="eastAsia" w:ascii="宋体" w:hAnsi="宋体" w:eastAsia="宋体" w:cs="宋体"/>
          <w:b/>
          <w:bCs/>
          <w:color w:val="auto"/>
          <w:kern w:val="0"/>
          <w:sz w:val="24"/>
          <w:highlight w:val="none"/>
          <w:lang w:val="zh-CN"/>
        </w:rPr>
      </w:pPr>
      <w:bookmarkStart w:id="414" w:name="_Toc162971385"/>
      <w:bookmarkStart w:id="415" w:name="_Toc389065285"/>
      <w:bookmarkStart w:id="416" w:name="_Toc373227719"/>
      <w:bookmarkStart w:id="417" w:name="_Toc373478366"/>
      <w:bookmarkStart w:id="418" w:name="_Toc703841976"/>
      <w:bookmarkStart w:id="419" w:name="_Toc351203638"/>
      <w:bookmarkStart w:id="420" w:name="_Toc78449807"/>
      <w:bookmarkStart w:id="421" w:name="_Toc1259019817"/>
      <w:bookmarkStart w:id="422" w:name="_Toc407135221"/>
      <w:r>
        <w:rPr>
          <w:rFonts w:hint="eastAsia" w:ascii="宋体" w:hAnsi="宋体" w:eastAsia="宋体" w:cs="宋体"/>
          <w:b/>
          <w:bCs/>
          <w:color w:val="auto"/>
          <w:kern w:val="0"/>
          <w:sz w:val="24"/>
          <w:highlight w:val="none"/>
          <w:lang w:val="zh-CN"/>
        </w:rPr>
        <w:t>6. 安全文明施工与环境保护</w:t>
      </w:r>
      <w:bookmarkEnd w:id="414"/>
      <w:bookmarkEnd w:id="415"/>
      <w:bookmarkEnd w:id="416"/>
      <w:bookmarkEnd w:id="417"/>
      <w:bookmarkEnd w:id="418"/>
      <w:bookmarkEnd w:id="419"/>
      <w:bookmarkEnd w:id="420"/>
      <w:bookmarkEnd w:id="421"/>
      <w:bookmarkEnd w:id="422"/>
    </w:p>
    <w:p w14:paraId="79E89264">
      <w:pPr>
        <w:keepNext/>
        <w:keepLines/>
        <w:spacing w:line="360" w:lineRule="auto"/>
        <w:outlineLvl w:val="2"/>
        <w:rPr>
          <w:rFonts w:hint="eastAsia" w:ascii="宋体" w:hAnsi="宋体" w:eastAsia="宋体" w:cs="宋体"/>
          <w:b/>
          <w:bCs/>
          <w:color w:val="auto"/>
          <w:kern w:val="0"/>
          <w:sz w:val="24"/>
          <w:highlight w:val="none"/>
          <w:lang w:val="zh-CN"/>
        </w:rPr>
      </w:pPr>
      <w:bookmarkStart w:id="423" w:name="_Toc389065286"/>
      <w:bookmarkStart w:id="424" w:name="_Toc373227720"/>
      <w:bookmarkStart w:id="425" w:name="_Toc1296292062"/>
      <w:bookmarkStart w:id="426" w:name="_Toc407135222"/>
      <w:bookmarkStart w:id="427" w:name="_Toc78449808"/>
      <w:bookmarkStart w:id="428" w:name="_Toc162971386"/>
      <w:bookmarkStart w:id="429" w:name="_Toc180514231"/>
      <w:bookmarkStart w:id="430" w:name="_Toc373478367"/>
      <w:r>
        <w:rPr>
          <w:rFonts w:hint="eastAsia" w:ascii="宋体" w:hAnsi="宋体" w:eastAsia="宋体" w:cs="宋体"/>
          <w:b/>
          <w:bCs/>
          <w:color w:val="auto"/>
          <w:kern w:val="0"/>
          <w:sz w:val="24"/>
          <w:highlight w:val="none"/>
          <w:lang w:val="zh-CN"/>
        </w:rPr>
        <w:t>6.1 安全文明施工</w:t>
      </w:r>
      <w:bookmarkEnd w:id="423"/>
      <w:bookmarkEnd w:id="424"/>
      <w:bookmarkEnd w:id="425"/>
      <w:bookmarkEnd w:id="426"/>
      <w:bookmarkEnd w:id="427"/>
      <w:bookmarkEnd w:id="428"/>
      <w:bookmarkEnd w:id="429"/>
      <w:bookmarkEnd w:id="430"/>
    </w:p>
    <w:p w14:paraId="5E2D45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2"/>
          <w:highlight w:val="none"/>
        </w:rPr>
        <w:t>6.1.1</w:t>
      </w:r>
      <w:r>
        <w:rPr>
          <w:rFonts w:hint="eastAsia" w:ascii="宋体" w:hAnsi="宋体" w:eastAsia="宋体" w:cs="宋体"/>
          <w:color w:val="auto"/>
          <w:sz w:val="24"/>
          <w:highlight w:val="none"/>
        </w:rPr>
        <w:t>项目安全生产的达标目标及相应事项的约定：</w:t>
      </w:r>
      <w:r>
        <w:rPr>
          <w:rFonts w:hint="eastAsia" w:ascii="宋体" w:hAnsi="宋体" w:eastAsia="宋体" w:cs="宋体"/>
          <w:color w:val="auto"/>
          <w:sz w:val="24"/>
          <w:highlight w:val="none"/>
          <w:u w:val="single"/>
        </w:rPr>
        <w:t>承包人对项目的施工应要求达到《建筑施工安全检查标准》（JGJ59-2011）要求，同时承包人应严格遵守《建设工程安全生产管理条例》 和建设部《建筑工程安全防护、文明施工措施费及使用管理规定》、《广西壮族自治区建筑工程安全防护、文明施工措施费及使用管理细则》以及《南宁市建设工程施工现场管理若干规定》、 南宁市建设工程施工现场安全文明施工实施细则等现行工程建设安全文明施工的有关规定，严格组织实施，并随时接受行业安全检查人员及发包人、监理人依法实施的监督检查，采取必要的安全防护措施，消除事故隐患，确保无安全生产事故发生。承包人安全施工防护费用已经含在合同价款内。承包人对安全检查发出的整改通知不按时完成整改，发包人可采取措施进行整改，产生的费用从安全文明施工费中扣除，承包人向发包人按10000元/次支付违约金，因整改导致工期延误的，承包人还需向发包人承担延误工期的违约责任。由于承包人安全文明施工措施不力，如发生事故、发生的一切责任与后果均由承包人承担（即使在对外法律关系上人民法院判决发包人承担责任，但在承包人与发包人间，由承包人全部承担，发包人在承担责任后可以向承包人追偿），同时发包人将根据事故的责任情况要求承包人承担5000~20000元/次的违约金。</w:t>
      </w:r>
    </w:p>
    <w:p w14:paraId="2A9B66B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关于安全文明施工奖项的约定：</w:t>
      </w:r>
      <w:r>
        <w:rPr>
          <w:rFonts w:hint="eastAsia" w:ascii="宋体" w:hAnsi="宋体" w:eastAsia="宋体" w:cs="宋体"/>
          <w:color w:val="auto"/>
          <w:sz w:val="24"/>
          <w:highlight w:val="none"/>
          <w:u w:val="single"/>
        </w:rPr>
        <w:t>无</w:t>
      </w:r>
      <w:r>
        <w:rPr>
          <w:rFonts w:hint="eastAsia" w:ascii="宋体" w:hAnsi="宋体" w:eastAsia="宋体" w:cs="宋体"/>
          <w:color w:val="auto"/>
          <w:sz w:val="24"/>
          <w:highlight w:val="none"/>
        </w:rPr>
        <w:t>。</w:t>
      </w:r>
    </w:p>
    <w:p w14:paraId="4E435339">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6.1.4 关于治安保卫的特别约定：</w:t>
      </w:r>
      <w:r>
        <w:rPr>
          <w:rFonts w:hint="eastAsia" w:ascii="宋体" w:hAnsi="宋体" w:eastAsia="宋体" w:cs="宋体"/>
          <w:color w:val="auto"/>
          <w:sz w:val="24"/>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如发生事故、发生的一切责任与后果均由承包人承担。</w:t>
      </w:r>
    </w:p>
    <w:p w14:paraId="0CE5E9E1">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关于编制施工场地治安管理计划的约定：</w:t>
      </w:r>
      <w:r>
        <w:rPr>
          <w:rFonts w:hint="eastAsia" w:ascii="宋体" w:hAnsi="宋体" w:eastAsia="宋体" w:cs="宋体"/>
          <w:color w:val="auto"/>
          <w:sz w:val="24"/>
          <w:highlight w:val="none"/>
          <w:u w:val="single"/>
        </w:rPr>
        <w:t>必须严格按照《中华人民共和国治安管理处罚法》及《广西壮族自治区社会治安综合治理条例》要求编制治安管理计划，开工前提供经发包人同意 的施工场地治安管理计划</w:t>
      </w:r>
      <w:r>
        <w:rPr>
          <w:rFonts w:hint="eastAsia" w:ascii="宋体" w:hAnsi="宋体" w:eastAsia="宋体" w:cs="宋体"/>
          <w:color w:val="auto"/>
          <w:sz w:val="24"/>
          <w:highlight w:val="none"/>
        </w:rPr>
        <w:t>。</w:t>
      </w:r>
    </w:p>
    <w:p w14:paraId="79B83D8C">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6.1.5 文明施工</w:t>
      </w:r>
    </w:p>
    <w:p w14:paraId="47DF0D1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合同当事人对文明施工的要求：</w:t>
      </w:r>
      <w:r>
        <w:rPr>
          <w:rFonts w:hint="eastAsia" w:ascii="宋体" w:hAnsi="宋体" w:eastAsia="宋体" w:cs="宋体"/>
          <w:color w:val="auto"/>
          <w:sz w:val="24"/>
          <w:highlight w:val="none"/>
          <w:u w:val="single"/>
        </w:rPr>
        <w:t>严格执行《中华人民共和国大气污染防治法》（主席令第三十一号）、《南宁市建设工程质量和安全生产管理办法》（南宁市人民政府令 第46号）、《南宁市建设工程质量安全标准化图集》、《南宁市建设工程施工现场管理若干规定》（南宁市人民政府令 第8号）的有关规定，与辖区卫生防疫、环卫管理部门或有合法资质资格的企业签订病媒生物消杀协议、生活垃圾清运协议、渣土密闭运输协议、在线远程监控扬尘监测协议，遵守“一口两池三包四协议”的有关规定，施工前办理排水许可证，严格执行排水许可，做好工地泥浆水、临时生活污水的排放管理，现场设置三级沉淀池及化粪池，避免生活污水及施工废水直排市政排水管网及内河。采取道路硬化、裸土必盖（种草、绿网）、洗车出门、保洁路口、在线监测、抑尘喷淋等有效措施，确保建设工程各项安全防护、文明施工措施及其费用在工地一线按标准落实到位</w:t>
      </w:r>
      <w:r>
        <w:rPr>
          <w:rFonts w:hint="eastAsia" w:ascii="宋体" w:hAnsi="宋体" w:eastAsia="宋体" w:cs="宋体"/>
          <w:color w:val="auto"/>
          <w:sz w:val="24"/>
          <w:highlight w:val="none"/>
        </w:rPr>
        <w:t>。承包人应承担因自身原因违反有关规定造成的损失和相关部门的罚款,同时发包人将根据违反规定的情况要求承包人承担1000~10000元的违约金。</w:t>
      </w:r>
    </w:p>
    <w:p w14:paraId="59D08C5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6.1.6</w:t>
      </w:r>
      <w:r>
        <w:rPr>
          <w:rFonts w:hint="eastAsia" w:ascii="宋体" w:hAnsi="宋体" w:eastAsia="宋体" w:cs="宋体"/>
          <w:color w:val="auto"/>
          <w:kern w:val="0"/>
          <w:sz w:val="24"/>
          <w:highlight w:val="none"/>
        </w:rPr>
        <w:t>关于安全生产费总额、支付比例、支付期限、转入和结余收回的约定：</w:t>
      </w:r>
    </w:p>
    <w:p w14:paraId="23E237FE">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（1）本合同价款已包含安全文明施工费。</w:t>
      </w:r>
    </w:p>
    <w:p w14:paraId="7CC1046A">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（2）使用要求：专款专用。具体按</w:t>
      </w:r>
      <w:r>
        <w:rPr>
          <w:rFonts w:hint="eastAsia" w:ascii="宋体" w:hAnsi="宋体" w:eastAsia="宋体" w:cs="宋体"/>
          <w:color w:val="auto"/>
          <w:kern w:val="0"/>
          <w:sz w:val="24"/>
          <w:highlight w:val="none"/>
          <w:u w:val="single"/>
        </w:rPr>
        <w:t>《广西壮族自治区建设工程安全文明施工费使用管理细则》（桂建质〔2015〕16号）</w:t>
      </w:r>
      <w:r>
        <w:rPr>
          <w:rFonts w:hint="eastAsia" w:ascii="宋体" w:hAnsi="宋体" w:eastAsia="宋体" w:cs="宋体"/>
          <w:color w:val="auto"/>
          <w:kern w:val="0"/>
          <w:sz w:val="24"/>
          <w:highlight w:val="none"/>
        </w:rPr>
        <w:t>和</w:t>
      </w:r>
      <w:r>
        <w:rPr>
          <w:rFonts w:hint="eastAsia" w:ascii="宋体" w:hAnsi="宋体" w:eastAsia="宋体" w:cs="宋体"/>
          <w:color w:val="auto"/>
          <w:kern w:val="0"/>
          <w:sz w:val="24"/>
          <w:highlight w:val="none"/>
          <w:u w:val="single"/>
        </w:rPr>
        <w:t>《广西壮族自治区建筑工程安全生产管理办法》（广西壮族自治区人民政府令 第124号）、《南宁市建设工程施工现场管理若干规定》（南宁市人民政府令 第8号）等南宁市相关规定执行</w:t>
      </w:r>
      <w:r>
        <w:rPr>
          <w:rFonts w:hint="eastAsia" w:ascii="宋体" w:hAnsi="宋体" w:eastAsia="宋体" w:cs="宋体"/>
          <w:color w:val="auto"/>
          <w:kern w:val="0"/>
          <w:sz w:val="24"/>
          <w:highlight w:val="none"/>
        </w:rPr>
        <w:t>。</w:t>
      </w:r>
    </w:p>
    <w:p w14:paraId="4874D713">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（3）支付约定：</w:t>
      </w:r>
      <w:r>
        <w:rPr>
          <w:rFonts w:hint="eastAsia" w:ascii="宋体" w:hAnsi="宋体" w:cs="宋体"/>
          <w:color w:val="auto"/>
          <w:kern w:val="0"/>
          <w:sz w:val="24"/>
          <w:highlight w:val="none"/>
          <w:u w:val="single"/>
          <w:lang w:val="en-US" w:eastAsia="zh-CN"/>
        </w:rPr>
        <w:t xml:space="preserve">     。</w:t>
      </w:r>
    </w:p>
    <w:p w14:paraId="6C81357C">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（4）建设单位按规定将安全生产费用转入施工单位设立的安全生产费用专户。</w:t>
      </w:r>
    </w:p>
    <w:p w14:paraId="3E826FD8">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（5）工程施工完成后安全生产费用尚有结余的，结余部分由建设单位收回。</w:t>
      </w:r>
    </w:p>
    <w:p w14:paraId="72EAA22D">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（6）施工单位将安全生产费用使用情况定期报告建设单位和监理单位，并提供相应的材料接受建设行政主管部门对此事项监管。</w:t>
      </w:r>
    </w:p>
    <w:p w14:paraId="1881CD55">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（7）安全生产费用专户：公司安全生产费用专户。</w:t>
      </w:r>
    </w:p>
    <w:p w14:paraId="4C7D79F7">
      <w:pPr>
        <w:autoSpaceDE w:val="0"/>
        <w:autoSpaceDN w:val="0"/>
        <w:adjustRightInd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kern w:val="0"/>
          <w:sz w:val="24"/>
          <w:highlight w:val="none"/>
        </w:rPr>
        <w:t>账号</w:t>
      </w:r>
      <w:r>
        <w:rPr>
          <w:rFonts w:hint="eastAsia" w:ascii="宋体" w:hAnsi="宋体" w:eastAsia="宋体" w:cs="宋体"/>
          <w:color w:val="auto"/>
          <w:kern w:val="0"/>
          <w:sz w:val="24"/>
          <w:highlight w:val="none"/>
          <w:u w:val="single"/>
        </w:rPr>
        <w:t>：</w:t>
      </w:r>
      <w:r>
        <w:rPr>
          <w:rFonts w:hint="eastAsia" w:ascii="宋体" w:hAnsi="宋体" w:eastAsia="宋体" w:cs="宋体"/>
          <w:color w:val="auto"/>
          <w:sz w:val="24"/>
          <w:highlight w:val="none"/>
          <w:u w:val="single"/>
        </w:rPr>
        <w:t>；</w:t>
      </w:r>
    </w:p>
    <w:p w14:paraId="33B2A9F3">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sz w:val="24"/>
          <w:highlight w:val="none"/>
          <w:u w:val="single"/>
        </w:rPr>
        <w:t>户名：；</w:t>
      </w:r>
    </w:p>
    <w:p w14:paraId="5F792910">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开户行：。</w:t>
      </w:r>
    </w:p>
    <w:p w14:paraId="4EB8288E">
      <w:pPr>
        <w:keepNext/>
        <w:keepLines/>
        <w:spacing w:line="360" w:lineRule="auto"/>
        <w:outlineLvl w:val="2"/>
        <w:rPr>
          <w:rFonts w:hint="eastAsia" w:ascii="宋体" w:hAnsi="宋体" w:eastAsia="宋体" w:cs="宋体"/>
          <w:b/>
          <w:bCs/>
          <w:color w:val="auto"/>
          <w:sz w:val="24"/>
          <w:highlight w:val="none"/>
          <w:lang w:val="zh-CN"/>
        </w:rPr>
      </w:pPr>
      <w:bookmarkStart w:id="431" w:name="_Toc1519050792"/>
      <w:bookmarkStart w:id="432" w:name="_Toc1922268668"/>
      <w:bookmarkStart w:id="433" w:name="_Toc407135223"/>
      <w:bookmarkStart w:id="434" w:name="_Toc373227721"/>
      <w:bookmarkStart w:id="435" w:name="_Toc389065287"/>
      <w:bookmarkStart w:id="436" w:name="_Toc78449809"/>
      <w:bookmarkStart w:id="437" w:name="_Toc373478368"/>
      <w:r>
        <w:rPr>
          <w:rFonts w:hint="eastAsia" w:ascii="宋体" w:hAnsi="宋体" w:eastAsia="宋体" w:cs="宋体"/>
          <w:b/>
          <w:bCs/>
          <w:color w:val="auto"/>
          <w:sz w:val="24"/>
          <w:highlight w:val="none"/>
          <w:lang w:val="zh-CN"/>
        </w:rPr>
        <w:t>6.3 环境保护</w:t>
      </w:r>
      <w:bookmarkEnd w:id="431"/>
      <w:bookmarkEnd w:id="432"/>
      <w:bookmarkEnd w:id="433"/>
      <w:bookmarkEnd w:id="434"/>
      <w:bookmarkEnd w:id="435"/>
      <w:bookmarkEnd w:id="436"/>
      <w:bookmarkEnd w:id="437"/>
    </w:p>
    <w:p w14:paraId="7BC72C2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6.3.1因施工需要，经发包人批准，由承包人办理有关施工场地交通、环卫和施工噪音管理等手续，费用由承包人负责</w:t>
      </w:r>
      <w:r>
        <w:rPr>
          <w:rFonts w:hint="eastAsia" w:ascii="宋体" w:hAnsi="宋体" w:eastAsia="宋体" w:cs="宋体"/>
          <w:color w:val="auto"/>
          <w:sz w:val="24"/>
          <w:highlight w:val="none"/>
        </w:rPr>
        <w:t>。</w:t>
      </w:r>
    </w:p>
    <w:p w14:paraId="2AEC1CAE">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6.3.2经过城市道路的施工车辆，必须按交警、城管、运输等部门相关规定执行。由于施工车辆造成的道路、环境等污染，其责任和费用均由承包人承担</w:t>
      </w:r>
      <w:r>
        <w:rPr>
          <w:rFonts w:hint="eastAsia" w:ascii="宋体" w:hAnsi="宋体" w:eastAsia="宋体" w:cs="宋体"/>
          <w:color w:val="auto"/>
          <w:sz w:val="24"/>
          <w:highlight w:val="none"/>
        </w:rPr>
        <w:t>。</w:t>
      </w:r>
    </w:p>
    <w:p w14:paraId="3DF4603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根据《南宁市挥发性有机物污染防治实施方案（2019-2020年）》（南环委办〔2019〕166号）文件精神，宜优先使用低VOCs含量的涂料、油漆和有机溶剂</w:t>
      </w:r>
      <w:r>
        <w:rPr>
          <w:rFonts w:hint="eastAsia" w:ascii="宋体" w:hAnsi="宋体" w:eastAsia="宋体" w:cs="宋体"/>
          <w:color w:val="auto"/>
          <w:sz w:val="24"/>
          <w:highlight w:val="none"/>
        </w:rPr>
        <w:t>。</w:t>
      </w:r>
    </w:p>
    <w:p w14:paraId="4645A4C5">
      <w:pPr>
        <w:adjustRightInd w:val="0"/>
        <w:spacing w:after="120" w:line="360" w:lineRule="auto"/>
        <w:ind w:left="63" w:leftChars="30" w:right="63" w:rightChars="30" w:firstLine="240" w:firstLineChars="100"/>
        <w:textAlignment w:val="baseline"/>
        <w:rPr>
          <w:rFonts w:hint="eastAsia" w:ascii="宋体" w:hAnsi="宋体" w:eastAsia="宋体" w:cs="宋体"/>
          <w:color w:val="auto"/>
          <w:szCs w:val="22"/>
          <w:highlight w:val="none"/>
        </w:rPr>
      </w:pPr>
      <w:r>
        <w:rPr>
          <w:rFonts w:hint="eastAsia" w:ascii="宋体" w:hAnsi="宋体" w:eastAsia="宋体" w:cs="宋体"/>
          <w:color w:val="auto"/>
          <w:sz w:val="24"/>
          <w:highlight w:val="none"/>
          <w:u w:val="single"/>
        </w:rPr>
        <w:t>6.3.3 施工场地清洁卫生的要求：保证施工场地清洁符合环境卫生管理的有关规定，交工前清理现场达到相关要求，承担因自身原因违反有关规定造成的损失和罚款，费用由承包人承担。</w:t>
      </w:r>
    </w:p>
    <w:bookmarkEnd w:id="407"/>
    <w:bookmarkEnd w:id="408"/>
    <w:bookmarkEnd w:id="409"/>
    <w:bookmarkEnd w:id="410"/>
    <w:bookmarkEnd w:id="411"/>
    <w:bookmarkEnd w:id="412"/>
    <w:bookmarkEnd w:id="413"/>
    <w:p w14:paraId="12A307C2">
      <w:pPr>
        <w:keepNext/>
        <w:keepLines/>
        <w:spacing w:before="60" w:after="60" w:line="360" w:lineRule="auto"/>
        <w:outlineLvl w:val="1"/>
        <w:rPr>
          <w:rFonts w:hint="eastAsia" w:ascii="宋体" w:hAnsi="宋体" w:eastAsia="宋体" w:cs="宋体"/>
          <w:b/>
          <w:bCs/>
          <w:color w:val="auto"/>
          <w:kern w:val="0"/>
          <w:sz w:val="24"/>
          <w:highlight w:val="none"/>
          <w:lang w:val="zh-CN"/>
        </w:rPr>
      </w:pPr>
      <w:bookmarkStart w:id="438" w:name="_Toc315674767"/>
      <w:bookmarkStart w:id="439" w:name="_Toc373478369"/>
      <w:bookmarkStart w:id="440" w:name="_Toc389065288"/>
      <w:bookmarkStart w:id="441" w:name="_Toc373227722"/>
      <w:bookmarkStart w:id="442" w:name="_Toc351203639"/>
      <w:bookmarkStart w:id="443" w:name="_Toc1408286886"/>
      <w:bookmarkStart w:id="444" w:name="_Toc162971389"/>
      <w:bookmarkStart w:id="445" w:name="_Toc407135224"/>
      <w:bookmarkStart w:id="446" w:name="_Toc78449810"/>
      <w:r>
        <w:rPr>
          <w:rFonts w:hint="eastAsia" w:ascii="宋体" w:hAnsi="宋体" w:eastAsia="宋体" w:cs="宋体"/>
          <w:b/>
          <w:bCs/>
          <w:color w:val="auto"/>
          <w:kern w:val="0"/>
          <w:sz w:val="24"/>
          <w:highlight w:val="none"/>
          <w:lang w:val="zh-CN"/>
        </w:rPr>
        <w:t>7. 工期和进度</w:t>
      </w:r>
      <w:bookmarkEnd w:id="438"/>
      <w:bookmarkEnd w:id="439"/>
      <w:bookmarkEnd w:id="440"/>
      <w:bookmarkEnd w:id="441"/>
      <w:bookmarkEnd w:id="442"/>
      <w:bookmarkEnd w:id="443"/>
      <w:bookmarkEnd w:id="444"/>
      <w:bookmarkEnd w:id="445"/>
      <w:bookmarkEnd w:id="446"/>
    </w:p>
    <w:p w14:paraId="29CCC1C5">
      <w:pPr>
        <w:keepNext/>
        <w:keepLines/>
        <w:spacing w:line="360" w:lineRule="auto"/>
        <w:outlineLvl w:val="2"/>
        <w:rPr>
          <w:rFonts w:hint="eastAsia" w:ascii="宋体" w:hAnsi="宋体" w:eastAsia="宋体" w:cs="宋体"/>
          <w:b/>
          <w:bCs/>
          <w:color w:val="auto"/>
          <w:kern w:val="0"/>
          <w:sz w:val="24"/>
          <w:highlight w:val="none"/>
          <w:lang w:val="zh-CN"/>
        </w:rPr>
      </w:pPr>
      <w:bookmarkStart w:id="447" w:name="_Toc162971390"/>
      <w:bookmarkStart w:id="448" w:name="_Toc373227723"/>
      <w:bookmarkStart w:id="449" w:name="_Toc664905709"/>
      <w:bookmarkStart w:id="450" w:name="_Toc78449811"/>
      <w:bookmarkStart w:id="451" w:name="_Toc1194482517"/>
      <w:bookmarkStart w:id="452" w:name="_Toc373478370"/>
      <w:bookmarkStart w:id="453" w:name="_Toc407135225"/>
      <w:bookmarkStart w:id="454" w:name="_Toc389065289"/>
      <w:r>
        <w:rPr>
          <w:rFonts w:hint="eastAsia" w:ascii="宋体" w:hAnsi="宋体" w:eastAsia="宋体" w:cs="宋体"/>
          <w:b/>
          <w:bCs/>
          <w:color w:val="auto"/>
          <w:kern w:val="0"/>
          <w:sz w:val="24"/>
          <w:highlight w:val="none"/>
          <w:lang w:val="zh-CN"/>
        </w:rPr>
        <w:t>7.1 施工组织设计</w:t>
      </w:r>
      <w:bookmarkEnd w:id="447"/>
      <w:bookmarkEnd w:id="448"/>
      <w:bookmarkEnd w:id="449"/>
      <w:bookmarkEnd w:id="450"/>
      <w:bookmarkEnd w:id="451"/>
      <w:bookmarkEnd w:id="452"/>
      <w:bookmarkEnd w:id="453"/>
      <w:bookmarkEnd w:id="454"/>
    </w:p>
    <w:p w14:paraId="7FFE1AD6">
      <w:pPr>
        <w:autoSpaceDE w:val="0"/>
        <w:autoSpaceDN w:val="0"/>
        <w:adjustRightIn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szCs w:val="22"/>
          <w:highlight w:val="none"/>
        </w:rPr>
        <w:t>7.1.1</w:t>
      </w:r>
      <w:r>
        <w:rPr>
          <w:rFonts w:hint="eastAsia" w:ascii="宋体" w:hAnsi="宋体" w:eastAsia="宋体" w:cs="宋体"/>
          <w:color w:val="auto"/>
          <w:sz w:val="24"/>
          <w:highlight w:val="none"/>
        </w:rPr>
        <w:t>合</w:t>
      </w:r>
      <w:r>
        <w:rPr>
          <w:rFonts w:hint="eastAsia" w:ascii="宋体" w:hAnsi="宋体" w:eastAsia="宋体" w:cs="宋体"/>
          <w:color w:val="auto"/>
          <w:kern w:val="0"/>
          <w:sz w:val="24"/>
          <w:highlight w:val="none"/>
        </w:rPr>
        <w:t>同当事人约定的施工组织设计应包括的其他内容：</w:t>
      </w:r>
      <w:r>
        <w:rPr>
          <w:rFonts w:hint="eastAsia" w:ascii="宋体" w:hAnsi="宋体" w:eastAsia="宋体" w:cs="宋体"/>
          <w:color w:val="auto"/>
          <w:sz w:val="24"/>
          <w:highlight w:val="none"/>
          <w:u w:val="single"/>
        </w:rPr>
        <w:t>按通用条款执行，无其他内容要求</w:t>
      </w:r>
      <w:r>
        <w:rPr>
          <w:rFonts w:hint="eastAsia" w:ascii="宋体" w:hAnsi="宋体" w:eastAsia="宋体" w:cs="宋体"/>
          <w:color w:val="auto"/>
          <w:sz w:val="24"/>
          <w:highlight w:val="none"/>
        </w:rPr>
        <w:t>。</w:t>
      </w:r>
    </w:p>
    <w:p w14:paraId="147755D6">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 xml:space="preserve">7.1.2 </w:t>
      </w:r>
      <w:r>
        <w:rPr>
          <w:rFonts w:hint="eastAsia" w:ascii="宋体" w:hAnsi="宋体" w:eastAsia="宋体" w:cs="宋体"/>
          <w:color w:val="auto"/>
          <w:kern w:val="0"/>
          <w:sz w:val="24"/>
          <w:highlight w:val="none"/>
        </w:rPr>
        <w:t>施工组织设计的提交和修改</w:t>
      </w:r>
    </w:p>
    <w:p w14:paraId="2642EB6E">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承包人提交详细施工组织设计的期限的约定：</w:t>
      </w:r>
      <w:r>
        <w:rPr>
          <w:rFonts w:hint="eastAsia" w:ascii="宋体" w:hAnsi="宋体" w:eastAsia="宋体" w:cs="宋体"/>
          <w:color w:val="auto"/>
          <w:kern w:val="0"/>
          <w:sz w:val="24"/>
          <w:highlight w:val="none"/>
          <w:u w:val="single"/>
        </w:rPr>
        <w:t>开工前7天内。</w:t>
      </w:r>
    </w:p>
    <w:p w14:paraId="79205BE5">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如承包人未按上述要求的时间内提交的，每逾期一天，发包人有权要求承包人按签约合同价的万分之四支付违约金。 </w:t>
      </w:r>
    </w:p>
    <w:p w14:paraId="52A115E2">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发包人和监理人在收到详细的施工组织设计后确认或提出修改意见的期限：</w:t>
      </w:r>
      <w:r>
        <w:rPr>
          <w:rFonts w:hint="eastAsia" w:ascii="宋体" w:hAnsi="宋体" w:eastAsia="宋体" w:cs="宋体"/>
          <w:color w:val="auto"/>
          <w:kern w:val="0"/>
          <w:sz w:val="24"/>
          <w:highlight w:val="none"/>
          <w:u w:val="single"/>
        </w:rPr>
        <w:t>收到后7个工作日内。发包人及监理单位提出修改意见，承包人须在5天内按修改意见补充完善提交发包人及监理，承包人提交重新修改后的施工组织设计，发包人7天内确认。经发包人审核通过的施工组织计划具有约束力，承包人应予执行；监理、发包人对施工组织设计和进度计划的任何确认、调整和修改意见不免除和减轻承包人的工期责任。</w:t>
      </w:r>
    </w:p>
    <w:p w14:paraId="03FA4D93">
      <w:pPr>
        <w:keepNext/>
        <w:keepLines/>
        <w:spacing w:line="360" w:lineRule="auto"/>
        <w:outlineLvl w:val="2"/>
        <w:rPr>
          <w:rFonts w:hint="eastAsia" w:ascii="宋体" w:hAnsi="宋体" w:eastAsia="宋体" w:cs="宋体"/>
          <w:b/>
          <w:bCs/>
          <w:color w:val="auto"/>
          <w:kern w:val="0"/>
          <w:sz w:val="24"/>
          <w:highlight w:val="none"/>
          <w:lang w:val="zh-CN"/>
        </w:rPr>
      </w:pPr>
      <w:bookmarkStart w:id="455" w:name="_Toc407135226"/>
      <w:bookmarkStart w:id="456" w:name="_Toc389065290"/>
      <w:bookmarkStart w:id="457" w:name="_Toc1393005721"/>
      <w:bookmarkStart w:id="458" w:name="_Toc373227724"/>
      <w:bookmarkStart w:id="459" w:name="_Toc78449812"/>
      <w:bookmarkStart w:id="460" w:name="_Toc1674747833"/>
      <w:bookmarkStart w:id="461" w:name="_Toc162971391"/>
      <w:bookmarkStart w:id="462" w:name="_Toc373478371"/>
      <w:r>
        <w:rPr>
          <w:rFonts w:hint="eastAsia" w:ascii="宋体" w:hAnsi="宋体" w:eastAsia="宋体" w:cs="宋体"/>
          <w:b/>
          <w:bCs/>
          <w:color w:val="auto"/>
          <w:kern w:val="0"/>
          <w:sz w:val="24"/>
          <w:highlight w:val="none"/>
          <w:lang w:val="zh-CN"/>
        </w:rPr>
        <w:t>7</w:t>
      </w:r>
      <w:bookmarkStart w:id="463" w:name="_Toc312678005"/>
      <w:bookmarkStart w:id="464" w:name="_Toc304295541"/>
      <w:bookmarkStart w:id="465" w:name="_Toc303539123"/>
      <w:bookmarkStart w:id="466" w:name="_Toc312677479"/>
      <w:bookmarkStart w:id="467" w:name="_Toc300934966"/>
      <w:bookmarkStart w:id="468" w:name="_Toc297123514"/>
      <w:bookmarkStart w:id="469" w:name="_Toc297216173"/>
      <w:r>
        <w:rPr>
          <w:rFonts w:hint="eastAsia" w:ascii="宋体" w:hAnsi="宋体" w:eastAsia="宋体" w:cs="宋体"/>
          <w:b/>
          <w:bCs/>
          <w:color w:val="auto"/>
          <w:kern w:val="0"/>
          <w:sz w:val="24"/>
          <w:highlight w:val="none"/>
          <w:lang w:val="zh-CN"/>
        </w:rPr>
        <w:t>.2 施工进度计划</w:t>
      </w:r>
      <w:bookmarkEnd w:id="455"/>
      <w:bookmarkEnd w:id="456"/>
      <w:bookmarkEnd w:id="457"/>
      <w:bookmarkEnd w:id="458"/>
      <w:bookmarkEnd w:id="459"/>
      <w:bookmarkEnd w:id="460"/>
      <w:bookmarkEnd w:id="461"/>
      <w:bookmarkEnd w:id="462"/>
    </w:p>
    <w:p w14:paraId="5F5406D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2"/>
          <w:highlight w:val="none"/>
        </w:rPr>
        <w:t>7</w:t>
      </w:r>
      <w:r>
        <w:rPr>
          <w:rFonts w:hint="eastAsia" w:ascii="宋体" w:hAnsi="宋体" w:eastAsia="宋体" w:cs="宋体"/>
          <w:color w:val="auto"/>
          <w:sz w:val="24"/>
          <w:szCs w:val="22"/>
          <w:highlight w:val="none"/>
          <w:lang w:eastAsia="zh-Hans"/>
        </w:rPr>
        <w:t>.2.1</w:t>
      </w:r>
      <w:r>
        <w:rPr>
          <w:rFonts w:hint="eastAsia" w:ascii="宋体" w:hAnsi="宋体" w:eastAsia="宋体" w:cs="宋体"/>
          <w:color w:val="auto"/>
          <w:sz w:val="24"/>
          <w:highlight w:val="none"/>
        </w:rPr>
        <w:t>施工进度计划承包人应当在收到监理人发出的开工通知后 7 天内，编制详细的施工进度计划和施工方案说明并报送监理人。承包人编制施工进度计划和施工方案说明的内容：包括进度计划、各阶段现场平面布置图，其中工程进度计划应按照网络图或主要工作横道图编绘，包括注明关键路线、月预计完成的工程量和形象进度等，施工进度计划中还应载明要求发包人组织设计人进行阶段性工程设计交底的时间。承包人未按上述要求的时间提交的，每延误一天提交或提交的进度计划不符合要求被退回修改的，发包人有权要求承包人支付 5000 元/天违约金。</w:t>
      </w:r>
    </w:p>
    <w:p w14:paraId="20E7E90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7.2.2 施工进度计划的修订</w:t>
      </w:r>
    </w:p>
    <w:p w14:paraId="4BAA3D97">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发包人和监理人在收到修订的施工进度计划后确认或提出修改意见的期限：收到该申请报告之日起 7 天内。发包人及监理单位提出修改意见，承包人须在 3 天内按修改意见补充完善提交发包人及监理，承包人提交重新修改后的施工进度计划，发包人 5 天内确认。经发包人审核通过的施工进度计划具有约束力，承包人应予执行；监理、发包人对施工组织设计和进度计划的任何确认、调整和修改意见不免除和减轻承包人的工期责任。</w:t>
      </w:r>
    </w:p>
    <w:p w14:paraId="574BCF9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7.2.3 承包人编制分阶段或分项施工进度计划和施工方案说明的内容：包括进度计划、各阶段现场平面布置图及专项施工方案，其中工程进度计划应按照网络图或主要工作横道图编绘，包括注明关键路线、月预计完成的工程量和形象进度等。承包人报送分阶段或分项施工进度计划和施工方案说明的期限：分项工程开工前 7 天。</w:t>
      </w:r>
    </w:p>
    <w:p w14:paraId="1478DBE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7.2.4 群体工程中单位工程分期进行施工的，承包人应按照发包人提供图纸及有关资料的时间，按单位工程编制进度计划和施工方案说明。群体工程中有关进度计划和施工方案说明的要求：此类工程进度计划不应对总进度计划做实质性变动，而是对其的进一步细化。</w:t>
      </w:r>
    </w:p>
    <w:p w14:paraId="36F4258D">
      <w:pPr>
        <w:keepNext/>
        <w:keepLines/>
        <w:spacing w:line="360" w:lineRule="auto"/>
        <w:outlineLvl w:val="2"/>
        <w:rPr>
          <w:rFonts w:hint="eastAsia" w:ascii="宋体" w:hAnsi="宋体" w:eastAsia="宋体" w:cs="宋体"/>
          <w:b/>
          <w:bCs/>
          <w:color w:val="auto"/>
          <w:kern w:val="0"/>
          <w:sz w:val="24"/>
          <w:highlight w:val="none"/>
          <w:lang w:val="zh-CN"/>
        </w:rPr>
      </w:pPr>
      <w:bookmarkStart w:id="470" w:name="_Toc373227725"/>
      <w:bookmarkStart w:id="471" w:name="_Toc78449813"/>
      <w:bookmarkStart w:id="472" w:name="_Toc162971392"/>
      <w:bookmarkStart w:id="473" w:name="_Toc423062567"/>
      <w:bookmarkStart w:id="474" w:name="_Toc1498273563"/>
      <w:bookmarkStart w:id="475" w:name="_Toc407135227"/>
      <w:bookmarkStart w:id="476" w:name="_Toc389065291"/>
      <w:bookmarkStart w:id="477" w:name="_Toc373478372"/>
      <w:r>
        <w:rPr>
          <w:rFonts w:hint="eastAsia" w:ascii="宋体" w:hAnsi="宋体" w:eastAsia="宋体" w:cs="宋体"/>
          <w:b/>
          <w:bCs/>
          <w:color w:val="auto"/>
          <w:kern w:val="0"/>
          <w:sz w:val="24"/>
          <w:highlight w:val="none"/>
          <w:lang w:val="zh-CN"/>
        </w:rPr>
        <w:t>7.3 开工</w:t>
      </w:r>
      <w:bookmarkEnd w:id="470"/>
      <w:bookmarkEnd w:id="471"/>
      <w:bookmarkEnd w:id="472"/>
      <w:bookmarkEnd w:id="473"/>
      <w:bookmarkEnd w:id="474"/>
      <w:bookmarkEnd w:id="475"/>
      <w:bookmarkEnd w:id="476"/>
      <w:bookmarkEnd w:id="477"/>
    </w:p>
    <w:p w14:paraId="0721F90E">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7.3.1 开工准备</w:t>
      </w:r>
    </w:p>
    <w:p w14:paraId="49517684">
      <w:pPr>
        <w:spacing w:line="360" w:lineRule="auto"/>
        <w:ind w:firstLine="426"/>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关于承包人提交</w:t>
      </w:r>
      <w:r>
        <w:rPr>
          <w:rFonts w:hint="eastAsia" w:ascii="宋体" w:hAnsi="宋体" w:eastAsia="宋体" w:cs="宋体"/>
          <w:color w:val="auto"/>
          <w:kern w:val="0"/>
          <w:sz w:val="24"/>
          <w:highlight w:val="none"/>
        </w:rPr>
        <w:t>工程开工报审表的期限：</w:t>
      </w:r>
      <w:r>
        <w:rPr>
          <w:rFonts w:hint="eastAsia" w:ascii="宋体" w:hAnsi="宋体" w:eastAsia="宋体" w:cs="宋体"/>
          <w:color w:val="auto"/>
          <w:sz w:val="24"/>
          <w:highlight w:val="none"/>
          <w:u w:val="single"/>
        </w:rPr>
        <w:t>发包人应按照法律规定获得工程施工所需的许可。经发包人同意后，监理人发出的开工通知应符合法律规定。监理人应在计划开工日期3天前向承包人发出开工通知，工期自开工通知中载明的开工日期起算</w:t>
      </w:r>
      <w:r>
        <w:rPr>
          <w:rFonts w:hint="eastAsia" w:ascii="宋体" w:hAnsi="宋体" w:eastAsia="宋体" w:cs="宋体"/>
          <w:color w:val="auto"/>
          <w:sz w:val="24"/>
          <w:highlight w:val="none"/>
        </w:rPr>
        <w:t>。</w:t>
      </w:r>
    </w:p>
    <w:p w14:paraId="01F538D1">
      <w:pPr>
        <w:spacing w:line="360" w:lineRule="auto"/>
        <w:ind w:firstLine="426"/>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关于发包人应完成的其他开工准备工作及期限：</w:t>
      </w:r>
      <w:r>
        <w:rPr>
          <w:rFonts w:hint="eastAsia" w:ascii="宋体" w:hAnsi="宋体" w:eastAsia="宋体" w:cs="宋体"/>
          <w:color w:val="auto"/>
          <w:sz w:val="24"/>
          <w:highlight w:val="none"/>
          <w:u w:val="single"/>
        </w:rPr>
        <w:t>开工通知发出前</w:t>
      </w:r>
      <w:r>
        <w:rPr>
          <w:rFonts w:hint="eastAsia" w:ascii="宋体" w:hAnsi="宋体" w:eastAsia="宋体" w:cs="宋体"/>
          <w:color w:val="auto"/>
          <w:sz w:val="24"/>
          <w:highlight w:val="none"/>
        </w:rPr>
        <w:t>。</w:t>
      </w:r>
    </w:p>
    <w:p w14:paraId="490037CF">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关于承包人应完成的其他开工准备工作及期限：</w:t>
      </w:r>
      <w:r>
        <w:rPr>
          <w:rFonts w:hint="eastAsia" w:ascii="宋体" w:hAnsi="宋体" w:eastAsia="宋体" w:cs="宋体"/>
          <w:color w:val="auto"/>
          <w:sz w:val="24"/>
          <w:highlight w:val="none"/>
          <w:u w:val="single"/>
        </w:rPr>
        <w:t>开工通知发出前</w:t>
      </w:r>
      <w:r>
        <w:rPr>
          <w:rFonts w:hint="eastAsia" w:ascii="宋体" w:hAnsi="宋体" w:eastAsia="宋体" w:cs="宋体"/>
          <w:color w:val="auto"/>
          <w:sz w:val="24"/>
          <w:highlight w:val="none"/>
        </w:rPr>
        <w:t>。</w:t>
      </w:r>
    </w:p>
    <w:p w14:paraId="5926736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7.3.2 开工通知</w:t>
      </w:r>
    </w:p>
    <w:p w14:paraId="0AC5B455">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因发包人原因造成监理人未能在计划开工日期之日起</w:t>
      </w:r>
      <w:r>
        <w:rPr>
          <w:rFonts w:hint="eastAsia" w:ascii="宋体" w:hAnsi="宋体" w:eastAsia="宋体" w:cs="宋体"/>
          <w:color w:val="auto"/>
          <w:sz w:val="24"/>
          <w:highlight w:val="none"/>
          <w:u w:val="single"/>
        </w:rPr>
        <w:t>180</w:t>
      </w:r>
      <w:r>
        <w:rPr>
          <w:rFonts w:hint="eastAsia" w:ascii="宋体" w:hAnsi="宋体" w:eastAsia="宋体" w:cs="宋体"/>
          <w:color w:val="auto"/>
          <w:sz w:val="24"/>
          <w:highlight w:val="none"/>
        </w:rPr>
        <w:t>天内发出开工通知的，在此后有证据证明与施工有关的人材机大幅上涨的情况下，承包人有权提出价格调整要求，或者解除合同。如承包人在逾期180天后的15日内，未书面通知解除合同的，则视为承包人愿意继续履行合同而放弃解除合同的权利；对未能按时发出开工令期间造成的费用增加，应经发包人、监理、承包人三方另行协商解决。如承包人愿意继续履行合同的，承包人不得以上述费用未达成一致为由而拒绝进场施工或怠工，否则应按本合同承担违约责任。</w:t>
      </w:r>
    </w:p>
    <w:bookmarkEnd w:id="463"/>
    <w:bookmarkEnd w:id="464"/>
    <w:bookmarkEnd w:id="465"/>
    <w:bookmarkEnd w:id="466"/>
    <w:bookmarkEnd w:id="467"/>
    <w:bookmarkEnd w:id="468"/>
    <w:bookmarkEnd w:id="469"/>
    <w:p w14:paraId="7BE73D43">
      <w:pPr>
        <w:keepNext/>
        <w:keepLines/>
        <w:spacing w:line="360" w:lineRule="auto"/>
        <w:outlineLvl w:val="2"/>
        <w:rPr>
          <w:rFonts w:hint="eastAsia" w:ascii="宋体" w:hAnsi="宋体" w:eastAsia="宋体" w:cs="宋体"/>
          <w:b/>
          <w:bCs/>
          <w:color w:val="auto"/>
          <w:kern w:val="0"/>
          <w:sz w:val="24"/>
          <w:highlight w:val="none"/>
          <w:lang w:val="zh-CN"/>
        </w:rPr>
      </w:pPr>
      <w:bookmarkStart w:id="478" w:name="_Toc373478373"/>
      <w:bookmarkStart w:id="479" w:name="_Toc86855608"/>
      <w:bookmarkStart w:id="480" w:name="_Toc389065292"/>
      <w:bookmarkStart w:id="481" w:name="_Toc407135228"/>
      <w:bookmarkStart w:id="482" w:name="_Toc373227726"/>
      <w:bookmarkStart w:id="483" w:name="_Toc741356765"/>
      <w:bookmarkStart w:id="484" w:name="_Toc78449814"/>
      <w:bookmarkStart w:id="485" w:name="_Toc162971393"/>
      <w:r>
        <w:rPr>
          <w:rFonts w:hint="eastAsia" w:ascii="宋体" w:hAnsi="宋体" w:eastAsia="宋体" w:cs="宋体"/>
          <w:b/>
          <w:bCs/>
          <w:color w:val="auto"/>
          <w:kern w:val="0"/>
          <w:sz w:val="24"/>
          <w:highlight w:val="none"/>
          <w:lang w:val="zh-CN"/>
        </w:rPr>
        <w:t>7.4 测量放线</w:t>
      </w:r>
      <w:bookmarkEnd w:id="478"/>
      <w:bookmarkEnd w:id="479"/>
      <w:bookmarkEnd w:id="480"/>
      <w:bookmarkEnd w:id="481"/>
      <w:bookmarkEnd w:id="482"/>
      <w:bookmarkEnd w:id="483"/>
      <w:bookmarkEnd w:id="484"/>
      <w:bookmarkEnd w:id="485"/>
    </w:p>
    <w:p w14:paraId="240E7035">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7.4.1发包人通过监理人向承包人提供测量基准点、基准线和水准点及其书面资料的期限：</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5D2A23ED">
      <w:pPr>
        <w:keepNext/>
        <w:keepLines/>
        <w:spacing w:line="360" w:lineRule="auto"/>
        <w:outlineLvl w:val="2"/>
        <w:rPr>
          <w:rFonts w:hint="eastAsia" w:ascii="宋体" w:hAnsi="宋体" w:eastAsia="宋体" w:cs="宋体"/>
          <w:b/>
          <w:bCs/>
          <w:color w:val="auto"/>
          <w:kern w:val="0"/>
          <w:sz w:val="24"/>
          <w:highlight w:val="none"/>
          <w:lang w:val="zh-CN"/>
        </w:rPr>
      </w:pPr>
      <w:bookmarkStart w:id="486" w:name="_Toc407135229"/>
      <w:bookmarkStart w:id="487" w:name="_Toc373478374"/>
      <w:bookmarkStart w:id="488" w:name="_Toc1863025072"/>
      <w:bookmarkStart w:id="489" w:name="_Toc389065293"/>
      <w:bookmarkStart w:id="490" w:name="_Toc78449815"/>
      <w:bookmarkStart w:id="491" w:name="_Toc162971394"/>
      <w:bookmarkStart w:id="492" w:name="_Toc1417437583"/>
      <w:bookmarkStart w:id="493" w:name="_Toc373227727"/>
      <w:r>
        <w:rPr>
          <w:rFonts w:hint="eastAsia" w:ascii="宋体" w:hAnsi="宋体" w:eastAsia="宋体" w:cs="宋体"/>
          <w:b/>
          <w:bCs/>
          <w:color w:val="auto"/>
          <w:kern w:val="0"/>
          <w:sz w:val="24"/>
          <w:highlight w:val="none"/>
          <w:lang w:val="zh-CN"/>
        </w:rPr>
        <w:t>7</w:t>
      </w:r>
      <w:bookmarkStart w:id="494" w:name="_Toc297216175"/>
      <w:bookmarkStart w:id="495" w:name="_Toc312677484"/>
      <w:bookmarkStart w:id="496" w:name="_Toc297123516"/>
      <w:bookmarkStart w:id="497" w:name="_Toc304295546"/>
      <w:bookmarkStart w:id="498" w:name="_Toc303539125"/>
      <w:bookmarkStart w:id="499" w:name="_Toc300934968"/>
      <w:bookmarkStart w:id="500" w:name="_Toc312678010"/>
      <w:r>
        <w:rPr>
          <w:rFonts w:hint="eastAsia" w:ascii="宋体" w:hAnsi="宋体" w:eastAsia="宋体" w:cs="宋体"/>
          <w:b/>
          <w:bCs/>
          <w:color w:val="auto"/>
          <w:kern w:val="0"/>
          <w:sz w:val="24"/>
          <w:highlight w:val="none"/>
          <w:lang w:val="zh-CN"/>
        </w:rPr>
        <w:t>.5 工期延误</w:t>
      </w:r>
      <w:bookmarkEnd w:id="486"/>
      <w:bookmarkEnd w:id="487"/>
      <w:bookmarkEnd w:id="488"/>
      <w:bookmarkEnd w:id="489"/>
      <w:bookmarkEnd w:id="490"/>
      <w:bookmarkEnd w:id="491"/>
      <w:bookmarkEnd w:id="492"/>
      <w:bookmarkEnd w:id="493"/>
    </w:p>
    <w:bookmarkEnd w:id="494"/>
    <w:bookmarkEnd w:id="495"/>
    <w:bookmarkEnd w:id="496"/>
    <w:bookmarkEnd w:id="497"/>
    <w:bookmarkEnd w:id="498"/>
    <w:bookmarkEnd w:id="499"/>
    <w:bookmarkEnd w:id="500"/>
    <w:p w14:paraId="692BB7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7.5.1 因发包人原因导致工期延误</w:t>
      </w:r>
    </w:p>
    <w:p w14:paraId="239F00D7">
      <w:pPr>
        <w:spacing w:line="360" w:lineRule="auto"/>
        <w:ind w:firstLine="240" w:firstLineChars="100"/>
        <w:jc w:val="left"/>
        <w:rPr>
          <w:rFonts w:hint="eastAsia" w:ascii="宋体" w:hAnsi="宋体" w:eastAsia="宋体" w:cs="宋体"/>
          <w:color w:val="auto"/>
          <w:sz w:val="24"/>
          <w:highlight w:val="none"/>
        </w:rPr>
      </w:pPr>
      <w:bookmarkStart w:id="501" w:name="_Toc312678014"/>
      <w:bookmarkStart w:id="502" w:name="_Toc318581171"/>
      <w:r>
        <w:rPr>
          <w:rFonts w:hint="eastAsia" w:ascii="宋体" w:hAnsi="宋体" w:eastAsia="宋体" w:cs="宋体"/>
          <w:color w:val="auto"/>
          <w:sz w:val="24"/>
          <w:highlight w:val="none"/>
        </w:rPr>
        <w:t>（7）因发包人原因导致工期延误的其他情形：</w:t>
      </w:r>
      <w:r>
        <w:rPr>
          <w:rFonts w:hint="eastAsia" w:ascii="宋体" w:hAnsi="宋体" w:eastAsia="宋体" w:cs="宋体"/>
          <w:color w:val="auto"/>
          <w:sz w:val="24"/>
          <w:highlight w:val="none"/>
          <w:u w:val="single"/>
        </w:rPr>
        <w:t>①重大图纸变更影响关键线路工序施工；②施工期间如因停电、停水连续8小时以上（含8小时，满足条件可顺延一天，不足8小时者不计）或一周内间歇性停水、停电累计8小时以上（含8小时，满足条件可顺延一天，不足8小时者不计）影响正常施工的。③政府指令性停工。④在施工过程中遇到地下障碍物、溶洞、岩石、文物或地下管线的。⑤非承包人的责任造成的工期延误其他情形</w:t>
      </w:r>
      <w:r>
        <w:rPr>
          <w:rFonts w:hint="eastAsia" w:ascii="宋体" w:hAnsi="宋体" w:eastAsia="宋体" w:cs="宋体"/>
          <w:color w:val="auto"/>
          <w:sz w:val="24"/>
          <w:highlight w:val="none"/>
        </w:rPr>
        <w:t>。</w:t>
      </w:r>
    </w:p>
    <w:p w14:paraId="2C8A0B28">
      <w:pPr>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非承包人的责任影响关键线路工序施工，导致工期延误的，承包人每月底提交工期延误签证单，并附上相关证明材料，由发包人签证确认，作为工程结算的依据。</w:t>
      </w:r>
    </w:p>
    <w:p w14:paraId="49D38857">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bookmarkStart w:id="503" w:name="_Toc318581169"/>
      <w:bookmarkStart w:id="504" w:name="_Toc312677486"/>
      <w:bookmarkStart w:id="505" w:name="_Toc312678012"/>
      <w:bookmarkStart w:id="506" w:name="_Toc303539127"/>
      <w:bookmarkStart w:id="507" w:name="_Toc300934970"/>
      <w:bookmarkStart w:id="508" w:name="_Toc304295548"/>
      <w:bookmarkStart w:id="509" w:name="_Toc297123518"/>
      <w:bookmarkStart w:id="510" w:name="_Toc297216177"/>
      <w:r>
        <w:rPr>
          <w:rFonts w:hint="eastAsia" w:ascii="宋体" w:hAnsi="宋体" w:eastAsia="宋体" w:cs="宋体"/>
          <w:color w:val="auto"/>
          <w:sz w:val="24"/>
          <w:highlight w:val="none"/>
        </w:rPr>
        <w:t>.5.2 因承包人原因导致工期延误</w:t>
      </w:r>
    </w:p>
    <w:bookmarkEnd w:id="503"/>
    <w:bookmarkEnd w:id="504"/>
    <w:bookmarkEnd w:id="505"/>
    <w:p w14:paraId="0272C46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双方约定经监理工程师确认，工期相应顺延的情况：</w:t>
      </w:r>
      <w:r>
        <w:rPr>
          <w:rFonts w:hint="eastAsia" w:ascii="宋体" w:hAnsi="宋体" w:eastAsia="宋体" w:cs="宋体"/>
          <w:color w:val="auto"/>
          <w:sz w:val="24"/>
          <w:highlight w:val="none"/>
          <w:u w:val="single"/>
        </w:rPr>
        <w:t>不可抗力的原因(不可抗力以本合同约定内容为准)</w:t>
      </w:r>
      <w:r>
        <w:rPr>
          <w:rFonts w:hint="eastAsia" w:ascii="宋体" w:hAnsi="宋体" w:eastAsia="宋体" w:cs="宋体"/>
          <w:color w:val="auto"/>
          <w:sz w:val="24"/>
          <w:highlight w:val="none"/>
        </w:rPr>
        <w:t>。发生前述情况时，承包人应在发生后5日内，就延误工期的原因及顺延的天数以书面形式向发包人、监理人提出报告，并且应附上相关合法有效的证明资料（否则发包人、监理有权不予受理该申请）。监理及发包人收到后应在10日内进行审核。承包人按经发包人和监理审核的结果顺延工期。承包人在前述情况发生后5日内未向发包人和监理提出签证申请的，视为承包人放弃该项权利。</w:t>
      </w:r>
    </w:p>
    <w:p w14:paraId="6BD05BC8">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因</w:t>
      </w:r>
      <w:bookmarkStart w:id="511" w:name="_Toc312677487"/>
      <w:bookmarkStart w:id="512" w:name="_Toc318581170"/>
      <w:bookmarkStart w:id="513" w:name="_Toc312678013"/>
      <w:r>
        <w:rPr>
          <w:rFonts w:hint="eastAsia" w:ascii="宋体" w:hAnsi="宋体" w:eastAsia="宋体" w:cs="宋体"/>
          <w:color w:val="auto"/>
          <w:sz w:val="24"/>
          <w:highlight w:val="none"/>
        </w:rPr>
        <w:t>承包人原因造成工期延误，逾期竣工违约金的计算方法为：</w:t>
      </w:r>
      <w:bookmarkEnd w:id="506"/>
      <w:bookmarkEnd w:id="507"/>
      <w:bookmarkEnd w:id="508"/>
      <w:bookmarkEnd w:id="509"/>
      <w:bookmarkEnd w:id="510"/>
      <w:bookmarkEnd w:id="511"/>
      <w:bookmarkEnd w:id="512"/>
      <w:bookmarkEnd w:id="513"/>
      <w:r>
        <w:rPr>
          <w:rFonts w:hint="eastAsia" w:ascii="宋体" w:hAnsi="宋体" w:eastAsia="宋体" w:cs="宋体"/>
          <w:color w:val="auto"/>
          <w:sz w:val="24"/>
          <w:highlight w:val="none"/>
          <w:u w:val="single"/>
        </w:rPr>
        <w:t>每延误１日，承包人按</w:t>
      </w:r>
      <w:r>
        <w:rPr>
          <w:rFonts w:hint="eastAsia" w:ascii="宋体" w:hAnsi="宋体" w:eastAsia="宋体" w:cs="宋体"/>
          <w:bCs/>
          <w:color w:val="auto"/>
          <w:sz w:val="24"/>
          <w:highlight w:val="none"/>
          <w:u w:val="single"/>
        </w:rPr>
        <w:t>合同总价的2‰/日向发包人支付违约金，</w:t>
      </w:r>
      <w:r>
        <w:rPr>
          <w:rFonts w:hint="eastAsia" w:ascii="宋体" w:hAnsi="宋体" w:eastAsia="宋体" w:cs="宋体"/>
          <w:color w:val="auto"/>
          <w:sz w:val="24"/>
          <w:highlight w:val="none"/>
          <w:u w:val="single"/>
        </w:rPr>
        <w:t>并赔偿发包人因此而遭受的其它损失（包括但不限于因此造成发包人对第三方的违约而应支付的赔偿款、补偿款、违约金及诉讼或仲裁中产生的诉讼费、仲裁费、评估费、鉴定费、律师费、保全费、公告费、鉴定费、诉讼财产保全责任险保险费等，下同），对于该违约金，发包人可从应向承包人支付的任何金额中扣除。逾期时间从规定竣工日期起直到实际竣工日期的天数（扣除发包人批准顺延的工期）</w:t>
      </w:r>
      <w:r>
        <w:rPr>
          <w:rFonts w:hint="eastAsia" w:ascii="宋体" w:hAnsi="宋体" w:eastAsia="宋体" w:cs="宋体"/>
          <w:bCs/>
          <w:color w:val="auto"/>
          <w:sz w:val="24"/>
          <w:highlight w:val="none"/>
        </w:rPr>
        <w:t>。承包人支付逾期竣工违约金，不免除承包人完成工程及修补缺陷的义务。</w:t>
      </w:r>
    </w:p>
    <w:p w14:paraId="4A1802E6">
      <w:pPr>
        <w:adjustRightInd w:val="0"/>
        <w:spacing w:after="60" w:line="360" w:lineRule="auto"/>
        <w:ind w:right="63" w:rightChars="30"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承包人进场施工前须提报施工进度计划至发包人确认，施工过程中的关键路线节点存在多次延误，且经发包人多次提醒仍未采取纠偏赶工措施的情况下，发包人有权视具体情形要求承包人支付1000元/次至5000元/次不等的违约金。</w:t>
      </w:r>
    </w:p>
    <w:p w14:paraId="0082C60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因承包人原因造成工期延误，逾期竣工违约金的上限：</w:t>
      </w:r>
      <w:r>
        <w:rPr>
          <w:rFonts w:hint="eastAsia" w:ascii="宋体" w:hAnsi="宋体" w:eastAsia="宋体" w:cs="宋体"/>
          <w:bCs/>
          <w:color w:val="auto"/>
          <w:sz w:val="24"/>
          <w:highlight w:val="none"/>
          <w:u w:val="single"/>
        </w:rPr>
        <w:t>合同总价款的10%</w:t>
      </w:r>
      <w:r>
        <w:rPr>
          <w:rFonts w:hint="eastAsia" w:ascii="宋体" w:hAnsi="宋体" w:eastAsia="宋体" w:cs="宋体"/>
          <w:color w:val="auto"/>
          <w:sz w:val="24"/>
          <w:highlight w:val="none"/>
        </w:rPr>
        <w:t>。</w:t>
      </w:r>
    </w:p>
    <w:bookmarkEnd w:id="501"/>
    <w:bookmarkEnd w:id="502"/>
    <w:p w14:paraId="65EB1F4E">
      <w:pPr>
        <w:keepNext/>
        <w:keepLines/>
        <w:spacing w:line="360" w:lineRule="auto"/>
        <w:outlineLvl w:val="2"/>
        <w:rPr>
          <w:rFonts w:hint="eastAsia" w:ascii="宋体" w:hAnsi="宋体" w:eastAsia="宋体" w:cs="宋体"/>
          <w:b/>
          <w:bCs/>
          <w:color w:val="auto"/>
          <w:kern w:val="0"/>
          <w:sz w:val="24"/>
          <w:highlight w:val="none"/>
          <w:lang w:val="zh-CN"/>
        </w:rPr>
      </w:pPr>
      <w:bookmarkStart w:id="514" w:name="_Toc1954543271"/>
      <w:bookmarkStart w:id="515" w:name="_Toc389065294"/>
      <w:bookmarkStart w:id="516" w:name="_Toc407135230"/>
      <w:bookmarkStart w:id="517" w:name="_Toc373478375"/>
      <w:bookmarkStart w:id="518" w:name="_Toc888037017"/>
      <w:bookmarkStart w:id="519" w:name="_Toc373227728"/>
      <w:bookmarkStart w:id="520" w:name="_Toc78449816"/>
      <w:bookmarkStart w:id="521" w:name="_Toc162971396"/>
      <w:r>
        <w:rPr>
          <w:rFonts w:hint="eastAsia" w:ascii="宋体" w:hAnsi="宋体" w:eastAsia="宋体" w:cs="宋体"/>
          <w:b/>
          <w:bCs/>
          <w:color w:val="auto"/>
          <w:kern w:val="0"/>
          <w:sz w:val="24"/>
          <w:highlight w:val="none"/>
          <w:lang w:val="zh-CN"/>
        </w:rPr>
        <w:t>7</w:t>
      </w:r>
      <w:bookmarkStart w:id="522" w:name="_Toc303539128"/>
      <w:bookmarkStart w:id="523" w:name="_Toc300934971"/>
      <w:bookmarkStart w:id="524" w:name="_Toc312678015"/>
      <w:bookmarkStart w:id="525" w:name="_Toc304295549"/>
      <w:bookmarkStart w:id="526" w:name="_Toc297216178"/>
      <w:bookmarkStart w:id="527" w:name="_Toc297123519"/>
      <w:r>
        <w:rPr>
          <w:rFonts w:hint="eastAsia" w:ascii="宋体" w:hAnsi="宋体" w:eastAsia="宋体" w:cs="宋体"/>
          <w:b/>
          <w:bCs/>
          <w:color w:val="auto"/>
          <w:kern w:val="0"/>
          <w:sz w:val="24"/>
          <w:highlight w:val="none"/>
          <w:lang w:val="zh-CN"/>
        </w:rPr>
        <w:t>.6 不</w:t>
      </w:r>
      <w:bookmarkEnd w:id="522"/>
      <w:bookmarkEnd w:id="523"/>
      <w:bookmarkEnd w:id="524"/>
      <w:bookmarkEnd w:id="525"/>
      <w:bookmarkEnd w:id="526"/>
      <w:bookmarkEnd w:id="527"/>
      <w:r>
        <w:rPr>
          <w:rFonts w:hint="eastAsia" w:ascii="宋体" w:hAnsi="宋体" w:eastAsia="宋体" w:cs="宋体"/>
          <w:b/>
          <w:bCs/>
          <w:color w:val="auto"/>
          <w:kern w:val="0"/>
          <w:sz w:val="24"/>
          <w:highlight w:val="none"/>
          <w:lang w:val="zh-CN"/>
        </w:rPr>
        <w:t>利物质条件</w:t>
      </w:r>
      <w:bookmarkEnd w:id="514"/>
      <w:bookmarkEnd w:id="515"/>
      <w:bookmarkEnd w:id="516"/>
      <w:bookmarkEnd w:id="517"/>
      <w:bookmarkEnd w:id="518"/>
      <w:bookmarkEnd w:id="519"/>
      <w:bookmarkEnd w:id="520"/>
      <w:bookmarkEnd w:id="521"/>
    </w:p>
    <w:p w14:paraId="182618E9">
      <w:pPr>
        <w:spacing w:line="360" w:lineRule="auto"/>
        <w:ind w:firstLine="480" w:firstLineChars="200"/>
        <w:jc w:val="left"/>
        <w:rPr>
          <w:rFonts w:hint="eastAsia" w:ascii="宋体" w:hAnsi="宋体" w:eastAsia="宋体" w:cs="宋体"/>
          <w:color w:val="auto"/>
          <w:sz w:val="24"/>
          <w:highlight w:val="none"/>
          <w:u w:val="single"/>
        </w:rPr>
      </w:pPr>
      <w:bookmarkStart w:id="528" w:name="_Toc318581172"/>
      <w:bookmarkStart w:id="529" w:name="_Toc300934972"/>
      <w:bookmarkStart w:id="530" w:name="_Toc304295550"/>
      <w:bookmarkStart w:id="531" w:name="_Toc303539129"/>
      <w:bookmarkStart w:id="532" w:name="_Toc312678016"/>
      <w:bookmarkStart w:id="533" w:name="_Toc297123520"/>
      <w:bookmarkStart w:id="534" w:name="_Toc297216179"/>
      <w:r>
        <w:rPr>
          <w:rFonts w:hint="eastAsia" w:ascii="宋体" w:hAnsi="宋体" w:eastAsia="宋体" w:cs="宋体"/>
          <w:color w:val="auto"/>
          <w:sz w:val="24"/>
          <w:highlight w:val="none"/>
        </w:rPr>
        <w:t>不利物质条件的其他情形和有关约定：</w:t>
      </w:r>
      <w:r>
        <w:rPr>
          <w:rFonts w:hint="eastAsia" w:ascii="宋体" w:hAnsi="宋体" w:eastAsia="宋体" w:cs="宋体"/>
          <w:color w:val="auto"/>
          <w:sz w:val="24"/>
          <w:highlight w:val="none"/>
          <w:u w:val="single"/>
        </w:rPr>
        <w:t>无</w:t>
      </w:r>
      <w:r>
        <w:rPr>
          <w:rFonts w:hint="eastAsia" w:ascii="宋体" w:hAnsi="宋体" w:eastAsia="宋体" w:cs="宋体"/>
          <w:color w:val="auto"/>
          <w:sz w:val="24"/>
          <w:highlight w:val="none"/>
        </w:rPr>
        <w:t>。</w:t>
      </w:r>
    </w:p>
    <w:bookmarkEnd w:id="528"/>
    <w:bookmarkEnd w:id="529"/>
    <w:bookmarkEnd w:id="530"/>
    <w:bookmarkEnd w:id="531"/>
    <w:bookmarkEnd w:id="532"/>
    <w:bookmarkEnd w:id="533"/>
    <w:bookmarkEnd w:id="534"/>
    <w:p w14:paraId="5A22E278">
      <w:pPr>
        <w:keepNext/>
        <w:keepLines/>
        <w:spacing w:line="360" w:lineRule="auto"/>
        <w:outlineLvl w:val="2"/>
        <w:rPr>
          <w:rFonts w:hint="eastAsia" w:ascii="宋体" w:hAnsi="宋体" w:eastAsia="宋体" w:cs="宋体"/>
          <w:b/>
          <w:bCs/>
          <w:color w:val="auto"/>
          <w:kern w:val="0"/>
          <w:sz w:val="24"/>
          <w:highlight w:val="none"/>
          <w:lang w:val="zh-CN"/>
        </w:rPr>
      </w:pPr>
      <w:bookmarkStart w:id="535" w:name="_Toc373227729"/>
      <w:bookmarkStart w:id="536" w:name="_Toc851880484"/>
      <w:bookmarkStart w:id="537" w:name="_Toc389065295"/>
      <w:bookmarkStart w:id="538" w:name="_Toc78449817"/>
      <w:bookmarkStart w:id="539" w:name="_Toc373478376"/>
      <w:bookmarkStart w:id="540" w:name="_Toc407135231"/>
      <w:bookmarkStart w:id="541" w:name="_Toc162971397"/>
      <w:bookmarkStart w:id="542" w:name="_Toc2031116443"/>
      <w:r>
        <w:rPr>
          <w:rFonts w:hint="eastAsia" w:ascii="宋体" w:hAnsi="宋体" w:eastAsia="宋体" w:cs="宋体"/>
          <w:b/>
          <w:bCs/>
          <w:color w:val="auto"/>
          <w:kern w:val="0"/>
          <w:sz w:val="24"/>
          <w:highlight w:val="none"/>
          <w:lang w:val="zh-CN"/>
        </w:rPr>
        <w:t>7</w:t>
      </w:r>
      <w:bookmarkStart w:id="543" w:name="_Toc300934973"/>
      <w:bookmarkStart w:id="544" w:name="_Toc312678017"/>
      <w:bookmarkStart w:id="545" w:name="_Toc297216180"/>
      <w:bookmarkStart w:id="546" w:name="_Toc297123521"/>
      <w:bookmarkStart w:id="547" w:name="_Toc303539130"/>
      <w:bookmarkStart w:id="548" w:name="_Toc304295551"/>
      <w:r>
        <w:rPr>
          <w:rFonts w:hint="eastAsia" w:ascii="宋体" w:hAnsi="宋体" w:eastAsia="宋体" w:cs="宋体"/>
          <w:b/>
          <w:bCs/>
          <w:color w:val="auto"/>
          <w:kern w:val="0"/>
          <w:sz w:val="24"/>
          <w:highlight w:val="none"/>
          <w:lang w:val="zh-CN"/>
        </w:rPr>
        <w:t>.7 异常恶劣的气候条件</w:t>
      </w:r>
      <w:bookmarkEnd w:id="535"/>
      <w:bookmarkEnd w:id="536"/>
      <w:bookmarkEnd w:id="537"/>
      <w:bookmarkEnd w:id="538"/>
      <w:bookmarkEnd w:id="539"/>
      <w:bookmarkEnd w:id="540"/>
      <w:bookmarkEnd w:id="541"/>
      <w:bookmarkEnd w:id="542"/>
    </w:p>
    <w:bookmarkEnd w:id="543"/>
    <w:bookmarkEnd w:id="544"/>
    <w:bookmarkEnd w:id="545"/>
    <w:bookmarkEnd w:id="546"/>
    <w:bookmarkEnd w:id="547"/>
    <w:bookmarkEnd w:id="548"/>
    <w:p w14:paraId="3CDFEDD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发包人和承包人同意以下情形视为异常恶劣的气候条件：</w:t>
      </w:r>
    </w:p>
    <w:p w14:paraId="0EB25B27">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（1）6级以上地震；</w:t>
      </w:r>
    </w:p>
    <w:p w14:paraId="3AF5F8C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（2）10级以上持续1天的大风；</w:t>
      </w:r>
    </w:p>
    <w:p w14:paraId="3928709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（3）暴雨天级以上持续1天的大雨；</w:t>
      </w:r>
    </w:p>
    <w:p w14:paraId="5026FE3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（4）50年以上未发生过，持续2天的高温天气；</w:t>
      </w:r>
    </w:p>
    <w:p w14:paraId="0136B91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（5）50年以上未发生过，持续2天的低温天气；</w:t>
      </w:r>
    </w:p>
    <w:p w14:paraId="7FAB4E1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（6）50年以上未发生过的洪水。</w:t>
      </w:r>
    </w:p>
    <w:p w14:paraId="3D590E30">
      <w:pPr>
        <w:keepNext/>
        <w:keepLines/>
        <w:spacing w:line="360" w:lineRule="auto"/>
        <w:outlineLvl w:val="2"/>
        <w:rPr>
          <w:rFonts w:hint="eastAsia" w:ascii="宋体" w:hAnsi="宋体" w:eastAsia="宋体" w:cs="宋体"/>
          <w:b/>
          <w:bCs/>
          <w:color w:val="auto"/>
          <w:kern w:val="0"/>
          <w:sz w:val="24"/>
          <w:highlight w:val="none"/>
        </w:rPr>
      </w:pPr>
      <w:bookmarkStart w:id="549" w:name="_Toc162971398"/>
      <w:bookmarkStart w:id="550" w:name="_Toc407135232"/>
      <w:bookmarkStart w:id="551" w:name="_Toc389065296"/>
      <w:bookmarkStart w:id="552" w:name="_Toc657185480"/>
      <w:bookmarkStart w:id="553" w:name="_Toc373478377"/>
      <w:bookmarkStart w:id="554" w:name="_Toc78449818"/>
      <w:bookmarkStart w:id="555" w:name="_Toc373227730"/>
      <w:bookmarkStart w:id="556" w:name="_Toc2087373611"/>
      <w:r>
        <w:rPr>
          <w:rFonts w:hint="eastAsia" w:ascii="宋体" w:hAnsi="宋体" w:eastAsia="宋体" w:cs="宋体"/>
          <w:b/>
          <w:bCs/>
          <w:color w:val="auto"/>
          <w:kern w:val="0"/>
          <w:sz w:val="24"/>
          <w:highlight w:val="none"/>
        </w:rPr>
        <w:t xml:space="preserve">7.9 </w:t>
      </w:r>
      <w:r>
        <w:rPr>
          <w:rFonts w:hint="eastAsia" w:ascii="宋体" w:hAnsi="宋体" w:eastAsia="宋体" w:cs="宋体"/>
          <w:b/>
          <w:bCs/>
          <w:color w:val="auto"/>
          <w:kern w:val="0"/>
          <w:sz w:val="24"/>
          <w:highlight w:val="none"/>
          <w:lang w:val="zh-CN"/>
        </w:rPr>
        <w:t>提前竣工</w:t>
      </w:r>
      <w:bookmarkEnd w:id="549"/>
      <w:bookmarkEnd w:id="550"/>
      <w:bookmarkEnd w:id="551"/>
      <w:bookmarkEnd w:id="552"/>
      <w:bookmarkEnd w:id="553"/>
      <w:bookmarkEnd w:id="554"/>
      <w:bookmarkEnd w:id="555"/>
      <w:bookmarkEnd w:id="556"/>
    </w:p>
    <w:p w14:paraId="64DDAD1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7.9.2提前竣工（赶工）增加费的计算方法：</w:t>
      </w:r>
      <w:r>
        <w:rPr>
          <w:rFonts w:hint="eastAsia" w:ascii="宋体" w:hAnsi="宋体" w:eastAsia="宋体" w:cs="宋体"/>
          <w:color w:val="auto"/>
          <w:sz w:val="24"/>
          <w:highlight w:val="none"/>
          <w:u w:val="single"/>
        </w:rPr>
        <w:t>无</w:t>
      </w:r>
      <w:r>
        <w:rPr>
          <w:rFonts w:hint="eastAsia" w:ascii="宋体" w:hAnsi="宋体" w:eastAsia="宋体" w:cs="宋体"/>
          <w:color w:val="auto"/>
          <w:sz w:val="24"/>
          <w:highlight w:val="none"/>
        </w:rPr>
        <w:t>。</w:t>
      </w:r>
    </w:p>
    <w:p w14:paraId="488DE3E8">
      <w:pPr>
        <w:keepNext/>
        <w:keepLines/>
        <w:spacing w:before="60" w:after="60" w:line="360" w:lineRule="auto"/>
        <w:outlineLvl w:val="1"/>
        <w:rPr>
          <w:rFonts w:hint="eastAsia" w:ascii="宋体" w:hAnsi="宋体" w:eastAsia="宋体" w:cs="宋体"/>
          <w:b/>
          <w:bCs/>
          <w:color w:val="auto"/>
          <w:kern w:val="0"/>
          <w:sz w:val="24"/>
          <w:highlight w:val="none"/>
          <w:lang w:val="zh-CN"/>
        </w:rPr>
      </w:pPr>
      <w:bookmarkStart w:id="557" w:name="_Toc78449819"/>
      <w:bookmarkStart w:id="558" w:name="_Toc351203640"/>
      <w:bookmarkStart w:id="559" w:name="_Toc1400878670"/>
      <w:bookmarkStart w:id="560" w:name="_Toc1302158431"/>
      <w:bookmarkStart w:id="561" w:name="_Toc373227731"/>
      <w:bookmarkStart w:id="562" w:name="_Toc389065297"/>
      <w:bookmarkStart w:id="563" w:name="_Toc373478378"/>
      <w:bookmarkStart w:id="564" w:name="_Toc162971399"/>
      <w:bookmarkStart w:id="565" w:name="_Toc407135233"/>
      <w:r>
        <w:rPr>
          <w:rFonts w:hint="eastAsia" w:ascii="宋体" w:hAnsi="宋体" w:eastAsia="宋体" w:cs="宋体"/>
          <w:b/>
          <w:bCs/>
          <w:color w:val="auto"/>
          <w:kern w:val="0"/>
          <w:sz w:val="24"/>
          <w:highlight w:val="none"/>
          <w:lang w:val="zh-CN"/>
        </w:rPr>
        <w:t>8. 材料与设备</w:t>
      </w:r>
      <w:bookmarkEnd w:id="557"/>
      <w:bookmarkEnd w:id="558"/>
      <w:bookmarkEnd w:id="559"/>
      <w:bookmarkEnd w:id="560"/>
      <w:bookmarkEnd w:id="561"/>
      <w:bookmarkEnd w:id="562"/>
      <w:bookmarkEnd w:id="563"/>
      <w:bookmarkEnd w:id="564"/>
      <w:bookmarkEnd w:id="565"/>
    </w:p>
    <w:bookmarkEnd w:id="389"/>
    <w:bookmarkEnd w:id="390"/>
    <w:bookmarkEnd w:id="391"/>
    <w:bookmarkEnd w:id="392"/>
    <w:bookmarkEnd w:id="393"/>
    <w:bookmarkEnd w:id="394"/>
    <w:bookmarkEnd w:id="395"/>
    <w:bookmarkEnd w:id="396"/>
    <w:bookmarkEnd w:id="397"/>
    <w:bookmarkEnd w:id="398"/>
    <w:p w14:paraId="4AF369FD">
      <w:pPr>
        <w:keepNext/>
        <w:keepLines/>
        <w:spacing w:line="360" w:lineRule="auto"/>
        <w:outlineLvl w:val="2"/>
        <w:rPr>
          <w:rFonts w:hint="eastAsia" w:ascii="宋体" w:hAnsi="宋体" w:eastAsia="宋体" w:cs="宋体"/>
          <w:b/>
          <w:bCs/>
          <w:color w:val="auto"/>
          <w:kern w:val="0"/>
          <w:sz w:val="24"/>
          <w:highlight w:val="none"/>
          <w:lang w:val="zh-CN"/>
        </w:rPr>
      </w:pPr>
      <w:bookmarkStart w:id="566" w:name="_Toc78449820"/>
      <w:bookmarkStart w:id="567" w:name="_Toc373478379"/>
      <w:bookmarkStart w:id="568" w:name="_Toc389065298"/>
      <w:bookmarkStart w:id="569" w:name="_Toc1119561048"/>
      <w:bookmarkStart w:id="570" w:name="_Toc407135234"/>
      <w:bookmarkStart w:id="571" w:name="_Toc162971400"/>
      <w:bookmarkStart w:id="572" w:name="_Toc1078610395"/>
      <w:bookmarkStart w:id="573" w:name="_Toc373227732"/>
      <w:r>
        <w:rPr>
          <w:rFonts w:hint="eastAsia" w:ascii="宋体" w:hAnsi="宋体" w:eastAsia="宋体" w:cs="宋体"/>
          <w:b/>
          <w:bCs/>
          <w:color w:val="auto"/>
          <w:kern w:val="0"/>
          <w:sz w:val="24"/>
          <w:highlight w:val="none"/>
          <w:lang w:val="zh-CN"/>
        </w:rPr>
        <w:t>8.2 承包人采购材料与工程设备</w:t>
      </w:r>
      <w:bookmarkEnd w:id="566"/>
      <w:bookmarkEnd w:id="567"/>
      <w:bookmarkEnd w:id="568"/>
      <w:bookmarkEnd w:id="569"/>
      <w:bookmarkEnd w:id="570"/>
      <w:bookmarkEnd w:id="571"/>
      <w:bookmarkEnd w:id="572"/>
      <w:bookmarkEnd w:id="573"/>
    </w:p>
    <w:p w14:paraId="4493E0E1">
      <w:pPr>
        <w:spacing w:line="360" w:lineRule="auto"/>
        <w:ind w:firstLine="420"/>
        <w:rPr>
          <w:rFonts w:hint="eastAsia" w:ascii="宋体" w:hAnsi="宋体" w:eastAsia="宋体" w:cs="宋体"/>
          <w:color w:val="auto"/>
          <w:sz w:val="24"/>
          <w:highlight w:val="none"/>
        </w:rPr>
      </w:pPr>
      <w:bookmarkStart w:id="574" w:name="_Toc373227733"/>
      <w:bookmarkStart w:id="575" w:name="_Toc389065299"/>
      <w:bookmarkStart w:id="576" w:name="_Toc373478380"/>
      <w:r>
        <w:rPr>
          <w:rFonts w:hint="eastAsia" w:ascii="宋体" w:hAnsi="宋体" w:eastAsia="宋体" w:cs="宋体"/>
          <w:color w:val="auto"/>
          <w:sz w:val="24"/>
          <w:highlight w:val="none"/>
        </w:rPr>
        <w:t>除专用合同条款的附件《发包人供应材料设备一览表》中明确的材料、工程设备外，由承包人负责材料和工程设备的采购、运输和保管。对工程使用的重要建设工程材料，承包人应按《南宁市建设工程材料使用管理办法》相关规定，从南宁市建设行政主管部门公布的建设工程材料备案目录中选用。</w:t>
      </w:r>
    </w:p>
    <w:p w14:paraId="32E362B4">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发包人在招标时有“参照或相当于”约定的材料，承包人在施工过程中必须按类似于或优于所约定品牌、厂家和等级进行采购，并经发包人认可。当发包人与承包人对招标文件所约定的材料有争议时，发包人有权要求承包人按招标文件有“参照或相当于”标明材料品牌的材料进行采购，并按结算时按投标单价支付。</w:t>
      </w:r>
    </w:p>
    <w:p w14:paraId="054B12D1">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对发包人在招标时，没有明确约定“参照或相当于”**品牌、档次的材料和设备，或双方对材料和设备选择有争议的，发包人有权要求承包人按不低于招标控制价相同细目的材料或设备价格进行采购。</w:t>
      </w:r>
    </w:p>
    <w:p w14:paraId="7D45E851">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满足南宁市城乡建设委员会南宁市工业和信息化委员会关于重新印发《南宁市城乡建设委员会和南宁市工业和信息化委员会关于推广应用高性能混凝土的通知》的通知（南建规【2016】1号）要求的，本工程推荐使用高性能混凝土。 </w:t>
      </w:r>
    </w:p>
    <w:p w14:paraId="4E8287BA">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满足南宁市人民政府印发的《南宁市人民政府关于推广使用预拌砂浆的实施意见》（南府规〔2016〕12 号）要求的，本工程必须使用预拌砂浆，价格执行市场询价。</w:t>
      </w:r>
    </w:p>
    <w:p w14:paraId="0A7FF9B1">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满足《南宁市松材线虫病防控工作领导小组工作制度》要求，要求涉木产品供货商对应施检疫的产品提供《植物检疫证书》；涉及松木质包装材料的，积极配合林业部门做好检疫工作。</w:t>
      </w:r>
    </w:p>
    <w:p w14:paraId="764C4942">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禁止使用松木及其制品、松木包装材料设备、种子、苗木、花卉及繁殖材料。</w:t>
      </w:r>
    </w:p>
    <w:p w14:paraId="1B484023">
      <w:pPr>
        <w:autoSpaceDE w:val="0"/>
        <w:autoSpaceDN w:val="0"/>
        <w:adjustRightInd w:val="0"/>
        <w:spacing w:line="360" w:lineRule="auto"/>
        <w:ind w:firstLine="480" w:firstLineChars="200"/>
        <w:rPr>
          <w:rFonts w:hint="eastAsia" w:ascii="宋体" w:hAnsi="宋体" w:eastAsia="宋体" w:cs="宋体"/>
          <w:color w:val="auto"/>
          <w:sz w:val="24"/>
          <w:highlight w:val="none"/>
        </w:rPr>
      </w:pPr>
    </w:p>
    <w:p w14:paraId="49BEB859">
      <w:pPr>
        <w:keepNext/>
        <w:keepLines/>
        <w:spacing w:line="360" w:lineRule="auto"/>
        <w:outlineLvl w:val="2"/>
        <w:rPr>
          <w:rFonts w:hint="eastAsia" w:ascii="宋体" w:hAnsi="宋体" w:eastAsia="宋体" w:cs="宋体"/>
          <w:b/>
          <w:bCs/>
          <w:color w:val="auto"/>
          <w:kern w:val="0"/>
          <w:sz w:val="24"/>
          <w:highlight w:val="none"/>
          <w:lang w:val="zh-CN"/>
        </w:rPr>
      </w:pPr>
      <w:bookmarkStart w:id="577" w:name="_Toc407135235"/>
      <w:bookmarkStart w:id="578" w:name="_Toc162971401"/>
      <w:bookmarkStart w:id="579" w:name="_Toc800965933"/>
      <w:bookmarkStart w:id="580" w:name="_Toc1355357553"/>
      <w:bookmarkStart w:id="581" w:name="_Toc78449821"/>
      <w:r>
        <w:rPr>
          <w:rFonts w:hint="eastAsia" w:ascii="宋体" w:hAnsi="宋体" w:eastAsia="宋体" w:cs="宋体"/>
          <w:b/>
          <w:bCs/>
          <w:color w:val="auto"/>
          <w:kern w:val="0"/>
          <w:sz w:val="24"/>
          <w:highlight w:val="none"/>
          <w:lang w:val="zh-CN"/>
        </w:rPr>
        <w:t>8</w:t>
      </w:r>
      <w:bookmarkStart w:id="582" w:name="_Toc296944506"/>
      <w:bookmarkStart w:id="583" w:name="_Toc297048353"/>
      <w:bookmarkStart w:id="584" w:name="_Toc297123527"/>
      <w:bookmarkStart w:id="585" w:name="_Toc296503167"/>
      <w:bookmarkStart w:id="586" w:name="_Toc296890995"/>
      <w:bookmarkStart w:id="587" w:name="_Toc297216186"/>
      <w:bookmarkStart w:id="588" w:name="_Toc300934979"/>
      <w:bookmarkStart w:id="589" w:name="_Toc292559877"/>
      <w:bookmarkStart w:id="590" w:name="_Toc303539136"/>
      <w:bookmarkStart w:id="591" w:name="_Toc296346668"/>
      <w:bookmarkStart w:id="592" w:name="_Toc292559372"/>
      <w:bookmarkStart w:id="593" w:name="_Toc296891207"/>
      <w:bookmarkStart w:id="594" w:name="_Toc297120467"/>
      <w:bookmarkStart w:id="595" w:name="_Toc296347166"/>
      <w:bookmarkStart w:id="596" w:name="_Toc312677493"/>
      <w:bookmarkStart w:id="597" w:name="_Toc312678019"/>
      <w:bookmarkStart w:id="598" w:name="_Toc304295556"/>
      <w:bookmarkStart w:id="599" w:name="_Toc280868654"/>
      <w:bookmarkStart w:id="600" w:name="_Toc280868655"/>
      <w:bookmarkStart w:id="601" w:name="_Toc280868656"/>
      <w:bookmarkStart w:id="602" w:name="_Toc267251424"/>
      <w:r>
        <w:rPr>
          <w:rFonts w:hint="eastAsia" w:ascii="宋体" w:hAnsi="宋体" w:eastAsia="宋体" w:cs="宋体"/>
          <w:b/>
          <w:bCs/>
          <w:color w:val="auto"/>
          <w:kern w:val="0"/>
          <w:sz w:val="24"/>
          <w:highlight w:val="none"/>
          <w:lang w:val="zh-CN"/>
        </w:rPr>
        <w:t>.4 材料与工程设备的保管与使用</w:t>
      </w:r>
      <w:bookmarkEnd w:id="574"/>
      <w:bookmarkEnd w:id="575"/>
      <w:bookmarkEnd w:id="576"/>
      <w:bookmarkEnd w:id="577"/>
      <w:bookmarkEnd w:id="578"/>
      <w:bookmarkEnd w:id="579"/>
      <w:bookmarkEnd w:id="580"/>
      <w:bookmarkEnd w:id="581"/>
    </w:p>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14:paraId="6747922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2"/>
          <w:highlight w:val="none"/>
        </w:rPr>
        <w:t>8</w:t>
      </w:r>
      <w:bookmarkStart w:id="603" w:name="_Toc292559878"/>
      <w:bookmarkStart w:id="604" w:name="_Toc292559373"/>
      <w:bookmarkStart w:id="605" w:name="_Toc297216187"/>
      <w:bookmarkStart w:id="606" w:name="_Toc296346669"/>
      <w:bookmarkStart w:id="607" w:name="_Toc296347167"/>
      <w:bookmarkStart w:id="608" w:name="_Toc297120468"/>
      <w:bookmarkStart w:id="609" w:name="_Toc312677494"/>
      <w:bookmarkStart w:id="610" w:name="_Toc296503168"/>
      <w:bookmarkStart w:id="611" w:name="_Toc312678020"/>
      <w:bookmarkStart w:id="612" w:name="_Toc296944507"/>
      <w:bookmarkStart w:id="613" w:name="_Toc296890996"/>
      <w:bookmarkStart w:id="614" w:name="_Toc318581173"/>
      <w:bookmarkStart w:id="615" w:name="_Toc297123528"/>
      <w:bookmarkStart w:id="616" w:name="_Toc296891208"/>
      <w:bookmarkStart w:id="617" w:name="_Toc304295557"/>
      <w:bookmarkStart w:id="618" w:name="_Toc303539137"/>
      <w:bookmarkStart w:id="619" w:name="_Toc297048354"/>
      <w:bookmarkStart w:id="620" w:name="_Toc300934980"/>
      <w:r>
        <w:rPr>
          <w:rFonts w:hint="eastAsia" w:ascii="宋体" w:hAnsi="宋体" w:eastAsia="宋体" w:cs="宋体"/>
          <w:color w:val="auto"/>
          <w:sz w:val="24"/>
          <w:szCs w:val="22"/>
          <w:highlight w:val="none"/>
        </w:rPr>
        <w:t>.4.1</w:t>
      </w:r>
      <w:r>
        <w:rPr>
          <w:rFonts w:hint="eastAsia" w:ascii="宋体" w:hAnsi="宋体" w:eastAsia="宋体" w:cs="宋体"/>
          <w:color w:val="auto"/>
          <w:sz w:val="24"/>
          <w:highlight w:val="none"/>
        </w:rPr>
        <w:t>发包人供应的材料设备的保管费用的承担：</w:t>
      </w:r>
      <w:r>
        <w:rPr>
          <w:rFonts w:hint="eastAsia" w:ascii="宋体" w:hAnsi="宋体" w:eastAsia="宋体" w:cs="宋体"/>
          <w:color w:val="auto"/>
          <w:sz w:val="24"/>
          <w:highlight w:val="none"/>
          <w:u w:val="single"/>
        </w:rPr>
        <w:t>由承包人免费承担保管、运输、接收检验，不得以任何理由拒绝，保管费用由承包人承担</w:t>
      </w:r>
      <w:r>
        <w:rPr>
          <w:rFonts w:hint="eastAsia" w:ascii="宋体" w:hAnsi="宋体" w:eastAsia="宋体" w:cs="宋体"/>
          <w:color w:val="auto"/>
          <w:sz w:val="24"/>
          <w:highlight w:val="none"/>
        </w:rPr>
        <w:t>。</w:t>
      </w:r>
    </w:p>
    <w:p w14:paraId="7ECB3A4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8.4.2对承包人采购材料与工程设备的保管与使用</w:t>
      </w:r>
    </w:p>
    <w:p w14:paraId="125E4277">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（1）承包人保证材料是全新的、质量、数量与技术规格等均符合合同规定的产品。</w:t>
      </w:r>
    </w:p>
    <w:p w14:paraId="1534049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承包人负责采购的材料及配件等(包括但不限于品牌、规格、型号、产地、生产厂家等)，应按照本合同约定及设计和有关标准要求采购，并提供产品合格证明原件，对材料及配件质量负责。承包人在材料及配件等到货前24小时通知监理人进行现场验证，若承包人所进材料配件等经验证不合格，承包人必须无条件清货出场，由此造成的损失由承包人自行承担，并根据预算清单价格双倍赔偿。</w:t>
      </w:r>
    </w:p>
    <w:p w14:paraId="52E9A7D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（3）在施工、验收或日后使用过程中，如承包人采购的材料、配件等与国家标准、设计标准要求或与合同约定不符时，发包人有权采取如下一项或几项措施：</w:t>
      </w:r>
    </w:p>
    <w:p w14:paraId="7BCDD465">
      <w:pPr>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①有权要求承包人立即将材料清除出施工场地，重新采购符合要求的产品，承担由此发生的费用和损失，承包人并根据材料在预算清单中对应价格的双倍进行赔偿，由此延误的工期不予顺延；</w:t>
      </w:r>
    </w:p>
    <w:p w14:paraId="1D86C386">
      <w:pPr>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②有权要求承包人立即修复、拆除或重新采购，由承包人承担发生的费用和损失，承包人并根据材料在预算清单中对应价格的双倍进行赔偿，由此延误的工期不予顺延；</w:t>
      </w:r>
    </w:p>
    <w:p w14:paraId="53D8B52E">
      <w:pPr>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③发包人亦有权解除本合同。</w:t>
      </w:r>
    </w:p>
    <w:p w14:paraId="0F79309E">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（4）承包人采购的材料配件等在使用前，承包人应按发包人的要求进行检验或试验，不合格的不得使用，检验或试验费用由承包人承担。</w:t>
      </w:r>
    </w:p>
    <w:p w14:paraId="259C9D27">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（5）承包人需要使用代用材料时，应经发包人书面确认后才能使用，由此增减的合同价款双方按本合同约定以书面形式议定。</w:t>
      </w:r>
    </w:p>
    <w:bookmarkEnd w:id="603"/>
    <w:bookmarkEnd w:id="604"/>
    <w:p w14:paraId="15F8CC13">
      <w:pPr>
        <w:keepNext/>
        <w:keepLines/>
        <w:spacing w:line="360" w:lineRule="auto"/>
        <w:outlineLvl w:val="2"/>
        <w:rPr>
          <w:rFonts w:hint="eastAsia" w:ascii="宋体" w:hAnsi="宋体" w:eastAsia="宋体" w:cs="宋体"/>
          <w:b/>
          <w:bCs/>
          <w:color w:val="auto"/>
          <w:kern w:val="0"/>
          <w:sz w:val="24"/>
          <w:highlight w:val="none"/>
          <w:lang w:val="zh-CN"/>
        </w:rPr>
      </w:pPr>
      <w:bookmarkStart w:id="621" w:name="_Toc125914831"/>
      <w:bookmarkStart w:id="622" w:name="_Toc1948522881"/>
      <w:bookmarkStart w:id="623" w:name="_Toc373478381"/>
      <w:bookmarkStart w:id="624" w:name="_Toc373227734"/>
      <w:bookmarkStart w:id="625" w:name="_Toc389065300"/>
      <w:bookmarkStart w:id="626" w:name="_Toc78449822"/>
      <w:bookmarkStart w:id="627" w:name="_Toc407135236"/>
      <w:bookmarkStart w:id="628" w:name="_Toc162971402"/>
      <w:r>
        <w:rPr>
          <w:rFonts w:hint="eastAsia" w:ascii="宋体" w:hAnsi="宋体" w:eastAsia="宋体" w:cs="宋体"/>
          <w:b/>
          <w:bCs/>
          <w:color w:val="auto"/>
          <w:kern w:val="0"/>
          <w:sz w:val="24"/>
          <w:highlight w:val="none"/>
          <w:lang w:val="zh-CN"/>
        </w:rPr>
        <w:t>8.6 样品</w:t>
      </w:r>
      <w:bookmarkEnd w:id="621"/>
      <w:bookmarkEnd w:id="622"/>
      <w:bookmarkEnd w:id="623"/>
      <w:bookmarkEnd w:id="624"/>
      <w:bookmarkEnd w:id="625"/>
      <w:bookmarkEnd w:id="626"/>
      <w:bookmarkEnd w:id="627"/>
      <w:bookmarkEnd w:id="628"/>
    </w:p>
    <w:p w14:paraId="2EA9009A">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8.6.1 样品的报送与封存</w:t>
      </w:r>
    </w:p>
    <w:p w14:paraId="4AC9BD97">
      <w:pPr>
        <w:autoSpaceDE w:val="0"/>
        <w:autoSpaceDN w:val="0"/>
        <w:adjustRightIn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kern w:val="0"/>
          <w:sz w:val="24"/>
          <w:highlight w:val="none"/>
        </w:rPr>
        <w:t>需要承包人报送样品的材料或工程设备，样品的种类、名称、规格、数量要求：</w:t>
      </w:r>
      <w:r>
        <w:rPr>
          <w:rFonts w:hint="eastAsia" w:ascii="宋体" w:hAnsi="宋体" w:eastAsia="宋体" w:cs="宋体"/>
          <w:color w:val="auto"/>
          <w:sz w:val="24"/>
          <w:highlight w:val="none"/>
          <w:u w:val="single"/>
        </w:rPr>
        <w:t>主要材料涉及品种、款式、颜色等方面内容的，承包人应提交准备合格的材料样品送发包人选定</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选定的样品应封存于现场，承包人应在现场为保存样品提供适当和固定的场所并保持适当和良好的储存环境条件，特别是主要装饰、安装工程材料样品至少封存到竣工结算审定完成后（根据工程设计实施情况，包括但不限于地面、天面、内外墙面装饰材料，防水材料，门窗，电线电缆、桥架，给排水管等材料）。</w:t>
      </w:r>
    </w:p>
    <w:p w14:paraId="2628ED91">
      <w:pPr>
        <w:keepNext/>
        <w:keepLines/>
        <w:spacing w:line="360" w:lineRule="auto"/>
        <w:outlineLvl w:val="2"/>
        <w:rPr>
          <w:rFonts w:hint="eastAsia" w:ascii="宋体" w:hAnsi="宋体" w:eastAsia="宋体" w:cs="宋体"/>
          <w:b/>
          <w:bCs/>
          <w:color w:val="auto"/>
          <w:kern w:val="0"/>
          <w:sz w:val="24"/>
          <w:highlight w:val="none"/>
          <w:lang w:val="zh-CN"/>
        </w:rPr>
      </w:pPr>
      <w:bookmarkStart w:id="629" w:name="_Toc78449823"/>
      <w:bookmarkStart w:id="630" w:name="_Toc1049576644"/>
      <w:bookmarkStart w:id="631" w:name="_Toc373227735"/>
      <w:bookmarkStart w:id="632" w:name="_Toc373478382"/>
      <w:bookmarkStart w:id="633" w:name="_Toc407135237"/>
      <w:bookmarkStart w:id="634" w:name="_Toc997640704"/>
      <w:bookmarkStart w:id="635" w:name="_Toc389065301"/>
      <w:bookmarkStart w:id="636" w:name="_Toc162971403"/>
      <w:r>
        <w:rPr>
          <w:rFonts w:hint="eastAsia" w:ascii="宋体" w:hAnsi="宋体" w:eastAsia="宋体" w:cs="宋体"/>
          <w:b/>
          <w:bCs/>
          <w:color w:val="auto"/>
          <w:kern w:val="0"/>
          <w:sz w:val="24"/>
          <w:highlight w:val="none"/>
          <w:lang w:val="zh-CN"/>
        </w:rPr>
        <w:t>8.8 施工设备和临时设施</w:t>
      </w:r>
      <w:bookmarkEnd w:id="629"/>
      <w:bookmarkEnd w:id="630"/>
      <w:bookmarkEnd w:id="631"/>
      <w:bookmarkEnd w:id="632"/>
      <w:bookmarkEnd w:id="633"/>
      <w:bookmarkEnd w:id="634"/>
      <w:bookmarkEnd w:id="635"/>
      <w:bookmarkEnd w:id="636"/>
    </w:p>
    <w:p w14:paraId="6EFB9A1B">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8.8.1 承包人提供的施工设备和临时设施</w:t>
      </w:r>
    </w:p>
    <w:p w14:paraId="4DC06AC2">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4。</w:t>
      </w:r>
    </w:p>
    <w:p w14:paraId="564D590F">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关于修建临时设施费用承担的约定：承包人应自行承担修建临时设施的费用。</w:t>
      </w:r>
    </w:p>
    <w:p w14:paraId="52616483">
      <w:pPr>
        <w:autoSpaceDE w:val="0"/>
        <w:autoSpaceDN w:val="0"/>
        <w:adjustRightIn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①承担修建承包人临时设施的费用的范围：建筑物沿边向外500米以内道路、1000米以内的水、电、管线等临时设施费用（已包含在承包人投标报价中）</w:t>
      </w:r>
      <w:r>
        <w:rPr>
          <w:rFonts w:hint="eastAsia" w:ascii="宋体" w:hAnsi="宋体" w:eastAsia="宋体" w:cs="宋体"/>
          <w:bCs/>
          <w:color w:val="auto"/>
          <w:sz w:val="24"/>
          <w:highlight w:val="none"/>
        </w:rPr>
        <w:t>。</w:t>
      </w:r>
    </w:p>
    <w:p w14:paraId="5BE91183">
      <w:pPr>
        <w:autoSpaceDE w:val="0"/>
        <w:autoSpaceDN w:val="0"/>
        <w:adjustRightIn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②承包人的临时用地（含项目部驻地等）租用费（含拆迁补偿）、临时用地的环保、恢复、临时用地的青苗补偿及地面附着物拆除等费用均由承包人承担</w:t>
      </w:r>
      <w:r>
        <w:rPr>
          <w:rFonts w:hint="eastAsia" w:ascii="宋体" w:hAnsi="宋体" w:eastAsia="宋体" w:cs="宋体"/>
          <w:bCs/>
          <w:color w:val="auto"/>
          <w:sz w:val="24"/>
          <w:highlight w:val="none"/>
        </w:rPr>
        <w:t>。</w:t>
      </w:r>
    </w:p>
    <w:p w14:paraId="59DBAF0B">
      <w:pPr>
        <w:autoSpaceDE w:val="0"/>
        <w:autoSpaceDN w:val="0"/>
        <w:adjustRightInd w:val="0"/>
        <w:spacing w:line="360" w:lineRule="auto"/>
        <w:ind w:firstLine="480" w:firstLineChars="200"/>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③承包人负责合同实施期间其施工场地内临时交通道路（含场内外连接公共交通道路）和交通设施的修建、维修、养护和交通管理工作，并承担一切费用。</w:t>
      </w:r>
    </w:p>
    <w:p w14:paraId="382DEB08">
      <w:pPr>
        <w:autoSpaceDE w:val="0"/>
        <w:autoSpaceDN w:val="0"/>
        <w:adjustRightInd w:val="0"/>
        <w:spacing w:line="360" w:lineRule="auto"/>
        <w:ind w:firstLine="480" w:firstLineChars="200"/>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④承包人修建的临时道路和交通设施，应免费提供给发包人、监理工程师和其他施工人使用，如共同使用的路基损坏严重，发包人或监理工程师将负责通知承包人修复，费用由承包人承担。</w:t>
      </w:r>
    </w:p>
    <w:p w14:paraId="6F8D18DA">
      <w:pPr>
        <w:autoSpaceDE w:val="0"/>
        <w:autoSpaceDN w:val="0"/>
        <w:adjustRightInd w:val="0"/>
        <w:spacing w:line="360" w:lineRule="auto"/>
        <w:ind w:firstLine="480" w:firstLineChars="200"/>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⑤在合同实施期间因施工需占用医院场地，导致医院路面、路缘石、路灯、井盖、苗圃等的损坏，由承包人负责修复及更换，并承担一切费用。</w:t>
      </w:r>
    </w:p>
    <w:p w14:paraId="288F1219">
      <w:pPr>
        <w:spacing w:line="360" w:lineRule="auto"/>
        <w:jc w:val="left"/>
        <w:rPr>
          <w:rFonts w:hint="eastAsia" w:ascii="宋体" w:hAnsi="宋体" w:eastAsia="宋体" w:cs="宋体"/>
          <w:bCs/>
          <w:color w:val="auto"/>
          <w:sz w:val="24"/>
          <w:highlight w:val="none"/>
          <w:u w:val="single"/>
        </w:rPr>
      </w:pPr>
    </w:p>
    <w:p w14:paraId="66F1A2D4">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8.8.2 发包人提供的施工设备和临时设施</w:t>
      </w:r>
    </w:p>
    <w:p w14:paraId="62B0B119">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发包人提供的施工设备和临时设施：</w:t>
      </w:r>
      <w:r>
        <w:rPr>
          <w:rFonts w:hint="eastAsia" w:ascii="宋体" w:hAnsi="宋体" w:eastAsia="宋体" w:cs="宋体"/>
          <w:color w:val="auto"/>
          <w:sz w:val="24"/>
          <w:highlight w:val="none"/>
          <w:u w:val="single"/>
        </w:rPr>
        <w:t>无</w:t>
      </w:r>
      <w:r>
        <w:rPr>
          <w:rFonts w:hint="eastAsia" w:ascii="宋体" w:hAnsi="宋体" w:eastAsia="宋体" w:cs="宋体"/>
          <w:color w:val="auto"/>
          <w:sz w:val="24"/>
          <w:highlight w:val="none"/>
        </w:rPr>
        <w:t>。</w:t>
      </w:r>
    </w:p>
    <w:p w14:paraId="3C5D8232">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发包人提供的施工设备和临时设施的运行、维护、拆除、清运费用的承担人：</w:t>
      </w:r>
      <w:r>
        <w:rPr>
          <w:rFonts w:hint="eastAsia" w:ascii="宋体" w:hAnsi="宋体" w:eastAsia="宋体" w:cs="宋体"/>
          <w:color w:val="auto"/>
          <w:sz w:val="24"/>
          <w:highlight w:val="none"/>
          <w:u w:val="single"/>
        </w:rPr>
        <w:t>承包人</w:t>
      </w:r>
      <w:r>
        <w:rPr>
          <w:rFonts w:hint="eastAsia" w:ascii="宋体" w:hAnsi="宋体" w:eastAsia="宋体" w:cs="宋体"/>
          <w:color w:val="auto"/>
          <w:sz w:val="24"/>
          <w:highlight w:val="none"/>
        </w:rPr>
        <w:t>。</w:t>
      </w:r>
    </w:p>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14:paraId="45DB65EE">
      <w:pPr>
        <w:keepNext/>
        <w:keepLines/>
        <w:spacing w:before="60" w:after="60" w:line="360" w:lineRule="auto"/>
        <w:outlineLvl w:val="1"/>
        <w:rPr>
          <w:rFonts w:hint="eastAsia" w:ascii="宋体" w:hAnsi="宋体" w:eastAsia="宋体" w:cs="宋体"/>
          <w:b/>
          <w:bCs/>
          <w:color w:val="auto"/>
          <w:kern w:val="0"/>
          <w:sz w:val="24"/>
          <w:highlight w:val="none"/>
          <w:lang w:val="zh-CN"/>
        </w:rPr>
      </w:pPr>
      <w:bookmarkStart w:id="637" w:name="_Toc162971404"/>
      <w:bookmarkStart w:id="638" w:name="_Toc407135238"/>
      <w:bookmarkStart w:id="639" w:name="_Toc373478383"/>
      <w:bookmarkStart w:id="640" w:name="_Toc2039161841"/>
      <w:bookmarkStart w:id="641" w:name="_Toc78449824"/>
      <w:bookmarkStart w:id="642" w:name="_Toc373227736"/>
      <w:bookmarkStart w:id="643" w:name="_Toc2027787496"/>
      <w:bookmarkStart w:id="644" w:name="_Toc351203641"/>
      <w:bookmarkStart w:id="645" w:name="_Toc389065302"/>
      <w:r>
        <w:rPr>
          <w:rFonts w:hint="eastAsia" w:ascii="宋体" w:hAnsi="宋体" w:eastAsia="宋体" w:cs="宋体"/>
          <w:b/>
          <w:bCs/>
          <w:color w:val="auto"/>
          <w:kern w:val="0"/>
          <w:sz w:val="24"/>
          <w:highlight w:val="none"/>
          <w:lang w:val="zh-CN"/>
        </w:rPr>
        <w:t>9</w:t>
      </w:r>
      <w:bookmarkEnd w:id="600"/>
      <w:bookmarkEnd w:id="601"/>
      <w:bookmarkEnd w:id="602"/>
      <w:bookmarkStart w:id="646" w:name="_Toc304295559"/>
      <w:bookmarkStart w:id="647" w:name="_Toc300934982"/>
      <w:bookmarkStart w:id="648" w:name="_Toc297123533"/>
      <w:bookmarkStart w:id="649" w:name="_Toc297216192"/>
      <w:bookmarkStart w:id="650" w:name="_Toc303539139"/>
      <w:bookmarkStart w:id="651" w:name="_Toc312677495"/>
      <w:bookmarkStart w:id="652" w:name="_Toc312678021"/>
      <w:bookmarkStart w:id="653" w:name="_Toc297048359"/>
      <w:bookmarkStart w:id="654" w:name="_Toc292559378"/>
      <w:bookmarkStart w:id="655" w:name="_Toc296891213"/>
      <w:bookmarkStart w:id="656" w:name="_Toc296347172"/>
      <w:bookmarkStart w:id="657" w:name="_Toc296944512"/>
      <w:bookmarkStart w:id="658" w:name="_Toc267251427"/>
      <w:bookmarkStart w:id="659" w:name="_Toc296346674"/>
      <w:bookmarkStart w:id="660" w:name="_Toc292559883"/>
      <w:bookmarkStart w:id="661" w:name="_Toc296891001"/>
      <w:bookmarkStart w:id="662" w:name="_Toc296503173"/>
      <w:bookmarkStart w:id="663" w:name="_Toc297120473"/>
      <w:bookmarkStart w:id="664" w:name="_Toc267251428"/>
      <w:r>
        <w:rPr>
          <w:rFonts w:hint="eastAsia" w:ascii="宋体" w:hAnsi="宋体" w:eastAsia="宋体" w:cs="宋体"/>
          <w:b/>
          <w:bCs/>
          <w:color w:val="auto"/>
          <w:kern w:val="0"/>
          <w:sz w:val="24"/>
          <w:highlight w:val="none"/>
          <w:lang w:val="zh-CN"/>
        </w:rPr>
        <w:t>. 试验与检验</w:t>
      </w:r>
      <w:bookmarkEnd w:id="637"/>
      <w:bookmarkEnd w:id="638"/>
      <w:bookmarkEnd w:id="639"/>
      <w:bookmarkEnd w:id="640"/>
      <w:bookmarkEnd w:id="641"/>
      <w:bookmarkEnd w:id="642"/>
      <w:bookmarkEnd w:id="643"/>
      <w:bookmarkEnd w:id="644"/>
      <w:bookmarkEnd w:id="645"/>
    </w:p>
    <w:bookmarkEnd w:id="646"/>
    <w:bookmarkEnd w:id="647"/>
    <w:bookmarkEnd w:id="648"/>
    <w:bookmarkEnd w:id="649"/>
    <w:bookmarkEnd w:id="650"/>
    <w:bookmarkEnd w:id="651"/>
    <w:bookmarkEnd w:id="652"/>
    <w:p w14:paraId="2C3855A4">
      <w:pPr>
        <w:keepNext/>
        <w:keepLines/>
        <w:spacing w:line="360" w:lineRule="auto"/>
        <w:outlineLvl w:val="2"/>
        <w:rPr>
          <w:rFonts w:hint="eastAsia" w:ascii="宋体" w:hAnsi="宋体" w:eastAsia="宋体" w:cs="宋体"/>
          <w:b/>
          <w:bCs/>
          <w:color w:val="auto"/>
          <w:kern w:val="0"/>
          <w:sz w:val="24"/>
          <w:highlight w:val="none"/>
          <w:lang w:val="zh-CN"/>
        </w:rPr>
      </w:pPr>
      <w:bookmarkStart w:id="665" w:name="_Toc162971405"/>
      <w:bookmarkStart w:id="666" w:name="_Toc373227737"/>
      <w:bookmarkStart w:id="667" w:name="_Toc78449825"/>
      <w:bookmarkStart w:id="668" w:name="_Toc407135239"/>
      <w:bookmarkStart w:id="669" w:name="_Toc530697003"/>
      <w:bookmarkStart w:id="670" w:name="_Toc389065303"/>
      <w:bookmarkStart w:id="671" w:name="_Toc1307315193"/>
      <w:bookmarkStart w:id="672" w:name="_Toc373478384"/>
      <w:r>
        <w:rPr>
          <w:rFonts w:hint="eastAsia" w:ascii="宋体" w:hAnsi="宋体" w:eastAsia="宋体" w:cs="宋体"/>
          <w:b/>
          <w:bCs/>
          <w:color w:val="auto"/>
          <w:kern w:val="0"/>
          <w:sz w:val="24"/>
          <w:highlight w:val="none"/>
          <w:lang w:val="zh-CN"/>
        </w:rPr>
        <w:t>9</w:t>
      </w:r>
      <w:bookmarkStart w:id="673" w:name="_Toc297123534"/>
      <w:bookmarkStart w:id="674" w:name="_Toc300934983"/>
      <w:bookmarkStart w:id="675" w:name="_Toc303539140"/>
      <w:bookmarkStart w:id="676" w:name="_Toc312678022"/>
      <w:bookmarkStart w:id="677" w:name="_Toc297216193"/>
      <w:bookmarkStart w:id="678" w:name="_Toc304295560"/>
      <w:bookmarkStart w:id="679" w:name="_Toc312677496"/>
      <w:r>
        <w:rPr>
          <w:rFonts w:hint="eastAsia" w:ascii="宋体" w:hAnsi="宋体" w:eastAsia="宋体" w:cs="宋体"/>
          <w:b/>
          <w:bCs/>
          <w:color w:val="auto"/>
          <w:kern w:val="0"/>
          <w:sz w:val="24"/>
          <w:highlight w:val="none"/>
          <w:lang w:val="zh-CN"/>
        </w:rPr>
        <w:t>.1 试验设备与试验人员</w:t>
      </w:r>
      <w:bookmarkEnd w:id="665"/>
      <w:bookmarkEnd w:id="666"/>
      <w:bookmarkEnd w:id="667"/>
      <w:bookmarkEnd w:id="668"/>
      <w:bookmarkEnd w:id="669"/>
      <w:bookmarkEnd w:id="670"/>
      <w:bookmarkEnd w:id="671"/>
      <w:bookmarkEnd w:id="672"/>
    </w:p>
    <w:bookmarkEnd w:id="673"/>
    <w:bookmarkEnd w:id="674"/>
    <w:bookmarkEnd w:id="675"/>
    <w:bookmarkEnd w:id="676"/>
    <w:bookmarkEnd w:id="677"/>
    <w:bookmarkEnd w:id="678"/>
    <w:bookmarkEnd w:id="679"/>
    <w:p w14:paraId="6D23B37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bookmarkStart w:id="680" w:name="_Toc304295561"/>
      <w:bookmarkStart w:id="681" w:name="_Toc303539141"/>
      <w:bookmarkStart w:id="682" w:name="_Toc312678023"/>
      <w:bookmarkStart w:id="683" w:name="_Toc297216194"/>
      <w:bookmarkStart w:id="684" w:name="_Toc312677497"/>
      <w:bookmarkStart w:id="685" w:name="_Toc300934984"/>
      <w:bookmarkStart w:id="686" w:name="_Toc297123535"/>
      <w:bookmarkStart w:id="687" w:name="_Toc318581174"/>
      <w:r>
        <w:rPr>
          <w:rFonts w:hint="eastAsia" w:ascii="宋体" w:hAnsi="宋体" w:eastAsia="宋体" w:cs="宋体"/>
          <w:color w:val="auto"/>
          <w:sz w:val="24"/>
          <w:highlight w:val="none"/>
        </w:rPr>
        <w:t>.1.2 试验设备</w:t>
      </w:r>
    </w:p>
    <w:bookmarkEnd w:id="680"/>
    <w:bookmarkEnd w:id="681"/>
    <w:bookmarkEnd w:id="682"/>
    <w:bookmarkEnd w:id="683"/>
    <w:bookmarkEnd w:id="684"/>
    <w:bookmarkEnd w:id="685"/>
    <w:bookmarkEnd w:id="686"/>
    <w:p w14:paraId="4A0A3D7D">
      <w:pPr>
        <w:spacing w:line="360" w:lineRule="auto"/>
        <w:ind w:firstLine="480" w:firstLineChars="200"/>
        <w:jc w:val="left"/>
        <w:rPr>
          <w:rFonts w:hint="eastAsia" w:ascii="宋体" w:hAnsi="宋体" w:eastAsia="宋体" w:cs="宋体"/>
          <w:color w:val="auto"/>
          <w:sz w:val="24"/>
          <w:highlight w:val="none"/>
          <w:u w:val="single"/>
        </w:rPr>
      </w:pPr>
      <w:bookmarkStart w:id="688" w:name="_Toc300934985"/>
      <w:bookmarkStart w:id="689" w:name="_Toc312678024"/>
      <w:bookmarkStart w:id="690" w:name="_Toc312677498"/>
      <w:bookmarkStart w:id="691" w:name="_Toc304295562"/>
      <w:bookmarkStart w:id="692" w:name="_Toc303539142"/>
      <w:bookmarkStart w:id="693" w:name="_Toc297123536"/>
      <w:bookmarkStart w:id="694" w:name="_Toc297216195"/>
      <w:r>
        <w:rPr>
          <w:rFonts w:hint="eastAsia" w:ascii="宋体" w:hAnsi="宋体" w:eastAsia="宋体" w:cs="宋体"/>
          <w:color w:val="auto"/>
          <w:sz w:val="24"/>
          <w:highlight w:val="none"/>
        </w:rPr>
        <w:t>施工现场需要配置的试验场所：</w:t>
      </w:r>
      <w:r>
        <w:rPr>
          <w:rFonts w:hint="eastAsia" w:ascii="宋体" w:hAnsi="宋体" w:eastAsia="宋体" w:cs="宋体"/>
          <w:color w:val="auto"/>
          <w:sz w:val="24"/>
          <w:highlight w:val="none"/>
          <w:u w:val="single"/>
        </w:rPr>
        <w:t>无</w:t>
      </w:r>
      <w:r>
        <w:rPr>
          <w:rFonts w:hint="eastAsia" w:ascii="宋体" w:hAnsi="宋体" w:eastAsia="宋体" w:cs="宋体"/>
          <w:color w:val="auto"/>
          <w:sz w:val="24"/>
          <w:highlight w:val="none"/>
        </w:rPr>
        <w:t>。</w:t>
      </w:r>
    </w:p>
    <w:p w14:paraId="74EE9A42">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施工现场需要配备的试验设备：</w:t>
      </w:r>
      <w:r>
        <w:rPr>
          <w:rFonts w:hint="eastAsia" w:ascii="宋体" w:hAnsi="宋体" w:eastAsia="宋体" w:cs="宋体"/>
          <w:color w:val="auto"/>
          <w:sz w:val="24"/>
          <w:highlight w:val="none"/>
          <w:u w:val="single"/>
        </w:rPr>
        <w:t>无</w:t>
      </w:r>
      <w:r>
        <w:rPr>
          <w:rFonts w:hint="eastAsia" w:ascii="宋体" w:hAnsi="宋体" w:eastAsia="宋体" w:cs="宋体"/>
          <w:color w:val="auto"/>
          <w:sz w:val="24"/>
          <w:highlight w:val="none"/>
        </w:rPr>
        <w:t>。</w:t>
      </w:r>
    </w:p>
    <w:p w14:paraId="6143422A">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施工现场需要具备的其他试验条件：</w:t>
      </w:r>
      <w:r>
        <w:rPr>
          <w:rFonts w:hint="eastAsia" w:ascii="宋体" w:hAnsi="宋体" w:eastAsia="宋体" w:cs="宋体"/>
          <w:color w:val="auto"/>
          <w:sz w:val="24"/>
          <w:highlight w:val="none"/>
          <w:u w:val="single"/>
        </w:rPr>
        <w:t>无</w:t>
      </w:r>
      <w:r>
        <w:rPr>
          <w:rFonts w:hint="eastAsia" w:ascii="宋体" w:hAnsi="宋体" w:eastAsia="宋体" w:cs="宋体"/>
          <w:color w:val="auto"/>
          <w:sz w:val="24"/>
          <w:highlight w:val="none"/>
        </w:rPr>
        <w:t>。</w:t>
      </w:r>
    </w:p>
    <w:p w14:paraId="19DF9A43">
      <w:pPr>
        <w:keepNext/>
        <w:keepLines/>
        <w:spacing w:line="360" w:lineRule="auto"/>
        <w:outlineLvl w:val="2"/>
        <w:rPr>
          <w:rFonts w:hint="eastAsia" w:ascii="宋体" w:hAnsi="宋体" w:eastAsia="宋体" w:cs="宋体"/>
          <w:b/>
          <w:bCs/>
          <w:color w:val="auto"/>
          <w:kern w:val="0"/>
          <w:sz w:val="24"/>
          <w:highlight w:val="none"/>
          <w:lang w:val="zh-CN"/>
        </w:rPr>
      </w:pPr>
      <w:bookmarkStart w:id="695" w:name="_Toc162971406"/>
      <w:bookmarkStart w:id="696" w:name="_Toc389065304"/>
      <w:bookmarkStart w:id="697" w:name="_Toc492347879"/>
      <w:bookmarkStart w:id="698" w:name="_Toc373478385"/>
      <w:bookmarkStart w:id="699" w:name="_Toc407135240"/>
      <w:bookmarkStart w:id="700" w:name="_Toc373227738"/>
      <w:bookmarkStart w:id="701" w:name="_Toc78449826"/>
      <w:bookmarkStart w:id="702" w:name="_Toc2012255079"/>
      <w:r>
        <w:rPr>
          <w:rFonts w:hint="eastAsia" w:ascii="宋体" w:hAnsi="宋体" w:eastAsia="宋体" w:cs="宋体"/>
          <w:b/>
          <w:bCs/>
          <w:color w:val="auto"/>
          <w:kern w:val="0"/>
          <w:sz w:val="24"/>
          <w:highlight w:val="none"/>
          <w:lang w:val="zh-CN"/>
        </w:rPr>
        <w:t>9.4 现场工艺试验</w:t>
      </w:r>
      <w:bookmarkEnd w:id="695"/>
      <w:bookmarkEnd w:id="696"/>
      <w:bookmarkEnd w:id="697"/>
      <w:bookmarkEnd w:id="698"/>
      <w:bookmarkEnd w:id="699"/>
      <w:bookmarkEnd w:id="700"/>
      <w:bookmarkEnd w:id="701"/>
      <w:bookmarkEnd w:id="702"/>
    </w:p>
    <w:p w14:paraId="576F337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现场工艺试验的有关约定：</w:t>
      </w:r>
      <w:r>
        <w:rPr>
          <w:rFonts w:hint="eastAsia" w:ascii="宋体" w:hAnsi="宋体" w:eastAsia="宋体" w:cs="宋体"/>
          <w:color w:val="auto"/>
          <w:sz w:val="24"/>
          <w:highlight w:val="none"/>
          <w:u w:val="single"/>
        </w:rPr>
        <w:t>无</w:t>
      </w:r>
      <w:r>
        <w:rPr>
          <w:rFonts w:hint="eastAsia" w:ascii="宋体" w:hAnsi="宋体" w:eastAsia="宋体" w:cs="宋体"/>
          <w:color w:val="auto"/>
          <w:sz w:val="24"/>
          <w:highlight w:val="none"/>
        </w:rPr>
        <w:t>。</w:t>
      </w:r>
    </w:p>
    <w:p w14:paraId="391900E6">
      <w:pPr>
        <w:keepNext/>
        <w:keepLines/>
        <w:spacing w:line="360" w:lineRule="auto"/>
        <w:outlineLvl w:val="2"/>
        <w:rPr>
          <w:rFonts w:hint="eastAsia" w:ascii="宋体" w:hAnsi="宋体" w:eastAsia="宋体" w:cs="宋体"/>
          <w:b/>
          <w:bCs/>
          <w:color w:val="auto"/>
          <w:kern w:val="0"/>
          <w:sz w:val="24"/>
          <w:highlight w:val="none"/>
          <w:lang w:val="zh-CN"/>
        </w:rPr>
      </w:pPr>
      <w:bookmarkStart w:id="703" w:name="_Toc1539824686"/>
      <w:bookmarkStart w:id="704" w:name="_Toc162971407"/>
      <w:bookmarkStart w:id="705" w:name="_Toc393419678"/>
      <w:bookmarkStart w:id="706" w:name="_Toc407135241"/>
      <w:bookmarkStart w:id="707" w:name="_Toc78449827"/>
      <w:r>
        <w:rPr>
          <w:rFonts w:hint="eastAsia" w:ascii="宋体" w:hAnsi="宋体" w:eastAsia="宋体" w:cs="宋体"/>
          <w:b/>
          <w:bCs/>
          <w:color w:val="auto"/>
          <w:kern w:val="0"/>
          <w:sz w:val="24"/>
          <w:highlight w:val="none"/>
          <w:lang w:val="zh-CN"/>
        </w:rPr>
        <w:t>9.5 检验费用</w:t>
      </w:r>
      <w:bookmarkEnd w:id="703"/>
      <w:bookmarkEnd w:id="704"/>
      <w:bookmarkEnd w:id="705"/>
      <w:bookmarkEnd w:id="706"/>
      <w:bookmarkEnd w:id="707"/>
    </w:p>
    <w:p w14:paraId="04854C3A">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bookmarkEnd w:id="687"/>
      <w:bookmarkEnd w:id="688"/>
      <w:bookmarkEnd w:id="689"/>
      <w:bookmarkEnd w:id="690"/>
      <w:bookmarkEnd w:id="691"/>
      <w:bookmarkEnd w:id="692"/>
      <w:bookmarkEnd w:id="693"/>
      <w:bookmarkEnd w:id="694"/>
      <w:bookmarkStart w:id="708" w:name="_Toc373227739"/>
      <w:bookmarkStart w:id="709" w:name="_Toc389065305"/>
      <w:bookmarkStart w:id="710" w:name="_Toc351203642"/>
      <w:bookmarkStart w:id="711" w:name="_Toc1278407274"/>
      <w:bookmarkStart w:id="712" w:name="_Toc603662032"/>
      <w:bookmarkStart w:id="713" w:name="_Toc373478386"/>
      <w:bookmarkStart w:id="714" w:name="_Toc78449828"/>
      <w:bookmarkStart w:id="715" w:name="_Toc407135242"/>
    </w:p>
    <w:p w14:paraId="0D9E3A3B">
      <w:pPr>
        <w:spacing w:line="360" w:lineRule="auto"/>
        <w:ind w:firstLine="470" w:firstLineChars="196"/>
        <w:rPr>
          <w:rFonts w:hint="eastAsia" w:ascii="宋体" w:hAnsi="宋体" w:eastAsia="宋体" w:cs="宋体"/>
          <w:color w:val="auto"/>
          <w:sz w:val="24"/>
          <w:highlight w:val="none"/>
        </w:rPr>
      </w:pPr>
    </w:p>
    <w:p w14:paraId="41509D5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bookmarkEnd w:id="653"/>
      <w:bookmarkEnd w:id="654"/>
      <w:bookmarkEnd w:id="655"/>
      <w:bookmarkEnd w:id="656"/>
      <w:bookmarkEnd w:id="657"/>
      <w:bookmarkEnd w:id="658"/>
      <w:bookmarkEnd w:id="659"/>
      <w:bookmarkEnd w:id="660"/>
      <w:bookmarkEnd w:id="661"/>
      <w:bookmarkEnd w:id="662"/>
      <w:bookmarkEnd w:id="663"/>
      <w:bookmarkEnd w:id="664"/>
      <w:bookmarkStart w:id="716" w:name="_Toc296891021"/>
      <w:bookmarkStart w:id="717" w:name="_Toc297123540"/>
      <w:bookmarkStart w:id="718" w:name="_Toc296891233"/>
      <w:bookmarkStart w:id="719" w:name="_Toc296503193"/>
      <w:bookmarkStart w:id="720" w:name="_Toc297216199"/>
      <w:bookmarkStart w:id="721" w:name="_Toc300934989"/>
      <w:bookmarkStart w:id="722" w:name="_Toc296346694"/>
      <w:bookmarkStart w:id="723" w:name="_Toc297048379"/>
      <w:bookmarkStart w:id="724" w:name="_Toc292559398"/>
      <w:bookmarkStart w:id="725" w:name="_Toc296347192"/>
      <w:bookmarkStart w:id="726" w:name="_Toc303539146"/>
      <w:bookmarkStart w:id="727" w:name="_Toc297120493"/>
      <w:bookmarkStart w:id="728" w:name="_Toc296944532"/>
      <w:bookmarkStart w:id="729" w:name="_Toc304295566"/>
      <w:bookmarkStart w:id="730" w:name="_Toc292559903"/>
      <w:bookmarkStart w:id="731" w:name="_Toc312677499"/>
      <w:bookmarkStart w:id="732" w:name="_Toc312678025"/>
      <w:bookmarkStart w:id="733" w:name="_Toc267251435"/>
      <w:bookmarkStart w:id="734" w:name="_Toc267251437"/>
      <w:bookmarkStart w:id="735" w:name="_Toc267251440"/>
      <w:bookmarkStart w:id="736" w:name="_Toc267251439"/>
      <w:bookmarkStart w:id="737" w:name="_Toc267251441"/>
      <w:bookmarkStart w:id="738" w:name="_Toc267251433"/>
      <w:bookmarkStart w:id="739" w:name="_Toc267251442"/>
      <w:r>
        <w:rPr>
          <w:rFonts w:hint="eastAsia" w:ascii="宋体" w:hAnsi="宋体" w:eastAsia="宋体" w:cs="宋体"/>
          <w:color w:val="auto"/>
          <w:sz w:val="24"/>
          <w:highlight w:val="none"/>
        </w:rPr>
        <w:t>0. 变更</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bookmarkEnd w:id="731"/>
    <w:bookmarkEnd w:id="732"/>
    <w:p w14:paraId="647EA4F5">
      <w:pPr>
        <w:keepNext/>
        <w:keepLines/>
        <w:spacing w:line="360" w:lineRule="auto"/>
        <w:outlineLvl w:val="2"/>
        <w:rPr>
          <w:rFonts w:hint="eastAsia" w:ascii="宋体" w:hAnsi="宋体" w:eastAsia="宋体" w:cs="宋体"/>
          <w:b/>
          <w:bCs/>
          <w:color w:val="auto"/>
          <w:kern w:val="0"/>
          <w:sz w:val="24"/>
          <w:highlight w:val="none"/>
          <w:lang w:val="zh-CN"/>
        </w:rPr>
      </w:pPr>
      <w:bookmarkStart w:id="740" w:name="_Toc389065306"/>
      <w:bookmarkStart w:id="741" w:name="_Toc373227740"/>
      <w:bookmarkStart w:id="742" w:name="_Toc411143415"/>
      <w:bookmarkStart w:id="743" w:name="_Toc162971408"/>
      <w:bookmarkStart w:id="744" w:name="_Toc1890371558"/>
      <w:bookmarkStart w:id="745" w:name="_Toc407135243"/>
      <w:bookmarkStart w:id="746" w:name="_Toc78449829"/>
      <w:bookmarkStart w:id="747" w:name="_Toc373478387"/>
      <w:r>
        <w:rPr>
          <w:rFonts w:hint="eastAsia" w:ascii="宋体" w:hAnsi="宋体" w:eastAsia="宋体" w:cs="宋体"/>
          <w:b/>
          <w:bCs/>
          <w:color w:val="auto"/>
          <w:kern w:val="0"/>
          <w:sz w:val="24"/>
          <w:highlight w:val="none"/>
          <w:lang w:val="zh-CN"/>
        </w:rPr>
        <w:t>1</w:t>
      </w:r>
      <w:bookmarkStart w:id="748" w:name="_Toc292559399"/>
      <w:bookmarkStart w:id="749" w:name="_Toc304295567"/>
      <w:bookmarkStart w:id="750" w:name="_Toc312677500"/>
      <w:bookmarkStart w:id="751" w:name="_Toc297120494"/>
      <w:bookmarkStart w:id="752" w:name="_Toc296891234"/>
      <w:bookmarkStart w:id="753" w:name="_Toc297123541"/>
      <w:bookmarkStart w:id="754" w:name="_Toc296347193"/>
      <w:bookmarkStart w:id="755" w:name="_Toc303539147"/>
      <w:bookmarkStart w:id="756" w:name="_Toc296503194"/>
      <w:bookmarkStart w:id="757" w:name="_Toc300934990"/>
      <w:bookmarkStart w:id="758" w:name="_Toc312678026"/>
      <w:bookmarkStart w:id="759" w:name="_Toc296891022"/>
      <w:bookmarkStart w:id="760" w:name="_Toc292559904"/>
      <w:bookmarkStart w:id="761" w:name="_Toc297216200"/>
      <w:bookmarkStart w:id="762" w:name="_Toc297048380"/>
      <w:bookmarkStart w:id="763" w:name="_Toc296944533"/>
      <w:bookmarkStart w:id="764" w:name="_Toc296346695"/>
      <w:r>
        <w:rPr>
          <w:rFonts w:hint="eastAsia" w:ascii="宋体" w:hAnsi="宋体" w:eastAsia="宋体" w:cs="宋体"/>
          <w:b/>
          <w:bCs/>
          <w:color w:val="auto"/>
          <w:kern w:val="0"/>
          <w:sz w:val="24"/>
          <w:highlight w:val="none"/>
          <w:lang w:val="zh-CN"/>
        </w:rPr>
        <w:t>0.1 变更的范围</w:t>
      </w:r>
      <w:bookmarkEnd w:id="740"/>
      <w:bookmarkEnd w:id="741"/>
      <w:bookmarkEnd w:id="742"/>
      <w:bookmarkEnd w:id="743"/>
      <w:bookmarkEnd w:id="744"/>
      <w:bookmarkEnd w:id="745"/>
      <w:bookmarkEnd w:id="746"/>
      <w:bookmarkEnd w:id="747"/>
    </w:p>
    <w:p w14:paraId="1FA96FEE">
      <w:pPr>
        <w:spacing w:line="360" w:lineRule="auto"/>
        <w:ind w:firstLine="426"/>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关于变更的范围的约定：</w:t>
      </w:r>
      <w:r>
        <w:rPr>
          <w:rFonts w:hint="eastAsia" w:ascii="宋体" w:hAnsi="宋体" w:eastAsia="宋体" w:cs="宋体"/>
          <w:color w:val="auto"/>
          <w:sz w:val="24"/>
          <w:highlight w:val="none"/>
          <w:u w:val="single"/>
        </w:rPr>
        <w:t>按通用条款执行并经发包人书面批准确认</w:t>
      </w:r>
      <w:r>
        <w:rPr>
          <w:rFonts w:hint="eastAsia" w:ascii="宋体" w:hAnsi="宋体" w:eastAsia="宋体" w:cs="宋体"/>
          <w:color w:val="auto"/>
          <w:sz w:val="24"/>
          <w:highlight w:val="none"/>
        </w:rPr>
        <w:t>。</w:t>
      </w:r>
    </w:p>
    <w:p w14:paraId="4B7CA353">
      <w:pPr>
        <w:keepNext/>
        <w:keepLines/>
        <w:spacing w:line="360" w:lineRule="auto"/>
        <w:outlineLvl w:val="2"/>
        <w:rPr>
          <w:rFonts w:hint="eastAsia" w:ascii="宋体" w:hAnsi="宋体" w:eastAsia="宋体" w:cs="宋体"/>
          <w:b/>
          <w:bCs/>
          <w:color w:val="auto"/>
          <w:kern w:val="0"/>
          <w:sz w:val="24"/>
          <w:highlight w:val="none"/>
          <w:lang w:val="zh-CN"/>
        </w:rPr>
      </w:pPr>
      <w:bookmarkStart w:id="765" w:name="_Toc407135244"/>
      <w:bookmarkStart w:id="766" w:name="_Toc389065307"/>
      <w:bookmarkStart w:id="767" w:name="_Toc78449830"/>
      <w:bookmarkStart w:id="768" w:name="_Toc373478388"/>
      <w:bookmarkStart w:id="769" w:name="_Toc373227741"/>
      <w:bookmarkStart w:id="770" w:name="_Toc1641633295"/>
      <w:bookmarkStart w:id="771" w:name="_Toc450749207"/>
      <w:bookmarkStart w:id="772" w:name="_Toc162971409"/>
      <w:r>
        <w:rPr>
          <w:rFonts w:hint="eastAsia" w:ascii="宋体" w:hAnsi="宋体" w:eastAsia="宋体" w:cs="宋体"/>
          <w:b/>
          <w:bCs/>
          <w:color w:val="auto"/>
          <w:kern w:val="0"/>
          <w:sz w:val="24"/>
          <w:highlight w:val="none"/>
          <w:lang w:val="zh-CN"/>
        </w:rPr>
        <w:t>10.3 变更程序</w:t>
      </w:r>
      <w:bookmarkEnd w:id="765"/>
      <w:bookmarkEnd w:id="766"/>
      <w:bookmarkEnd w:id="767"/>
      <w:bookmarkEnd w:id="768"/>
      <w:bookmarkEnd w:id="769"/>
      <w:bookmarkEnd w:id="770"/>
      <w:bookmarkEnd w:id="771"/>
      <w:bookmarkEnd w:id="772"/>
    </w:p>
    <w:p w14:paraId="52F0CAD2">
      <w:pPr>
        <w:spacing w:line="360" w:lineRule="auto"/>
        <w:ind w:firstLine="426"/>
        <w:rPr>
          <w:rFonts w:hint="eastAsia" w:ascii="宋体" w:hAnsi="宋体" w:eastAsia="宋体" w:cs="宋体"/>
          <w:color w:val="auto"/>
          <w:sz w:val="24"/>
          <w:highlight w:val="none"/>
        </w:rPr>
      </w:pPr>
      <w:r>
        <w:rPr>
          <w:rFonts w:hint="eastAsia" w:ascii="宋体" w:hAnsi="宋体" w:eastAsia="宋体" w:cs="宋体"/>
          <w:color w:val="auto"/>
          <w:sz w:val="24"/>
          <w:highlight w:val="none"/>
        </w:rPr>
        <w:t>1.施工中发包人需对原工程设计进行变更，应提前14天以书面形式向承包人发出变更通知，并由原设计单位提供变更的相应图纸和说明；</w:t>
      </w:r>
    </w:p>
    <w:p w14:paraId="26CAB55C">
      <w:pPr>
        <w:spacing w:line="360" w:lineRule="auto"/>
        <w:ind w:firstLine="426"/>
        <w:rPr>
          <w:rFonts w:hint="eastAsia" w:ascii="宋体" w:hAnsi="宋体" w:eastAsia="宋体" w:cs="宋体"/>
          <w:color w:val="auto"/>
          <w:sz w:val="24"/>
          <w:highlight w:val="none"/>
        </w:rPr>
      </w:pPr>
      <w:r>
        <w:rPr>
          <w:rFonts w:hint="eastAsia" w:ascii="宋体" w:hAnsi="宋体" w:eastAsia="宋体" w:cs="宋体"/>
          <w:color w:val="auto"/>
          <w:sz w:val="24"/>
          <w:highlight w:val="none"/>
        </w:rPr>
        <w:t>2.施工中承包人原则上不得对原工程设计进行变更，但是在施工中承包人提出的合理化建议涉及到对设计图纸或施工组织涉及的更改及对材料、设备的换用，须经发包人书面同意，并由原设计单位提供变更的相应图纸和说明；由监理单位下达书面变更通知；</w:t>
      </w:r>
    </w:p>
    <w:p w14:paraId="1BE9FAB1">
      <w:pPr>
        <w:spacing w:line="360" w:lineRule="auto"/>
        <w:ind w:firstLine="426"/>
        <w:rPr>
          <w:rFonts w:hint="eastAsia" w:ascii="宋体" w:hAnsi="宋体" w:eastAsia="宋体" w:cs="宋体"/>
          <w:color w:val="auto"/>
          <w:sz w:val="24"/>
          <w:highlight w:val="none"/>
        </w:rPr>
      </w:pPr>
      <w:r>
        <w:rPr>
          <w:rFonts w:hint="eastAsia" w:ascii="宋体" w:hAnsi="宋体" w:eastAsia="宋体" w:cs="宋体"/>
          <w:color w:val="auto"/>
          <w:sz w:val="24"/>
          <w:highlight w:val="none"/>
        </w:rPr>
        <w:t>3.因设计变更而引起的工程量变化的，按原施工图纸与变更后的图纸的工程量之差进行增减计算；</w:t>
      </w:r>
    </w:p>
    <w:p w14:paraId="4F27A6A8">
      <w:pPr>
        <w:spacing w:line="360" w:lineRule="auto"/>
        <w:ind w:firstLine="426"/>
        <w:rPr>
          <w:rFonts w:hint="eastAsia" w:ascii="宋体" w:hAnsi="宋体" w:eastAsia="宋体" w:cs="宋体"/>
          <w:color w:val="auto"/>
          <w:sz w:val="24"/>
          <w:highlight w:val="none"/>
        </w:rPr>
      </w:pPr>
      <w:r>
        <w:rPr>
          <w:rFonts w:hint="eastAsia" w:ascii="宋体" w:hAnsi="宋体" w:eastAsia="宋体" w:cs="宋体"/>
          <w:color w:val="auto"/>
          <w:sz w:val="24"/>
          <w:highlight w:val="none"/>
        </w:rPr>
        <w:t>4.设计变更后确有影响进度的，由承包人提出，经监理人及发包人核准，工期相应顺延；</w:t>
      </w:r>
    </w:p>
    <w:p w14:paraId="08B9F8B7">
      <w:pPr>
        <w:spacing w:line="360" w:lineRule="auto"/>
        <w:ind w:firstLine="426"/>
        <w:rPr>
          <w:rFonts w:hint="eastAsia" w:ascii="宋体" w:hAnsi="宋体" w:eastAsia="宋体" w:cs="宋体"/>
          <w:color w:val="auto"/>
          <w:sz w:val="24"/>
          <w:highlight w:val="none"/>
        </w:rPr>
      </w:pPr>
      <w:r>
        <w:rPr>
          <w:rFonts w:hint="eastAsia" w:ascii="宋体" w:hAnsi="宋体" w:eastAsia="宋体" w:cs="宋体"/>
          <w:color w:val="auto"/>
          <w:sz w:val="24"/>
          <w:highlight w:val="none"/>
        </w:rPr>
        <w:t>5.在施工中如发生地质、地形情况与施工设计不符时，承包人应及时书面通知设计、监理单位及有关工程师现场核对，共同研究决定，并以书面形式确认是否需要变更以及变更的处理办法；</w:t>
      </w:r>
    </w:p>
    <w:p w14:paraId="4A57BAF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6.当合同规定的合同价款调整情况发生后，承包人未在规定时间内通知发包人，或者未在规定时间内提出调整报告，发包人可以根据有关资料，决定是否调整和调整的金额，并书面通知承包人。</w:t>
      </w:r>
    </w:p>
    <w:p w14:paraId="235E1818">
      <w:pPr>
        <w:spacing w:line="360" w:lineRule="auto"/>
        <w:ind w:firstLine="426"/>
        <w:rPr>
          <w:rFonts w:hint="eastAsia" w:ascii="宋体" w:hAnsi="宋体" w:eastAsia="宋体" w:cs="宋体"/>
          <w:color w:val="auto"/>
          <w:sz w:val="24"/>
          <w:highlight w:val="none"/>
        </w:rPr>
      </w:pPr>
      <w:r>
        <w:rPr>
          <w:rFonts w:hint="eastAsia" w:ascii="宋体" w:hAnsi="宋体" w:eastAsia="宋体" w:cs="宋体"/>
          <w:color w:val="auto"/>
          <w:sz w:val="24"/>
          <w:highlight w:val="none"/>
        </w:rPr>
        <w:t>7.工程量清单与图纸不一致时，施工前承包人需与发包人履行确认手续，否则，产生的费用由承包人承担。</w:t>
      </w:r>
    </w:p>
    <w:p w14:paraId="3E6DB354">
      <w:pPr>
        <w:spacing w:line="360" w:lineRule="auto"/>
        <w:ind w:firstLine="426"/>
        <w:rPr>
          <w:rFonts w:hint="eastAsia" w:ascii="宋体" w:hAnsi="宋体" w:eastAsia="宋体" w:cs="宋体"/>
          <w:color w:val="auto"/>
          <w:sz w:val="24"/>
          <w:highlight w:val="none"/>
        </w:rPr>
      </w:pPr>
      <w:r>
        <w:rPr>
          <w:rFonts w:hint="eastAsia" w:ascii="宋体" w:hAnsi="宋体" w:eastAsia="宋体" w:cs="宋体"/>
          <w:color w:val="auto"/>
          <w:sz w:val="24"/>
          <w:highlight w:val="none"/>
        </w:rPr>
        <w:t>8.承包人提交工程结算后，发包人不再补办承包人提出的任何变更审批手续。</w:t>
      </w:r>
    </w:p>
    <w:p w14:paraId="6C3D01A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9.工程联系单、工程变更单、工程签证必须在事项发生之日起15个日历天内提报发包人进行审核，否则超过该时限的资料发包人有权拒绝签字，由此产生的费用和后果由承包人自行承担。</w:t>
      </w:r>
    </w:p>
    <w:p w14:paraId="1C849A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参与工程建设任何一方提出的变更，均应由发包人审查同意。涉及到图纸修改的，应由设计人提供设计变更图纸文件或说明。承包人应在变更后7天内编制变更报价书，经发包人、承包人、监理等有关单位人员审核后签字确认后，方作为工程结算依据。</w:t>
      </w:r>
    </w:p>
    <w:p w14:paraId="39033AE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11.发包人审批工程联系单、工程签证单的时限为：发包人在收到承包人提交的完整资料之日起30个工作日内予以审批，超过该时限发包人仍未审批或提出修改意见的，视为发包人不同意该项变更或调整。</w:t>
      </w:r>
    </w:p>
    <w:p w14:paraId="715E8E3F">
      <w:pPr>
        <w:keepNext/>
        <w:keepLines/>
        <w:spacing w:line="360" w:lineRule="auto"/>
        <w:outlineLvl w:val="2"/>
        <w:rPr>
          <w:rFonts w:hint="eastAsia" w:ascii="宋体" w:hAnsi="宋体" w:eastAsia="宋体" w:cs="宋体"/>
          <w:b/>
          <w:bCs/>
          <w:color w:val="auto"/>
          <w:kern w:val="0"/>
          <w:sz w:val="24"/>
          <w:highlight w:val="none"/>
          <w:lang w:val="zh-CN"/>
        </w:rPr>
      </w:pPr>
      <w:bookmarkStart w:id="773" w:name="_Toc389065308"/>
      <w:bookmarkStart w:id="774" w:name="_Toc373478389"/>
      <w:bookmarkStart w:id="775" w:name="_Toc1645711468"/>
      <w:bookmarkStart w:id="776" w:name="_Toc162971410"/>
      <w:bookmarkStart w:id="777" w:name="_Toc780640360"/>
      <w:bookmarkStart w:id="778" w:name="_Toc407135245"/>
      <w:bookmarkStart w:id="779" w:name="_Toc373227742"/>
      <w:bookmarkStart w:id="780" w:name="_Toc78449831"/>
      <w:r>
        <w:rPr>
          <w:rFonts w:hint="eastAsia" w:ascii="宋体" w:hAnsi="宋体" w:eastAsia="宋体" w:cs="宋体"/>
          <w:b/>
          <w:bCs/>
          <w:color w:val="auto"/>
          <w:kern w:val="0"/>
          <w:sz w:val="24"/>
          <w:highlight w:val="none"/>
          <w:lang w:val="zh-CN"/>
        </w:rPr>
        <w:t>10.4 变更估价</w:t>
      </w:r>
      <w:bookmarkEnd w:id="773"/>
      <w:bookmarkEnd w:id="774"/>
      <w:bookmarkEnd w:id="775"/>
      <w:bookmarkEnd w:id="776"/>
      <w:bookmarkEnd w:id="777"/>
      <w:bookmarkEnd w:id="778"/>
      <w:bookmarkEnd w:id="779"/>
      <w:bookmarkEnd w:id="780"/>
    </w:p>
    <w:p w14:paraId="2E5C9A9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10.4.1 变更估价原则</w:t>
      </w:r>
    </w:p>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14:paraId="09006A8D">
      <w:pPr>
        <w:spacing w:line="360" w:lineRule="auto"/>
        <w:ind w:firstLine="420"/>
        <w:rPr>
          <w:rFonts w:hint="eastAsia" w:ascii="宋体" w:hAnsi="宋体" w:eastAsia="宋体" w:cs="宋体"/>
          <w:color w:val="auto"/>
          <w:sz w:val="24"/>
          <w:highlight w:val="none"/>
        </w:rPr>
      </w:pPr>
      <w:bookmarkStart w:id="781" w:name="_Toc304295571"/>
      <w:bookmarkStart w:id="782" w:name="_Toc296346705"/>
      <w:bookmarkStart w:id="783" w:name="_Toc296891032"/>
      <w:bookmarkStart w:id="784" w:name="_Toc296347203"/>
      <w:bookmarkStart w:id="785" w:name="_Toc297123546"/>
      <w:bookmarkStart w:id="786" w:name="_Toc297120504"/>
      <w:bookmarkStart w:id="787" w:name="_Toc292559914"/>
      <w:bookmarkStart w:id="788" w:name="_Toc312677504"/>
      <w:bookmarkStart w:id="789" w:name="_Toc296944543"/>
      <w:bookmarkStart w:id="790" w:name="_Toc312678030"/>
      <w:bookmarkStart w:id="791" w:name="_Toc297216205"/>
      <w:bookmarkStart w:id="792" w:name="_Toc292559409"/>
      <w:bookmarkStart w:id="793" w:name="_Toc318581175"/>
      <w:bookmarkStart w:id="794" w:name="_Toc300934995"/>
      <w:bookmarkStart w:id="795" w:name="_Toc296891244"/>
      <w:bookmarkStart w:id="796" w:name="_Toc296503204"/>
      <w:bookmarkStart w:id="797" w:name="_Toc297048390"/>
      <w:bookmarkStart w:id="798" w:name="_Toc303539152"/>
      <w:r>
        <w:rPr>
          <w:rFonts w:hint="eastAsia" w:ascii="宋体" w:hAnsi="宋体" w:eastAsia="宋体" w:cs="宋体"/>
          <w:color w:val="auto"/>
          <w:sz w:val="24"/>
          <w:highlight w:val="none"/>
        </w:rPr>
        <w:t>关于变更估价的约定：</w:t>
      </w:r>
      <w:r>
        <w:rPr>
          <w:rFonts w:hint="eastAsia" w:ascii="宋体" w:hAnsi="宋体" w:eastAsia="宋体" w:cs="宋体"/>
          <w:color w:val="auto"/>
          <w:sz w:val="24"/>
          <w:highlight w:val="none"/>
          <w:u w:val="single"/>
        </w:rPr>
        <w:t>因分部分项工程量清单漏项、设计变更、签证等引起工程项目变化的，变更合同价款按下列方法进行：（1）合同中已有相同子目的，按合同该子目价格进行计算；（2）合同中只有类似子目的，参照该类似子目价格进行计算；（3）合同中没有适用或类似子目的价格计算方法：有定额的套定额（土石方工程除外），材料价格按施工期间的《南宁建设工程造价信息》相应信息价的算数平均值进行计算，《南宁建设工程造价信息》没有相应价格信息的按发包人审定的市场价计算，并乘以（1-下浮系数）；无定额可套的，双方根据市场价格协商确定综合价格，并乘以（1-下浮系数）计算。新增项目的综合单价必须经发包人审定，并乘以（1-下浮系数）计算。其中，下浮系数=1-中标价/招标控制价。（4）不适用上述条款的项，则由发包人和承包人协商签证确定；（5）因不可抗力产生的费用由发包人及承包人双方协商分担</w:t>
      </w:r>
      <w:r>
        <w:rPr>
          <w:rFonts w:hint="eastAsia" w:ascii="宋体" w:hAnsi="宋体" w:eastAsia="宋体" w:cs="宋体"/>
          <w:color w:val="auto"/>
          <w:sz w:val="24"/>
          <w:highlight w:val="none"/>
        </w:rPr>
        <w:t>。</w:t>
      </w:r>
    </w:p>
    <w:p w14:paraId="79EB3CEE">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10.4.2 变更估价程序</w:t>
      </w:r>
    </w:p>
    <w:p w14:paraId="051755D7">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承包人提出变更价款的时间是：承包人应当在设计变更发生后7天内提供书面变更价款的申请，将设计变更的原因、变更的金额以书面形式通知发包人，超过7天即视为承包人自动放弃变更价款索赔费用和工期的权利。</w:t>
      </w:r>
    </w:p>
    <w:p w14:paraId="60E58EB0">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kern w:val="0"/>
          <w:sz w:val="24"/>
          <w:highlight w:val="none"/>
        </w:rPr>
        <w:t>承包人认为该设计变更、工程变更、清单错漏项影响工期及合同价格的，应当在收到变更通知及发现错漏项之日起7天内书面提出相应索赔，否则认为该项变更不涉及工期及合同价格调整。</w:t>
      </w:r>
    </w:p>
    <w:p w14:paraId="3EFC31B3">
      <w:pPr>
        <w:keepNext/>
        <w:keepLines/>
        <w:spacing w:line="360" w:lineRule="auto"/>
        <w:outlineLvl w:val="2"/>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3）承包人发现工程量清单某分部工程漏项、工程量清单描述错误引起合同价款增减变化时，必须在该分部工程付款计量周期内，向监理人提出变更估价申请，监理人应在收到承包人提交的变更估价申请后3天内，审查完毕并报送发包人。监理人对变更估价申请有异议，通知承包人或发包人修改后重新提交。若承包人逾期未递交工程量漏项、清单描述错误变更估价申请，则视为承包人放弃该项变更索赔(反索赔)。结算时该部分工程漏项项</w:t>
      </w:r>
      <w:r>
        <w:rPr>
          <w:rFonts w:hint="eastAsia" w:ascii="宋体" w:hAnsi="宋体" w:eastAsia="宋体" w:cs="宋体"/>
          <w:color w:val="auto"/>
          <w:kern w:val="0"/>
          <w:sz w:val="24"/>
          <w:highlight w:val="none"/>
        </w:rPr>
        <w:t>目，不再另行列项计算，工程量清单描述错误的，该单项中标单价结算时不做调整。</w:t>
      </w:r>
    </w:p>
    <w:p w14:paraId="2CD9A7BF">
      <w:pPr>
        <w:keepNext/>
        <w:keepLines/>
        <w:spacing w:line="360" w:lineRule="auto"/>
        <w:outlineLvl w:val="2"/>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w:t>
      </w:r>
      <w:bookmarkStart w:id="799" w:name="_Toc300934993"/>
      <w:bookmarkStart w:id="800" w:name="_Toc297120497"/>
      <w:bookmarkStart w:id="801" w:name="_Toc297216203"/>
      <w:bookmarkStart w:id="802" w:name="_Toc303539150"/>
      <w:bookmarkStart w:id="803" w:name="_Toc296891025"/>
      <w:bookmarkStart w:id="804" w:name="_Toc296503197"/>
      <w:bookmarkStart w:id="805" w:name="_Toc297123544"/>
      <w:bookmarkStart w:id="806" w:name="_Toc296346698"/>
      <w:bookmarkStart w:id="807" w:name="_Toc296891237"/>
      <w:bookmarkStart w:id="808" w:name="_Toc296347196"/>
      <w:bookmarkStart w:id="809" w:name="_Toc297048383"/>
      <w:bookmarkStart w:id="810" w:name="_Toc292559402"/>
      <w:bookmarkStart w:id="811" w:name="_Toc292559907"/>
      <w:bookmarkStart w:id="812" w:name="_Toc296944536"/>
      <w:bookmarkStart w:id="813" w:name="_Toc312678029"/>
      <w:bookmarkStart w:id="814" w:name="_Toc312677503"/>
      <w:bookmarkStart w:id="815" w:name="_Toc304295570"/>
      <w:r>
        <w:rPr>
          <w:rFonts w:hint="eastAsia" w:ascii="宋体" w:hAnsi="宋体" w:eastAsia="宋体" w:cs="宋体"/>
          <w:b/>
          <w:bCs/>
          <w:color w:val="auto"/>
          <w:sz w:val="24"/>
          <w:highlight w:val="none"/>
          <w:lang w:val="zh-CN"/>
        </w:rPr>
        <w:t>0.5 承</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Start w:id="816" w:name="_Toc296347202"/>
      <w:bookmarkStart w:id="817" w:name="_Toc297123545"/>
      <w:bookmarkStart w:id="818" w:name="_Toc292559913"/>
      <w:bookmarkStart w:id="819" w:name="_Toc303539151"/>
      <w:bookmarkStart w:id="820" w:name="_Toc292559408"/>
      <w:bookmarkStart w:id="821" w:name="_Toc296891243"/>
      <w:bookmarkStart w:id="822" w:name="_Toc300934994"/>
      <w:bookmarkStart w:id="823" w:name="_Toc296503203"/>
      <w:bookmarkStart w:id="824" w:name="_Toc297048389"/>
      <w:bookmarkStart w:id="825" w:name="_Toc297216204"/>
      <w:bookmarkStart w:id="826" w:name="_Toc296944542"/>
      <w:bookmarkStart w:id="827" w:name="_Toc297120503"/>
      <w:bookmarkStart w:id="828" w:name="_Toc296346704"/>
      <w:bookmarkStart w:id="829" w:name="_Toc296891031"/>
      <w:r>
        <w:rPr>
          <w:rFonts w:hint="eastAsia" w:ascii="宋体" w:hAnsi="宋体" w:eastAsia="宋体" w:cs="宋体"/>
          <w:b/>
          <w:bCs/>
          <w:color w:val="auto"/>
          <w:sz w:val="24"/>
          <w:highlight w:val="none"/>
          <w:lang w:val="zh-CN"/>
        </w:rPr>
        <w:t>包人的合理化建议</w:t>
      </w:r>
    </w:p>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14:paraId="2FB3E1F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监理人审查承包人合理化建议的期限：</w:t>
      </w:r>
      <w:r>
        <w:rPr>
          <w:rFonts w:hint="eastAsia" w:ascii="宋体" w:hAnsi="宋体" w:eastAsia="宋体" w:cs="宋体"/>
          <w:color w:val="auto"/>
          <w:sz w:val="24"/>
          <w:highlight w:val="none"/>
          <w:u w:val="single"/>
        </w:rPr>
        <w:t>按通用条款执行</w:t>
      </w:r>
      <w:r>
        <w:rPr>
          <w:rFonts w:hint="eastAsia" w:ascii="宋体" w:hAnsi="宋体" w:eastAsia="宋体" w:cs="宋体"/>
          <w:color w:val="auto"/>
          <w:sz w:val="24"/>
          <w:highlight w:val="none"/>
        </w:rPr>
        <w:t>。</w:t>
      </w:r>
    </w:p>
    <w:p w14:paraId="17C8550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发包人审批承包人合理化建议的期限：</w:t>
      </w:r>
      <w:r>
        <w:rPr>
          <w:rFonts w:hint="eastAsia" w:ascii="宋体" w:hAnsi="宋体" w:eastAsia="宋体" w:cs="宋体"/>
          <w:color w:val="auto"/>
          <w:sz w:val="24"/>
          <w:highlight w:val="none"/>
          <w:u w:val="single"/>
        </w:rPr>
        <w:t>按通用条款执行</w:t>
      </w:r>
      <w:r>
        <w:rPr>
          <w:rFonts w:hint="eastAsia" w:ascii="宋体" w:hAnsi="宋体" w:eastAsia="宋体" w:cs="宋体"/>
          <w:color w:val="auto"/>
          <w:sz w:val="24"/>
          <w:highlight w:val="none"/>
        </w:rPr>
        <w:t>。</w:t>
      </w:r>
    </w:p>
    <w:p w14:paraId="4DC83A6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承包人提出的合理化建议降低了合同价格或者提高了工程经济效益的奖励的方法和金额为：</w:t>
      </w:r>
      <w:r>
        <w:rPr>
          <w:rFonts w:hint="eastAsia" w:ascii="宋体" w:hAnsi="宋体" w:eastAsia="宋体" w:cs="宋体"/>
          <w:color w:val="auto"/>
          <w:sz w:val="24"/>
          <w:highlight w:val="none"/>
          <w:u w:val="single"/>
        </w:rPr>
        <w:t xml:space="preserve"> 无</w:t>
      </w:r>
      <w:r>
        <w:rPr>
          <w:rFonts w:hint="eastAsia" w:ascii="宋体" w:hAnsi="宋体" w:eastAsia="宋体" w:cs="宋体"/>
          <w:color w:val="auto"/>
          <w:sz w:val="24"/>
          <w:highlight w:val="none"/>
        </w:rPr>
        <w:t>。</w:t>
      </w:r>
    </w:p>
    <w:p w14:paraId="6CC8734E">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10.6 变更引起的工期调整</w:t>
      </w:r>
    </w:p>
    <w:p w14:paraId="228730F3">
      <w:pPr>
        <w:adjustRightInd w:val="0"/>
        <w:spacing w:after="120" w:line="360" w:lineRule="auto"/>
        <w:ind w:left="63" w:leftChars="30" w:right="63" w:rightChars="30" w:firstLine="240" w:firstLineChars="100"/>
        <w:textAlignment w:val="baseline"/>
        <w:rPr>
          <w:rFonts w:hint="eastAsia" w:ascii="宋体" w:hAnsi="宋体" w:eastAsia="宋体" w:cs="宋体"/>
          <w:color w:val="auto"/>
          <w:szCs w:val="22"/>
          <w:highlight w:val="none"/>
        </w:rPr>
      </w:pPr>
      <w:r>
        <w:rPr>
          <w:rFonts w:hint="eastAsia" w:ascii="宋体" w:hAnsi="宋体" w:eastAsia="宋体" w:cs="宋体"/>
          <w:color w:val="auto"/>
          <w:sz w:val="24"/>
          <w:highlight w:val="none"/>
        </w:rPr>
        <w:t>因变更引起的工期变化，承包人应在设计变更发生后14天内书面提出调整工期申请，超过14天即视为承包人自动放弃索赔工期的权利。监理人认为有必要时，可要求承包人提交要求提前或延长工期的施工进度计划及相应施工措施等详细材料。</w:t>
      </w:r>
    </w:p>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14:paraId="289575DF">
      <w:pPr>
        <w:keepNext/>
        <w:keepLines/>
        <w:spacing w:line="360" w:lineRule="auto"/>
        <w:outlineLvl w:val="2"/>
        <w:rPr>
          <w:rFonts w:hint="eastAsia" w:ascii="宋体" w:hAnsi="宋体" w:eastAsia="宋体" w:cs="宋体"/>
          <w:b/>
          <w:bCs/>
          <w:color w:val="auto"/>
          <w:kern w:val="0"/>
          <w:sz w:val="24"/>
          <w:highlight w:val="none"/>
          <w:lang w:val="zh-CN"/>
        </w:rPr>
      </w:pPr>
      <w:bookmarkStart w:id="830" w:name="_Toc2045792355"/>
      <w:bookmarkStart w:id="831" w:name="_Toc373227744"/>
      <w:bookmarkStart w:id="832" w:name="_Toc78449833"/>
      <w:bookmarkStart w:id="833" w:name="_Toc373478391"/>
      <w:bookmarkStart w:id="834" w:name="_Toc407135247"/>
      <w:bookmarkStart w:id="835" w:name="_Toc162971412"/>
      <w:bookmarkStart w:id="836" w:name="_Toc389065310"/>
      <w:bookmarkStart w:id="837" w:name="_Toc502454636"/>
      <w:r>
        <w:rPr>
          <w:rFonts w:hint="eastAsia" w:ascii="宋体" w:hAnsi="宋体" w:eastAsia="宋体" w:cs="宋体"/>
          <w:b/>
          <w:bCs/>
          <w:color w:val="auto"/>
          <w:kern w:val="0"/>
          <w:sz w:val="24"/>
          <w:highlight w:val="none"/>
          <w:lang w:val="zh-CN"/>
        </w:rPr>
        <w:t>1</w:t>
      </w:r>
      <w:bookmarkStart w:id="838" w:name="_Toc297123548"/>
      <w:bookmarkStart w:id="839" w:name="_Toc300934997"/>
      <w:bookmarkStart w:id="840" w:name="_Toc296503199"/>
      <w:bookmarkStart w:id="841" w:name="_Toc297048385"/>
      <w:bookmarkStart w:id="842" w:name="_Toc297216207"/>
      <w:bookmarkStart w:id="843" w:name="_Toc296891239"/>
      <w:bookmarkStart w:id="844" w:name="_Toc297120499"/>
      <w:bookmarkStart w:id="845" w:name="_Toc312677507"/>
      <w:bookmarkStart w:id="846" w:name="_Toc292559404"/>
      <w:bookmarkStart w:id="847" w:name="_Toc303539154"/>
      <w:bookmarkStart w:id="848" w:name="_Toc292559909"/>
      <w:bookmarkStart w:id="849" w:name="_Toc296346700"/>
      <w:bookmarkStart w:id="850" w:name="_Toc296347198"/>
      <w:bookmarkStart w:id="851" w:name="_Toc296891027"/>
      <w:bookmarkStart w:id="852" w:name="_Toc312678033"/>
      <w:bookmarkStart w:id="853" w:name="_Toc304295574"/>
      <w:bookmarkStart w:id="854" w:name="_Toc296944538"/>
      <w:r>
        <w:rPr>
          <w:rFonts w:hint="eastAsia" w:ascii="宋体" w:hAnsi="宋体" w:eastAsia="宋体" w:cs="宋体"/>
          <w:b/>
          <w:bCs/>
          <w:color w:val="auto"/>
          <w:kern w:val="0"/>
          <w:sz w:val="24"/>
          <w:highlight w:val="none"/>
          <w:lang w:val="zh-CN"/>
        </w:rPr>
        <w:t>0.7 暂估价</w:t>
      </w:r>
      <w:bookmarkEnd w:id="830"/>
      <w:bookmarkEnd w:id="831"/>
      <w:bookmarkEnd w:id="832"/>
      <w:bookmarkEnd w:id="833"/>
      <w:bookmarkEnd w:id="834"/>
      <w:bookmarkEnd w:id="835"/>
      <w:bookmarkEnd w:id="836"/>
      <w:bookmarkEnd w:id="837"/>
    </w:p>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14:paraId="7095811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暂</w:t>
      </w:r>
      <w:bookmarkStart w:id="855" w:name="_Toc312678034"/>
      <w:bookmarkStart w:id="856" w:name="_Toc318581176"/>
      <w:bookmarkStart w:id="857" w:name="_Toc312677508"/>
      <w:r>
        <w:rPr>
          <w:rFonts w:hint="eastAsia" w:ascii="宋体" w:hAnsi="宋体" w:eastAsia="宋体" w:cs="宋体"/>
          <w:color w:val="auto"/>
          <w:kern w:val="0"/>
          <w:sz w:val="24"/>
          <w:highlight w:val="none"/>
        </w:rPr>
        <w:t>估价材料和工程设备的明细详见已标价工程量清单《</w:t>
      </w:r>
      <w:r>
        <w:rPr>
          <w:rFonts w:hint="eastAsia" w:ascii="宋体" w:hAnsi="宋体" w:eastAsia="宋体" w:cs="宋体"/>
          <w:color w:val="auto"/>
          <w:sz w:val="24"/>
          <w:highlight w:val="none"/>
        </w:rPr>
        <w:t>材料（工程设备）暂估价格及调整表》</w:t>
      </w:r>
      <w:r>
        <w:rPr>
          <w:rFonts w:hint="eastAsia" w:ascii="宋体" w:hAnsi="宋体" w:eastAsia="宋体" w:cs="宋体"/>
          <w:color w:val="auto"/>
          <w:kern w:val="0"/>
          <w:sz w:val="24"/>
          <w:highlight w:val="none"/>
        </w:rPr>
        <w:t>（表12-2）和《</w:t>
      </w:r>
      <w:r>
        <w:rPr>
          <w:rFonts w:hint="eastAsia" w:ascii="宋体" w:hAnsi="宋体" w:eastAsia="宋体" w:cs="宋体"/>
          <w:color w:val="auto"/>
          <w:sz w:val="24"/>
          <w:highlight w:val="none"/>
        </w:rPr>
        <w:t>专业工程暂估价表》（</w:t>
      </w:r>
      <w:r>
        <w:rPr>
          <w:rFonts w:hint="eastAsia" w:ascii="宋体" w:hAnsi="宋体" w:eastAsia="宋体" w:cs="宋体"/>
          <w:color w:val="auto"/>
          <w:kern w:val="0"/>
          <w:sz w:val="24"/>
          <w:highlight w:val="none"/>
        </w:rPr>
        <w:t>表12-3）。</w:t>
      </w:r>
    </w:p>
    <w:bookmarkEnd w:id="855"/>
    <w:bookmarkEnd w:id="856"/>
    <w:bookmarkEnd w:id="857"/>
    <w:p w14:paraId="6C38D78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bookmarkStart w:id="858" w:name="_Toc318581177"/>
      <w:bookmarkStart w:id="859" w:name="_Toc312677509"/>
      <w:bookmarkStart w:id="860" w:name="_Toc312678035"/>
      <w:r>
        <w:rPr>
          <w:rFonts w:hint="eastAsia" w:ascii="宋体" w:hAnsi="宋体" w:eastAsia="宋体" w:cs="宋体"/>
          <w:color w:val="auto"/>
          <w:sz w:val="24"/>
          <w:highlight w:val="none"/>
        </w:rPr>
        <w:t>0.7.1 依法必须招标的暂估价项目</w:t>
      </w:r>
    </w:p>
    <w:bookmarkEnd w:id="858"/>
    <w:bookmarkEnd w:id="859"/>
    <w:bookmarkEnd w:id="860"/>
    <w:p w14:paraId="716B26B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对于依法必须招标的暂估价项目的确认和批准采取</w:t>
      </w:r>
      <w:r>
        <w:rPr>
          <w:rFonts w:hint="eastAsia" w:ascii="宋体" w:hAnsi="宋体" w:eastAsia="宋体" w:cs="宋体"/>
          <w:color w:val="auto"/>
          <w:sz w:val="24"/>
          <w:highlight w:val="none"/>
          <w:u w:val="single"/>
        </w:rPr>
        <w:t>第 1 种</w:t>
      </w:r>
      <w:r>
        <w:rPr>
          <w:rFonts w:hint="eastAsia" w:ascii="宋体" w:hAnsi="宋体" w:eastAsia="宋体" w:cs="宋体"/>
          <w:color w:val="auto"/>
          <w:sz w:val="24"/>
          <w:highlight w:val="none"/>
        </w:rPr>
        <w:t>方式确定。</w:t>
      </w:r>
    </w:p>
    <w:p w14:paraId="197039A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第1种方式：对于依法必须招标的暂估价项目，由承包人招标，对该暂估价项目的确认和批准按照以下约定执行：</w:t>
      </w:r>
    </w:p>
    <w:p w14:paraId="4FB97D4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0730369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60663E1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7081C1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10.7.2 不属于依法必须招标的暂估价项目</w:t>
      </w:r>
    </w:p>
    <w:p w14:paraId="3DB645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对于不属于依法必须招标的暂估价项目的确认和批准采取第</w:t>
      </w:r>
      <w:r>
        <w:rPr>
          <w:rFonts w:hint="eastAsia" w:ascii="宋体" w:hAnsi="宋体" w:eastAsia="宋体" w:cs="宋体"/>
          <w:color w:val="auto"/>
          <w:sz w:val="24"/>
          <w:highlight w:val="none"/>
          <w:u w:val="single"/>
        </w:rPr>
        <w:t xml:space="preserve"> 1 </w:t>
      </w:r>
      <w:r>
        <w:rPr>
          <w:rFonts w:hint="eastAsia" w:ascii="宋体" w:hAnsi="宋体" w:eastAsia="宋体" w:cs="宋体"/>
          <w:color w:val="auto"/>
          <w:sz w:val="24"/>
          <w:highlight w:val="none"/>
        </w:rPr>
        <w:t>种方式确定。</w:t>
      </w:r>
    </w:p>
    <w:p w14:paraId="4BC964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第1种方式：对于不属于依法必须招标的暂估价项目，按本项约定确认和批准：</w:t>
      </w:r>
    </w:p>
    <w:p w14:paraId="0A0A5D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w:t>
      </w:r>
    </w:p>
    <w:p w14:paraId="10666B3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（2）发包人认为承包人确定的供应商、分包人无法满足工程质量或合同要求的，发包人可以要求承包人重新确定暂估价项目的供应商、分包人；</w:t>
      </w:r>
    </w:p>
    <w:p w14:paraId="06CF453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（3）承包人应当在签订暂估价合同后7天内，将暂估价合同副本报送发包人留存。</w:t>
      </w:r>
    </w:p>
    <w:p w14:paraId="713B822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注：安全生产责任保险费按分部分项工程费及措施项目费(含单价及总价措施项目费)为计算基数乘以 0.2%计入暂估价，工程结算时，由发承包双方根据工程实际情况确认的安全生产责任保险费计入工程造价。</w:t>
      </w:r>
    </w:p>
    <w:p w14:paraId="3AE200B0">
      <w:pPr>
        <w:keepNext/>
        <w:keepLines/>
        <w:spacing w:line="360" w:lineRule="auto"/>
        <w:outlineLvl w:val="2"/>
        <w:rPr>
          <w:rFonts w:hint="eastAsia" w:ascii="宋体" w:hAnsi="宋体" w:eastAsia="宋体" w:cs="宋体"/>
          <w:b/>
          <w:bCs/>
          <w:color w:val="auto"/>
          <w:kern w:val="0"/>
          <w:sz w:val="24"/>
          <w:highlight w:val="none"/>
          <w:lang w:val="zh-CN"/>
        </w:rPr>
      </w:pPr>
      <w:bookmarkStart w:id="861" w:name="_Toc373478392"/>
      <w:bookmarkStart w:id="862" w:name="_Toc389065311"/>
      <w:bookmarkStart w:id="863" w:name="_Toc2131098822"/>
      <w:bookmarkStart w:id="864" w:name="_Toc2032108729"/>
      <w:bookmarkStart w:id="865" w:name="_Toc78449834"/>
      <w:bookmarkStart w:id="866" w:name="_Toc162971413"/>
      <w:bookmarkStart w:id="867" w:name="_Toc407135248"/>
      <w:bookmarkStart w:id="868" w:name="_Toc373227745"/>
      <w:r>
        <w:rPr>
          <w:rFonts w:hint="eastAsia" w:ascii="宋体" w:hAnsi="宋体" w:eastAsia="宋体" w:cs="宋体"/>
          <w:b/>
          <w:bCs/>
          <w:color w:val="auto"/>
          <w:kern w:val="0"/>
          <w:sz w:val="24"/>
          <w:highlight w:val="none"/>
          <w:lang w:val="zh-CN"/>
        </w:rPr>
        <w:t>10.8 暂列金额</w:t>
      </w:r>
      <w:bookmarkEnd w:id="861"/>
      <w:bookmarkEnd w:id="862"/>
      <w:bookmarkEnd w:id="863"/>
      <w:bookmarkEnd w:id="864"/>
      <w:bookmarkEnd w:id="865"/>
      <w:bookmarkEnd w:id="866"/>
      <w:bookmarkEnd w:id="867"/>
      <w:bookmarkEnd w:id="868"/>
    </w:p>
    <w:p w14:paraId="1A9F5DEE">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合同当事人关于暂列金额使用的约定：</w:t>
      </w:r>
      <w:r>
        <w:rPr>
          <w:rFonts w:hint="eastAsia" w:ascii="宋体" w:hAnsi="宋体" w:eastAsia="宋体" w:cs="宋体"/>
          <w:color w:val="auto"/>
          <w:sz w:val="24"/>
          <w:highlight w:val="none"/>
          <w:u w:val="single"/>
        </w:rPr>
        <w:t>由承包人根据实际情况提出书面申请，监理人审核后，交发包人最终确认后使用</w:t>
      </w:r>
      <w:r>
        <w:rPr>
          <w:rFonts w:hint="eastAsia" w:ascii="宋体" w:hAnsi="宋体" w:eastAsia="宋体" w:cs="宋体"/>
          <w:color w:val="auto"/>
          <w:kern w:val="0"/>
          <w:sz w:val="24"/>
          <w:highlight w:val="none"/>
        </w:rPr>
        <w:t>。</w:t>
      </w:r>
    </w:p>
    <w:p w14:paraId="32F85936">
      <w:pPr>
        <w:keepNext/>
        <w:keepLines/>
        <w:numPr>
          <w:ilvl w:val="0"/>
          <w:numId w:val="4"/>
        </w:numPr>
        <w:spacing w:before="60" w:after="60" w:line="360" w:lineRule="auto"/>
        <w:outlineLvl w:val="1"/>
        <w:rPr>
          <w:rFonts w:hint="eastAsia" w:ascii="宋体" w:hAnsi="宋体" w:eastAsia="宋体" w:cs="宋体"/>
          <w:b/>
          <w:bCs/>
          <w:color w:val="auto"/>
          <w:kern w:val="0"/>
          <w:sz w:val="24"/>
          <w:highlight w:val="none"/>
          <w:lang w:val="zh-CN"/>
        </w:rPr>
      </w:pPr>
      <w:bookmarkStart w:id="869" w:name="_Toc407135249"/>
      <w:bookmarkStart w:id="870" w:name="_Toc162971414"/>
      <w:bookmarkStart w:id="871" w:name="_Toc1190723452"/>
      <w:bookmarkStart w:id="872" w:name="_Toc373478393"/>
      <w:bookmarkStart w:id="873" w:name="_Toc389065312"/>
      <w:bookmarkStart w:id="874" w:name="_Toc78449835"/>
      <w:bookmarkStart w:id="875" w:name="_Toc136736539"/>
      <w:bookmarkStart w:id="876" w:name="_Toc351203643"/>
      <w:bookmarkStart w:id="877" w:name="_Toc373227746"/>
      <w:r>
        <w:rPr>
          <w:rFonts w:hint="eastAsia" w:ascii="宋体" w:hAnsi="宋体" w:eastAsia="宋体" w:cs="宋体"/>
          <w:b/>
          <w:bCs/>
          <w:color w:val="auto"/>
          <w:kern w:val="0"/>
          <w:sz w:val="24"/>
          <w:highlight w:val="none"/>
          <w:lang w:val="zh-CN"/>
        </w:rPr>
        <w:t>价格调整</w:t>
      </w:r>
      <w:bookmarkEnd w:id="869"/>
      <w:bookmarkEnd w:id="870"/>
      <w:bookmarkEnd w:id="871"/>
      <w:bookmarkEnd w:id="872"/>
      <w:bookmarkEnd w:id="873"/>
      <w:bookmarkEnd w:id="874"/>
      <w:bookmarkEnd w:id="875"/>
      <w:bookmarkEnd w:id="876"/>
      <w:bookmarkEnd w:id="877"/>
    </w:p>
    <w:p w14:paraId="2B165147">
      <w:pPr>
        <w:keepNext/>
        <w:keepLines/>
        <w:spacing w:line="360" w:lineRule="auto"/>
        <w:outlineLvl w:val="2"/>
        <w:rPr>
          <w:rFonts w:hint="eastAsia" w:ascii="宋体" w:hAnsi="宋体" w:eastAsia="宋体" w:cs="宋体"/>
          <w:b/>
          <w:bCs/>
          <w:color w:val="auto"/>
          <w:kern w:val="0"/>
          <w:sz w:val="24"/>
          <w:highlight w:val="none"/>
          <w:lang w:val="zh-CN"/>
        </w:rPr>
      </w:pPr>
      <w:bookmarkStart w:id="878" w:name="_Toc292559911"/>
      <w:bookmarkStart w:id="879" w:name="_Toc296347200"/>
      <w:bookmarkStart w:id="880" w:name="_Toc407135250"/>
      <w:bookmarkStart w:id="881" w:name="_Toc42268484"/>
      <w:bookmarkStart w:id="882" w:name="_Toc303539157"/>
      <w:bookmarkStart w:id="883" w:name="_Toc296503201"/>
      <w:bookmarkStart w:id="884" w:name="_Toc297216209"/>
      <w:bookmarkStart w:id="885" w:name="_Toc300935000"/>
      <w:bookmarkStart w:id="886" w:name="_Toc162971415"/>
      <w:bookmarkStart w:id="887" w:name="_Toc78449836"/>
      <w:bookmarkStart w:id="888" w:name="_Toc296891029"/>
      <w:bookmarkStart w:id="889" w:name="_Toc292559406"/>
      <w:bookmarkStart w:id="890" w:name="_Toc304295577"/>
      <w:bookmarkStart w:id="891" w:name="_Toc389065313"/>
      <w:bookmarkStart w:id="892" w:name="_Toc297048387"/>
      <w:bookmarkStart w:id="893" w:name="_Toc296891241"/>
      <w:bookmarkStart w:id="894" w:name="_Toc296346702"/>
      <w:bookmarkStart w:id="895" w:name="_Toc297120501"/>
      <w:bookmarkStart w:id="896" w:name="_Toc373227747"/>
      <w:bookmarkStart w:id="897" w:name="_Toc296944540"/>
      <w:bookmarkStart w:id="898" w:name="_Toc373478394"/>
      <w:bookmarkStart w:id="899" w:name="_Toc1501386015"/>
      <w:bookmarkStart w:id="900" w:name="_Toc312678039"/>
      <w:bookmarkStart w:id="901" w:name="_Toc297123550"/>
      <w:r>
        <w:rPr>
          <w:rFonts w:hint="eastAsia" w:ascii="宋体" w:hAnsi="宋体" w:eastAsia="宋体" w:cs="宋体"/>
          <w:b/>
          <w:bCs/>
          <w:color w:val="auto"/>
          <w:kern w:val="0"/>
          <w:sz w:val="24"/>
          <w:highlight w:val="none"/>
          <w:lang w:val="zh-CN"/>
        </w:rPr>
        <w:t>11.1 市场价格波动引起的调整</w:t>
      </w:r>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p>
    <w:p w14:paraId="27000A0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市场价格波动是否调整合同价格的约定：</w:t>
      </w:r>
      <w:r>
        <w:rPr>
          <w:rFonts w:hint="eastAsia" w:ascii="宋体" w:hAnsi="宋体" w:eastAsia="宋体" w:cs="宋体"/>
          <w:color w:val="auto"/>
          <w:sz w:val="24"/>
          <w:highlight w:val="none"/>
          <w:u w:val="single"/>
        </w:rPr>
        <w:t>是，但因承包人原因造成的工期拖延，延误期间的价格下跌时按下跌价格调整，价格上涨时按原价格</w:t>
      </w:r>
      <w:r>
        <w:rPr>
          <w:rFonts w:hint="eastAsia" w:ascii="宋体" w:hAnsi="宋体" w:eastAsia="宋体" w:cs="宋体"/>
          <w:color w:val="auto"/>
          <w:sz w:val="24"/>
          <w:highlight w:val="none"/>
        </w:rPr>
        <w:t>。按《建设工程工程量清单计价规范（GB50500-2013）广西壮族自治区实施细则》规定，本工程合同履行期间主要材料【仅指钢材、铝单板、商品混凝土、电线电缆、砌块、水泥、砂】的材料价格调整幅度超过《南宁建设工程造价信息》</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年第1</w:t>
      </w:r>
      <w:r>
        <w:rPr>
          <w:rFonts w:hint="eastAsia" w:ascii="宋体" w:hAnsi="宋体" w:eastAsia="宋体" w:cs="宋体"/>
          <w:color w:val="auto"/>
          <w:sz w:val="24"/>
          <w:highlight w:val="none"/>
          <w:u w:val="single"/>
          <w:lang w:val="en-US" w:eastAsia="zh-CN"/>
        </w:rPr>
        <w:t>1</w:t>
      </w:r>
      <w:r>
        <w:rPr>
          <w:rFonts w:hint="eastAsia" w:ascii="宋体" w:hAnsi="宋体" w:eastAsia="宋体" w:cs="宋体"/>
          <w:color w:val="auto"/>
          <w:sz w:val="24"/>
          <w:highlight w:val="none"/>
          <w:u w:val="single"/>
        </w:rPr>
        <w:t>期</w:t>
      </w:r>
      <w:r>
        <w:rPr>
          <w:rFonts w:hint="eastAsia" w:ascii="宋体" w:hAnsi="宋体" w:eastAsia="宋体" w:cs="宋体"/>
          <w:color w:val="auto"/>
          <w:sz w:val="24"/>
          <w:highlight w:val="none"/>
        </w:rPr>
        <w:t>上半月公布的±10%，则超出部分按施工期间《南宁建设工程造价信息》公布价的算数平均值调整，调整部分仅计差额及相应的税金。要进行价格调整的材料，其单价和采购数应由监理人复核，发包人确认需调整的材料单价及数量，作为调整工程合同价格差额的依据。</w:t>
      </w:r>
    </w:p>
    <w:p w14:paraId="0E6E04A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因市场价格波动调整合同价格，采用以下第</w:t>
      </w:r>
      <w:r>
        <w:rPr>
          <w:rFonts w:hint="eastAsia" w:ascii="宋体" w:hAnsi="宋体" w:eastAsia="宋体" w:cs="宋体"/>
          <w:color w:val="auto"/>
          <w:sz w:val="24"/>
          <w:highlight w:val="none"/>
          <w:u w:val="single"/>
        </w:rPr>
        <w:t>3</w:t>
      </w:r>
      <w:r>
        <w:rPr>
          <w:rFonts w:hint="eastAsia" w:ascii="宋体" w:hAnsi="宋体" w:eastAsia="宋体" w:cs="宋体"/>
          <w:color w:val="auto"/>
          <w:sz w:val="24"/>
          <w:highlight w:val="none"/>
        </w:rPr>
        <w:t>种方式对合同价格进行调整：</w:t>
      </w:r>
    </w:p>
    <w:p w14:paraId="5D052A0A">
      <w:pPr>
        <w:spacing w:line="360" w:lineRule="auto"/>
        <w:ind w:firstLine="420"/>
        <w:rPr>
          <w:rFonts w:hint="eastAsia" w:ascii="宋体" w:hAnsi="宋体" w:eastAsia="宋体" w:cs="宋体"/>
          <w:color w:val="auto"/>
          <w:sz w:val="24"/>
          <w:highlight w:val="none"/>
        </w:rPr>
      </w:pPr>
      <w:r>
        <w:rPr>
          <w:rFonts w:hint="eastAsia" w:ascii="宋体" w:hAnsi="宋体" w:eastAsia="宋体" w:cs="宋体"/>
          <w:b/>
          <w:color w:val="auto"/>
          <w:sz w:val="24"/>
          <w:highlight w:val="none"/>
        </w:rPr>
        <w:t>第3种方式</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关于基准价格的约定：按《南宁建设工程造价信息》 202</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年第1</w:t>
      </w:r>
      <w:r>
        <w:rPr>
          <w:rFonts w:hint="eastAsia" w:ascii="宋体" w:hAnsi="宋体" w:eastAsia="宋体" w:cs="宋体"/>
          <w:color w:val="auto"/>
          <w:sz w:val="24"/>
          <w:highlight w:val="none"/>
          <w:u w:val="single"/>
          <w:lang w:val="en-US" w:eastAsia="zh-CN"/>
        </w:rPr>
        <w:t>1</w:t>
      </w:r>
      <w:r>
        <w:rPr>
          <w:rFonts w:hint="eastAsia" w:ascii="宋体" w:hAnsi="宋体" w:eastAsia="宋体" w:cs="宋体"/>
          <w:color w:val="auto"/>
          <w:sz w:val="24"/>
          <w:highlight w:val="none"/>
          <w:u w:val="single"/>
        </w:rPr>
        <w:t>期</w:t>
      </w:r>
      <w:r>
        <w:rPr>
          <w:rFonts w:hint="eastAsia" w:ascii="宋体" w:hAnsi="宋体" w:eastAsia="宋体" w:cs="宋体"/>
          <w:color w:val="auto"/>
          <w:sz w:val="24"/>
          <w:highlight w:val="none"/>
        </w:rPr>
        <w:t>上半月。</w:t>
      </w:r>
    </w:p>
    <w:p w14:paraId="3358ADE0">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①承包人在已标价工程量清单或预算书中载明的材料单价低于基准价格的：合同履行期间材料单价涨幅以基准价格为基础超过</w:t>
      </w:r>
      <w:r>
        <w:rPr>
          <w:rFonts w:hint="eastAsia" w:ascii="宋体" w:hAnsi="宋体" w:eastAsia="宋体" w:cs="宋体"/>
          <w:b/>
          <w:color w:val="auto"/>
          <w:sz w:val="24"/>
          <w:highlight w:val="none"/>
          <w:u w:val="single"/>
        </w:rPr>
        <w:t>10</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时，或材料单价跌幅以已标价工程量清单或预算书中载明材料单价为基础超过</w:t>
      </w:r>
      <w:r>
        <w:rPr>
          <w:rFonts w:hint="eastAsia" w:ascii="宋体" w:hAnsi="宋体" w:eastAsia="宋体" w:cs="宋体"/>
          <w:b/>
          <w:color w:val="auto"/>
          <w:sz w:val="24"/>
          <w:highlight w:val="none"/>
          <w:u w:val="single"/>
        </w:rPr>
        <w:t>10</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时，其超过部分据实调整。</w:t>
      </w:r>
    </w:p>
    <w:p w14:paraId="23130EE4">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②承包人在已标价工程量清单或预算书中载明的材料单价高于基准价格的：合同履行期间材料单价跌幅以基准价格为基础超过</w:t>
      </w:r>
      <w:r>
        <w:rPr>
          <w:rFonts w:hint="eastAsia" w:ascii="宋体" w:hAnsi="宋体" w:eastAsia="宋体" w:cs="宋体"/>
          <w:b/>
          <w:color w:val="auto"/>
          <w:sz w:val="24"/>
          <w:highlight w:val="none"/>
          <w:u w:val="single"/>
        </w:rPr>
        <w:t>10</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时，材料单价涨幅以已标价工程量清单或预算书中载明材料单价为基础超过</w:t>
      </w:r>
      <w:r>
        <w:rPr>
          <w:rFonts w:hint="eastAsia" w:ascii="宋体" w:hAnsi="宋体" w:eastAsia="宋体" w:cs="宋体"/>
          <w:b/>
          <w:color w:val="auto"/>
          <w:sz w:val="24"/>
          <w:highlight w:val="none"/>
          <w:u w:val="single"/>
        </w:rPr>
        <w:t>10</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时，其超过部分据实调整。</w:t>
      </w:r>
    </w:p>
    <w:p w14:paraId="6BCA3DB0">
      <w:pPr>
        <w:spacing w:after="1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③承包人在已标价工程量清单或预算书中载明的材料单价等于基准单价的：合同履行期间材料单价涨跌幅以基准单价为基础超过</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u w:val="single"/>
        </w:rPr>
        <w:t>10</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时，其超过部分据实调整。。</w:t>
      </w:r>
    </w:p>
    <w:bookmarkEnd w:id="733"/>
    <w:bookmarkEnd w:id="734"/>
    <w:bookmarkEnd w:id="735"/>
    <w:bookmarkEnd w:id="736"/>
    <w:bookmarkEnd w:id="737"/>
    <w:bookmarkEnd w:id="738"/>
    <w:p w14:paraId="12139E03">
      <w:pPr>
        <w:keepNext/>
        <w:keepLines/>
        <w:spacing w:before="60" w:after="60" w:line="360" w:lineRule="auto"/>
        <w:outlineLvl w:val="1"/>
        <w:rPr>
          <w:rFonts w:hint="eastAsia" w:ascii="宋体" w:hAnsi="宋体" w:eastAsia="宋体" w:cs="宋体"/>
          <w:b/>
          <w:bCs/>
          <w:color w:val="auto"/>
          <w:kern w:val="0"/>
          <w:sz w:val="24"/>
          <w:highlight w:val="none"/>
          <w:lang w:val="zh-CN"/>
        </w:rPr>
      </w:pPr>
      <w:bookmarkStart w:id="902" w:name="_Toc297120505"/>
      <w:bookmarkStart w:id="903" w:name="_Toc296891033"/>
      <w:bookmarkStart w:id="904" w:name="_Toc296944544"/>
      <w:bookmarkStart w:id="905" w:name="_Toc296503205"/>
      <w:bookmarkStart w:id="906" w:name="_Toc296347204"/>
      <w:bookmarkStart w:id="907" w:name="_Toc292559915"/>
      <w:bookmarkStart w:id="908" w:name="_Toc296346706"/>
      <w:bookmarkStart w:id="909" w:name="_Toc296891245"/>
      <w:bookmarkStart w:id="910" w:name="_Toc292559410"/>
      <w:bookmarkStart w:id="911" w:name="_Toc297048391"/>
      <w:bookmarkStart w:id="912" w:name="_Toc1935657796"/>
      <w:bookmarkStart w:id="913" w:name="_Toc78449837"/>
      <w:bookmarkStart w:id="914" w:name="_Toc373227748"/>
      <w:bookmarkStart w:id="915" w:name="_Toc162971417"/>
      <w:bookmarkStart w:id="916" w:name="_Toc1720046426"/>
      <w:bookmarkStart w:id="917" w:name="_Toc373478395"/>
      <w:bookmarkStart w:id="918" w:name="_Toc407135251"/>
      <w:bookmarkStart w:id="919" w:name="_Toc351203644"/>
      <w:bookmarkStart w:id="920" w:name="_Toc303539159"/>
      <w:bookmarkStart w:id="921" w:name="_Toc297123552"/>
      <w:bookmarkStart w:id="922" w:name="_Toc300935002"/>
      <w:bookmarkStart w:id="923" w:name="_Toc297216211"/>
      <w:bookmarkStart w:id="924" w:name="_Toc304295579"/>
      <w:bookmarkStart w:id="925" w:name="_Toc312678040"/>
      <w:r>
        <w:rPr>
          <w:rFonts w:hint="eastAsia" w:ascii="宋体" w:hAnsi="宋体" w:eastAsia="宋体" w:cs="宋体"/>
          <w:b/>
          <w:bCs/>
          <w:color w:val="auto"/>
          <w:kern w:val="0"/>
          <w:sz w:val="24"/>
          <w:highlight w:val="none"/>
          <w:lang w:val="zh-CN"/>
        </w:rPr>
        <w:t xml:space="preserve">12. </w:t>
      </w:r>
      <w:bookmarkEnd w:id="902"/>
      <w:bookmarkEnd w:id="903"/>
      <w:bookmarkEnd w:id="904"/>
      <w:bookmarkEnd w:id="905"/>
      <w:bookmarkEnd w:id="906"/>
      <w:bookmarkEnd w:id="907"/>
      <w:bookmarkEnd w:id="908"/>
      <w:bookmarkEnd w:id="909"/>
      <w:bookmarkEnd w:id="910"/>
      <w:bookmarkEnd w:id="911"/>
      <w:r>
        <w:rPr>
          <w:rFonts w:hint="eastAsia" w:ascii="宋体" w:hAnsi="宋体" w:eastAsia="宋体" w:cs="宋体"/>
          <w:b/>
          <w:bCs/>
          <w:color w:val="auto"/>
          <w:kern w:val="0"/>
          <w:sz w:val="24"/>
          <w:highlight w:val="none"/>
          <w:lang w:val="zh-CN"/>
        </w:rPr>
        <w:t>合同价格、计量与支付</w:t>
      </w:r>
      <w:bookmarkEnd w:id="912"/>
      <w:bookmarkEnd w:id="913"/>
      <w:bookmarkEnd w:id="914"/>
      <w:bookmarkEnd w:id="915"/>
      <w:bookmarkEnd w:id="916"/>
      <w:bookmarkEnd w:id="917"/>
      <w:bookmarkEnd w:id="918"/>
      <w:bookmarkEnd w:id="919"/>
    </w:p>
    <w:bookmarkEnd w:id="920"/>
    <w:bookmarkEnd w:id="921"/>
    <w:bookmarkEnd w:id="922"/>
    <w:bookmarkEnd w:id="923"/>
    <w:bookmarkEnd w:id="924"/>
    <w:bookmarkEnd w:id="925"/>
    <w:p w14:paraId="3CF0D21D">
      <w:pPr>
        <w:keepNext/>
        <w:keepLines/>
        <w:spacing w:line="360" w:lineRule="auto"/>
        <w:outlineLvl w:val="2"/>
        <w:rPr>
          <w:rFonts w:hint="eastAsia" w:ascii="宋体" w:hAnsi="宋体" w:eastAsia="宋体" w:cs="宋体"/>
          <w:b/>
          <w:bCs/>
          <w:color w:val="auto"/>
          <w:kern w:val="0"/>
          <w:sz w:val="24"/>
          <w:highlight w:val="none"/>
          <w:lang w:val="zh-CN"/>
        </w:rPr>
      </w:pPr>
      <w:bookmarkStart w:id="926" w:name="_Toc292559411"/>
      <w:bookmarkStart w:id="927" w:name="_Toc292559916"/>
      <w:bookmarkStart w:id="928" w:name="_Toc267251461"/>
      <w:bookmarkStart w:id="929" w:name="_Toc296891034"/>
      <w:bookmarkStart w:id="930" w:name="_Toc297048392"/>
      <w:bookmarkStart w:id="931" w:name="_Toc296347205"/>
      <w:bookmarkStart w:id="932" w:name="_Toc296503206"/>
      <w:bookmarkStart w:id="933" w:name="_Toc296944545"/>
      <w:bookmarkStart w:id="934" w:name="_Toc297120506"/>
      <w:bookmarkStart w:id="935" w:name="_Toc296891246"/>
      <w:bookmarkStart w:id="936" w:name="_Toc296346707"/>
      <w:bookmarkStart w:id="937" w:name="_Toc162971418"/>
      <w:bookmarkStart w:id="938" w:name="_Toc1894565429"/>
      <w:bookmarkStart w:id="939" w:name="_Toc389065314"/>
      <w:bookmarkStart w:id="940" w:name="_Toc78449838"/>
      <w:bookmarkStart w:id="941" w:name="_Toc1395756356"/>
      <w:bookmarkStart w:id="942" w:name="_Toc373478396"/>
      <w:bookmarkStart w:id="943" w:name="_Toc373227749"/>
      <w:bookmarkStart w:id="944" w:name="_Toc407135252"/>
      <w:bookmarkStart w:id="945" w:name="_Toc304295580"/>
      <w:bookmarkStart w:id="946" w:name="_Toc312678041"/>
      <w:bookmarkStart w:id="947" w:name="_Toc303539160"/>
      <w:bookmarkStart w:id="948" w:name="_Toc300935003"/>
      <w:bookmarkStart w:id="949" w:name="_Toc297216212"/>
      <w:bookmarkStart w:id="950" w:name="_Toc297123553"/>
      <w:r>
        <w:rPr>
          <w:rFonts w:hint="eastAsia" w:ascii="宋体" w:hAnsi="宋体" w:eastAsia="宋体" w:cs="宋体"/>
          <w:b/>
          <w:bCs/>
          <w:color w:val="auto"/>
          <w:kern w:val="0"/>
          <w:sz w:val="24"/>
          <w:highlight w:val="none"/>
          <w:lang w:val="zh-CN"/>
        </w:rPr>
        <w:t>12.1 合</w:t>
      </w:r>
      <w:bookmarkEnd w:id="926"/>
      <w:bookmarkEnd w:id="927"/>
      <w:bookmarkEnd w:id="928"/>
      <w:r>
        <w:rPr>
          <w:rFonts w:hint="eastAsia" w:ascii="宋体" w:hAnsi="宋体" w:eastAsia="宋体" w:cs="宋体"/>
          <w:b/>
          <w:bCs/>
          <w:color w:val="auto"/>
          <w:kern w:val="0"/>
          <w:sz w:val="24"/>
          <w:highlight w:val="none"/>
          <w:lang w:val="zh-CN"/>
        </w:rPr>
        <w:t>同价</w:t>
      </w:r>
      <w:bookmarkEnd w:id="929"/>
      <w:bookmarkEnd w:id="930"/>
      <w:bookmarkEnd w:id="931"/>
      <w:bookmarkEnd w:id="932"/>
      <w:bookmarkEnd w:id="933"/>
      <w:bookmarkEnd w:id="934"/>
      <w:bookmarkEnd w:id="935"/>
      <w:bookmarkEnd w:id="936"/>
      <w:r>
        <w:rPr>
          <w:rFonts w:hint="eastAsia" w:ascii="宋体" w:hAnsi="宋体" w:eastAsia="宋体" w:cs="宋体"/>
          <w:b/>
          <w:bCs/>
          <w:color w:val="auto"/>
          <w:kern w:val="0"/>
          <w:sz w:val="24"/>
          <w:highlight w:val="none"/>
          <w:lang w:val="zh-CN"/>
        </w:rPr>
        <w:t>格形式</w:t>
      </w:r>
      <w:bookmarkEnd w:id="937"/>
      <w:bookmarkEnd w:id="938"/>
      <w:bookmarkEnd w:id="939"/>
      <w:bookmarkEnd w:id="940"/>
      <w:bookmarkEnd w:id="941"/>
      <w:bookmarkEnd w:id="942"/>
      <w:bookmarkEnd w:id="943"/>
      <w:bookmarkEnd w:id="944"/>
    </w:p>
    <w:bookmarkEnd w:id="945"/>
    <w:bookmarkEnd w:id="946"/>
    <w:bookmarkEnd w:id="947"/>
    <w:bookmarkEnd w:id="948"/>
    <w:bookmarkEnd w:id="949"/>
    <w:bookmarkEnd w:id="950"/>
    <w:p w14:paraId="1E941C37">
      <w:pPr>
        <w:spacing w:line="360" w:lineRule="auto"/>
        <w:ind w:firstLine="480" w:firstLineChars="200"/>
        <w:jc w:val="left"/>
        <w:rPr>
          <w:rFonts w:hint="eastAsia" w:ascii="宋体" w:hAnsi="宋体" w:eastAsia="宋体" w:cs="宋体"/>
          <w:color w:val="auto"/>
          <w:sz w:val="24"/>
          <w:highlight w:val="none"/>
        </w:rPr>
      </w:pPr>
      <w:bookmarkStart w:id="951" w:name="_Toc373227750"/>
      <w:bookmarkStart w:id="952" w:name="_Toc373478397"/>
      <w:bookmarkStart w:id="953" w:name="_Toc389065315"/>
      <w:bookmarkStart w:id="954" w:name="_Toc297216213"/>
      <w:bookmarkStart w:id="955" w:name="_Toc304295581"/>
      <w:bookmarkStart w:id="956" w:name="_Toc297123554"/>
      <w:bookmarkStart w:id="957" w:name="_Toc303539161"/>
      <w:bookmarkStart w:id="958" w:name="_Toc312678042"/>
      <w:bookmarkStart w:id="959" w:name="_Toc300935004"/>
      <w:bookmarkStart w:id="960" w:name="_Toc296346708"/>
      <w:bookmarkStart w:id="961" w:name="_Toc296347206"/>
      <w:bookmarkStart w:id="962" w:name="_Toc297048393"/>
      <w:bookmarkStart w:id="963" w:name="_Toc292559412"/>
      <w:bookmarkStart w:id="964" w:name="_Toc297120507"/>
      <w:bookmarkStart w:id="965" w:name="_Toc296891035"/>
      <w:bookmarkStart w:id="966" w:name="_Toc296944546"/>
      <w:bookmarkStart w:id="967" w:name="_Toc296891247"/>
      <w:bookmarkStart w:id="968" w:name="_Toc292559917"/>
      <w:bookmarkStart w:id="969" w:name="_Toc296503207"/>
      <w:r>
        <w:rPr>
          <w:rFonts w:hint="eastAsia" w:ascii="宋体" w:hAnsi="宋体" w:eastAsia="宋体" w:cs="宋体"/>
          <w:color w:val="auto"/>
          <w:sz w:val="24"/>
          <w:highlight w:val="none"/>
        </w:rPr>
        <w:t>本工程采用</w:t>
      </w:r>
      <w:r>
        <w:rPr>
          <w:rFonts w:hint="eastAsia" w:ascii="宋体" w:hAnsi="宋体" w:eastAsia="宋体" w:cs="宋体"/>
          <w:color w:val="auto"/>
          <w:sz w:val="24"/>
          <w:highlight w:val="none"/>
          <w:u w:val="single"/>
        </w:rPr>
        <w:t xml:space="preserve">  固定综合单价 </w:t>
      </w:r>
      <w:r>
        <w:rPr>
          <w:rFonts w:hint="eastAsia" w:ascii="宋体" w:hAnsi="宋体" w:eastAsia="宋体" w:cs="宋体"/>
          <w:color w:val="auto"/>
          <w:sz w:val="24"/>
          <w:highlight w:val="none"/>
        </w:rPr>
        <w:t>合同价格形式，合同价格包含增值税，本工程计价时采用的增值税计税方法为：☑一般计税法□简易计税法。</w:t>
      </w:r>
    </w:p>
    <w:p w14:paraId="40B938B5">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采用综合单价合同方式时，工程量按建设单位、监理单位、施工单位三方确认的与实际相符的竣工图结算。如发现竣工图与实际不符，按不利于施工单位的原则结算</w:t>
      </w:r>
      <w:r>
        <w:rPr>
          <w:rFonts w:hint="eastAsia" w:ascii="宋体" w:hAnsi="宋体" w:eastAsia="宋体" w:cs="宋体"/>
          <w:color w:val="auto"/>
          <w:sz w:val="24"/>
          <w:highlight w:val="none"/>
        </w:rPr>
        <w:t>。</w:t>
      </w:r>
    </w:p>
    <w:p w14:paraId="589FD5BA">
      <w:pPr>
        <w:numPr>
          <w:ilvl w:val="0"/>
          <w:numId w:val="5"/>
        </w:numPr>
        <w:tabs>
          <w:tab w:val="left" w:pos="0"/>
        </w:tabs>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固定综合单价包含的风险范围：</w:t>
      </w:r>
      <w:r>
        <w:rPr>
          <w:rFonts w:hint="eastAsia" w:ascii="宋体" w:hAnsi="宋体" w:eastAsia="宋体" w:cs="宋体"/>
          <w:color w:val="auto"/>
          <w:sz w:val="24"/>
          <w:highlight w:val="none"/>
          <w:u w:val="single"/>
        </w:rPr>
        <w:t>除工程变更、项目特征不符、工程量清单缺项、工程量偏差、政策性调整、市场价格波动以外的其他风险</w:t>
      </w:r>
      <w:r>
        <w:rPr>
          <w:rFonts w:hint="eastAsia" w:ascii="宋体" w:hAnsi="宋体" w:eastAsia="宋体" w:cs="宋体"/>
          <w:color w:val="auto"/>
          <w:sz w:val="24"/>
          <w:highlight w:val="none"/>
        </w:rPr>
        <w:t>。</w:t>
      </w:r>
    </w:p>
    <w:p w14:paraId="79DFC7CF">
      <w:pPr>
        <w:numPr>
          <w:ilvl w:val="0"/>
          <w:numId w:val="5"/>
        </w:num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风险费用的计算方法：</w:t>
      </w:r>
      <w:r>
        <w:rPr>
          <w:rFonts w:hint="eastAsia" w:ascii="宋体" w:hAnsi="宋体" w:eastAsia="宋体" w:cs="宋体"/>
          <w:color w:val="auto"/>
          <w:sz w:val="24"/>
          <w:highlight w:val="none"/>
          <w:u w:val="single"/>
        </w:rPr>
        <w:t>单价采用固定综合单价，风险费用已综合考虑在单价中</w:t>
      </w:r>
      <w:r>
        <w:rPr>
          <w:rFonts w:hint="eastAsia" w:ascii="宋体" w:hAnsi="宋体" w:eastAsia="宋体" w:cs="宋体"/>
          <w:color w:val="auto"/>
          <w:sz w:val="24"/>
          <w:highlight w:val="none"/>
        </w:rPr>
        <w:t>。</w:t>
      </w:r>
    </w:p>
    <w:p w14:paraId="3285ADD8">
      <w:pPr>
        <w:numPr>
          <w:ilvl w:val="0"/>
          <w:numId w:val="5"/>
        </w:num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风险范围以外合同价款调整方法：</w:t>
      </w:r>
    </w:p>
    <w:p w14:paraId="4BA6EB27">
      <w:pPr>
        <w:tabs>
          <w:tab w:val="left" w:pos="-380"/>
        </w:tabs>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（1）工程变更、项目特征不符、工程量清单缺项：按10.4.1变更估价原则的约定调整。</w:t>
      </w:r>
    </w:p>
    <w:p w14:paraId="0BD68A9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（2）工程量偏差：按1.13工程量清单错误修正的约定调整。</w:t>
      </w:r>
    </w:p>
    <w:p w14:paraId="7BA73B0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政策性调整：本项目招标控制价执行2013《广西壮族自治区建筑装饰装修工程消耗量定额》、2015年《广西壮族自治区安装工程消耗量定额》、2014年《广西壮族自治区市政消耗量定额》、2013年《广西壮族自治区园林工程消耗量定额》及其配套费用定额。结算时不因国家和自治区政策性费用标准及消耗量定额进行调整。</w:t>
      </w:r>
    </w:p>
    <w:p w14:paraId="66A9923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（4）市场波动引起的调整：按11.1的约定调整。</w:t>
      </w:r>
    </w:p>
    <w:p w14:paraId="13D6306F">
      <w:pPr>
        <w:keepNext/>
        <w:keepLines/>
        <w:spacing w:line="360" w:lineRule="auto"/>
        <w:outlineLvl w:val="2"/>
        <w:rPr>
          <w:rFonts w:hint="eastAsia" w:ascii="宋体" w:hAnsi="宋体" w:eastAsia="宋体" w:cs="宋体"/>
          <w:b/>
          <w:bCs/>
          <w:color w:val="auto"/>
          <w:kern w:val="0"/>
          <w:sz w:val="24"/>
          <w:highlight w:val="none"/>
          <w:lang w:val="zh-CN"/>
        </w:rPr>
      </w:pPr>
      <w:bookmarkStart w:id="970" w:name="_Toc407135253"/>
      <w:bookmarkStart w:id="971" w:name="_Toc1338560546"/>
      <w:bookmarkStart w:id="972" w:name="_Toc1681900246"/>
      <w:bookmarkStart w:id="973" w:name="_Toc78449839"/>
      <w:bookmarkStart w:id="974" w:name="_Toc162971419"/>
      <w:r>
        <w:rPr>
          <w:rFonts w:hint="eastAsia" w:ascii="宋体" w:hAnsi="宋体" w:eastAsia="宋体" w:cs="宋体"/>
          <w:b/>
          <w:bCs/>
          <w:color w:val="auto"/>
          <w:kern w:val="0"/>
          <w:sz w:val="24"/>
          <w:highlight w:val="none"/>
          <w:lang w:val="zh-CN"/>
        </w:rPr>
        <w:t>12.2 预付款</w:t>
      </w:r>
      <w:bookmarkEnd w:id="951"/>
      <w:bookmarkEnd w:id="952"/>
      <w:bookmarkEnd w:id="953"/>
      <w:bookmarkEnd w:id="970"/>
      <w:bookmarkEnd w:id="971"/>
      <w:bookmarkEnd w:id="972"/>
      <w:bookmarkEnd w:id="973"/>
      <w:bookmarkEnd w:id="974"/>
    </w:p>
    <w:bookmarkEnd w:id="954"/>
    <w:bookmarkEnd w:id="955"/>
    <w:bookmarkEnd w:id="956"/>
    <w:bookmarkEnd w:id="957"/>
    <w:bookmarkEnd w:id="958"/>
    <w:bookmarkEnd w:id="959"/>
    <w:p w14:paraId="4A8944F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12.2.1 预付款的支付</w:t>
      </w:r>
    </w:p>
    <w:p w14:paraId="1E5E610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预付款支付比例或金额：无。</w:t>
      </w:r>
    </w:p>
    <w:p w14:paraId="29F526E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预付款支付期限：无。</w:t>
      </w:r>
    </w:p>
    <w:p w14:paraId="4837894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预付款扣回的方式：无。</w:t>
      </w:r>
    </w:p>
    <w:p w14:paraId="247FF0DC">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12.2.2 预付款担保</w:t>
      </w:r>
    </w:p>
    <w:p w14:paraId="32558335">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承包人提交预付款担保的期限：</w:t>
      </w:r>
      <w:r>
        <w:rPr>
          <w:rFonts w:hint="eastAsia" w:ascii="宋体" w:hAnsi="宋体" w:eastAsia="宋体" w:cs="宋体"/>
          <w:color w:val="auto"/>
          <w:sz w:val="24"/>
          <w:highlight w:val="none"/>
          <w:u w:val="single"/>
        </w:rPr>
        <w:t>无</w:t>
      </w:r>
      <w:r>
        <w:rPr>
          <w:rFonts w:hint="eastAsia" w:ascii="宋体" w:hAnsi="宋体" w:eastAsia="宋体" w:cs="宋体"/>
          <w:color w:val="auto"/>
          <w:sz w:val="24"/>
          <w:highlight w:val="none"/>
        </w:rPr>
        <w:t>。</w:t>
      </w:r>
    </w:p>
    <w:p w14:paraId="4BC0BFFE">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预付款担保的形式为：无。</w:t>
      </w:r>
    </w:p>
    <w:p w14:paraId="28CC614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预付款担保格式见合同附件8。预付款支付申请（核准）表见合同附件10。</w:t>
      </w:r>
    </w:p>
    <w:bookmarkEnd w:id="960"/>
    <w:bookmarkEnd w:id="961"/>
    <w:bookmarkEnd w:id="962"/>
    <w:bookmarkEnd w:id="963"/>
    <w:bookmarkEnd w:id="964"/>
    <w:bookmarkEnd w:id="965"/>
    <w:bookmarkEnd w:id="966"/>
    <w:bookmarkEnd w:id="967"/>
    <w:bookmarkEnd w:id="968"/>
    <w:bookmarkEnd w:id="969"/>
    <w:p w14:paraId="33413E2C">
      <w:pPr>
        <w:keepNext/>
        <w:keepLines/>
        <w:spacing w:line="360" w:lineRule="auto"/>
        <w:outlineLvl w:val="2"/>
        <w:rPr>
          <w:rFonts w:hint="eastAsia" w:ascii="宋体" w:hAnsi="宋体" w:eastAsia="宋体" w:cs="宋体"/>
          <w:b/>
          <w:bCs/>
          <w:color w:val="auto"/>
          <w:kern w:val="0"/>
          <w:sz w:val="24"/>
          <w:highlight w:val="none"/>
          <w:lang w:val="zh-CN"/>
        </w:rPr>
      </w:pPr>
      <w:bookmarkStart w:id="975" w:name="_Toc373478398"/>
      <w:bookmarkStart w:id="976" w:name="_Toc1494831447"/>
      <w:bookmarkStart w:id="977" w:name="_Toc78449840"/>
      <w:bookmarkStart w:id="978" w:name="_Toc407135254"/>
      <w:bookmarkStart w:id="979" w:name="_Toc1307224940"/>
      <w:bookmarkStart w:id="980" w:name="_Toc389065316"/>
      <w:bookmarkStart w:id="981" w:name="_Toc373227751"/>
      <w:bookmarkStart w:id="982" w:name="_Toc162971420"/>
      <w:r>
        <w:rPr>
          <w:rFonts w:hint="eastAsia" w:ascii="宋体" w:hAnsi="宋体" w:eastAsia="宋体" w:cs="宋体"/>
          <w:b/>
          <w:bCs/>
          <w:color w:val="auto"/>
          <w:kern w:val="0"/>
          <w:sz w:val="24"/>
          <w:highlight w:val="none"/>
          <w:lang w:val="zh-CN"/>
        </w:rPr>
        <w:t>12.3 计量</w:t>
      </w:r>
      <w:bookmarkEnd w:id="975"/>
      <w:bookmarkEnd w:id="976"/>
      <w:bookmarkEnd w:id="977"/>
      <w:bookmarkEnd w:id="978"/>
      <w:bookmarkEnd w:id="979"/>
      <w:bookmarkEnd w:id="980"/>
      <w:bookmarkEnd w:id="981"/>
      <w:bookmarkEnd w:id="982"/>
    </w:p>
    <w:p w14:paraId="5364FA9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12.3.1 计量原则</w:t>
      </w:r>
    </w:p>
    <w:p w14:paraId="7CCBA99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工程量计算规则：</w:t>
      </w:r>
      <w:r>
        <w:rPr>
          <w:rFonts w:hint="eastAsia" w:ascii="宋体" w:hAnsi="宋体" w:eastAsia="宋体" w:cs="宋体"/>
          <w:color w:val="auto"/>
          <w:sz w:val="24"/>
          <w:highlight w:val="none"/>
          <w:u w:val="single"/>
        </w:rPr>
        <w:t>工程的计量均以《建设工程工程量清单计价规范》（GB50500－2013）及广西壮族自治区实施细则、《建设工程工程量清单计算规范》（GB50854~50862－2013）及广西实施细则、本工程补充项目清单为准</w:t>
      </w:r>
      <w:r>
        <w:rPr>
          <w:rFonts w:hint="eastAsia" w:ascii="宋体" w:hAnsi="宋体" w:eastAsia="宋体" w:cs="宋体"/>
          <w:color w:val="auto"/>
          <w:sz w:val="24"/>
          <w:highlight w:val="none"/>
        </w:rPr>
        <w:t>。</w:t>
      </w:r>
    </w:p>
    <w:p w14:paraId="692DC2C5">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12.3.2 计量周期</w:t>
      </w:r>
    </w:p>
    <w:p w14:paraId="258ACFF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关于计量周期的约定：按通用条款执行。</w:t>
      </w:r>
    </w:p>
    <w:p w14:paraId="7DAB798C">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12.3.3 单价合同的计量</w:t>
      </w:r>
    </w:p>
    <w:p w14:paraId="069828B1">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关于单价合同计量的约定：按通用条款执行，但监理人未及时审核承包人提交的工程量报表时，可以暂按该报表计算工程价款，但监理人或发包人仍有权对报表中的工程量进行审核。</w:t>
      </w:r>
    </w:p>
    <w:p w14:paraId="321516BA">
      <w:pPr>
        <w:spacing w:line="360" w:lineRule="auto"/>
        <w:ind w:firstLine="441"/>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工程量按建设单位、监理单位、施工单位三方确认的与实际相符的竣工图结算。如发现竣工图与实际不符，按不利于施工单位的原则结算。</w:t>
      </w:r>
    </w:p>
    <w:p w14:paraId="066F9DF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 除另有规定外，工程师应按照合同通过计量来核实确定已完成的工程量和价值，承包人应得到该价值扣除保留金后的价款。当工程师要对已完工的工程量进行计量时，应适时地通知承包人参加。</w:t>
      </w:r>
    </w:p>
    <w:p w14:paraId="240A4E77">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12.3.4 总价合同的计量</w:t>
      </w:r>
    </w:p>
    <w:p w14:paraId="4C9943C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（1）总价合同计量约定：进度款按支付分解表支付</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支付分解表在招标完成后签合同之前制定，具体详见本专用合同条款12.4.6。</w:t>
      </w:r>
    </w:p>
    <w:p w14:paraId="7BA217F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12.3.6 其他价格形式合同的计量</w:t>
      </w:r>
    </w:p>
    <w:p w14:paraId="13C39E39">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其他价格形式的计量方式和程序：</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56D3FBDF">
      <w:pPr>
        <w:keepNext/>
        <w:keepLines/>
        <w:spacing w:line="360" w:lineRule="auto"/>
        <w:outlineLvl w:val="2"/>
        <w:rPr>
          <w:rFonts w:hint="eastAsia" w:ascii="宋体" w:hAnsi="宋体" w:eastAsia="宋体" w:cs="宋体"/>
          <w:b/>
          <w:bCs/>
          <w:color w:val="auto"/>
          <w:kern w:val="0"/>
          <w:sz w:val="24"/>
          <w:highlight w:val="none"/>
          <w:lang w:val="zh-CN"/>
        </w:rPr>
      </w:pPr>
      <w:bookmarkStart w:id="983" w:name="_Toc1155368667"/>
      <w:bookmarkStart w:id="984" w:name="_Toc1711431123"/>
      <w:bookmarkStart w:id="985" w:name="_Toc162971422"/>
      <w:bookmarkStart w:id="986" w:name="_Toc78449841"/>
      <w:bookmarkStart w:id="987" w:name="_Toc389065317"/>
      <w:bookmarkStart w:id="988" w:name="_Toc373227752"/>
      <w:bookmarkStart w:id="989" w:name="_Toc407135255"/>
      <w:bookmarkStart w:id="990" w:name="_Toc373478399"/>
      <w:r>
        <w:rPr>
          <w:rFonts w:hint="eastAsia" w:ascii="宋体" w:hAnsi="宋体" w:eastAsia="宋体" w:cs="宋体"/>
          <w:b/>
          <w:bCs/>
          <w:color w:val="auto"/>
          <w:kern w:val="0"/>
          <w:sz w:val="24"/>
          <w:highlight w:val="none"/>
          <w:lang w:val="zh-CN"/>
        </w:rPr>
        <w:t>12.4 工程进度款支付</w:t>
      </w:r>
      <w:bookmarkEnd w:id="983"/>
      <w:bookmarkEnd w:id="984"/>
      <w:bookmarkEnd w:id="985"/>
      <w:bookmarkEnd w:id="986"/>
      <w:bookmarkEnd w:id="987"/>
      <w:bookmarkEnd w:id="988"/>
      <w:bookmarkEnd w:id="989"/>
      <w:bookmarkEnd w:id="990"/>
    </w:p>
    <w:p w14:paraId="2CE6A48F">
      <w:pPr>
        <w:spacing w:line="360" w:lineRule="auto"/>
        <w:ind w:firstLine="480" w:firstLineChars="200"/>
        <w:rPr>
          <w:rFonts w:hint="eastAsia" w:ascii="宋体" w:hAnsi="宋体" w:eastAsia="宋体" w:cs="宋体"/>
          <w:color w:val="auto"/>
          <w:sz w:val="24"/>
          <w:highlight w:val="none"/>
          <w:u w:val="single"/>
        </w:rPr>
      </w:pPr>
      <w:bookmarkStart w:id="991" w:name="_Toc297123556"/>
      <w:bookmarkStart w:id="992" w:name="_Toc292559921"/>
      <w:bookmarkStart w:id="993" w:name="_Toc296944550"/>
      <w:bookmarkStart w:id="994" w:name="_Toc296891039"/>
      <w:bookmarkStart w:id="995" w:name="_Toc297048397"/>
      <w:bookmarkStart w:id="996" w:name="_Toc296503211"/>
      <w:bookmarkStart w:id="997" w:name="_Toc296347210"/>
      <w:bookmarkStart w:id="998" w:name="_Toc296891251"/>
      <w:bookmarkStart w:id="999" w:name="_Toc300935006"/>
      <w:bookmarkStart w:id="1000" w:name="_Toc303539163"/>
      <w:bookmarkStart w:id="1001" w:name="_Toc297216215"/>
      <w:bookmarkStart w:id="1002" w:name="_Toc292559416"/>
      <w:bookmarkStart w:id="1003" w:name="_Toc297120511"/>
      <w:bookmarkStart w:id="1004" w:name="_Toc296346712"/>
      <w:r>
        <w:rPr>
          <w:rFonts w:hint="eastAsia" w:ascii="宋体" w:hAnsi="宋体" w:eastAsia="宋体" w:cs="宋体"/>
          <w:color w:val="auto"/>
          <w:sz w:val="24"/>
          <w:highlight w:val="none"/>
        </w:rPr>
        <w:t>12.4.1 付款周期</w:t>
      </w:r>
    </w:p>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p w14:paraId="3DCAD76B">
      <w:pPr>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①</w:t>
      </w:r>
      <w:r>
        <w:rPr>
          <w:rFonts w:hint="eastAsia" w:ascii="宋体" w:hAnsi="宋体" w:eastAsia="宋体" w:cs="宋体"/>
          <w:color w:val="auto"/>
          <w:kern w:val="0"/>
          <w:sz w:val="24"/>
          <w:highlight w:val="none"/>
        </w:rPr>
        <w:t>工程款原则上按月支付，合同内按工程计量周期内完成、并经发包人核定的工程量的</w:t>
      </w:r>
      <w:r>
        <w:rPr>
          <w:rFonts w:hint="eastAsia" w:ascii="宋体" w:hAnsi="宋体" w:eastAsia="宋体" w:cs="宋体"/>
          <w:color w:val="auto"/>
          <w:kern w:val="0"/>
          <w:sz w:val="24"/>
          <w:highlight w:val="none"/>
          <w:u w:val="single"/>
        </w:rPr>
        <w:t>80%</w:t>
      </w:r>
      <w:r>
        <w:rPr>
          <w:rFonts w:hint="eastAsia" w:ascii="宋体" w:hAnsi="宋体" w:eastAsia="宋体" w:cs="宋体"/>
          <w:color w:val="auto"/>
          <w:kern w:val="0"/>
          <w:sz w:val="24"/>
          <w:highlight w:val="none"/>
        </w:rPr>
        <w:t>支付，合同外按工程计量周期完成、并经发包人核定的工程量的</w:t>
      </w:r>
      <w:r>
        <w:rPr>
          <w:rFonts w:hint="eastAsia" w:ascii="宋体" w:hAnsi="宋体" w:eastAsia="宋体" w:cs="宋体"/>
          <w:color w:val="auto"/>
          <w:kern w:val="0"/>
          <w:sz w:val="24"/>
          <w:highlight w:val="none"/>
          <w:u w:val="single"/>
        </w:rPr>
        <w:t>60%</w:t>
      </w:r>
      <w:r>
        <w:rPr>
          <w:rFonts w:hint="eastAsia" w:ascii="宋体" w:hAnsi="宋体" w:eastAsia="宋体" w:cs="宋体"/>
          <w:color w:val="auto"/>
          <w:kern w:val="0"/>
          <w:sz w:val="24"/>
          <w:highlight w:val="none"/>
        </w:rPr>
        <w:t xml:space="preserve">支付。 </w:t>
      </w:r>
    </w:p>
    <w:p w14:paraId="194109A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②工程完工验收达到质量要求，按项目已完成工程量后支付至合同价85</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，竣工验收通过后支付至合同价97</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，合同外的变更签证工程量按工程计量当期完成、并经发包人核定的工程量的60</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支付，审计结算后支付至项目审定结算价的97%，审定结算价的3%作为项目质量保证金。</w:t>
      </w:r>
    </w:p>
    <w:p w14:paraId="124BB463">
      <w:pPr>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③发包人向承包人支付每一笔工程款前，承包人需提前向发包人开具与当期待支付工程款等额的合法有效的增值税普通发票（发票载明的销售方应为承包人）。</w:t>
      </w:r>
    </w:p>
    <w:p w14:paraId="4F49579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发包人开票信息如下：</w:t>
      </w:r>
    </w:p>
    <w:p w14:paraId="673BFC0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统一社会信用代码：12450000498500618J </w:t>
      </w:r>
    </w:p>
    <w:p w14:paraId="2A29378C">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单位名称：广西壮族自治区人民医院 </w:t>
      </w:r>
    </w:p>
    <w:p w14:paraId="7BA845E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开户行：中国银行南宁市桃源支行 </w:t>
      </w:r>
    </w:p>
    <w:p w14:paraId="46C63CF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账号：621057485137 </w:t>
      </w:r>
    </w:p>
    <w:p w14:paraId="27A05D8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货物或应税劳务、服务名称：需要注明项目名称 </w:t>
      </w:r>
    </w:p>
    <w:p w14:paraId="78FAEE8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地址：南宁市青秀区桃源路 6 号 </w:t>
      </w:r>
    </w:p>
    <w:p w14:paraId="159BABB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电话：0771-2614012</w:t>
      </w:r>
    </w:p>
    <w:p w14:paraId="69EC9CB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未按约提供真实、有效、合法的正式发票的，应当向发包人补开合法发票，在承包人补开合法发票前，发包人有权拒绝向承包人支付预付款或进度款且无需承担任何违约责任。同时，发包人有权要求承包人支付相当于承包人应开发票票面金额一倍的违约金。</w:t>
      </w:r>
    </w:p>
    <w:p w14:paraId="7F97CBA7">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12.4.2 进度付款申请单的编制 </w:t>
      </w:r>
    </w:p>
    <w:p w14:paraId="12219F2B">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关于进度付款申请单编制的约定：按每月实际完成的施工进度提交已完工程量的月报表, 作为工程价款支付的依据。</w:t>
      </w:r>
      <w:r>
        <w:rPr>
          <w:rFonts w:hint="eastAsia" w:ascii="宋体" w:hAnsi="宋体" w:eastAsia="宋体" w:cs="宋体"/>
          <w:color w:val="auto"/>
          <w:sz w:val="24"/>
          <w:highlight w:val="none"/>
          <w:u w:val="single"/>
        </w:rPr>
        <w:t>按发包人要求版本进行编制</w:t>
      </w:r>
      <w:r>
        <w:rPr>
          <w:rFonts w:hint="eastAsia" w:ascii="宋体" w:hAnsi="宋体" w:eastAsia="宋体" w:cs="宋体"/>
          <w:color w:val="auto"/>
          <w:sz w:val="24"/>
          <w:highlight w:val="none"/>
        </w:rPr>
        <w:t>。</w:t>
      </w:r>
    </w:p>
    <w:p w14:paraId="2600F08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12.4.3 进度付款申请单的提交</w:t>
      </w:r>
    </w:p>
    <w:p w14:paraId="20C9B88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合同进度付款申请单提交的约定：承包人向发包人提交进度付款申请单，承包人应向发包人提供以下资料：①《工程款支付证书》；②工程量计量报表；③合同复印件；④形象进度说明⑤承包人必须按监理单位的监理通知要求的内容、时间及时整改有关工程质量、进度、资料、安全文明施工方面的问题，整改完成后及时将整改情况逐条答复监理单位。经监理单位确认的整改情况作为当期工程款支付的要件；⑥发包人财务部门出具的转款明细单；⑦与当期待支付工程款等额的增值税普通发票（若经发包人或相关主管部门发现承包人提交的发票为无效发票或假发票的，视为承包人同意发包人延迟支付当次工程款，直至承包人向发包人重新提交有效的正式发票后七个工作日止，同时承包人向发包人支付与发票面额等额的违约金，并承担由此造成的一切责任及损失），；以上资料不全时，承包人同意按计划继续施工并同意发包人暂不支付相应的工程款。在下次工程款拨付时，前一期发票未报账的，发包人有权拒绝支付。承包人向发包人提供的工程发票必须是合法有效的正式发票。</w:t>
      </w:r>
    </w:p>
    <w:p w14:paraId="37C81DD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12.4.4 进度款审核和支付</w:t>
      </w:r>
    </w:p>
    <w:p w14:paraId="2D6CD92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（1）监理人审查并报送发包人的期限：收到承包人相关资料后7天内完成审查并报送发包人。</w:t>
      </w:r>
    </w:p>
    <w:p w14:paraId="0C8069C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发包人完成审批并签发进度款支付证书的期限： 在收到完整且合格的进度款申请资料后30个工作日。（由于承包人请款资料不齐全或其他原因使发包人审核进度延缓或者停止，则发包人完成审批并签发进度款支付证书的时间相应顺延。）</w:t>
      </w:r>
    </w:p>
    <w:p w14:paraId="0B88A22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（2）发包人支付进度款的期限：发包人完成审批并签发进度款支付证书之日起25个工作日内。</w:t>
      </w:r>
    </w:p>
    <w:p w14:paraId="678F28B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发包人逾期支付进度款的违约金的计算方式： 无。</w:t>
      </w:r>
    </w:p>
    <w:p w14:paraId="48EA71D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进度款支付方式：银行转账。</w:t>
      </w:r>
    </w:p>
    <w:p w14:paraId="54EC5CB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 农民工工资支付</w:t>
      </w:r>
    </w:p>
    <w:p w14:paraId="31D045E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r>
        <w:rPr>
          <w:rFonts w:hint="eastAsia" w:ascii="宋体" w:hAnsi="宋体" w:eastAsia="宋体" w:cs="宋体"/>
          <w:color w:val="auto"/>
          <w:sz w:val="24"/>
          <w:highlight w:val="none"/>
        </w:rPr>
        <w:t>承包人在中标后7个工作日内，按南宁市住房和城乡建设局（各市住房城乡建设行政主管部门）规定将农民工工资保证金存入账户。工程竣工验收结算经审定后，按照规定程序，将农民工工资保证金没有使用或剩余的金额退还给承包人。</w:t>
      </w:r>
    </w:p>
    <w:p w14:paraId="3B7D10D8">
      <w:pPr>
        <w:spacing w:line="360" w:lineRule="auto"/>
        <w:ind w:firstLine="600" w:firstLineChars="2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人工费应与工程进度款分账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账出来的人工费转入承包人农民工工资支付专用账户，转入农民工工资支付专用账户环节必须有银行流水凭证。</w:t>
      </w:r>
    </w:p>
    <w:p w14:paraId="7BDB2AFB">
      <w:pPr>
        <w:spacing w:line="360" w:lineRule="auto"/>
        <w:ind w:firstLine="600" w:firstLineChars="2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3）发包人依据工程进度，审核承包人申报的工程进度款，按照与承包人约定的人工费支付比例</w:t>
      </w:r>
      <w:r>
        <w:rPr>
          <w:rFonts w:hint="eastAsia" w:ascii="宋体" w:hAnsi="宋体" w:eastAsia="宋体" w:cs="宋体"/>
          <w:color w:val="auto"/>
          <w:kern w:val="0"/>
          <w:sz w:val="24"/>
          <w:highlight w:val="none"/>
          <w:u w:val="single"/>
        </w:rPr>
        <w:t>20%</w:t>
      </w:r>
      <w:r>
        <w:rPr>
          <w:rFonts w:hint="eastAsia" w:ascii="宋体" w:hAnsi="宋体" w:eastAsia="宋体" w:cs="宋体"/>
          <w:color w:val="auto"/>
          <w:kern w:val="0"/>
          <w:sz w:val="24"/>
          <w:highlight w:val="none"/>
        </w:rPr>
        <w:t>（房建项目不少于20%，市政项目不少于15%），将人工费及时足额拨付至承包人的农民工工资专用账户，其余工程进度款项由发包人支付到承包人的单位基本户。</w:t>
      </w:r>
    </w:p>
    <w:p w14:paraId="68A910C0">
      <w:pPr>
        <w:spacing w:line="360" w:lineRule="auto"/>
        <w:ind w:firstLine="600" w:firstLineChars="2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596CC763">
      <w:pPr>
        <w:spacing w:line="360" w:lineRule="auto"/>
        <w:ind w:firstLine="600" w:firstLineChars="2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5）凡未向付款单位提供农民工工资专用账户的，或者请款单位在申请工程进度款时未将人工费单列的，付款单位有权拒绝支付工程进度款。</w:t>
      </w:r>
    </w:p>
    <w:p w14:paraId="15E2D94B">
      <w:pPr>
        <w:spacing w:line="360" w:lineRule="auto"/>
        <w:ind w:firstLine="600" w:firstLineChars="2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6）人工费使用要求：专款专用，除发放农民工工资外，不得用于其他用途。</w:t>
      </w:r>
    </w:p>
    <w:p w14:paraId="05E4D62B">
      <w:pPr>
        <w:spacing w:line="360" w:lineRule="auto"/>
        <w:ind w:firstLine="600" w:firstLineChars="2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7）承包人将人工费支付情况定期报告发包人和监理单位，并提供相应的材料接受建设行政主管部门和劳动保障行政主管部门对此事项监管。</w:t>
      </w:r>
    </w:p>
    <w:p w14:paraId="6A8327BA">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8）人工费支付专用账户：农民工工资支付专用账户。</w:t>
      </w:r>
    </w:p>
    <w:p w14:paraId="554053A4">
      <w:pPr>
        <w:autoSpaceDE w:val="0"/>
        <w:autoSpaceDN w:val="0"/>
        <w:adjustRightInd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kern w:val="0"/>
          <w:sz w:val="24"/>
          <w:highlight w:val="none"/>
        </w:rPr>
        <w:t>账号</w:t>
      </w:r>
      <w:r>
        <w:rPr>
          <w:rFonts w:hint="eastAsia" w:ascii="宋体" w:hAnsi="宋体" w:eastAsia="宋体" w:cs="宋体"/>
          <w:color w:val="auto"/>
          <w:kern w:val="0"/>
          <w:sz w:val="24"/>
          <w:highlight w:val="none"/>
          <w:u w:val="single"/>
        </w:rPr>
        <w:t>：</w:t>
      </w:r>
    </w:p>
    <w:p w14:paraId="5C51759C">
      <w:pPr>
        <w:autoSpaceDE w:val="0"/>
        <w:autoSpaceDN w:val="0"/>
        <w:adjustRightInd w:val="0"/>
        <w:spacing w:line="360" w:lineRule="auto"/>
        <w:ind w:firstLine="480" w:firstLineChars="200"/>
        <w:jc w:val="left"/>
        <w:rPr>
          <w:rFonts w:hint="eastAsia" w:ascii="宋体" w:hAnsi="宋体" w:eastAsia="宋体" w:cs="宋体"/>
          <w:bCs/>
          <w:color w:val="auto"/>
          <w:kern w:val="10"/>
          <w:sz w:val="24"/>
          <w:highlight w:val="none"/>
          <w:u w:val="single"/>
        </w:rPr>
      </w:pPr>
      <w:r>
        <w:rPr>
          <w:rFonts w:hint="eastAsia" w:ascii="宋体" w:hAnsi="宋体" w:eastAsia="宋体" w:cs="宋体"/>
          <w:color w:val="auto"/>
          <w:sz w:val="24"/>
          <w:highlight w:val="none"/>
          <w:u w:val="single"/>
        </w:rPr>
        <w:t>开户行：</w:t>
      </w:r>
    </w:p>
    <w:p w14:paraId="4E7C1FE8">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9）本项目不允许转包分包，发包人不向除承包人以外的任何分包人农民工工资账户支付任何款项，也不向任何分包人的任何账户支付任何款项。</w:t>
      </w:r>
    </w:p>
    <w:p w14:paraId="12D5E846">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承包人必须与包括农民工在内的所有雇用人员签订劳动合同，为雇佣人员购买工伤保险、医疗保险、意外伤害险等，并应及时足额支付劳动报酬，若发现承包人有非法用工或未及时足额支付雇用人员劳动报酬的，发包人有权拒绝支付承包人任何款项，并扣留承包人履约保证金至承包人整改完毕为止。</w:t>
      </w:r>
    </w:p>
    <w:p w14:paraId="345B8307">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11）承包人与雇佣人员发生劳动纠纷、工伤等情形的，均由承包人负责处理并承担相应的责任，与发包人无关；承包人不得以劳动纠纷或工人纠集闹事等任何理由提前预支任何款项。</w:t>
      </w:r>
    </w:p>
    <w:p w14:paraId="56E2F226">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承包人承诺对发包人支付的工程款专款专用，并确保农民工工资及时足额发放，在发包人按本合同约定付款的情况下，承包人承诺绝不因农民工工资发放问题对发包人造成任何困扰。如承包人在工程施工期间出现拖欠农民工工资导致农民工上访事件,发包人有权将当期应支付给承包人的工程款直接支付拖欠的农民工工资。</w:t>
      </w:r>
    </w:p>
    <w:p w14:paraId="62CBB813">
      <w:pPr>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12.4.6 支付分解表的编制</w:t>
      </w:r>
    </w:p>
    <w:p w14:paraId="17FCCBD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（1）总价合同支付分解表的编制与审批：</w:t>
      </w:r>
      <w:r>
        <w:rPr>
          <w:rFonts w:hint="eastAsia" w:ascii="宋体" w:hAnsi="宋体" w:eastAsia="宋体" w:cs="宋体"/>
          <w:color w:val="auto"/>
          <w:sz w:val="24"/>
          <w:highlight w:val="none"/>
          <w:u w:val="single"/>
        </w:rPr>
        <w:t>总价合同支付分分解表在招标完成后由发包人和承包人共同编制，发包人审批，并作为本合同内容，具体详见合同附件14</w:t>
      </w:r>
      <w:r>
        <w:rPr>
          <w:rFonts w:hint="eastAsia" w:ascii="宋体" w:hAnsi="宋体" w:eastAsia="宋体" w:cs="宋体"/>
          <w:color w:val="auto"/>
          <w:sz w:val="24"/>
          <w:highlight w:val="none"/>
        </w:rPr>
        <w:t>。</w:t>
      </w:r>
    </w:p>
    <w:p w14:paraId="2B600196">
      <w:pPr>
        <w:spacing w:line="360" w:lineRule="auto"/>
        <w:ind w:firstLine="600" w:firstLineChars="2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（2）单价合同的总价项目支付分解表的编制与审批：</w:t>
      </w:r>
      <w:r>
        <w:rPr>
          <w:rFonts w:hint="eastAsia" w:ascii="宋体" w:hAnsi="宋体" w:eastAsia="宋体" w:cs="宋体"/>
          <w:color w:val="auto"/>
          <w:sz w:val="24"/>
          <w:highlight w:val="none"/>
          <w:u w:val="single"/>
        </w:rPr>
        <w:t>总价项目不采用支付分解表的方式计算，而按《建设工程工程量清单计价规范（GB50500-2013）广西壮族自治区实施细则》的规定执行</w:t>
      </w:r>
      <w:r>
        <w:rPr>
          <w:rFonts w:hint="eastAsia" w:ascii="宋体" w:hAnsi="宋体" w:eastAsia="宋体" w:cs="宋体"/>
          <w:color w:val="auto"/>
          <w:sz w:val="24"/>
          <w:highlight w:val="none"/>
        </w:rPr>
        <w:t>。</w:t>
      </w:r>
    </w:p>
    <w:bookmarkEnd w:id="739"/>
    <w:p w14:paraId="33CDB145">
      <w:pPr>
        <w:keepNext/>
        <w:keepLines/>
        <w:spacing w:before="60" w:after="60" w:line="360" w:lineRule="auto"/>
        <w:outlineLvl w:val="1"/>
        <w:rPr>
          <w:rFonts w:hint="eastAsia" w:ascii="宋体" w:hAnsi="宋体" w:eastAsia="宋体" w:cs="宋体"/>
          <w:b/>
          <w:bCs/>
          <w:color w:val="auto"/>
          <w:kern w:val="0"/>
          <w:sz w:val="24"/>
          <w:highlight w:val="none"/>
          <w:lang w:val="zh-CN"/>
        </w:rPr>
      </w:pPr>
      <w:bookmarkStart w:id="1005" w:name="_Toc407135256"/>
      <w:bookmarkStart w:id="1006" w:name="_Toc162971423"/>
      <w:bookmarkStart w:id="1007" w:name="_Toc728899116"/>
      <w:bookmarkStart w:id="1008" w:name="_Toc78449842"/>
      <w:bookmarkStart w:id="1009" w:name="_Toc373478400"/>
      <w:bookmarkStart w:id="1010" w:name="_Toc373227753"/>
      <w:bookmarkStart w:id="1011" w:name="_Toc351203645"/>
      <w:bookmarkStart w:id="1012" w:name="_Toc2003466256"/>
      <w:bookmarkStart w:id="1013" w:name="_Toc389065318"/>
      <w:bookmarkStart w:id="1014" w:name="_Toc300935015"/>
      <w:bookmarkStart w:id="1015" w:name="_Toc292559929"/>
      <w:bookmarkStart w:id="1016" w:name="_Toc296891259"/>
      <w:bookmarkStart w:id="1017" w:name="_Toc312678053"/>
      <w:bookmarkStart w:id="1018" w:name="_Toc297123564"/>
      <w:bookmarkStart w:id="1019" w:name="_Toc297120519"/>
      <w:bookmarkStart w:id="1020" w:name="_Toc297048405"/>
      <w:bookmarkStart w:id="1021" w:name="_Toc296944558"/>
      <w:bookmarkStart w:id="1022" w:name="_Toc297216223"/>
      <w:bookmarkStart w:id="1023" w:name="_Toc296503219"/>
      <w:bookmarkStart w:id="1024" w:name="_Toc303539172"/>
      <w:bookmarkStart w:id="1025" w:name="_Toc296346720"/>
      <w:bookmarkStart w:id="1026" w:name="_Toc296891047"/>
      <w:bookmarkStart w:id="1027" w:name="_Toc304295593"/>
      <w:bookmarkStart w:id="1028" w:name="_Toc292559424"/>
      <w:bookmarkStart w:id="1029" w:name="_Toc296347218"/>
      <w:r>
        <w:rPr>
          <w:rFonts w:hint="eastAsia" w:ascii="宋体" w:hAnsi="宋体" w:eastAsia="宋体" w:cs="宋体"/>
          <w:b/>
          <w:bCs/>
          <w:color w:val="auto"/>
          <w:kern w:val="0"/>
          <w:sz w:val="24"/>
          <w:highlight w:val="none"/>
          <w:lang w:val="zh-CN"/>
        </w:rPr>
        <w:t>13. 验收和工程试车</w:t>
      </w:r>
      <w:bookmarkEnd w:id="1005"/>
      <w:bookmarkEnd w:id="1006"/>
      <w:bookmarkEnd w:id="1007"/>
      <w:bookmarkEnd w:id="1008"/>
      <w:bookmarkEnd w:id="1009"/>
      <w:bookmarkEnd w:id="1010"/>
      <w:bookmarkEnd w:id="1011"/>
      <w:bookmarkEnd w:id="1012"/>
      <w:bookmarkEnd w:id="1013"/>
    </w:p>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p w14:paraId="55693C7C">
      <w:pPr>
        <w:keepNext/>
        <w:keepLines/>
        <w:spacing w:line="360" w:lineRule="auto"/>
        <w:outlineLvl w:val="2"/>
        <w:rPr>
          <w:rFonts w:hint="eastAsia" w:ascii="宋体" w:hAnsi="宋体" w:eastAsia="宋体" w:cs="宋体"/>
          <w:b/>
          <w:bCs/>
          <w:color w:val="auto"/>
          <w:kern w:val="0"/>
          <w:sz w:val="24"/>
          <w:highlight w:val="none"/>
          <w:lang w:val="zh-CN"/>
        </w:rPr>
      </w:pPr>
      <w:bookmarkStart w:id="1030" w:name="_Toc389065320"/>
      <w:bookmarkStart w:id="1031" w:name="_Toc78449844"/>
      <w:bookmarkStart w:id="1032" w:name="_Toc373478402"/>
      <w:bookmarkStart w:id="1033" w:name="_Toc407135258"/>
      <w:bookmarkStart w:id="1034" w:name="_Toc1578431234"/>
      <w:bookmarkStart w:id="1035" w:name="_Toc1062221039"/>
      <w:bookmarkStart w:id="1036" w:name="_Toc373227755"/>
      <w:bookmarkStart w:id="1037" w:name="_Toc162971425"/>
      <w:bookmarkStart w:id="1038" w:name="_Toc296891263"/>
      <w:bookmarkStart w:id="1039" w:name="_Toc303539173"/>
      <w:bookmarkStart w:id="1040" w:name="_Toc304295596"/>
      <w:bookmarkStart w:id="1041" w:name="_Toc296891051"/>
      <w:bookmarkStart w:id="1042" w:name="_Toc296346724"/>
      <w:bookmarkStart w:id="1043" w:name="_Toc297216224"/>
      <w:bookmarkStart w:id="1044" w:name="_Toc292559428"/>
      <w:bookmarkStart w:id="1045" w:name="_Toc296503223"/>
      <w:bookmarkStart w:id="1046" w:name="_Toc297048409"/>
      <w:bookmarkStart w:id="1047" w:name="_Toc300935016"/>
      <w:bookmarkStart w:id="1048" w:name="_Toc296944562"/>
      <w:bookmarkStart w:id="1049" w:name="_Toc312678056"/>
      <w:bookmarkStart w:id="1050" w:name="_Toc292559933"/>
      <w:bookmarkStart w:id="1051" w:name="_Toc297120523"/>
      <w:bookmarkStart w:id="1052" w:name="_Toc296347222"/>
      <w:bookmarkStart w:id="1053" w:name="_Toc297123565"/>
      <w:bookmarkStart w:id="1054" w:name="_Toc267251474"/>
      <w:bookmarkStart w:id="1055" w:name="_Toc267251476"/>
      <w:bookmarkStart w:id="1056" w:name="_Toc267251473"/>
      <w:bookmarkStart w:id="1057" w:name="_Toc267251475"/>
      <w:bookmarkStart w:id="1058" w:name="_Toc267251470"/>
      <w:bookmarkStart w:id="1059" w:name="_Toc267251472"/>
      <w:bookmarkStart w:id="1060" w:name="_Toc267251471"/>
      <w:r>
        <w:rPr>
          <w:rFonts w:hint="eastAsia" w:ascii="宋体" w:hAnsi="宋体" w:eastAsia="宋体" w:cs="宋体"/>
          <w:b/>
          <w:bCs/>
          <w:color w:val="auto"/>
          <w:kern w:val="0"/>
          <w:sz w:val="24"/>
          <w:highlight w:val="none"/>
          <w:lang w:val="zh-CN"/>
        </w:rPr>
        <w:t>13.2 竣工验收</w:t>
      </w:r>
      <w:bookmarkEnd w:id="1030"/>
      <w:bookmarkEnd w:id="1031"/>
      <w:bookmarkEnd w:id="1032"/>
      <w:bookmarkEnd w:id="1033"/>
      <w:bookmarkEnd w:id="1034"/>
      <w:bookmarkEnd w:id="1035"/>
      <w:bookmarkEnd w:id="1036"/>
      <w:bookmarkEnd w:id="1037"/>
    </w:p>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p w14:paraId="5899EABB">
      <w:pPr>
        <w:spacing w:line="360" w:lineRule="auto"/>
        <w:ind w:firstLine="480" w:firstLineChars="200"/>
        <w:rPr>
          <w:rFonts w:hint="eastAsia" w:ascii="宋体" w:hAnsi="宋体" w:eastAsia="宋体" w:cs="宋体"/>
          <w:color w:val="auto"/>
          <w:sz w:val="24"/>
          <w:highlight w:val="none"/>
        </w:rPr>
      </w:pPr>
      <w:bookmarkStart w:id="1061" w:name="_Toc280868704"/>
      <w:bookmarkStart w:id="1062" w:name="_Toc280868705"/>
      <w:bookmarkStart w:id="1063" w:name="_Toc280868707"/>
      <w:bookmarkStart w:id="1064" w:name="_Toc280868706"/>
      <w:bookmarkStart w:id="1065" w:name="_Toc280868708"/>
      <w:bookmarkStart w:id="1066" w:name="_Toc280868709"/>
      <w:r>
        <w:rPr>
          <w:rFonts w:hint="eastAsia" w:ascii="宋体" w:hAnsi="宋体" w:eastAsia="宋体" w:cs="宋体"/>
          <w:color w:val="auto"/>
          <w:sz w:val="24"/>
          <w:highlight w:val="none"/>
        </w:rPr>
        <w:t>13.2.1竣工验收条件</w:t>
      </w:r>
    </w:p>
    <w:bookmarkEnd w:id="1061"/>
    <w:bookmarkEnd w:id="1062"/>
    <w:bookmarkEnd w:id="1063"/>
    <w:bookmarkEnd w:id="1064"/>
    <w:p w14:paraId="33D8698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按照南宁市城建档案馆以及发包人综合档案室对档案管理的标准化要求对本项目建设工程竣工资料、基建项目文书类档案等纸质档案资料进行整理、组卷，完善案卷信息，形成卷内文件的纸质目录，制作档案封面、入盒；工程电子档案应与纸质档案同步，并严格按《南宁市城建档案扫描数字化实施要求》等的标准和要求执行。承包人应随时接受发包人及上述有关部门提出的对材料补充整改的要求。</w:t>
      </w:r>
    </w:p>
    <w:p w14:paraId="1272C36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于工程结算金额审定之日起30日历天内向南宁市城建档案馆及发包人综合档案室移交竣工资料并取得移交证明，承包人移交的竣工资料不符合国家、广西建设行政主管部门有关工程竣工验收资料备案及城建档案馆有关资料存档的要求的，发包人有权不向承包人支付结算款。具体内容详见附件20、附件21。</w:t>
      </w:r>
    </w:p>
    <w:p w14:paraId="1208822E">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承包人需要提交的竣工资料套数：纸质版原件1套；工程电子档案应与纸质档案同步，移动U盘 1张。</w:t>
      </w:r>
    </w:p>
    <w:p w14:paraId="5616A4CD">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工程结算造价经发包人与承包人共同核对后，由发包人委托具有工程造价审核资质的中介机构进行审核，审核期限为90个工作日。若承包人报送的工程结算造价超过审核审定的工程总造价，超出部分金额占审核审定的工程总造价的比例低于6%(含6%)的，审核费用由发包人承担;若超出部分金额占核审审定的工程总造价比例高于6%的，承包人应按以下方式承担审核费用:</w:t>
      </w:r>
    </w:p>
    <w:p w14:paraId="2CA91819">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审核费用×超出6%部分的比例</w:t>
      </w:r>
    </w:p>
    <w:p w14:paraId="1C228D61">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若发包人与承包人均认可审核结果的，最终工程结算造价以审核结果为准;若发包人与承包人任何一方不认可审核结果的，提交广西建设工程造价管理总站裁决，最终工程结算造价以以裁决结果为准，发包人与承包人均不得以任何理由拒绝接受该裁决结果。</w:t>
      </w:r>
    </w:p>
    <w:p w14:paraId="6797D7C3">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承包人提交的竣工资料移交时间：工程结算金额审定之日起30日历天内。</w:t>
      </w:r>
    </w:p>
    <w:p w14:paraId="77B91292">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承包人提交的竣工资料形式要求：资料内容要求满足南宁市城建档案馆移交要求及发包人综合档案室收纳要求，取得档案移交证明，工程电子档案应与纸质档案。</w:t>
      </w:r>
    </w:p>
    <w:p w14:paraId="17B68E9E">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1、竣工资料纸质版需原件装订、组卷、形成卷内文件的纸质目录，制作档案封面、入盒并移交发包人；</w:t>
      </w:r>
    </w:p>
    <w:p w14:paraId="3E56E63C">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2、竣工资料电子扫描版发至邮箱Houqinzx@163.com,邮件名请标注（工程名称）竣工资料，邮件名未标注清楚视为电子版移交无效；</w:t>
      </w:r>
    </w:p>
    <w:p w14:paraId="743C3846">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3、竣工资料电子扫描版须刻录成移动U盘移交发包人。</w:t>
      </w:r>
    </w:p>
    <w:p w14:paraId="656F8170">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竣工验收相关资料的份数：一式肆份。</w:t>
      </w:r>
    </w:p>
    <w:p w14:paraId="43B645C9">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承包人提供竣工图的约定：竣工验收正式通过后10日历天内，提供竣工图肆套。</w:t>
      </w:r>
    </w:p>
    <w:p w14:paraId="6E18C25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13.2.2竣工验收程序</w:t>
      </w:r>
    </w:p>
    <w:p w14:paraId="2361144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关于竣工验收程序的约定：</w:t>
      </w:r>
      <w:r>
        <w:rPr>
          <w:rFonts w:hint="eastAsia" w:ascii="宋体" w:hAnsi="宋体" w:eastAsia="宋体" w:cs="宋体"/>
          <w:color w:val="auto"/>
          <w:sz w:val="24"/>
          <w:highlight w:val="none"/>
        </w:rPr>
        <w:t>因承包人原因使工程竣工验收不能通过的，承包人应按要求整改直至合格为止，并承担相应费用。工程竣工验收质量达不到合格，承包人还必须承担因工程不能按时投入使用造成发包人的一切损失。</w:t>
      </w:r>
    </w:p>
    <w:p w14:paraId="52FB8A2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发包人组织竣工初验收前承包人须完成的工作：</w:t>
      </w:r>
    </w:p>
    <w:p w14:paraId="76A3690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拆除施工场内所有临时设施、临时道路、清除场内所有建筑垃圾(包括栋号室内外及周边环境清洁卫生)。承包人同时应为发包人组织的淋水、闭水实验等验收事宜提供条件。</w:t>
      </w:r>
    </w:p>
    <w:p w14:paraId="74FCA4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承包人须在工程竣工验收通过后且发包人已按合同约定支付工程款的，7天内向发包人或发包人委托的单位移交全部工程。否则视为承包人逾期交付使用。 </w:t>
      </w:r>
    </w:p>
    <w:p w14:paraId="43375C1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发包人不按照本项约定组织竣工验收、颁发工程接收证书的违约金的计算方法：</w:t>
      </w:r>
      <w:r>
        <w:rPr>
          <w:rFonts w:hint="eastAsia" w:ascii="宋体" w:hAnsi="宋体" w:eastAsia="宋体" w:cs="宋体"/>
          <w:color w:val="auto"/>
          <w:sz w:val="24"/>
          <w:highlight w:val="none"/>
          <w:u w:val="single"/>
        </w:rPr>
        <w:t>无</w:t>
      </w:r>
      <w:r>
        <w:rPr>
          <w:rFonts w:hint="eastAsia" w:ascii="宋体" w:hAnsi="宋体" w:eastAsia="宋体" w:cs="宋体"/>
          <w:color w:val="auto"/>
          <w:sz w:val="24"/>
          <w:highlight w:val="none"/>
        </w:rPr>
        <w:t>。</w:t>
      </w:r>
    </w:p>
    <w:p w14:paraId="0CB07F8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13.2.5移交、接收全部与部分工程</w:t>
      </w:r>
    </w:p>
    <w:p w14:paraId="7022A17A">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承包人向发包人移交工程的期限：</w:t>
      </w:r>
      <w:r>
        <w:rPr>
          <w:rFonts w:hint="eastAsia" w:ascii="宋体" w:hAnsi="宋体" w:eastAsia="宋体" w:cs="宋体"/>
          <w:color w:val="auto"/>
          <w:sz w:val="24"/>
          <w:highlight w:val="none"/>
          <w:u w:val="single"/>
        </w:rPr>
        <w:t xml:space="preserve">颁发工程接收合格证书后7天内 </w:t>
      </w:r>
      <w:r>
        <w:rPr>
          <w:rFonts w:hint="eastAsia" w:ascii="宋体" w:hAnsi="宋体" w:eastAsia="宋体" w:cs="宋体"/>
          <w:color w:val="auto"/>
          <w:sz w:val="24"/>
          <w:highlight w:val="none"/>
        </w:rPr>
        <w:t>。</w:t>
      </w:r>
    </w:p>
    <w:p w14:paraId="6462EF5A">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kern w:val="0"/>
          <w:sz w:val="24"/>
          <w:highlight w:val="none"/>
        </w:rPr>
        <w:t>发包人未按本合同约定接收全部或部分工程的，违约金的计算方法为：</w:t>
      </w:r>
      <w:r>
        <w:rPr>
          <w:rFonts w:hint="eastAsia" w:ascii="宋体" w:hAnsi="宋体" w:eastAsia="宋体" w:cs="宋体"/>
          <w:color w:val="auto"/>
          <w:sz w:val="24"/>
          <w:highlight w:val="none"/>
          <w:u w:val="single"/>
        </w:rPr>
        <w:t>无</w:t>
      </w:r>
      <w:r>
        <w:rPr>
          <w:rFonts w:hint="eastAsia" w:ascii="宋体" w:hAnsi="宋体" w:eastAsia="宋体" w:cs="宋体"/>
          <w:color w:val="auto"/>
          <w:sz w:val="24"/>
          <w:highlight w:val="none"/>
        </w:rPr>
        <w:t>。</w:t>
      </w:r>
    </w:p>
    <w:p w14:paraId="55BCF580">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承包人未按时移交工程的，违约金的计算方法为：</w:t>
      </w:r>
      <w:r>
        <w:rPr>
          <w:rFonts w:hint="eastAsia" w:ascii="宋体" w:hAnsi="宋体" w:eastAsia="宋体" w:cs="宋体"/>
          <w:color w:val="auto"/>
          <w:sz w:val="24"/>
          <w:highlight w:val="none"/>
          <w:u w:val="single"/>
        </w:rPr>
        <w:t>承包人承担工程照管、成品保护、保管等与工程有关的各项费用，每逾期1天，承包人还应按合同总价的2‰/日向发包人支付违约金</w:t>
      </w:r>
      <w:r>
        <w:rPr>
          <w:rFonts w:hint="eastAsia" w:ascii="宋体" w:hAnsi="宋体" w:eastAsia="宋体" w:cs="宋体"/>
          <w:color w:val="auto"/>
          <w:sz w:val="24"/>
          <w:highlight w:val="none"/>
        </w:rPr>
        <w:t>。</w:t>
      </w:r>
    </w:p>
    <w:p w14:paraId="280E4FA4">
      <w:pPr>
        <w:keepNext/>
        <w:keepLines/>
        <w:spacing w:line="360" w:lineRule="auto"/>
        <w:outlineLvl w:val="2"/>
        <w:rPr>
          <w:rFonts w:hint="eastAsia" w:ascii="宋体" w:hAnsi="宋体" w:eastAsia="宋体" w:cs="宋体"/>
          <w:b/>
          <w:bCs/>
          <w:color w:val="auto"/>
          <w:kern w:val="0"/>
          <w:sz w:val="24"/>
          <w:highlight w:val="none"/>
          <w:lang w:val="zh-CN"/>
        </w:rPr>
      </w:pPr>
      <w:bookmarkStart w:id="1067" w:name="_Toc373227756"/>
      <w:bookmarkStart w:id="1068" w:name="_Toc389065321"/>
      <w:bookmarkStart w:id="1069" w:name="_Toc78449845"/>
      <w:bookmarkStart w:id="1070" w:name="_Toc407135259"/>
      <w:bookmarkStart w:id="1071" w:name="_Toc2090321864"/>
      <w:bookmarkStart w:id="1072" w:name="_Toc1470255881"/>
      <w:bookmarkStart w:id="1073" w:name="_Toc162971426"/>
      <w:bookmarkStart w:id="1074" w:name="_Toc373478403"/>
      <w:r>
        <w:rPr>
          <w:rFonts w:hint="eastAsia" w:ascii="宋体" w:hAnsi="宋体" w:eastAsia="宋体" w:cs="宋体"/>
          <w:b/>
          <w:bCs/>
          <w:color w:val="auto"/>
          <w:kern w:val="0"/>
          <w:sz w:val="24"/>
          <w:highlight w:val="none"/>
          <w:lang w:val="zh-CN"/>
        </w:rPr>
        <w:t>13.3 工程试车</w:t>
      </w:r>
      <w:bookmarkEnd w:id="1067"/>
      <w:bookmarkEnd w:id="1068"/>
      <w:bookmarkEnd w:id="1069"/>
      <w:bookmarkEnd w:id="1070"/>
      <w:bookmarkEnd w:id="1071"/>
      <w:bookmarkEnd w:id="1072"/>
      <w:bookmarkEnd w:id="1073"/>
      <w:bookmarkEnd w:id="1074"/>
    </w:p>
    <w:bookmarkEnd w:id="1065"/>
    <w:p w14:paraId="4D177799">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13.3.1 试车程序</w:t>
      </w:r>
    </w:p>
    <w:p w14:paraId="5A7CE168">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kern w:val="0"/>
          <w:sz w:val="24"/>
          <w:highlight w:val="none"/>
        </w:rPr>
        <w:t>工程试车内容：</w:t>
      </w:r>
      <w:r>
        <w:rPr>
          <w:rFonts w:hint="eastAsia" w:ascii="宋体" w:hAnsi="宋体" w:eastAsia="宋体" w:cs="宋体"/>
          <w:color w:val="auto"/>
          <w:sz w:val="24"/>
          <w:highlight w:val="none"/>
          <w:u w:val="single"/>
        </w:rPr>
        <w:t>按通用合同条款执行</w:t>
      </w:r>
      <w:r>
        <w:rPr>
          <w:rFonts w:hint="eastAsia" w:ascii="宋体" w:hAnsi="宋体" w:eastAsia="宋体" w:cs="宋体"/>
          <w:color w:val="auto"/>
          <w:sz w:val="24"/>
          <w:highlight w:val="none"/>
        </w:rPr>
        <w:t>。</w:t>
      </w:r>
    </w:p>
    <w:p w14:paraId="5D988A71">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（1）单机无负荷试车费用由</w:t>
      </w:r>
      <w:r>
        <w:rPr>
          <w:rFonts w:hint="eastAsia" w:ascii="宋体" w:hAnsi="宋体" w:eastAsia="宋体" w:cs="宋体"/>
          <w:color w:val="auto"/>
          <w:sz w:val="24"/>
          <w:highlight w:val="none"/>
          <w:u w:val="single"/>
        </w:rPr>
        <w:t>承包人</w:t>
      </w:r>
      <w:r>
        <w:rPr>
          <w:rFonts w:hint="eastAsia" w:ascii="宋体" w:hAnsi="宋体" w:eastAsia="宋体" w:cs="宋体"/>
          <w:color w:val="auto"/>
          <w:kern w:val="0"/>
          <w:sz w:val="24"/>
          <w:highlight w:val="none"/>
        </w:rPr>
        <w:t>承担；</w:t>
      </w:r>
    </w:p>
    <w:p w14:paraId="3DFA9824">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（2）无负荷联动试车费用由</w:t>
      </w:r>
      <w:r>
        <w:rPr>
          <w:rFonts w:hint="eastAsia" w:ascii="宋体" w:hAnsi="宋体" w:eastAsia="宋体" w:cs="宋体"/>
          <w:color w:val="auto"/>
          <w:sz w:val="24"/>
          <w:highlight w:val="none"/>
          <w:u w:val="single"/>
        </w:rPr>
        <w:t>承包人</w:t>
      </w:r>
      <w:r>
        <w:rPr>
          <w:rFonts w:hint="eastAsia" w:ascii="宋体" w:hAnsi="宋体" w:eastAsia="宋体" w:cs="宋体"/>
          <w:color w:val="auto"/>
          <w:kern w:val="0"/>
          <w:sz w:val="24"/>
          <w:highlight w:val="none"/>
        </w:rPr>
        <w:t>承担。</w:t>
      </w:r>
    </w:p>
    <w:p w14:paraId="7C7E42F5">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13.3.3 投料试车</w:t>
      </w:r>
    </w:p>
    <w:p w14:paraId="1A716488">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kern w:val="0"/>
          <w:sz w:val="24"/>
          <w:highlight w:val="none"/>
        </w:rPr>
        <w:t>关于投料试车相关事项的约定：</w:t>
      </w:r>
      <w:r>
        <w:rPr>
          <w:rFonts w:hint="eastAsia" w:ascii="宋体" w:hAnsi="宋体" w:eastAsia="宋体" w:cs="宋体"/>
          <w:color w:val="auto"/>
          <w:sz w:val="24"/>
          <w:highlight w:val="none"/>
          <w:u w:val="single"/>
        </w:rPr>
        <w:t>按通用合同条款</w:t>
      </w:r>
      <w:r>
        <w:rPr>
          <w:rFonts w:hint="eastAsia" w:ascii="宋体" w:hAnsi="宋体" w:eastAsia="宋体" w:cs="宋体"/>
          <w:color w:val="auto"/>
          <w:sz w:val="24"/>
          <w:highlight w:val="none"/>
        </w:rPr>
        <w:t>。</w:t>
      </w:r>
    </w:p>
    <w:p w14:paraId="68BF9B1B">
      <w:pPr>
        <w:keepNext/>
        <w:keepLines/>
        <w:spacing w:line="360" w:lineRule="auto"/>
        <w:outlineLvl w:val="2"/>
        <w:rPr>
          <w:rFonts w:hint="eastAsia" w:ascii="宋体" w:hAnsi="宋体" w:eastAsia="宋体" w:cs="宋体"/>
          <w:b/>
          <w:bCs/>
          <w:color w:val="auto"/>
          <w:kern w:val="0"/>
          <w:sz w:val="24"/>
          <w:highlight w:val="none"/>
          <w:lang w:val="zh-CN"/>
        </w:rPr>
      </w:pPr>
      <w:bookmarkStart w:id="1075" w:name="_Toc373478404"/>
      <w:bookmarkStart w:id="1076" w:name="_Toc407135260"/>
      <w:bookmarkStart w:id="1077" w:name="_Toc162971427"/>
      <w:bookmarkStart w:id="1078" w:name="_Toc78449846"/>
      <w:bookmarkStart w:id="1079" w:name="_Toc389065322"/>
      <w:bookmarkStart w:id="1080" w:name="_Toc10307455"/>
      <w:bookmarkStart w:id="1081" w:name="_Toc550030550"/>
      <w:bookmarkStart w:id="1082" w:name="_Toc373227757"/>
      <w:r>
        <w:rPr>
          <w:rFonts w:hint="eastAsia" w:ascii="宋体" w:hAnsi="宋体" w:eastAsia="宋体" w:cs="宋体"/>
          <w:b/>
          <w:bCs/>
          <w:color w:val="auto"/>
          <w:kern w:val="0"/>
          <w:sz w:val="24"/>
          <w:highlight w:val="none"/>
          <w:lang w:val="zh-CN"/>
        </w:rPr>
        <w:t>13.6 竣工退场</w:t>
      </w:r>
      <w:bookmarkEnd w:id="1075"/>
      <w:bookmarkEnd w:id="1076"/>
      <w:bookmarkEnd w:id="1077"/>
      <w:bookmarkEnd w:id="1078"/>
      <w:bookmarkEnd w:id="1079"/>
      <w:bookmarkEnd w:id="1080"/>
      <w:bookmarkEnd w:id="1081"/>
      <w:bookmarkEnd w:id="1082"/>
    </w:p>
    <w:p w14:paraId="02119367">
      <w:pPr>
        <w:spacing w:line="360" w:lineRule="auto"/>
        <w:ind w:firstLine="480" w:firstLineChars="200"/>
        <w:outlineLvl w:val="0"/>
        <w:rPr>
          <w:rFonts w:hint="eastAsia" w:ascii="宋体" w:hAnsi="宋体" w:eastAsia="宋体" w:cs="宋体"/>
          <w:color w:val="auto"/>
          <w:kern w:val="0"/>
          <w:sz w:val="24"/>
          <w:highlight w:val="none"/>
        </w:rPr>
      </w:pPr>
      <w:bookmarkStart w:id="1083" w:name="_Toc162971428"/>
      <w:r>
        <w:rPr>
          <w:rFonts w:hint="eastAsia" w:ascii="宋体" w:hAnsi="宋体" w:eastAsia="宋体" w:cs="宋体"/>
          <w:color w:val="auto"/>
          <w:kern w:val="0"/>
          <w:sz w:val="24"/>
          <w:highlight w:val="none"/>
        </w:rPr>
        <w:t>13.6.1 竣工退场</w:t>
      </w:r>
      <w:bookmarkEnd w:id="1083"/>
    </w:p>
    <w:p w14:paraId="1516955E">
      <w:pPr>
        <w:spacing w:line="360" w:lineRule="auto"/>
        <w:ind w:firstLine="480" w:firstLineChars="200"/>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完成竣工退场的期限：监理人颁发（出具）工程接收证书后7日内，承包人负责按照通用合同条款本项约定的要求对施工场地进行清理并承担相关费用，如承包人到期后不退场，发包人处承包人5万元的违约金，同时发包人将直接委托第三方强行拆除并清理，由此产生的费用（发包人仅需书面告知且加收20%的管理费）及造成发包人的损失由承包人承担。</w:t>
      </w:r>
    </w:p>
    <w:p w14:paraId="06C4D314">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 竣工结算</w:t>
      </w:r>
    </w:p>
    <w:p w14:paraId="3C3CB05F">
      <w:pPr>
        <w:keepNext/>
        <w:keepLines/>
        <w:spacing w:line="360" w:lineRule="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zh-CN"/>
        </w:rPr>
        <w:t xml:space="preserve">14.1 </w:t>
      </w:r>
      <w:r>
        <w:rPr>
          <w:rFonts w:hint="eastAsia" w:ascii="宋体" w:hAnsi="宋体" w:eastAsia="宋体" w:cs="宋体"/>
          <w:b/>
          <w:bCs/>
          <w:color w:val="auto"/>
          <w:sz w:val="24"/>
          <w:highlight w:val="none"/>
        </w:rPr>
        <w:t>竣工结算及竣工付款申请</w:t>
      </w:r>
    </w:p>
    <w:p w14:paraId="2861A3B4">
      <w:pPr>
        <w:snapToGri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承包人提交完整的结算资料和结算申请的期限：工程竣工验收合格之日起25天内。</w:t>
      </w:r>
    </w:p>
    <w:p w14:paraId="404F7DB3">
      <w:pPr>
        <w:snapToGri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竣工结算的约定：</w:t>
      </w:r>
    </w:p>
    <w:p w14:paraId="3A2B363C">
      <w:pPr>
        <w:snapToGri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工程竣工验收合格之日起25天内，承包人向发包人提交完整的结算资料（结算资料要求详见合同附件19）并积极配合发包人的评审工作并委派专人负责。发包人接到承包人提交的结算报告、完整结算资料提出结算审核意见，并由发包人或发包人委托的有资质的造价咨询机构与承包人进行核对，按照本工程合同约定的价格形式及价款调整办法进行工程竣工结算。如承包人逾期递交竣工验收合格资料及完整的结算资料和报告，每延误一天，按签约合同价的万分之二计算逾期违约金，违约金直接从结算款中扣除。违约金上限：签约合同价扣除发包人材料价款、暂估专业工程、暂列金额后的百分之二。</w:t>
      </w:r>
    </w:p>
    <w:p w14:paraId="334C3E19">
      <w:pPr>
        <w:snapToGri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（2）承包人逾期未向发包人提交本合同约定的完整、合格的竣工验收合格资料和结算资料，视为承包人自愿放弃所有结算申请，由此产生的一切法律责任和经济纠纷由承包人自行承担。</w:t>
      </w:r>
    </w:p>
    <w:p w14:paraId="08BAD479">
      <w:pPr>
        <w:snapToGri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结算审核费的约定，按以下执行：①结算报第三方审核单位审核时，报送的工程结算总价过高，造成该结算审减率超过6%以上的，则该项目的结算审核费由承包人全部承担，费用由发包人从承包人工程结算款中扣除。审减率=（送审造价-审定造价）/送审造价*100%。结算审核费：根据《广西壮族自治区物价局关于我区工程造价咨询服务收费问题的通知》（桂价费[2019]15号）相关收费标准计取。</w:t>
      </w:r>
    </w:p>
    <w:p w14:paraId="0701914C">
      <w:pPr>
        <w:adjustRightInd w:val="0"/>
        <w:spacing w:after="120" w:line="360" w:lineRule="auto"/>
        <w:ind w:left="63" w:leftChars="30" w:right="63" w:rightChars="30" w:firstLine="240" w:firstLineChars="100"/>
        <w:textAlignment w:val="baseline"/>
        <w:rPr>
          <w:rFonts w:hint="eastAsia" w:ascii="宋体" w:hAnsi="宋体" w:eastAsia="宋体" w:cs="宋体"/>
          <w:color w:val="auto"/>
          <w:szCs w:val="22"/>
          <w:highlight w:val="none"/>
        </w:rPr>
      </w:pPr>
      <w:r>
        <w:rPr>
          <w:rFonts w:hint="eastAsia" w:ascii="宋体" w:hAnsi="宋体" w:eastAsia="宋体" w:cs="宋体"/>
          <w:color w:val="auto"/>
          <w:sz w:val="24"/>
          <w:highlight w:val="none"/>
        </w:rPr>
        <w:t>（4）承包人移交的竣工资料不符合国家、广西建设行政主管部门有关工程竣工验收资料备案及城建档案馆有关资料存档的要求的，发包人有权不予支付结算款。</w:t>
      </w:r>
    </w:p>
    <w:p w14:paraId="11296213">
      <w:pPr>
        <w:keepNext/>
        <w:keepLines/>
        <w:spacing w:line="360" w:lineRule="auto"/>
        <w:outlineLvl w:val="2"/>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14.2竣工结算审核</w:t>
      </w:r>
    </w:p>
    <w:p w14:paraId="408E5273">
      <w:pPr>
        <w:spacing w:line="360" w:lineRule="auto"/>
        <w:ind w:firstLine="368"/>
        <w:rPr>
          <w:rFonts w:hint="eastAsia" w:ascii="宋体" w:hAnsi="宋体" w:eastAsia="宋体" w:cs="宋体"/>
          <w:color w:val="auto"/>
          <w:sz w:val="24"/>
          <w:highlight w:val="none"/>
        </w:rPr>
      </w:pPr>
      <w:r>
        <w:rPr>
          <w:rFonts w:hint="eastAsia" w:ascii="宋体" w:hAnsi="宋体" w:eastAsia="宋体" w:cs="宋体"/>
          <w:color w:val="auto"/>
          <w:sz w:val="24"/>
          <w:highlight w:val="none"/>
        </w:rPr>
        <w:t>为了保证工程结算的严肃性，承包人必须在递交竣工结算资料前做好充分的准备：</w:t>
      </w:r>
    </w:p>
    <w:p w14:paraId="2556EF40">
      <w:pPr>
        <w:spacing w:line="360" w:lineRule="auto"/>
        <w:ind w:firstLine="368"/>
        <w:rPr>
          <w:rFonts w:hint="eastAsia" w:ascii="宋体" w:hAnsi="宋体" w:eastAsia="宋体" w:cs="宋体"/>
          <w:color w:val="auto"/>
          <w:sz w:val="24"/>
          <w:highlight w:val="none"/>
        </w:rPr>
      </w:pPr>
      <w:r>
        <w:rPr>
          <w:rFonts w:hint="eastAsia" w:ascii="宋体" w:hAnsi="宋体" w:eastAsia="宋体" w:cs="宋体"/>
          <w:color w:val="auto"/>
          <w:sz w:val="24"/>
          <w:highlight w:val="none"/>
        </w:rPr>
        <w:t>（1）保证一次性将完整的竣工结算资料（包括所有的签证单、联系单等）递交给发包人，在结算审核过程中，发包人将不再接受承包人补充的资料。否则，承包人必须按补充资料送审价的10%支付违约金。结算资料中不合格（变更内容不明确、签字单位不齐全等）的变更签证，承包人同意按无效签证处理。</w:t>
      </w:r>
    </w:p>
    <w:p w14:paraId="7C2617B5">
      <w:pPr>
        <w:spacing w:line="360" w:lineRule="auto"/>
        <w:ind w:firstLine="368"/>
        <w:rPr>
          <w:rFonts w:hint="eastAsia" w:ascii="宋体" w:hAnsi="宋体" w:eastAsia="宋体" w:cs="宋体"/>
          <w:color w:val="auto"/>
          <w:sz w:val="24"/>
          <w:highlight w:val="none"/>
        </w:rPr>
      </w:pPr>
      <w:r>
        <w:rPr>
          <w:rFonts w:hint="eastAsia" w:ascii="宋体" w:hAnsi="宋体" w:eastAsia="宋体" w:cs="宋体"/>
          <w:color w:val="auto"/>
          <w:sz w:val="24"/>
          <w:highlight w:val="none"/>
        </w:rPr>
        <w:t>（2）承包人报送的工程结算价（以下简称送审价），与发包人最终审定的工程结算价（以下简称审定价）相比，其误差率=（送审价/审定价－1）×100%＜6%以内，否则承包人应当承担违约责任。</w:t>
      </w:r>
    </w:p>
    <w:p w14:paraId="32C7ED2F">
      <w:pPr>
        <w:spacing w:line="360" w:lineRule="auto"/>
        <w:ind w:firstLine="368"/>
        <w:rPr>
          <w:rFonts w:hint="eastAsia" w:ascii="宋体" w:hAnsi="宋体" w:eastAsia="宋体" w:cs="宋体"/>
          <w:color w:val="auto"/>
          <w:sz w:val="24"/>
          <w:highlight w:val="none"/>
        </w:rPr>
      </w:pPr>
      <w:r>
        <w:rPr>
          <w:rFonts w:hint="eastAsia" w:ascii="宋体" w:hAnsi="宋体" w:eastAsia="宋体" w:cs="宋体"/>
          <w:color w:val="auto"/>
          <w:sz w:val="24"/>
          <w:highlight w:val="none"/>
        </w:rPr>
        <w:t>（3）承包人应当对提交的工程竣工结算价的准确性、真实性负责，按以上第（2）如送审价≥审定价的1.06倍，承包人承担违约责任并支付违约金，违约金＝（送审价－1.06×审定价）×10%＋（送审价－1.06×审定价）×3.5%。违约金由发包人从承包人工程结算款中扣除。</w:t>
      </w:r>
    </w:p>
    <w:p w14:paraId="07DF5145">
      <w:pPr>
        <w:spacing w:line="360" w:lineRule="auto"/>
        <w:ind w:firstLine="368"/>
        <w:rPr>
          <w:rFonts w:hint="eastAsia" w:ascii="宋体" w:hAnsi="宋体" w:eastAsia="宋体" w:cs="宋体"/>
          <w:color w:val="auto"/>
          <w:sz w:val="24"/>
          <w:highlight w:val="none"/>
        </w:rPr>
      </w:pPr>
      <w:r>
        <w:rPr>
          <w:rFonts w:hint="eastAsia" w:ascii="宋体" w:hAnsi="宋体" w:eastAsia="宋体" w:cs="宋体"/>
          <w:color w:val="auto"/>
          <w:sz w:val="24"/>
          <w:highlight w:val="none"/>
        </w:rPr>
        <w:t>（4）发包人竣工结算报告审查时间：甲方收到完整齐全的结算资料后 90 工作日内审核完毕，给予确认或者提出修改意见。双方对结算金额确认无误后，应制作书面结算单并由双方盖章确认。承包人必须及时向发包人递交竣工结算报告及完整合格的结算资料，因承包人提供的结算资料不完整或不合格而需要补充或承包人不按时对账耽误时间时，审查时间应相应顺延；承包人必须跟发包人委托的审计单位核对结算价。</w:t>
      </w:r>
    </w:p>
    <w:p w14:paraId="20FAA91A">
      <w:pPr>
        <w:spacing w:line="360" w:lineRule="auto"/>
        <w:ind w:firstLine="368"/>
        <w:rPr>
          <w:rFonts w:hint="eastAsia" w:ascii="宋体" w:hAnsi="宋体" w:eastAsia="宋体" w:cs="宋体"/>
          <w:color w:val="auto"/>
          <w:sz w:val="24"/>
          <w:highlight w:val="none"/>
        </w:rPr>
      </w:pPr>
      <w:r>
        <w:rPr>
          <w:rFonts w:hint="eastAsia" w:ascii="宋体" w:hAnsi="宋体" w:eastAsia="宋体" w:cs="宋体"/>
          <w:color w:val="auto"/>
          <w:sz w:val="24"/>
          <w:highlight w:val="none"/>
        </w:rPr>
        <w:t>因承包人提供的结算资料不完整而需要补充或承包人不按时对账耽误时间时，审查时间应相应顺延。</w:t>
      </w:r>
    </w:p>
    <w:p w14:paraId="3E8D5DF7">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（5）对符合财政投资评审范围内的项目，按财政评审有关文件规定执行，竣工结算以财政评审意见为准。</w:t>
      </w:r>
    </w:p>
    <w:p w14:paraId="040E84AC">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（6）承包人对发包人确认的结算价款或审核意见有异议的，应在收到发包人确认的价款或审核意见之日起 30 天内提出异议，必要时合同当事人要当面核对，直至完成工程竣工结算。</w:t>
      </w:r>
    </w:p>
    <w:p w14:paraId="414DC8CA">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（7）承包人所编制的工程竣工资料经发包人审核后，送到财政部门之日起，承包人所遗漏的与工程造价有关的签证不再作为结算审核依据，按自动放弃处理。</w:t>
      </w:r>
    </w:p>
    <w:p w14:paraId="57E3DA1E">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（8）承包人必须提供完整、真实的隐蔽工程原始施工、验收记录。如发现施工单位提供的隐蔽工程资料与实际不符时，按不利于施工单位原则结算。</w:t>
      </w:r>
    </w:p>
    <w:p w14:paraId="66731D7E">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9）安全生产责任保险费按《自治区住房城乡建设厅关于印发广西壮族自治区房屋建筑和市政基础设施工程安全生产责任保险计价规定的通知》（桂建发〔2023〕6号）计算，工程结算时，由发承包双方根据工程实际情况确认的安全生产责任保险费进行结算。</w:t>
      </w:r>
    </w:p>
    <w:p w14:paraId="2092800D">
      <w:pPr>
        <w:keepNext/>
        <w:keepLines/>
        <w:spacing w:line="360" w:lineRule="auto"/>
        <w:outlineLvl w:val="2"/>
        <w:rPr>
          <w:rFonts w:hint="eastAsia" w:ascii="宋体" w:hAnsi="宋体" w:eastAsia="宋体" w:cs="宋体"/>
          <w:b/>
          <w:bCs/>
          <w:color w:val="auto"/>
          <w:kern w:val="0"/>
          <w:sz w:val="24"/>
          <w:highlight w:val="none"/>
          <w:lang w:val="zh-CN"/>
        </w:rPr>
      </w:pPr>
      <w:bookmarkStart w:id="1084" w:name="_Toc373227761"/>
      <w:bookmarkStart w:id="1085" w:name="_Toc407135264"/>
      <w:bookmarkStart w:id="1086" w:name="_Toc540165641"/>
      <w:bookmarkStart w:id="1087" w:name="_Toc162971431"/>
      <w:bookmarkStart w:id="1088" w:name="_Toc78449850"/>
      <w:bookmarkStart w:id="1089" w:name="_Toc389065326"/>
      <w:bookmarkStart w:id="1090" w:name="_Toc1203653078"/>
      <w:bookmarkStart w:id="1091" w:name="_Toc373478408"/>
      <w:r>
        <w:rPr>
          <w:rFonts w:hint="eastAsia" w:ascii="宋体" w:hAnsi="宋体" w:eastAsia="宋体" w:cs="宋体"/>
          <w:b/>
          <w:bCs/>
          <w:color w:val="auto"/>
          <w:kern w:val="0"/>
          <w:sz w:val="24"/>
          <w:highlight w:val="none"/>
          <w:lang w:val="zh-CN"/>
        </w:rPr>
        <w:t>14.4最终结清</w:t>
      </w:r>
      <w:bookmarkEnd w:id="1084"/>
      <w:bookmarkEnd w:id="1085"/>
      <w:bookmarkEnd w:id="1086"/>
      <w:bookmarkEnd w:id="1087"/>
      <w:bookmarkEnd w:id="1088"/>
      <w:bookmarkEnd w:id="1089"/>
      <w:bookmarkEnd w:id="1090"/>
      <w:bookmarkEnd w:id="1091"/>
    </w:p>
    <w:p w14:paraId="5012480F">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14.4.1 最终结清申请单</w:t>
      </w:r>
    </w:p>
    <w:p w14:paraId="5320742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承包人提交最终结清申请单的份数：</w:t>
      </w:r>
      <w:r>
        <w:rPr>
          <w:rFonts w:hint="eastAsia" w:ascii="宋体" w:hAnsi="宋体" w:eastAsia="宋体" w:cs="宋体"/>
          <w:color w:val="auto"/>
          <w:sz w:val="24"/>
          <w:highlight w:val="none"/>
          <w:u w:val="single"/>
        </w:rPr>
        <w:t>一式肆份</w:t>
      </w:r>
      <w:r>
        <w:rPr>
          <w:rFonts w:hint="eastAsia" w:ascii="宋体" w:hAnsi="宋体" w:eastAsia="宋体" w:cs="宋体"/>
          <w:color w:val="auto"/>
          <w:sz w:val="24"/>
          <w:highlight w:val="none"/>
        </w:rPr>
        <w:t>。</w:t>
      </w:r>
    </w:p>
    <w:p w14:paraId="3E28A47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承包人提交最终结算申请单的期限：</w:t>
      </w:r>
      <w:r>
        <w:rPr>
          <w:rFonts w:hint="eastAsia" w:ascii="宋体" w:hAnsi="宋体" w:eastAsia="宋体" w:cs="宋体"/>
          <w:color w:val="auto"/>
          <w:sz w:val="24"/>
          <w:highlight w:val="none"/>
        </w:rPr>
        <w:t>按照通用合同条款。</w:t>
      </w:r>
    </w:p>
    <w:p w14:paraId="2B8E382E">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最终结算款支付申请（核准）表见合同附件13。</w:t>
      </w:r>
    </w:p>
    <w:bookmarkEnd w:id="1054"/>
    <w:bookmarkEnd w:id="1055"/>
    <w:bookmarkEnd w:id="1056"/>
    <w:bookmarkEnd w:id="1057"/>
    <w:bookmarkEnd w:id="1058"/>
    <w:bookmarkEnd w:id="1059"/>
    <w:bookmarkEnd w:id="1060"/>
    <w:bookmarkEnd w:id="1066"/>
    <w:p w14:paraId="36CE9926">
      <w:pPr>
        <w:keepNext/>
        <w:keepLines/>
        <w:spacing w:before="60" w:after="60" w:line="360" w:lineRule="auto"/>
        <w:outlineLvl w:val="1"/>
        <w:rPr>
          <w:rFonts w:hint="eastAsia" w:ascii="宋体" w:hAnsi="宋体" w:eastAsia="宋体" w:cs="宋体"/>
          <w:b/>
          <w:bCs/>
          <w:color w:val="auto"/>
          <w:kern w:val="0"/>
          <w:sz w:val="24"/>
          <w:highlight w:val="none"/>
          <w:lang w:val="zh-CN"/>
        </w:rPr>
      </w:pPr>
      <w:bookmarkStart w:id="1092" w:name="_Toc373227762"/>
      <w:bookmarkStart w:id="1093" w:name="_Toc373478409"/>
      <w:bookmarkStart w:id="1094" w:name="_Toc905081407"/>
      <w:bookmarkStart w:id="1095" w:name="_Toc162971432"/>
      <w:bookmarkStart w:id="1096" w:name="_Toc389065327"/>
      <w:bookmarkStart w:id="1097" w:name="_Toc407135265"/>
      <w:bookmarkStart w:id="1098" w:name="_Toc351203647"/>
      <w:bookmarkStart w:id="1099" w:name="_Toc1294213766"/>
      <w:bookmarkStart w:id="1100" w:name="_Toc78449851"/>
      <w:bookmarkStart w:id="1101" w:name="_Toc267251483"/>
      <w:bookmarkStart w:id="1102" w:name="_Toc267251484"/>
      <w:bookmarkStart w:id="1103" w:name="_Toc267251482"/>
      <w:bookmarkStart w:id="1104" w:name="_Toc267251485"/>
      <w:bookmarkStart w:id="1105" w:name="_Toc267251490"/>
      <w:bookmarkStart w:id="1106" w:name="_Toc267251488"/>
      <w:bookmarkStart w:id="1107" w:name="_Toc267251486"/>
      <w:bookmarkStart w:id="1108" w:name="_Toc267251489"/>
      <w:bookmarkStart w:id="1109" w:name="_Toc267251496"/>
      <w:bookmarkStart w:id="1110" w:name="_Toc267251503"/>
      <w:bookmarkStart w:id="1111" w:name="_Toc267251497"/>
      <w:bookmarkStart w:id="1112" w:name="_Toc267251502"/>
      <w:bookmarkStart w:id="1113" w:name="_Toc267251499"/>
      <w:bookmarkStart w:id="1114" w:name="_Toc267251494"/>
      <w:bookmarkStart w:id="1115" w:name="_Toc267251495"/>
      <w:bookmarkStart w:id="1116" w:name="_Toc267251492"/>
      <w:bookmarkStart w:id="1117" w:name="_Toc267251493"/>
      <w:bookmarkStart w:id="1118" w:name="_Toc267251501"/>
      <w:bookmarkStart w:id="1119" w:name="_Toc267251498"/>
      <w:bookmarkStart w:id="1120" w:name="_Toc267251491"/>
      <w:bookmarkStart w:id="1121" w:name="_Toc267251504"/>
      <w:bookmarkStart w:id="1122" w:name="_Toc267251506"/>
      <w:bookmarkStart w:id="1123" w:name="_Toc267251507"/>
      <w:bookmarkStart w:id="1124" w:name="_Toc267251508"/>
      <w:bookmarkStart w:id="1125" w:name="_Toc267251509"/>
      <w:bookmarkStart w:id="1126" w:name="_Toc267251511"/>
      <w:bookmarkStart w:id="1127" w:name="_Toc267251513"/>
      <w:bookmarkStart w:id="1128" w:name="_Toc267251515"/>
      <w:bookmarkStart w:id="1129" w:name="_Toc267251514"/>
      <w:bookmarkStart w:id="1130" w:name="_Toc267251510"/>
      <w:r>
        <w:rPr>
          <w:rFonts w:hint="eastAsia" w:ascii="宋体" w:hAnsi="宋体" w:eastAsia="宋体" w:cs="宋体"/>
          <w:b/>
          <w:bCs/>
          <w:color w:val="auto"/>
          <w:kern w:val="0"/>
          <w:sz w:val="24"/>
          <w:highlight w:val="none"/>
          <w:lang w:val="zh-CN"/>
        </w:rPr>
        <w:t>15. 缺陷责任期与保修</w:t>
      </w:r>
      <w:bookmarkEnd w:id="1092"/>
      <w:bookmarkEnd w:id="1093"/>
      <w:bookmarkEnd w:id="1094"/>
      <w:bookmarkEnd w:id="1095"/>
      <w:bookmarkEnd w:id="1096"/>
      <w:bookmarkEnd w:id="1097"/>
      <w:bookmarkEnd w:id="1098"/>
      <w:bookmarkEnd w:id="1099"/>
      <w:bookmarkEnd w:id="1100"/>
    </w:p>
    <w:p w14:paraId="390B3995">
      <w:pPr>
        <w:keepNext/>
        <w:keepLines/>
        <w:spacing w:line="360" w:lineRule="auto"/>
        <w:outlineLvl w:val="2"/>
        <w:rPr>
          <w:rFonts w:hint="eastAsia" w:ascii="宋体" w:hAnsi="宋体" w:eastAsia="宋体" w:cs="宋体"/>
          <w:b/>
          <w:bCs/>
          <w:color w:val="auto"/>
          <w:kern w:val="0"/>
          <w:sz w:val="24"/>
          <w:highlight w:val="none"/>
          <w:lang w:val="zh-CN"/>
        </w:rPr>
      </w:pPr>
      <w:bookmarkStart w:id="1131" w:name="_Toc373227763"/>
      <w:bookmarkStart w:id="1132" w:name="_Toc1845278067"/>
      <w:bookmarkStart w:id="1133" w:name="_Toc373478410"/>
      <w:bookmarkStart w:id="1134" w:name="_Toc389065328"/>
      <w:bookmarkStart w:id="1135" w:name="_Toc1468458868"/>
      <w:bookmarkStart w:id="1136" w:name="_Toc78449852"/>
      <w:bookmarkStart w:id="1137" w:name="_Toc407135266"/>
      <w:bookmarkStart w:id="1138" w:name="_Toc162971433"/>
      <w:r>
        <w:rPr>
          <w:rFonts w:hint="eastAsia" w:ascii="宋体" w:hAnsi="宋体" w:eastAsia="宋体" w:cs="宋体"/>
          <w:b/>
          <w:bCs/>
          <w:color w:val="auto"/>
          <w:kern w:val="0"/>
          <w:sz w:val="24"/>
          <w:highlight w:val="none"/>
          <w:lang w:val="zh-CN"/>
        </w:rPr>
        <w:t>15.2 缺陷责任期</w:t>
      </w:r>
      <w:bookmarkEnd w:id="1101"/>
      <w:bookmarkEnd w:id="1131"/>
      <w:bookmarkEnd w:id="1132"/>
      <w:bookmarkEnd w:id="1133"/>
      <w:bookmarkEnd w:id="1134"/>
      <w:bookmarkEnd w:id="1135"/>
      <w:bookmarkEnd w:id="1136"/>
      <w:bookmarkEnd w:id="1137"/>
      <w:bookmarkEnd w:id="1138"/>
    </w:p>
    <w:p w14:paraId="3A592BA2">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缺陷责任期的具体期限：</w:t>
      </w:r>
      <w:r>
        <w:rPr>
          <w:rFonts w:hint="eastAsia" w:ascii="宋体" w:hAnsi="宋体" w:eastAsia="宋体" w:cs="宋体"/>
          <w:color w:val="auto"/>
          <w:sz w:val="24"/>
          <w:highlight w:val="none"/>
          <w:u w:val="single"/>
        </w:rPr>
        <w:t xml:space="preserve">  24个月  </w:t>
      </w:r>
      <w:r>
        <w:rPr>
          <w:rFonts w:hint="eastAsia" w:ascii="宋体" w:hAnsi="宋体" w:eastAsia="宋体" w:cs="宋体"/>
          <w:color w:val="auto"/>
          <w:sz w:val="24"/>
          <w:highlight w:val="none"/>
        </w:rPr>
        <w:t>。</w:t>
      </w:r>
    </w:p>
    <w:p w14:paraId="4E7E64E9">
      <w:pPr>
        <w:keepNext/>
        <w:keepLines/>
        <w:spacing w:line="360" w:lineRule="auto"/>
        <w:outlineLvl w:val="2"/>
        <w:rPr>
          <w:rFonts w:hint="eastAsia" w:ascii="宋体" w:hAnsi="宋体" w:eastAsia="宋体" w:cs="宋体"/>
          <w:b/>
          <w:bCs/>
          <w:color w:val="auto"/>
          <w:kern w:val="0"/>
          <w:sz w:val="24"/>
          <w:highlight w:val="none"/>
          <w:lang w:val="zh-CN"/>
        </w:rPr>
      </w:pPr>
      <w:bookmarkStart w:id="1139" w:name="_Toc162971434"/>
      <w:bookmarkStart w:id="1140" w:name="_Toc373227764"/>
      <w:bookmarkStart w:id="1141" w:name="_Toc407135267"/>
      <w:bookmarkStart w:id="1142" w:name="_Toc78449853"/>
      <w:bookmarkStart w:id="1143" w:name="_Toc1004692311"/>
      <w:bookmarkStart w:id="1144" w:name="_Toc666080472"/>
      <w:bookmarkStart w:id="1145" w:name="_Toc373478411"/>
      <w:bookmarkStart w:id="1146" w:name="_Toc389065329"/>
      <w:r>
        <w:rPr>
          <w:rFonts w:hint="eastAsia" w:ascii="宋体" w:hAnsi="宋体" w:eastAsia="宋体" w:cs="宋体"/>
          <w:b/>
          <w:bCs/>
          <w:color w:val="auto"/>
          <w:kern w:val="0"/>
          <w:sz w:val="24"/>
          <w:highlight w:val="none"/>
          <w:lang w:val="zh-CN"/>
        </w:rPr>
        <w:t>15.3 质量保证金</w:t>
      </w:r>
      <w:bookmarkEnd w:id="1139"/>
      <w:bookmarkEnd w:id="1140"/>
      <w:bookmarkEnd w:id="1141"/>
      <w:bookmarkEnd w:id="1142"/>
      <w:bookmarkEnd w:id="1143"/>
      <w:bookmarkEnd w:id="1144"/>
      <w:bookmarkEnd w:id="1145"/>
      <w:bookmarkEnd w:id="1146"/>
    </w:p>
    <w:p w14:paraId="119F81C5">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关于是否扣留质量保证金的约定：</w:t>
      </w:r>
      <w:r>
        <w:rPr>
          <w:rFonts w:hint="eastAsia" w:ascii="宋体" w:hAnsi="宋体" w:eastAsia="宋体" w:cs="宋体"/>
          <w:color w:val="auto"/>
          <w:sz w:val="24"/>
          <w:highlight w:val="none"/>
          <w:u w:val="single"/>
        </w:rPr>
        <w:t>是</w:t>
      </w:r>
      <w:r>
        <w:rPr>
          <w:rFonts w:hint="eastAsia" w:ascii="宋体" w:hAnsi="宋体" w:eastAsia="宋体" w:cs="宋体"/>
          <w:color w:val="auto"/>
          <w:sz w:val="24"/>
          <w:highlight w:val="none"/>
        </w:rPr>
        <w:t>。</w:t>
      </w:r>
    </w:p>
    <w:p w14:paraId="23E6827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在工程项目竣工前，承包人按专用合同条款第3.7条提供履约担保的，发包人不得同时预留工程质量保证金。</w:t>
      </w:r>
    </w:p>
    <w:p w14:paraId="4E2EFF66">
      <w:pPr>
        <w:spacing w:line="360" w:lineRule="auto"/>
        <w:ind w:firstLine="480" w:firstLineChars="200"/>
        <w:jc w:val="left"/>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15.3.1 承包人提供质量保证金的方式</w:t>
      </w:r>
    </w:p>
    <w:p w14:paraId="0978AE8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质量保证金采用以下第</w:t>
      </w:r>
      <w:r>
        <w:rPr>
          <w:rFonts w:hint="eastAsia" w:ascii="宋体" w:hAnsi="宋体" w:eastAsia="宋体" w:cs="宋体"/>
          <w:color w:val="auto"/>
          <w:sz w:val="24"/>
          <w:highlight w:val="none"/>
          <w:u w:val="single"/>
        </w:rPr>
        <w:t>（2）</w:t>
      </w:r>
      <w:r>
        <w:rPr>
          <w:rFonts w:hint="eastAsia" w:ascii="宋体" w:hAnsi="宋体" w:eastAsia="宋体" w:cs="宋体"/>
          <w:color w:val="auto"/>
          <w:sz w:val="24"/>
          <w:highlight w:val="none"/>
        </w:rPr>
        <w:t>种方式：</w:t>
      </w:r>
    </w:p>
    <w:p w14:paraId="4D903713">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（1）保证金额为：</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w:t>
      </w:r>
    </w:p>
    <w:p w14:paraId="110CED9A">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sz w:val="24"/>
          <w:highlight w:val="none"/>
        </w:rPr>
        <w:t>发包人按工程价款结算总额的</w:t>
      </w:r>
      <w:r>
        <w:rPr>
          <w:rFonts w:hint="eastAsia" w:ascii="宋体" w:hAnsi="宋体" w:eastAsia="宋体" w:cs="宋体"/>
          <w:color w:val="auto"/>
          <w:sz w:val="24"/>
          <w:highlight w:val="none"/>
          <w:u w:val="single"/>
        </w:rPr>
        <w:t>3</w:t>
      </w:r>
      <w:r>
        <w:rPr>
          <w:rFonts w:hint="eastAsia" w:ascii="宋体" w:hAnsi="宋体" w:eastAsia="宋体" w:cs="宋体"/>
          <w:color w:val="auto"/>
          <w:sz w:val="24"/>
          <w:highlight w:val="none"/>
        </w:rPr>
        <w:t>%（不得超过3%）预留工程质量保证金，待缺陷责任期满后，发包人在接到承包人的请款申请并扣除承包人应承担的违约金等费用后蒋余额返还，是否付息及利息计算方式为：</w:t>
      </w:r>
      <w:r>
        <w:rPr>
          <w:rFonts w:hint="eastAsia" w:ascii="宋体" w:hAnsi="宋体" w:eastAsia="宋体" w:cs="宋体"/>
          <w:color w:val="auto"/>
          <w:sz w:val="24"/>
          <w:highlight w:val="none"/>
          <w:u w:val="single"/>
        </w:rPr>
        <w:t>不付利息</w:t>
      </w:r>
      <w:r>
        <w:rPr>
          <w:rFonts w:hint="eastAsia" w:ascii="宋体" w:hAnsi="宋体" w:eastAsia="宋体" w:cs="宋体"/>
          <w:color w:val="auto"/>
          <w:kern w:val="0"/>
          <w:sz w:val="24"/>
          <w:highlight w:val="none"/>
        </w:rPr>
        <w:t>；</w:t>
      </w:r>
    </w:p>
    <w:p w14:paraId="6C9BEC97">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（3）其他方式：</w:t>
      </w:r>
      <w:r>
        <w:rPr>
          <w:rFonts w:hint="eastAsia" w:ascii="宋体" w:hAnsi="宋体" w:eastAsia="宋体" w:cs="宋体"/>
          <w:color w:val="auto"/>
          <w:sz w:val="24"/>
          <w:highlight w:val="none"/>
        </w:rPr>
        <w:t>银行转账、电汇或网上支付等形式。</w:t>
      </w:r>
    </w:p>
    <w:p w14:paraId="79AD558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15.3.2 质量保证金的扣留</w:t>
      </w:r>
    </w:p>
    <w:p w14:paraId="44AE063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质量保证金的扣留采取以下第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w:t>
      </w:r>
    </w:p>
    <w:p w14:paraId="07BC7476">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（1）在不缴纳履约保证金情况下，按支付工程进度款时逐次扣留，质量保证金的计算基数不包括预付款的支付、扣回以及价格调整的金额；</w:t>
      </w:r>
    </w:p>
    <w:p w14:paraId="66AE6971">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（2）工程竣工结算时，一次性扣留质量保证金，由承包人以银行保函、保证保险替代预留质量保证金，保函金额不得高于工程价款结算总额的3%；</w:t>
      </w:r>
    </w:p>
    <w:p w14:paraId="0CBC3D31">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（3）其他扣留方式:</w:t>
      </w:r>
      <w:r>
        <w:rPr>
          <w:rFonts w:hint="eastAsia" w:ascii="宋体" w:hAnsi="宋体" w:eastAsia="宋体" w:cs="宋体"/>
          <w:color w:val="auto"/>
          <w:sz w:val="24"/>
          <w:highlight w:val="none"/>
        </w:rPr>
        <w:t>银行转账、电汇或网上支付、保函（银行保函、电子保函、保证保险保函、工程担保保函）等形式</w:t>
      </w:r>
      <w:r>
        <w:rPr>
          <w:rFonts w:hint="eastAsia" w:ascii="宋体" w:hAnsi="宋体" w:eastAsia="宋体" w:cs="宋体"/>
          <w:color w:val="auto"/>
          <w:kern w:val="0"/>
          <w:sz w:val="24"/>
          <w:highlight w:val="none"/>
        </w:rPr>
        <w:t>。</w:t>
      </w:r>
    </w:p>
    <w:p w14:paraId="325DE83D">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关于质量保证金的补充约定：</w:t>
      </w:r>
      <w:r>
        <w:rPr>
          <w:rFonts w:hint="eastAsia" w:ascii="宋体" w:hAnsi="宋体" w:eastAsia="宋体" w:cs="宋体"/>
          <w:color w:val="auto"/>
          <w:sz w:val="24"/>
          <w:highlight w:val="none"/>
          <w:u w:val="single"/>
        </w:rPr>
        <w:t>承包人先将工程价款结算总额的3%工程质量保证金缴纳至发包人的指定账户，发包人再将工程款支付至结算总价的100%（含已支付的工程进度款）</w:t>
      </w:r>
      <w:r>
        <w:rPr>
          <w:rFonts w:hint="eastAsia" w:ascii="宋体" w:hAnsi="宋体" w:eastAsia="宋体" w:cs="宋体"/>
          <w:color w:val="auto"/>
          <w:sz w:val="24"/>
          <w:highlight w:val="none"/>
        </w:rPr>
        <w:t>。缺陷责任期内，如发生属承包人责任的质量问题，按工程质量保修书约定执行。承包人未按照法律法规有关规定和合同约定履行质量保修义务的，发包人有权从质量保证金中扣留用于质量保修的各项支出；若质量保证金不足以抵扣实际支出费用，发包人有权要求承包人补足差额，并追究承包人的违约责任。</w:t>
      </w:r>
    </w:p>
    <w:bookmarkEnd w:id="1102"/>
    <w:bookmarkEnd w:id="1103"/>
    <w:p w14:paraId="4924DA39">
      <w:pPr>
        <w:keepNext/>
        <w:keepLines/>
        <w:spacing w:line="360" w:lineRule="auto"/>
        <w:outlineLvl w:val="2"/>
        <w:rPr>
          <w:rFonts w:hint="eastAsia" w:ascii="宋体" w:hAnsi="宋体" w:eastAsia="宋体" w:cs="宋体"/>
          <w:b/>
          <w:bCs/>
          <w:color w:val="auto"/>
          <w:kern w:val="0"/>
          <w:sz w:val="24"/>
          <w:highlight w:val="none"/>
          <w:lang w:val="zh-CN"/>
        </w:rPr>
      </w:pPr>
      <w:bookmarkStart w:id="1147" w:name="_Toc373227765"/>
      <w:bookmarkStart w:id="1148" w:name="_Toc373478412"/>
      <w:bookmarkStart w:id="1149" w:name="_Toc196306762"/>
      <w:bookmarkStart w:id="1150" w:name="_Toc389065330"/>
      <w:bookmarkStart w:id="1151" w:name="_Toc78449854"/>
      <w:bookmarkStart w:id="1152" w:name="_Toc1902722111"/>
      <w:bookmarkStart w:id="1153" w:name="_Toc407135268"/>
      <w:bookmarkStart w:id="1154" w:name="_Toc162971436"/>
      <w:r>
        <w:rPr>
          <w:rFonts w:hint="eastAsia" w:ascii="宋体" w:hAnsi="宋体" w:eastAsia="宋体" w:cs="宋体"/>
          <w:b/>
          <w:bCs/>
          <w:color w:val="auto"/>
          <w:kern w:val="0"/>
          <w:sz w:val="24"/>
          <w:highlight w:val="none"/>
          <w:lang w:val="zh-CN"/>
        </w:rPr>
        <w:t>15.4 保修</w:t>
      </w:r>
      <w:bookmarkEnd w:id="1147"/>
      <w:bookmarkEnd w:id="1148"/>
      <w:bookmarkEnd w:id="1149"/>
      <w:bookmarkEnd w:id="1150"/>
      <w:bookmarkEnd w:id="1151"/>
      <w:bookmarkEnd w:id="1152"/>
      <w:bookmarkEnd w:id="1153"/>
      <w:bookmarkEnd w:id="1154"/>
    </w:p>
    <w:bookmarkEnd w:id="1104"/>
    <w:p w14:paraId="79334E1A">
      <w:pPr>
        <w:spacing w:line="360" w:lineRule="auto"/>
        <w:ind w:firstLine="468" w:firstLineChars="195"/>
        <w:outlineLvl w:val="0"/>
        <w:rPr>
          <w:rFonts w:hint="eastAsia" w:ascii="宋体" w:hAnsi="宋体" w:eastAsia="宋体" w:cs="宋体"/>
          <w:color w:val="auto"/>
          <w:sz w:val="24"/>
          <w:highlight w:val="none"/>
        </w:rPr>
      </w:pPr>
      <w:bookmarkStart w:id="1155" w:name="_Toc162971437"/>
      <w:r>
        <w:rPr>
          <w:rFonts w:hint="eastAsia" w:ascii="宋体" w:hAnsi="宋体" w:eastAsia="宋体" w:cs="宋体"/>
          <w:color w:val="auto"/>
          <w:sz w:val="24"/>
          <w:highlight w:val="none"/>
        </w:rPr>
        <w:t>15.4.1 保修责任</w:t>
      </w:r>
      <w:bookmarkEnd w:id="1155"/>
    </w:p>
    <w:p w14:paraId="7948D2A0">
      <w:pPr>
        <w:spacing w:line="360" w:lineRule="auto"/>
        <w:ind w:firstLine="468" w:firstLineChars="195"/>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工程保修期为：</w:t>
      </w:r>
      <w:r>
        <w:rPr>
          <w:rFonts w:hint="eastAsia" w:ascii="宋体" w:hAnsi="宋体" w:eastAsia="宋体" w:cs="宋体"/>
          <w:color w:val="auto"/>
          <w:sz w:val="24"/>
          <w:highlight w:val="none"/>
          <w:u w:val="single"/>
        </w:rPr>
        <w:t>按合同附件工程质量保修书规定执行</w:t>
      </w:r>
      <w:r>
        <w:rPr>
          <w:rFonts w:hint="eastAsia" w:ascii="宋体" w:hAnsi="宋体" w:eastAsia="宋体" w:cs="宋体"/>
          <w:color w:val="auto"/>
          <w:kern w:val="0"/>
          <w:sz w:val="24"/>
          <w:highlight w:val="none"/>
        </w:rPr>
        <w:t>。</w:t>
      </w:r>
    </w:p>
    <w:p w14:paraId="1C42023B">
      <w:pPr>
        <w:spacing w:line="360" w:lineRule="auto"/>
        <w:ind w:firstLine="468" w:firstLineChars="195"/>
        <w:jc w:val="left"/>
        <w:rPr>
          <w:rFonts w:hint="eastAsia" w:ascii="宋体" w:hAnsi="宋体" w:eastAsia="宋体" w:cs="宋体"/>
          <w:color w:val="auto"/>
          <w:kern w:val="0"/>
          <w:sz w:val="24"/>
          <w:highlight w:val="none"/>
          <w:u w:val="single"/>
        </w:rPr>
      </w:pPr>
      <w:r>
        <w:rPr>
          <w:rFonts w:hint="eastAsia" w:ascii="宋体" w:hAnsi="宋体" w:eastAsia="宋体" w:cs="宋体"/>
          <w:color w:val="auto"/>
          <w:sz w:val="24"/>
          <w:highlight w:val="none"/>
        </w:rPr>
        <w:t>工程保修书具体内容见合同附件2。</w:t>
      </w:r>
    </w:p>
    <w:p w14:paraId="34263F9A">
      <w:pPr>
        <w:spacing w:line="360" w:lineRule="auto"/>
        <w:ind w:firstLine="468" w:firstLineChars="19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15.4.3 修复通知</w:t>
      </w:r>
    </w:p>
    <w:p w14:paraId="4A8D3313">
      <w:pPr>
        <w:spacing w:line="360" w:lineRule="auto"/>
        <w:ind w:firstLine="468" w:firstLineChars="195"/>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承包人收到保修通知并到达工程现场的合理时间：</w:t>
      </w:r>
      <w:r>
        <w:rPr>
          <w:rFonts w:hint="eastAsia" w:ascii="宋体" w:hAnsi="宋体" w:eastAsia="宋体" w:cs="宋体"/>
          <w:color w:val="auto"/>
          <w:sz w:val="24"/>
          <w:highlight w:val="none"/>
          <w:u w:val="single"/>
        </w:rPr>
        <w:t>24小时内，紧急抢修应以最快速度到达并立即抢修。在接到发包人书面或电话通知 24 小时内未能进行修补的，发包人有权直接委托他人进行抢修，费用直接从承包人的质保金中扣除，质量保证金不足以支付的，费用仍由承包人承担</w:t>
      </w:r>
      <w:r>
        <w:rPr>
          <w:rFonts w:hint="eastAsia" w:ascii="宋体" w:hAnsi="宋体" w:eastAsia="宋体" w:cs="宋体"/>
          <w:color w:val="auto"/>
          <w:kern w:val="0"/>
          <w:sz w:val="24"/>
          <w:highlight w:val="none"/>
        </w:rPr>
        <w:t>。</w:t>
      </w:r>
    </w:p>
    <w:bookmarkEnd w:id="1105"/>
    <w:bookmarkEnd w:id="1106"/>
    <w:bookmarkEnd w:id="1107"/>
    <w:bookmarkEnd w:id="1108"/>
    <w:p w14:paraId="57B72829">
      <w:pPr>
        <w:keepNext/>
        <w:keepLines/>
        <w:spacing w:before="60" w:after="60" w:line="360" w:lineRule="auto"/>
        <w:outlineLvl w:val="1"/>
        <w:rPr>
          <w:rFonts w:hint="eastAsia" w:ascii="宋体" w:hAnsi="宋体" w:eastAsia="宋体" w:cs="宋体"/>
          <w:b/>
          <w:bCs/>
          <w:color w:val="auto"/>
          <w:kern w:val="0"/>
          <w:sz w:val="24"/>
          <w:highlight w:val="none"/>
          <w:lang w:val="zh-CN"/>
        </w:rPr>
      </w:pPr>
      <w:bookmarkStart w:id="1156" w:name="_Toc1360137061"/>
      <w:bookmarkStart w:id="1157" w:name="_Toc162971438"/>
      <w:bookmarkStart w:id="1158" w:name="_Toc373478413"/>
      <w:bookmarkStart w:id="1159" w:name="_Toc373227766"/>
      <w:bookmarkStart w:id="1160" w:name="_Toc1725581915"/>
      <w:bookmarkStart w:id="1161" w:name="_Toc389065331"/>
      <w:bookmarkStart w:id="1162" w:name="_Toc407135269"/>
      <w:bookmarkStart w:id="1163" w:name="_Toc351203648"/>
      <w:bookmarkStart w:id="1164" w:name="_Toc78449855"/>
      <w:bookmarkStart w:id="1165" w:name="_Toc280868717"/>
      <w:bookmarkStart w:id="1166" w:name="_Toc280868718"/>
      <w:r>
        <w:rPr>
          <w:rFonts w:hint="eastAsia" w:ascii="宋体" w:hAnsi="宋体" w:eastAsia="宋体" w:cs="宋体"/>
          <w:b/>
          <w:bCs/>
          <w:color w:val="auto"/>
          <w:kern w:val="0"/>
          <w:sz w:val="24"/>
          <w:highlight w:val="none"/>
          <w:lang w:val="zh-CN"/>
        </w:rPr>
        <w:t>16. 违约</w:t>
      </w:r>
      <w:bookmarkEnd w:id="1156"/>
      <w:bookmarkEnd w:id="1157"/>
      <w:bookmarkEnd w:id="1158"/>
      <w:bookmarkEnd w:id="1159"/>
      <w:bookmarkEnd w:id="1160"/>
      <w:bookmarkEnd w:id="1161"/>
      <w:bookmarkEnd w:id="1162"/>
      <w:bookmarkEnd w:id="1163"/>
      <w:bookmarkEnd w:id="1164"/>
    </w:p>
    <w:p w14:paraId="5B6AD4FA">
      <w:pPr>
        <w:keepNext/>
        <w:keepLines/>
        <w:spacing w:line="360" w:lineRule="auto"/>
        <w:outlineLvl w:val="2"/>
        <w:rPr>
          <w:rFonts w:hint="eastAsia" w:ascii="宋体" w:hAnsi="宋体" w:eastAsia="宋体" w:cs="宋体"/>
          <w:b/>
          <w:bCs/>
          <w:color w:val="auto"/>
          <w:kern w:val="0"/>
          <w:sz w:val="24"/>
          <w:highlight w:val="none"/>
          <w:lang w:val="zh-CN"/>
        </w:rPr>
      </w:pPr>
      <w:bookmarkStart w:id="1167" w:name="_Toc1973395665"/>
      <w:bookmarkStart w:id="1168" w:name="_Toc373227767"/>
      <w:bookmarkStart w:id="1169" w:name="_Toc78449856"/>
      <w:bookmarkStart w:id="1170" w:name="_Toc389065332"/>
      <w:bookmarkStart w:id="1171" w:name="_Toc407135270"/>
      <w:bookmarkStart w:id="1172" w:name="_Toc1535389315"/>
      <w:bookmarkStart w:id="1173" w:name="_Toc162971439"/>
      <w:bookmarkStart w:id="1174" w:name="_Toc373478414"/>
      <w:r>
        <w:rPr>
          <w:rFonts w:hint="eastAsia" w:ascii="宋体" w:hAnsi="宋体" w:eastAsia="宋体" w:cs="宋体"/>
          <w:b/>
          <w:bCs/>
          <w:color w:val="auto"/>
          <w:kern w:val="0"/>
          <w:sz w:val="24"/>
          <w:highlight w:val="none"/>
          <w:lang w:val="zh-CN"/>
        </w:rPr>
        <w:t>16.1 发包人违约</w:t>
      </w:r>
      <w:bookmarkEnd w:id="1167"/>
      <w:bookmarkEnd w:id="1168"/>
      <w:bookmarkEnd w:id="1169"/>
      <w:bookmarkEnd w:id="1170"/>
      <w:bookmarkEnd w:id="1171"/>
      <w:bookmarkEnd w:id="1172"/>
      <w:bookmarkEnd w:id="1173"/>
      <w:bookmarkEnd w:id="1174"/>
    </w:p>
    <w:p w14:paraId="7E42D425">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16.1.1发包人违约的情形：</w:t>
      </w:r>
      <w:r>
        <w:rPr>
          <w:rFonts w:hint="eastAsia" w:ascii="宋体" w:hAnsi="宋体" w:eastAsia="宋体" w:cs="宋体"/>
          <w:color w:val="auto"/>
          <w:sz w:val="24"/>
          <w:highlight w:val="none"/>
          <w:u w:val="single"/>
        </w:rPr>
        <w:t xml:space="preserve"> 违反本合同约定义务。</w:t>
      </w:r>
    </w:p>
    <w:p w14:paraId="302A1E3C">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发包人违约的其他情形：</w:t>
      </w:r>
      <w:r>
        <w:rPr>
          <w:rFonts w:hint="eastAsia" w:ascii="宋体" w:hAnsi="宋体" w:eastAsia="宋体" w:cs="宋体"/>
          <w:color w:val="auto"/>
          <w:sz w:val="24"/>
          <w:highlight w:val="none"/>
          <w:u w:val="single"/>
        </w:rPr>
        <w:t>按本合同通用条款</w:t>
      </w:r>
      <w:r>
        <w:rPr>
          <w:rFonts w:hint="eastAsia" w:ascii="宋体" w:hAnsi="宋体" w:eastAsia="宋体" w:cs="宋体"/>
          <w:color w:val="auto"/>
          <w:kern w:val="0"/>
          <w:sz w:val="24"/>
          <w:highlight w:val="none"/>
        </w:rPr>
        <w:t>。</w:t>
      </w:r>
    </w:p>
    <w:p w14:paraId="7F0D11B5">
      <w:pPr>
        <w:spacing w:line="360" w:lineRule="auto"/>
        <w:ind w:firstLine="480" w:firstLineChars="200"/>
        <w:jc w:val="left"/>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16.1.2 发包人违约的责任</w:t>
      </w:r>
    </w:p>
    <w:p w14:paraId="17B02F7E">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发包人违约责任的承担方式和计算方法：</w:t>
      </w:r>
    </w:p>
    <w:p w14:paraId="5154CC9B">
      <w:pPr>
        <w:spacing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（1）因发包人原因未能在计划开工日期前7天内下达开工通知的违约责任：</w:t>
      </w:r>
      <w:r>
        <w:rPr>
          <w:rFonts w:hint="eastAsia" w:ascii="宋体" w:hAnsi="宋体" w:eastAsia="宋体" w:cs="宋体"/>
          <w:color w:val="auto"/>
          <w:kern w:val="0"/>
          <w:sz w:val="24"/>
          <w:highlight w:val="none"/>
          <w:u w:val="single"/>
        </w:rPr>
        <w:t>无</w:t>
      </w:r>
      <w:r>
        <w:rPr>
          <w:rFonts w:hint="eastAsia" w:ascii="宋体" w:hAnsi="宋体" w:eastAsia="宋体" w:cs="宋体"/>
          <w:color w:val="auto"/>
          <w:kern w:val="0"/>
          <w:sz w:val="24"/>
          <w:highlight w:val="none"/>
        </w:rPr>
        <w:t>。</w:t>
      </w:r>
    </w:p>
    <w:p w14:paraId="576DDF8B">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（2）因发包人原因未能按合同约定支付合同价款的违约责任：</w:t>
      </w:r>
      <w:r>
        <w:rPr>
          <w:rFonts w:hint="eastAsia" w:ascii="宋体" w:hAnsi="宋体" w:eastAsia="宋体" w:cs="宋体"/>
          <w:color w:val="auto"/>
          <w:sz w:val="24"/>
          <w:highlight w:val="none"/>
          <w:u w:val="single"/>
        </w:rPr>
        <w:t>承包人与发包人签订延期付款协议</w:t>
      </w:r>
      <w:r>
        <w:rPr>
          <w:rFonts w:hint="eastAsia" w:ascii="宋体" w:hAnsi="宋体" w:eastAsia="宋体" w:cs="宋体"/>
          <w:color w:val="auto"/>
          <w:kern w:val="0"/>
          <w:sz w:val="24"/>
          <w:highlight w:val="none"/>
        </w:rPr>
        <w:t>。</w:t>
      </w:r>
    </w:p>
    <w:p w14:paraId="0913BDBF">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（3）发包人违反第10.1款〔变更的范围〕第（2）项约定，自行实施被取消的工作或转由他人实施的违约责任：</w:t>
      </w:r>
      <w:r>
        <w:rPr>
          <w:rFonts w:hint="eastAsia" w:ascii="宋体" w:hAnsi="宋体" w:eastAsia="宋体" w:cs="宋体"/>
          <w:color w:val="auto"/>
          <w:sz w:val="24"/>
          <w:highlight w:val="none"/>
          <w:u w:val="single"/>
        </w:rPr>
        <w:t>发包人只赔偿承包人因准备该部分工作而实际发生的合理费用，但不给予其它赔偿或补偿</w:t>
      </w:r>
      <w:r>
        <w:rPr>
          <w:rFonts w:hint="eastAsia" w:ascii="宋体" w:hAnsi="宋体" w:eastAsia="宋体" w:cs="宋体"/>
          <w:color w:val="auto"/>
          <w:kern w:val="0"/>
          <w:sz w:val="24"/>
          <w:highlight w:val="none"/>
        </w:rPr>
        <w:t>。</w:t>
      </w:r>
    </w:p>
    <w:p w14:paraId="7924F72B">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4"/>
          <w:highlight w:val="none"/>
          <w:u w:val="single"/>
        </w:rPr>
        <w:t>按本合同通用条款执行</w:t>
      </w:r>
      <w:r>
        <w:rPr>
          <w:rFonts w:hint="eastAsia" w:ascii="宋体" w:hAnsi="宋体" w:eastAsia="宋体" w:cs="宋体"/>
          <w:color w:val="auto"/>
          <w:kern w:val="0"/>
          <w:sz w:val="24"/>
          <w:highlight w:val="none"/>
        </w:rPr>
        <w:t>。</w:t>
      </w:r>
    </w:p>
    <w:p w14:paraId="7A55B7A2">
      <w:pPr>
        <w:spacing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（5）因发包人违反合同约定造成暂停施工的违约责任：</w:t>
      </w:r>
      <w:r>
        <w:rPr>
          <w:rFonts w:hint="eastAsia" w:ascii="宋体" w:hAnsi="宋体" w:eastAsia="宋体" w:cs="宋体"/>
          <w:color w:val="auto"/>
          <w:sz w:val="24"/>
          <w:highlight w:val="none"/>
          <w:u w:val="single"/>
        </w:rPr>
        <w:t>可顺延工期</w:t>
      </w:r>
      <w:r>
        <w:rPr>
          <w:rFonts w:hint="eastAsia" w:ascii="宋体" w:hAnsi="宋体" w:eastAsia="宋体" w:cs="宋体"/>
          <w:color w:val="auto"/>
          <w:kern w:val="0"/>
          <w:sz w:val="24"/>
          <w:highlight w:val="none"/>
        </w:rPr>
        <w:t>。</w:t>
      </w:r>
    </w:p>
    <w:p w14:paraId="7EAE75FB">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（6）发包人无正当理由没有在约定期限内发出复工指示，导致承包人无法复工的违约责任：</w:t>
      </w:r>
      <w:r>
        <w:rPr>
          <w:rFonts w:hint="eastAsia" w:ascii="宋体" w:hAnsi="宋体" w:eastAsia="宋体" w:cs="宋体"/>
          <w:color w:val="auto"/>
          <w:sz w:val="24"/>
          <w:highlight w:val="none"/>
          <w:u w:val="single"/>
        </w:rPr>
        <w:t>可顺延工期，但发包人不赔偿其它损失及任何费用</w:t>
      </w:r>
      <w:r>
        <w:rPr>
          <w:rFonts w:hint="eastAsia" w:ascii="宋体" w:hAnsi="宋体" w:eastAsia="宋体" w:cs="宋体"/>
          <w:color w:val="auto"/>
          <w:kern w:val="0"/>
          <w:sz w:val="24"/>
          <w:highlight w:val="none"/>
        </w:rPr>
        <w:t>。</w:t>
      </w:r>
    </w:p>
    <w:p w14:paraId="47B68230">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（7）其他：</w:t>
      </w:r>
      <w:r>
        <w:rPr>
          <w:rFonts w:hint="eastAsia" w:ascii="宋体" w:hAnsi="宋体" w:eastAsia="宋体" w:cs="宋体"/>
          <w:color w:val="auto"/>
          <w:sz w:val="24"/>
          <w:highlight w:val="none"/>
          <w:u w:val="single"/>
        </w:rPr>
        <w:t>无</w:t>
      </w:r>
      <w:r>
        <w:rPr>
          <w:rFonts w:hint="eastAsia" w:ascii="宋体" w:hAnsi="宋体" w:eastAsia="宋体" w:cs="宋体"/>
          <w:color w:val="auto"/>
          <w:kern w:val="0"/>
          <w:sz w:val="24"/>
          <w:highlight w:val="none"/>
        </w:rPr>
        <w:t>。</w:t>
      </w:r>
    </w:p>
    <w:p w14:paraId="5D564BD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根据上述给予承包人工期顺延的，则对顺延期间的有关费用、合理利润等，承包人不向发包人主张；如本条有关约定与本合同《协议书》、《通用合同条款》、《专用合同条款》其他有关约定有不同的，均一律按本条执行。</w:t>
      </w:r>
    </w:p>
    <w:p w14:paraId="45ED0CA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16.1.3 因发包人违约解除合同</w:t>
      </w:r>
    </w:p>
    <w:p w14:paraId="5988A19D">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承包人按16.1.1项〔发包人违约的情形〕约定暂停施工满</w:t>
      </w:r>
      <w:r>
        <w:rPr>
          <w:rFonts w:hint="eastAsia" w:ascii="宋体" w:hAnsi="宋体" w:eastAsia="宋体" w:cs="宋体"/>
          <w:color w:val="auto"/>
          <w:kern w:val="0"/>
          <w:sz w:val="24"/>
          <w:highlight w:val="none"/>
          <w:u w:val="single"/>
        </w:rPr>
        <w:t>60</w:t>
      </w:r>
      <w:r>
        <w:rPr>
          <w:rFonts w:hint="eastAsia" w:ascii="宋体" w:hAnsi="宋体" w:eastAsia="宋体" w:cs="宋体"/>
          <w:color w:val="auto"/>
          <w:kern w:val="0"/>
          <w:sz w:val="24"/>
          <w:highlight w:val="none"/>
        </w:rPr>
        <w:t>天后发包人仍不纠正其违约行为并致使合同目的不能实现的，承包人有权解除合同。</w:t>
      </w:r>
    </w:p>
    <w:p w14:paraId="54409E4A">
      <w:pPr>
        <w:keepNext/>
        <w:keepLines/>
        <w:spacing w:line="360" w:lineRule="auto"/>
        <w:outlineLvl w:val="2"/>
        <w:rPr>
          <w:rFonts w:hint="eastAsia" w:ascii="宋体" w:hAnsi="宋体" w:eastAsia="宋体" w:cs="宋体"/>
          <w:b/>
          <w:bCs/>
          <w:color w:val="auto"/>
          <w:kern w:val="0"/>
          <w:sz w:val="24"/>
          <w:highlight w:val="none"/>
          <w:lang w:val="zh-CN"/>
        </w:rPr>
      </w:pPr>
      <w:bookmarkStart w:id="1175" w:name="_Toc162971441"/>
      <w:bookmarkStart w:id="1176" w:name="_Toc373478415"/>
      <w:bookmarkStart w:id="1177" w:name="_Toc61078193"/>
      <w:bookmarkStart w:id="1178" w:name="_Toc389065333"/>
      <w:bookmarkStart w:id="1179" w:name="_Toc247586342"/>
      <w:bookmarkStart w:id="1180" w:name="_Toc407135271"/>
      <w:bookmarkStart w:id="1181" w:name="_Toc373227768"/>
      <w:bookmarkStart w:id="1182" w:name="_Toc78449857"/>
      <w:r>
        <w:rPr>
          <w:rFonts w:hint="eastAsia" w:ascii="宋体" w:hAnsi="宋体" w:eastAsia="宋体" w:cs="宋体"/>
          <w:b/>
          <w:bCs/>
          <w:color w:val="auto"/>
          <w:kern w:val="0"/>
          <w:sz w:val="24"/>
          <w:highlight w:val="none"/>
          <w:lang w:val="zh-CN"/>
        </w:rPr>
        <w:t>16.2 承包人违约</w:t>
      </w:r>
      <w:bookmarkEnd w:id="1175"/>
      <w:bookmarkEnd w:id="1176"/>
      <w:bookmarkEnd w:id="1177"/>
      <w:bookmarkEnd w:id="1178"/>
      <w:bookmarkEnd w:id="1179"/>
      <w:bookmarkEnd w:id="1180"/>
      <w:bookmarkEnd w:id="1181"/>
      <w:bookmarkEnd w:id="1182"/>
    </w:p>
    <w:p w14:paraId="628B5881">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16.2.1 承包人违约的情形</w:t>
      </w:r>
    </w:p>
    <w:p w14:paraId="769B6EA6">
      <w:pPr>
        <w:numPr>
          <w:ilvl w:val="0"/>
          <w:numId w:val="6"/>
        </w:num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承包人违反合同约定进行转包或违法分包的或承包人未按合同约定配合发包人对发包人支付给承包人的工程款的流向进行跟踪的；</w:t>
      </w:r>
    </w:p>
    <w:p w14:paraId="07041716">
      <w:pPr>
        <w:numPr>
          <w:ilvl w:val="0"/>
          <w:numId w:val="6"/>
        </w:num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承包人违反合同约定采购和使用不合格的材料和工程设备的；</w:t>
      </w:r>
    </w:p>
    <w:p w14:paraId="7C84353E">
      <w:pPr>
        <w:numPr>
          <w:ilvl w:val="0"/>
          <w:numId w:val="6"/>
        </w:num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因承包人原因导致工程质量不符合合同要求的；</w:t>
      </w:r>
    </w:p>
    <w:p w14:paraId="04DF518B">
      <w:pPr>
        <w:spacing w:line="360" w:lineRule="auto"/>
        <w:ind w:left="420" w:left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（4）承包人违反第8款〔材料与设备专用要求〕的约定，未经批准，私自将已按照合同约定进入施工现场的材料或设备撤离施工现场的；</w:t>
      </w:r>
    </w:p>
    <w:p w14:paraId="336F99F0">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（5）承包人未能按施工进度计划及时完成合同约定的工作，造成工期延误的；</w:t>
      </w:r>
    </w:p>
    <w:p w14:paraId="038C315D">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（6）承包人在缺陷责任期及保修期内，未能在合理期限对工程缺陷进行修复，或拒绝按发包人要求进行修复的；</w:t>
      </w:r>
    </w:p>
    <w:p w14:paraId="16D92317">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（7）承包人明确表示或者以其行为表明不履行合同主要义务的；</w:t>
      </w:r>
    </w:p>
    <w:p w14:paraId="32123FFD">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（8）承包人未按联合体的协议的职责分工约定履行合同的（如承包人为联合体时）；</w:t>
      </w:r>
    </w:p>
    <w:p w14:paraId="2D4607CB">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（9）承包人未能按照合同约定履行其他义务的。</w:t>
      </w:r>
    </w:p>
    <w:p w14:paraId="36569E60">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承包人发生除本项第（7）目约定以外的其他违约情况时，监理人可向承包人发出整改通知，要求其在指定的期限内改正。</w:t>
      </w:r>
    </w:p>
    <w:p w14:paraId="59E4F9B9">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承包人违约的其他情形：承包人有违反《南宁市建设工程造价管理办法》（南宁市人民政府令2007年第5号）规定的，按规定给予处罚。</w:t>
      </w:r>
    </w:p>
    <w:p w14:paraId="16687652">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有违反南宁市建设主管部门相关规定的，承包人应向发包人支付5万元/次违约金，承包人有结算资料和竣工验收资料不全、不及时、不按约定清场、不给予或不配合分包管理等其他事项的，应按每违反一项5000元/日的标准向发包人支付违约金，直至完成所有工作。</w:t>
      </w:r>
    </w:p>
    <w:p w14:paraId="3F986D4D">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（2）承包人未按上报的进度计划要求取得特种设备监督管理部门的验收证书的，应以每延误一天5000元/日的标准向发包人支付违约金，直至完成验收取证。   </w:t>
      </w:r>
    </w:p>
    <w:p w14:paraId="72DBD3C7">
      <w:pPr>
        <w:spacing w:line="360" w:lineRule="auto"/>
        <w:ind w:firstLine="480" w:firstLineChars="200"/>
        <w:jc w:val="left"/>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16.2.2承包人违约的责任</w:t>
      </w:r>
    </w:p>
    <w:p w14:paraId="76926793">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承包人违约责任的承担方式和计算方法：</w:t>
      </w:r>
    </w:p>
    <w:p w14:paraId="475A17B8">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（1）承包人出现本合同通用条款第16.2.1项第（2）目 约定的违约情形，按本合同通用条款第8.5.1、8.5.2项处理。违约情形</w:t>
      </w:r>
      <w:r>
        <w:rPr>
          <w:rFonts w:hint="eastAsia" w:ascii="宋体" w:hAnsi="宋体" w:eastAsia="宋体" w:cs="宋体"/>
          <w:bCs/>
          <w:color w:val="auto"/>
          <w:sz w:val="24"/>
          <w:highlight w:val="none"/>
        </w:rPr>
        <w:t>还包括：施工现场堆放或正在使用的建筑、装修、水电等材料必须为招标清单中明确的参考品牌之一，如发现其品牌、品种、规格、型号不是合同、清单约定的参考品牌及等级，或其性能参数指标不符合国家及有关规范、标准的要求，或被相关部门认定为假冒伪劣产品，每发现一次处违约金10000元/次（人民币），且承包人必须将相应材料清退出场。如不退场，发包人将在付款和结算时扣除涉及此材料的相应清单项目的全部费用，承包人还须承担由此产生的相应后果。</w:t>
      </w:r>
    </w:p>
    <w:p w14:paraId="58C1E552">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承包人出现本合同通用条款第16.2.1项第（3）目约定的违约情形，承包人无条件在发包人（含监理人）规定的时间内返工整改至工程质量符合合同要求，并承担相关费用，逾期未完成的，每延期一天，处违约金1000元/天•次（人民币）；同一整改内容出现2次以上的，处违约金2000-5000元/•次（人民币）。如承包人拒不整改，发包人将在付款和结算时扣除涉及未整改的相应清单项目的全部费用，承包人还须承担由此产生的后果。</w:t>
      </w:r>
    </w:p>
    <w:p w14:paraId="77279B1E">
      <w:pPr>
        <w:snapToGrid w:val="0"/>
        <w:spacing w:line="360" w:lineRule="auto"/>
        <w:ind w:firstLine="42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承包人不按设计图纸和施工规范施工的每被发现一次，处违约金5000-20000元/次（人民币）；存在明显的施工质量问题的每被发现一次，处违约金5000-100000元/次（人民币），并由承包人负责相关整改工作；工程存在明显的施工质量缺陷的，发包人视情况对承包人处违约金1000-5000元/处（人民币），并由承包人负责相关整改工作。</w:t>
      </w:r>
    </w:p>
    <w:p w14:paraId="1470D5CF">
      <w:pPr>
        <w:snapToGrid w:val="0"/>
        <w:spacing w:line="360" w:lineRule="auto"/>
        <w:ind w:firstLine="42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（4）前道工序未经监理人、发包人检查验收确认，承包人擅自进入下一道工序施工的，处违约金1000元/次（人民币）。 </w:t>
      </w:r>
    </w:p>
    <w:p w14:paraId="54E7E7D3">
      <w:pPr>
        <w:snapToGrid w:val="0"/>
        <w:spacing w:line="360" w:lineRule="auto"/>
        <w:ind w:firstLine="42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（5）分部分项工程施工时，无专项施工方案，无书面技术交底，处违约金500元/次（人民币）。</w:t>
      </w:r>
    </w:p>
    <w:p w14:paraId="6FFB1503">
      <w:pPr>
        <w:snapToGrid w:val="0"/>
        <w:spacing w:line="360" w:lineRule="auto"/>
        <w:ind w:firstLine="42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（6）不按交底要求施工，处违约金500元/次（人民币）。</w:t>
      </w:r>
    </w:p>
    <w:p w14:paraId="42E8E317">
      <w:pPr>
        <w:snapToGrid w:val="0"/>
        <w:spacing w:line="360" w:lineRule="auto"/>
        <w:ind w:firstLine="42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（7）交底错误，未造成后果，处违约金500元/次；造成后果的视其严重程度处违约金1000-5000元/次（人民币）。</w:t>
      </w:r>
    </w:p>
    <w:p w14:paraId="44B1EE29">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承包人有本合同通用条款第16.2.1（6）条情形的，或经监理人检验认为修复质量不合格而承包人拒绝再进行修补的，发包人将扣除承包人全部质量保证金，并有权委托第三方进行修复，因此产生的全部费用由承包人承担。</w:t>
      </w:r>
    </w:p>
    <w:p w14:paraId="1E5061B6">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承包人有本专用合同条款3.2、3.3条违约情形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w:t>
      </w:r>
    </w:p>
    <w:p w14:paraId="29EF0B74">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承包人没有按照广西壮族自治区建筑工程安全文明施工措施项目清单内容（见桂建质〔2015〕16号文附件一）中规定的文明施工与环境保护、临时设施、安全施工、其他类别等要求执行，按1000元/项（人民币）从安全文明施工费中扣除。现场围挡封闭项目不符合规定要求，按2000元/项（人民币）从安全文明施工费中扣除。</w:t>
      </w:r>
    </w:p>
    <w:p w14:paraId="7956408D">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（11）严禁施工人员酒后上岗，违者按3000元/次•人（人民币）从安全文明施工费中扣除，并停止作业。</w:t>
      </w:r>
    </w:p>
    <w:p w14:paraId="710FB24C">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（12）特殊作业工种必须持证上岗，违者按10000元/人•次（人民币）从安全文明施工费中扣除。</w:t>
      </w:r>
    </w:p>
    <w:p w14:paraId="0A53D862">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（13）严禁从高处往下抛物或倒垃圾，违者按5000元/次（人民币）从安全文明施工费中扣除。</w:t>
      </w:r>
    </w:p>
    <w:p w14:paraId="6C92CF30">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（14）承包人施工现场必须听从发包人代表正确的劝阻、指正，违者按1000元/次（人民币）从安全文明施工费中扣除。</w:t>
      </w:r>
    </w:p>
    <w:p w14:paraId="1F34A0BC">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塔吊、物料提升机、施工电梯等未按规定完成备案擅自使用的，违者按10000元/项（人民币）从安全文明施工费中扣除。未能限期完成备案，影响施工进度，违者按500元/项•天（人民币）从安全文明施工费中扣除。</w:t>
      </w:r>
    </w:p>
    <w:p w14:paraId="132750FC">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（16）物料平台、脚手架、支撑架体等搭设不符合规定要求的，按2000元/次（人民币）从安全文明施工费中扣除。</w:t>
      </w:r>
    </w:p>
    <w:p w14:paraId="1B2143E4">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（17）施工现场内严禁随地大小便，违者按200元/次（人民币）从安全文明施工费中扣除。</w:t>
      </w:r>
    </w:p>
    <w:p w14:paraId="5F3061E3">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（18）严禁小孩进入施工现场，违者按1000元/次（人民币）从安全文明施工费中扣除。</w:t>
      </w:r>
    </w:p>
    <w:p w14:paraId="3CB3B1D0">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（19）承包人在收到发包人书面整改通知后3天内没有整改完毕的，每延期一天按10000元（人民币）从安全文明施工费中扣除，并扣减相关的安全文明施工与环境保护措施费。</w:t>
      </w:r>
    </w:p>
    <w:p w14:paraId="3B6EF3F9">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（20）承包人拒收或拖延执行“安全隐患整改通知书”内容，按5000元/次（人民币）从安全文明施工费中扣除。</w:t>
      </w:r>
    </w:p>
    <w:p w14:paraId="7B2771E0">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因承包人原因发生人身、火灾等安全事故，视情节发包人按10000元—300000元/次（人民币）从安全文明施工费中扣除；前述事故此引起的人身财产赔偿责任由承包人负责，因此导致发包人承担责任的，发包人承担责任后有权向承包人追偿，发包人因此向第三人应诉或追偿产生的诉讼费、律师费、保全费、诉讼财产保全责任险保险费、鉴定费、交通费等均由承包人承担。</w:t>
      </w:r>
    </w:p>
    <w:p w14:paraId="212F69FA">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（22）承包人扬尘防治达不到《南宁市扬尘污染防治条例》要求的，每次扣除扬尘防治费的20%。</w:t>
      </w:r>
    </w:p>
    <w:p w14:paraId="1AB06095">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在项目施工过程中，监理人、发包人有权对实际施工进度与施工进度计划进行比对，如因承包人原因导致未能按施工进度计划及时完成合同约定的工作，造成该分部工程工期延误的，监理人可向承包人发出整改通知，要求其在指定期限内改正，所涉及的赶工费由承包人承担。如发现在桩基工程、地下主体结构、地上主体结构等关键工作节点出现工期延误的，发包人有权暂扣当期实际应支付的工程价款的10%，待实际进度与计划进度相符后再支付，最终因承包人原因造成工期延误的，逾期竣工违约金的上限按照专用条款第7.5.2 执行。</w:t>
      </w:r>
    </w:p>
    <w:p w14:paraId="4882DFA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（24）承包人应对发包人及监理工程的正确指令如期回复,并按要求进行整改，否则每出现一次发包人将处以500－5000元的违约金。</w:t>
      </w:r>
    </w:p>
    <w:p w14:paraId="5116459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（25）本工程施工期间，发包人可以随时依需要召开工程施工协调会议，承包人之工地负责人应按时出席。如因承包人未能出席工程施工协调会议致发包人受有损失，承包人应承担损害赔偿责任。</w:t>
      </w:r>
    </w:p>
    <w:p w14:paraId="1A1948F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16.2.3 因承包人违约解除合同</w:t>
      </w:r>
    </w:p>
    <w:p w14:paraId="0FFA777D">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关于承包人违约解除合同的特别约定：</w:t>
      </w:r>
      <w:r>
        <w:rPr>
          <w:rFonts w:hint="eastAsia" w:ascii="宋体" w:hAnsi="宋体" w:eastAsia="宋体" w:cs="宋体"/>
          <w:color w:val="auto"/>
          <w:kern w:val="0"/>
          <w:sz w:val="24"/>
          <w:highlight w:val="none"/>
          <w:u w:val="single"/>
        </w:rPr>
        <w:t>承包人有违反以下情况之一的，发包人有权解除合同，并没收其全部履约保证金；承包人无权要求支付工程款</w:t>
      </w:r>
      <w:r>
        <w:rPr>
          <w:rFonts w:hint="eastAsia" w:ascii="宋体" w:hAnsi="宋体" w:eastAsia="宋体" w:cs="宋体"/>
          <w:color w:val="auto"/>
          <w:kern w:val="0"/>
          <w:sz w:val="24"/>
          <w:highlight w:val="none"/>
        </w:rPr>
        <w:t>。</w:t>
      </w:r>
    </w:p>
    <w:p w14:paraId="6FD3F8AC">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（1）承包人无正当理由不按开工通知的要求及时进场组织施工和不按签订协议书时商定的进度计划有效地开展施工准备，造成工期延误的；</w:t>
      </w:r>
    </w:p>
    <w:p w14:paraId="5EC7E7D9">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（2）承包人违反本合同通用条款第3.5条规定私自将合同或合同的任何部分或任何权利转让给其他人，或私自将工程或工程的一部分分包出去的；</w:t>
      </w:r>
    </w:p>
    <w:p w14:paraId="3B5642FF">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（3）未经监理人批准，承包人私自将已按投标文件承诺进入工地的工程设备、施工设备、临时工程或材料撤离工地的；</w:t>
      </w:r>
    </w:p>
    <w:p w14:paraId="279EEBE7">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（4）由于承包人原因拒绝按合同进度计划及时完成合同规定的工程，而又未采取有效措施赶上进度，造成工期严重延误的；</w:t>
      </w:r>
    </w:p>
    <w:p w14:paraId="2EC0E3D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（5）承包人否认合同有效或拒绝履行合同规定的承包人义务，或由于法律、财务等原因导致承包人无法继续履行或实质上已停止履行合同的义务的；</w:t>
      </w:r>
    </w:p>
    <w:p w14:paraId="09491029">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（6）合同签订</w:t>
      </w:r>
      <w:r>
        <w:rPr>
          <w:rFonts w:hint="eastAsia" w:ascii="宋体" w:hAnsi="宋体" w:eastAsia="宋体" w:cs="宋体"/>
          <w:color w:val="auto"/>
          <w:sz w:val="24"/>
          <w:highlight w:val="none"/>
        </w:rPr>
        <w:t>且具备法定开工条件后</w:t>
      </w:r>
      <w:r>
        <w:rPr>
          <w:rFonts w:hint="eastAsia" w:ascii="宋体" w:hAnsi="宋体" w:eastAsia="宋体" w:cs="宋体"/>
          <w:color w:val="auto"/>
          <w:kern w:val="0"/>
          <w:sz w:val="24"/>
          <w:highlight w:val="none"/>
        </w:rPr>
        <w:t>之日起十五日内，承包人无法按合同规定及投标文件的承诺进场经监理工程师认可的该施工阶段应有的全部人员和机械的；</w:t>
      </w:r>
    </w:p>
    <w:p w14:paraId="2A89682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（7）承包人为联合体中标的，在施工过程中，未按联合体协议书约定进行分工实施本工程的。</w:t>
      </w:r>
    </w:p>
    <w:p w14:paraId="0D37B8C7">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4"/>
          <w:highlight w:val="none"/>
          <w:u w:val="single"/>
        </w:rPr>
        <w:t>发包人和承包人可协商解决费用承担问题，无法协商一</w:t>
      </w:r>
      <w:r>
        <w:rPr>
          <w:rFonts w:hint="eastAsia" w:ascii="宋体" w:hAnsi="宋体" w:eastAsia="宋体" w:cs="宋体"/>
          <w:color w:val="auto"/>
          <w:kern w:val="0"/>
          <w:sz w:val="24"/>
          <w:highlight w:val="none"/>
        </w:rPr>
        <w:t>致的，发包人发出清场通知之日起十日内，承包人应将施工现场的材料、设备无条件搬离，不得以任何理由拒不清场搬离，否则每延误一天承包人按工程总价款的千分之三向发包人支付逾期清场违约金。</w:t>
      </w:r>
    </w:p>
    <w:p w14:paraId="5E9695E8">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16.2.4 因承包人违约解除合同后的处理</w:t>
      </w:r>
    </w:p>
    <w:p w14:paraId="578650D4">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除通用条款第16.2.4条的约定外，当发包人根据本合同约定或法定事由要求解除合同时，承包人应在接到发包人解除合同的通知之日起10天内将人员、设备无条件撤离工地，并将施工现场、在建工程及工程资料完整地交给发包人。发包人在接收场地及施工资料后，双方进行已完工程的质量检验、工程量认定及工程价款的结算。</w:t>
      </w:r>
    </w:p>
    <w:p w14:paraId="0842D45B">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承包人不积极配合进行质量检验、工程量认定及结算或者双方在合同解除后30日内未能就上述达成一致的，视为承包人同意发包人委托有资质的中介机构进行质量检验、工程量鉴定及工程价款的结算，及视为放弃对检验、鉴定或结算结果提出异议的权力，鉴定费亦由承包人全额承担，并由发包人在应付款中抵扣。</w:t>
      </w:r>
    </w:p>
    <w:p w14:paraId="3945DBEE">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同时，发包人有权组织其他施工单位进场施工，承包人不得以任何方式阻挠；承包人未按期退场、移交工程、资料，每逾期一天，由承包人按签约合同价的万分之四向发包人支付场地占用费，并另行赔偿发包人因此而造成的损失。</w:t>
      </w:r>
    </w:p>
    <w:p w14:paraId="2741FEFA">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施工合同解除后，对于承包人已完成的合格工程量，按工程造价的70%结算工程款，对于承包人已完成但质量不合格的工程量，发包人不予以支付工程款。发包人有权以任何方式将全部或一部分工程改交他人承揽或施工，对此承包人不得异议，且应积极配合发包人办理工程报建等相关项目的变更登记手续。</w:t>
      </w:r>
    </w:p>
    <w:p w14:paraId="7F041023">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16.2.5 其他</w:t>
      </w:r>
    </w:p>
    <w:p w14:paraId="6774286D">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如发现承包人提供不合格材料或未按图进行施工的，承包人需无偿更换不合格材料、无偿按施工图返工，并赔偿发包人因此而遭受的损失。如因此造成质量事故的，使发包人或第三方遭受损失，承包人应赔偿因此而遭受的损失，并承担相应的法律责任。</w:t>
      </w:r>
    </w:p>
    <w:p w14:paraId="247BD4BF">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（2）承包人将未经报审或不合格的材料用于工程上，发包人有权视严重程度处违约金5000～10000元/次。</w:t>
      </w:r>
    </w:p>
    <w:p w14:paraId="4C20DFF4">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（3）承包人未按要求及规范施工，造成工程质量缺陷或质量事故，发包人有权视严重程度处违约金20000～50000元/次。</w:t>
      </w:r>
    </w:p>
    <w:p w14:paraId="4AEA5FFB">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（4）施工过程中，关键工序和隐蔽部位未经过报验就进行下道工序施工的，发包人有权视严重程度处违约金2000～5000元/次。 </w:t>
      </w:r>
    </w:p>
    <w:p w14:paraId="1B37475C">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（5）承包人存在违反安全生产法律法规、标准规范及发包人的安全生产管理规定的行为、现象，经监理、发包人指出仍不按要求落实整改的，发包人有权视严重程度处违约金2000～5000元/次。</w:t>
      </w:r>
    </w:p>
    <w:p w14:paraId="3184CCAA">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（7）周进度、月进度计划由于承包人自身原因未完成，且承包人未采取有效的赶工措施，发包人有权视严重程度处违约金1000～5000元/次。</w:t>
      </w:r>
    </w:p>
    <w:p w14:paraId="3649F09B">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若因承包人自身管理不善、未及时支付农民工工资导致农民工围堵、投诉、上访、散布不良信息至电视等新闻媒体，对发包人社会形象造成不良影响，发包人有权视严重程度处违约金20000～50000元/次；性质恶劣的情况下，发包人有权按照本合同16.2.3约定解除合同。</w:t>
      </w:r>
    </w:p>
    <w:p w14:paraId="28FF480D">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承包人未按专用条款3.1款规定按时移交竣工资料的，每逾期一天承包人应向发包人赔付逾期违约金500元，由发包人直接从工程结算款（或质保金）中扣除；逾期超过20个工作日的，发包人有权另行采购工程资料整档服务，所产生的整档服务费由承包人承担，由发包人直接从工程结算款（或质保金）中扣除。</w:t>
      </w:r>
    </w:p>
    <w:p w14:paraId="20C649E1">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承包人负责所有新建与旧结构收边收口工作，须在拆除旧结构和新建结构前做好相应的保护措施，施工前需报施工方案呈监理、业主审批，经同意后方可开始施工，所产生的相关费用商务标中不论是否表明，包含于商务报价中。</w:t>
      </w:r>
    </w:p>
    <w:p w14:paraId="3F3A97D2">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本工程为正在运营的发包人医院院区内的改造施工，承包人需要充分考虑材料运输路线及施工范围周边等一切相关区域的成品保护措施、院区内其他人员的安全保障措施，需充分考虑夜间施工带来的一切因果，需充分考虑院区内的材料运输和施工效率，所产生的相关费用商务标中不论是否表明，包含于商务报价中。</w:t>
      </w:r>
    </w:p>
    <w:p w14:paraId="68B48215">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承包人须按照发包人医院总务、保卫科、宣传科等科室的要求做好相关配合工作，包括但不限于施工围挡需符合医院管理标准、施工场地的消防管理、施工人员的进出管理、施工机械及材料的堆放管理、建筑垃圾堆放和清运管理等，所产生的相关费用商务标中不论是否表明，包含于商务报价中。</w:t>
      </w:r>
    </w:p>
    <w:p w14:paraId="30B3BBA6">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（13）施工现场未按要求做到工完场清，施工现场除集中堆放点外建筑垃圾未清理或通知后当天内仍不处理，发包人有权视严重程度处罚300～500元/处。</w:t>
      </w:r>
    </w:p>
    <w:p w14:paraId="55101FDD">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承包人对施工现场的安全生产负全责，凡在施工现场内（含生产现场和生活区）发生的高空坠落、物体打击、机械事故、触电、土方坍塌、管线折断、管线破裂、管线泄漏、消防火灾及其他类型的人员伤亡事故，以及民生政治、刑事、治安案件和食物中毒、疫情、职业危害、交通事故等非正常死亡，除依法追究肇事者和有关管理人员的责任外，一切由此引起的经济损失，及所造成的不良影响和后果均由承包人承担（发生不可抗力的灾害除外）。</w:t>
      </w:r>
    </w:p>
    <w:p w14:paraId="691B773E">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承包人应对本项目工程及其管辖范围内的人员、设备和材料(包括在其辖区内发包人、监理单位的人员、设备和材料)的管理、安全、给养、劳动保护及保险负责，并应做好辖区内工程场地和居住区（如有）的日常治安保护工作。如有违规、违法行为或侵害他人权益者，均由承包人负责。发包人对本合同执行过程中发生的承包人（包括分包商）人员死亡或伤残，或财产的损失或损害不承担责任。承包人发生人身伤亡、财产损失或损害时，承包人应自行承担赔偿责任，与发包人无涉。承包人应保证发包人免于遭受与此有关的索赔、损害、赔偿及诉讼，若导致发包人需要承担责任，发包人有权向承包人追偿。</w:t>
      </w:r>
    </w:p>
    <w:p w14:paraId="4EFEB358">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（16）发包人与承包人在本合同履行过程中发生纠纷的，承包人承诺合法维权，不得采用到发包人院区任何位置静坐、拉横幅、堵门等一切滋事行为，承包人每出现滋事事件一次，应向发包人支付违约金50000元。</w:t>
      </w:r>
    </w:p>
    <w:p w14:paraId="23D9CE13">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存在以上其他违约情形的，发包人有权要求承包人承担相应条款约定的责任外，发包人还有权没收全部履约保证金。</w:t>
      </w:r>
    </w:p>
    <w:p w14:paraId="1C89F41E">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16.2.5本合同履行过程中，因承包人存在任何违约行为的，除按合同约定承担责任外，还应赔偿发包人的一切损失（包括但不限于向第三方支付赔偿金、补偿金、违约金等，为实现债权而支付的律师费、公证费、诉讼费、保全费、公告费、鉴定费、诉讼财产保全责任险保费等一切费用）。</w:t>
      </w:r>
    </w:p>
    <w:p w14:paraId="209B2DA8">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16.2.6本合同履行过程中，因承包人责任所发生之与本合同相关的违约金、损害赔偿、相关部门的罚款及其他费用，发包人可以直接自应付的任何款项中扣除或代为支付，而无需承包人确认，承包人对此无异议。</w:t>
      </w:r>
    </w:p>
    <w:p w14:paraId="216FA485">
      <w:pPr>
        <w:keepNext/>
        <w:keepLines/>
        <w:spacing w:before="60" w:after="60" w:line="360" w:lineRule="auto"/>
        <w:outlineLvl w:val="1"/>
        <w:rPr>
          <w:rFonts w:hint="eastAsia" w:ascii="宋体" w:hAnsi="宋体" w:eastAsia="宋体" w:cs="宋体"/>
          <w:b/>
          <w:bCs/>
          <w:color w:val="auto"/>
          <w:kern w:val="0"/>
          <w:sz w:val="24"/>
          <w:highlight w:val="none"/>
          <w:lang w:val="zh-CN"/>
        </w:rPr>
      </w:pPr>
      <w:bookmarkStart w:id="1183" w:name="_Toc1117922953"/>
      <w:bookmarkStart w:id="1184" w:name="_Toc162971443"/>
      <w:bookmarkStart w:id="1185" w:name="_Toc389065334"/>
      <w:bookmarkStart w:id="1186" w:name="_Toc373478416"/>
      <w:bookmarkStart w:id="1187" w:name="_Toc1753556740"/>
      <w:bookmarkStart w:id="1188" w:name="_Toc351203649"/>
      <w:bookmarkStart w:id="1189" w:name="_Toc78449858"/>
      <w:bookmarkStart w:id="1190" w:name="_Toc373227769"/>
      <w:bookmarkStart w:id="1191" w:name="_Toc407135272"/>
      <w:r>
        <w:rPr>
          <w:rFonts w:hint="eastAsia" w:ascii="宋体" w:hAnsi="宋体" w:eastAsia="宋体" w:cs="宋体"/>
          <w:b/>
          <w:bCs/>
          <w:color w:val="auto"/>
          <w:kern w:val="0"/>
          <w:sz w:val="24"/>
          <w:highlight w:val="none"/>
          <w:lang w:val="zh-CN"/>
        </w:rPr>
        <w:t>17. 不可抗力</w:t>
      </w:r>
      <w:bookmarkEnd w:id="1165"/>
      <w:bookmarkEnd w:id="1183"/>
      <w:bookmarkEnd w:id="1184"/>
      <w:bookmarkEnd w:id="1185"/>
      <w:bookmarkEnd w:id="1186"/>
      <w:bookmarkEnd w:id="1187"/>
      <w:bookmarkEnd w:id="1188"/>
      <w:bookmarkEnd w:id="1189"/>
      <w:bookmarkEnd w:id="1190"/>
      <w:bookmarkEnd w:id="1191"/>
    </w:p>
    <w:p w14:paraId="078978EA">
      <w:pPr>
        <w:keepNext/>
        <w:keepLines/>
        <w:spacing w:line="360" w:lineRule="auto"/>
        <w:outlineLvl w:val="2"/>
        <w:rPr>
          <w:rFonts w:hint="eastAsia" w:ascii="宋体" w:hAnsi="宋体" w:eastAsia="宋体" w:cs="宋体"/>
          <w:b/>
          <w:bCs/>
          <w:color w:val="auto"/>
          <w:kern w:val="0"/>
          <w:sz w:val="24"/>
          <w:highlight w:val="none"/>
          <w:lang w:val="zh-CN"/>
        </w:rPr>
      </w:pPr>
      <w:bookmarkStart w:id="1192" w:name="_Toc429574049"/>
      <w:bookmarkStart w:id="1193" w:name="_Toc407135273"/>
      <w:bookmarkStart w:id="1194" w:name="_Toc78449859"/>
      <w:bookmarkStart w:id="1195" w:name="_Toc389065335"/>
      <w:bookmarkStart w:id="1196" w:name="_Toc373478417"/>
      <w:bookmarkStart w:id="1197" w:name="_Toc162971444"/>
      <w:bookmarkStart w:id="1198" w:name="_Toc373227770"/>
      <w:bookmarkStart w:id="1199" w:name="_Toc666312941"/>
      <w:r>
        <w:rPr>
          <w:rFonts w:hint="eastAsia" w:ascii="宋体" w:hAnsi="宋体" w:eastAsia="宋体" w:cs="宋体"/>
          <w:b/>
          <w:bCs/>
          <w:color w:val="auto"/>
          <w:kern w:val="0"/>
          <w:sz w:val="24"/>
          <w:highlight w:val="none"/>
          <w:lang w:val="zh-CN"/>
        </w:rPr>
        <w:t>17.1 不可抗力的确认</w:t>
      </w:r>
      <w:bookmarkEnd w:id="1192"/>
      <w:bookmarkEnd w:id="1193"/>
      <w:bookmarkEnd w:id="1194"/>
      <w:bookmarkEnd w:id="1195"/>
      <w:bookmarkEnd w:id="1196"/>
      <w:bookmarkEnd w:id="1197"/>
      <w:bookmarkEnd w:id="1198"/>
      <w:bookmarkEnd w:id="1199"/>
    </w:p>
    <w:p w14:paraId="133A199F">
      <w:pPr>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sz w:val="24"/>
          <w:highlight w:val="none"/>
        </w:rPr>
        <w:t>除通用合同条款约定的不可抗力事件之外，视为不可抗力的其他情形：</w:t>
      </w:r>
      <w:r>
        <w:rPr>
          <w:rFonts w:hint="eastAsia" w:ascii="宋体" w:hAnsi="宋体" w:eastAsia="宋体" w:cs="宋体"/>
          <w:color w:val="auto"/>
          <w:kern w:val="0"/>
          <w:sz w:val="24"/>
          <w:highlight w:val="none"/>
          <w:u w:val="single"/>
        </w:rPr>
        <w:t>（1）不可抗力的自然灾害认定标准，以政府有关部门的规定为准且必须得到相关权威部门的书面认定方可视为有效</w:t>
      </w:r>
      <w:r>
        <w:rPr>
          <w:rFonts w:hint="eastAsia" w:ascii="宋体" w:hAnsi="宋体" w:eastAsia="宋体" w:cs="宋体"/>
          <w:color w:val="auto"/>
          <w:kern w:val="0"/>
          <w:sz w:val="24"/>
          <w:highlight w:val="none"/>
        </w:rPr>
        <w:t>。</w:t>
      </w:r>
    </w:p>
    <w:p w14:paraId="61AEBAEC">
      <w:pPr>
        <w:keepNext/>
        <w:keepLines/>
        <w:spacing w:line="360" w:lineRule="auto"/>
        <w:outlineLvl w:val="2"/>
        <w:rPr>
          <w:rFonts w:hint="eastAsia" w:ascii="宋体" w:hAnsi="宋体" w:eastAsia="宋体" w:cs="宋体"/>
          <w:color w:val="auto"/>
          <w:sz w:val="24"/>
          <w:highlight w:val="none"/>
        </w:rPr>
      </w:pPr>
      <w:bookmarkStart w:id="1200" w:name="_Toc373478418"/>
      <w:bookmarkStart w:id="1201" w:name="_Toc389065336"/>
      <w:bookmarkStart w:id="1202" w:name="_Toc78449860"/>
      <w:bookmarkStart w:id="1203" w:name="_Toc373227771"/>
      <w:bookmarkStart w:id="1204" w:name="_Toc407135274"/>
      <w:bookmarkStart w:id="1205" w:name="_Toc658729758"/>
      <w:bookmarkStart w:id="1206" w:name="_Toc1951449751"/>
      <w:bookmarkStart w:id="1207" w:name="_Toc162971445"/>
      <w:r>
        <w:rPr>
          <w:rFonts w:hint="eastAsia" w:ascii="宋体" w:hAnsi="宋体" w:eastAsia="宋体" w:cs="宋体"/>
          <w:b/>
          <w:bCs/>
          <w:color w:val="auto"/>
          <w:kern w:val="0"/>
          <w:sz w:val="24"/>
          <w:highlight w:val="none"/>
          <w:lang w:val="zh-CN"/>
        </w:rPr>
        <w:t>17.</w:t>
      </w:r>
      <w:bookmarkEnd w:id="1200"/>
      <w:bookmarkEnd w:id="1201"/>
      <w:bookmarkEnd w:id="1202"/>
      <w:bookmarkEnd w:id="1203"/>
      <w:bookmarkEnd w:id="1204"/>
      <w:bookmarkEnd w:id="1205"/>
      <w:bookmarkEnd w:id="1206"/>
      <w:bookmarkEnd w:id="1207"/>
      <w:r>
        <w:rPr>
          <w:rFonts w:hint="eastAsia" w:ascii="宋体" w:hAnsi="宋体" w:eastAsia="宋体" w:cs="宋体"/>
          <w:color w:val="auto"/>
          <w:sz w:val="24"/>
          <w:highlight w:val="none"/>
        </w:rPr>
        <w:t xml:space="preserve"> 合同解除后，发包人应在商定或确定发包人应支付款项后</w:t>
      </w:r>
      <w:r>
        <w:rPr>
          <w:rFonts w:hint="eastAsia" w:ascii="宋体" w:hAnsi="宋体" w:eastAsia="宋体" w:cs="宋体"/>
          <w:color w:val="auto"/>
          <w:sz w:val="24"/>
          <w:highlight w:val="none"/>
          <w:u w:val="single"/>
        </w:rPr>
        <w:t>60</w:t>
      </w:r>
      <w:r>
        <w:rPr>
          <w:rFonts w:hint="eastAsia" w:ascii="宋体" w:hAnsi="宋体" w:eastAsia="宋体" w:cs="宋体"/>
          <w:color w:val="auto"/>
          <w:sz w:val="24"/>
          <w:highlight w:val="none"/>
        </w:rPr>
        <w:t>天内完成款项的支付。</w:t>
      </w:r>
    </w:p>
    <w:p w14:paraId="2B6139D0">
      <w:pPr>
        <w:keepNext/>
        <w:keepLines/>
        <w:spacing w:before="60" w:after="60" w:line="360" w:lineRule="auto"/>
        <w:outlineLvl w:val="1"/>
        <w:rPr>
          <w:rFonts w:hint="eastAsia" w:ascii="宋体" w:hAnsi="宋体" w:eastAsia="宋体" w:cs="宋体"/>
          <w:b/>
          <w:bCs/>
          <w:color w:val="auto"/>
          <w:kern w:val="0"/>
          <w:sz w:val="24"/>
          <w:highlight w:val="none"/>
          <w:lang w:val="zh-CN"/>
        </w:rPr>
      </w:pPr>
      <w:bookmarkStart w:id="1208" w:name="_Toc78449861"/>
      <w:bookmarkStart w:id="1209" w:name="_Toc56822299"/>
      <w:bookmarkStart w:id="1210" w:name="_Toc407135275"/>
      <w:bookmarkStart w:id="1211" w:name="_Toc373478419"/>
      <w:bookmarkStart w:id="1212" w:name="_Toc389065337"/>
      <w:bookmarkStart w:id="1213" w:name="_Toc373227772"/>
      <w:bookmarkStart w:id="1214" w:name="_Toc612072600"/>
      <w:bookmarkStart w:id="1215" w:name="_Toc351203650"/>
      <w:bookmarkStart w:id="1216" w:name="_Toc162971446"/>
      <w:r>
        <w:rPr>
          <w:rFonts w:hint="eastAsia" w:ascii="宋体" w:hAnsi="宋体" w:eastAsia="宋体" w:cs="宋体"/>
          <w:b/>
          <w:bCs/>
          <w:color w:val="auto"/>
          <w:kern w:val="0"/>
          <w:sz w:val="24"/>
          <w:highlight w:val="none"/>
          <w:lang w:val="zh-CN"/>
        </w:rPr>
        <w:t>18. 保险</w:t>
      </w:r>
      <w:bookmarkEnd w:id="1208"/>
      <w:bookmarkEnd w:id="1209"/>
      <w:bookmarkEnd w:id="1210"/>
      <w:bookmarkEnd w:id="1211"/>
      <w:bookmarkEnd w:id="1212"/>
      <w:bookmarkEnd w:id="1213"/>
      <w:bookmarkEnd w:id="1214"/>
      <w:bookmarkEnd w:id="1215"/>
      <w:bookmarkEnd w:id="1216"/>
    </w:p>
    <w:bookmarkEnd w:id="1166"/>
    <w:p w14:paraId="6622220F">
      <w:pPr>
        <w:keepNext/>
        <w:keepLines/>
        <w:spacing w:line="360" w:lineRule="auto"/>
        <w:outlineLvl w:val="2"/>
        <w:rPr>
          <w:rFonts w:hint="eastAsia" w:ascii="宋体" w:hAnsi="宋体" w:eastAsia="宋体" w:cs="宋体"/>
          <w:b/>
          <w:bCs/>
          <w:color w:val="auto"/>
          <w:kern w:val="0"/>
          <w:sz w:val="24"/>
          <w:highlight w:val="none"/>
          <w:lang w:val="zh-CN"/>
        </w:rPr>
      </w:pPr>
      <w:bookmarkStart w:id="1217" w:name="_Toc1446953302"/>
      <w:bookmarkStart w:id="1218" w:name="_Toc407135276"/>
      <w:bookmarkStart w:id="1219" w:name="_Toc78449862"/>
      <w:bookmarkStart w:id="1220" w:name="_Toc373478420"/>
      <w:bookmarkStart w:id="1221" w:name="_Toc162971447"/>
      <w:bookmarkStart w:id="1222" w:name="_Toc2075285517"/>
      <w:bookmarkStart w:id="1223" w:name="_Toc389065338"/>
      <w:bookmarkStart w:id="1224" w:name="_Toc373227773"/>
      <w:r>
        <w:rPr>
          <w:rFonts w:hint="eastAsia" w:ascii="宋体" w:hAnsi="宋体" w:eastAsia="宋体" w:cs="宋体"/>
          <w:b/>
          <w:bCs/>
          <w:color w:val="auto"/>
          <w:kern w:val="0"/>
          <w:sz w:val="24"/>
          <w:highlight w:val="none"/>
          <w:lang w:val="zh-CN"/>
        </w:rPr>
        <w:t>18.1 工程保险</w:t>
      </w:r>
      <w:bookmarkEnd w:id="1217"/>
      <w:bookmarkEnd w:id="1218"/>
      <w:bookmarkEnd w:id="1219"/>
      <w:bookmarkEnd w:id="1220"/>
      <w:bookmarkEnd w:id="1221"/>
      <w:bookmarkEnd w:id="1222"/>
      <w:bookmarkEnd w:id="1223"/>
      <w:bookmarkEnd w:id="1224"/>
    </w:p>
    <w:p w14:paraId="61907F71">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关于工程保险的特别约定：</w:t>
      </w:r>
      <w:r>
        <w:rPr>
          <w:rFonts w:hint="eastAsia" w:ascii="宋体" w:hAnsi="宋体" w:eastAsia="宋体" w:cs="宋体"/>
          <w:color w:val="auto"/>
          <w:kern w:val="0"/>
          <w:sz w:val="24"/>
          <w:highlight w:val="none"/>
          <w:u w:val="single"/>
        </w:rPr>
        <w:t>承包人应必须购买工程一切险和第三者责任险，并承担相关费用，费用已包含在综合单价中不再另计计价</w:t>
      </w:r>
      <w:r>
        <w:rPr>
          <w:rFonts w:hint="eastAsia" w:ascii="宋体" w:hAnsi="宋体" w:eastAsia="宋体" w:cs="宋体"/>
          <w:b/>
          <w:color w:val="auto"/>
          <w:sz w:val="24"/>
          <w:highlight w:val="none"/>
        </w:rPr>
        <w:t>。</w:t>
      </w:r>
    </w:p>
    <w:p w14:paraId="292DD9D7">
      <w:pPr>
        <w:keepNext/>
        <w:keepLines/>
        <w:spacing w:line="360" w:lineRule="auto"/>
        <w:outlineLvl w:val="2"/>
        <w:rPr>
          <w:rFonts w:hint="eastAsia" w:ascii="宋体" w:hAnsi="宋体" w:eastAsia="宋体" w:cs="宋体"/>
          <w:b/>
          <w:bCs/>
          <w:color w:val="auto"/>
          <w:kern w:val="0"/>
          <w:sz w:val="24"/>
          <w:highlight w:val="none"/>
          <w:lang w:val="zh-CN"/>
        </w:rPr>
      </w:pPr>
      <w:bookmarkStart w:id="1225" w:name="_Toc78449863"/>
      <w:bookmarkStart w:id="1226" w:name="_Toc389065339"/>
      <w:bookmarkStart w:id="1227" w:name="_Toc2001387503"/>
      <w:bookmarkStart w:id="1228" w:name="_Toc162971448"/>
      <w:bookmarkStart w:id="1229" w:name="_Toc407135277"/>
      <w:bookmarkStart w:id="1230" w:name="_Toc454766369"/>
      <w:bookmarkStart w:id="1231" w:name="_Toc373478421"/>
      <w:bookmarkStart w:id="1232" w:name="_Toc373227774"/>
      <w:r>
        <w:rPr>
          <w:rFonts w:hint="eastAsia" w:ascii="宋体" w:hAnsi="宋体" w:eastAsia="宋体" w:cs="宋体"/>
          <w:b/>
          <w:bCs/>
          <w:color w:val="auto"/>
          <w:kern w:val="0"/>
          <w:sz w:val="24"/>
          <w:highlight w:val="none"/>
          <w:lang w:val="zh-CN"/>
        </w:rPr>
        <w:t>18.3 其他保险</w:t>
      </w:r>
      <w:bookmarkEnd w:id="1225"/>
      <w:bookmarkEnd w:id="1226"/>
      <w:bookmarkEnd w:id="1227"/>
      <w:bookmarkEnd w:id="1228"/>
      <w:bookmarkEnd w:id="1229"/>
      <w:bookmarkEnd w:id="1230"/>
      <w:bookmarkEnd w:id="1231"/>
      <w:bookmarkEnd w:id="1232"/>
    </w:p>
    <w:p w14:paraId="74A8CCAC">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关于其他保险的约定：</w:t>
      </w:r>
      <w:r>
        <w:rPr>
          <w:rFonts w:hint="eastAsia" w:ascii="宋体" w:hAnsi="宋体" w:eastAsia="宋体" w:cs="宋体"/>
          <w:color w:val="auto"/>
          <w:sz w:val="24"/>
          <w:highlight w:val="none"/>
          <w:u w:val="single"/>
        </w:rPr>
        <w:t>承包人必须为施工现场从事施工的自有作业人员和管理人员办理意外伤害保险，并支付保险费，费用已包含在综合单价中不再另计计价</w:t>
      </w:r>
      <w:r>
        <w:rPr>
          <w:rFonts w:hint="eastAsia" w:ascii="宋体" w:hAnsi="宋体" w:eastAsia="宋体" w:cs="宋体"/>
          <w:color w:val="auto"/>
          <w:sz w:val="24"/>
          <w:highlight w:val="none"/>
        </w:rPr>
        <w:t>。</w:t>
      </w:r>
    </w:p>
    <w:p w14:paraId="767FF019">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承包人是否应为其施工设备等办理财产保险：</w:t>
      </w:r>
      <w:r>
        <w:rPr>
          <w:rFonts w:hint="eastAsia" w:ascii="宋体" w:hAnsi="宋体" w:eastAsia="宋体" w:cs="宋体"/>
          <w:color w:val="auto"/>
          <w:sz w:val="24"/>
          <w:highlight w:val="none"/>
          <w:u w:val="single"/>
        </w:rPr>
        <w:t xml:space="preserve"> 是，承包人自行办理，并承担相关费用</w:t>
      </w:r>
      <w:r>
        <w:rPr>
          <w:rFonts w:hint="eastAsia" w:ascii="宋体" w:hAnsi="宋体" w:eastAsia="宋体" w:cs="宋体"/>
          <w:color w:val="auto"/>
          <w:sz w:val="24"/>
          <w:highlight w:val="none"/>
        </w:rPr>
        <w:t>。</w:t>
      </w:r>
    </w:p>
    <w:p w14:paraId="26A668B3">
      <w:pPr>
        <w:keepNext/>
        <w:keepLines/>
        <w:spacing w:line="360" w:lineRule="auto"/>
        <w:outlineLvl w:val="2"/>
        <w:rPr>
          <w:rFonts w:hint="eastAsia" w:ascii="宋体" w:hAnsi="宋体" w:eastAsia="宋体" w:cs="宋体"/>
          <w:b/>
          <w:bCs/>
          <w:color w:val="auto"/>
          <w:kern w:val="0"/>
          <w:sz w:val="24"/>
          <w:highlight w:val="none"/>
          <w:lang w:val="zh-CN"/>
        </w:rPr>
      </w:pPr>
      <w:bookmarkStart w:id="1233" w:name="_Toc162971449"/>
      <w:bookmarkStart w:id="1234" w:name="_Toc78449864"/>
      <w:bookmarkStart w:id="1235" w:name="_Toc373227775"/>
      <w:bookmarkStart w:id="1236" w:name="_Toc1114527236"/>
      <w:bookmarkStart w:id="1237" w:name="_Toc407135278"/>
      <w:bookmarkStart w:id="1238" w:name="_Toc2102614655"/>
      <w:bookmarkStart w:id="1239" w:name="_Toc373478422"/>
      <w:bookmarkStart w:id="1240" w:name="_Toc389065340"/>
      <w:r>
        <w:rPr>
          <w:rFonts w:hint="eastAsia" w:ascii="宋体" w:hAnsi="宋体" w:eastAsia="宋体" w:cs="宋体"/>
          <w:b/>
          <w:bCs/>
          <w:color w:val="auto"/>
          <w:kern w:val="0"/>
          <w:sz w:val="24"/>
          <w:highlight w:val="none"/>
          <w:lang w:val="zh-CN"/>
        </w:rPr>
        <w:t>18.7 通知义务</w:t>
      </w:r>
      <w:bookmarkEnd w:id="1233"/>
      <w:bookmarkEnd w:id="1234"/>
      <w:bookmarkEnd w:id="1235"/>
      <w:bookmarkEnd w:id="1236"/>
      <w:bookmarkEnd w:id="1237"/>
      <w:bookmarkEnd w:id="1238"/>
      <w:bookmarkEnd w:id="1239"/>
      <w:bookmarkEnd w:id="1240"/>
    </w:p>
    <w:p w14:paraId="33B5AC91">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kern w:val="0"/>
          <w:sz w:val="24"/>
          <w:highlight w:val="none"/>
        </w:rPr>
        <w:t>关于变更保险合同时的通知义务的约定：</w:t>
      </w:r>
      <w:r>
        <w:rPr>
          <w:rFonts w:hint="eastAsia" w:ascii="宋体" w:hAnsi="宋体" w:eastAsia="宋体" w:cs="宋体"/>
          <w:color w:val="auto"/>
          <w:sz w:val="24"/>
          <w:highlight w:val="none"/>
          <w:u w:val="single"/>
        </w:rPr>
        <w:t>由承包人负责，变更后承包人于7 天内通知相关单位</w:t>
      </w:r>
      <w:r>
        <w:rPr>
          <w:rFonts w:hint="eastAsia" w:ascii="宋体" w:hAnsi="宋体" w:eastAsia="宋体" w:cs="宋体"/>
          <w:color w:val="auto"/>
          <w:sz w:val="24"/>
          <w:highlight w:val="none"/>
        </w:rPr>
        <w:t>。</w:t>
      </w:r>
    </w:p>
    <w:bookmarkEnd w:id="1109"/>
    <w:bookmarkEnd w:id="1110"/>
    <w:bookmarkEnd w:id="1111"/>
    <w:bookmarkEnd w:id="1112"/>
    <w:bookmarkEnd w:id="1113"/>
    <w:bookmarkEnd w:id="1114"/>
    <w:bookmarkEnd w:id="1115"/>
    <w:bookmarkEnd w:id="1116"/>
    <w:bookmarkEnd w:id="1117"/>
    <w:bookmarkEnd w:id="1118"/>
    <w:bookmarkEnd w:id="1119"/>
    <w:bookmarkEnd w:id="1120"/>
    <w:p w14:paraId="440808E7">
      <w:pPr>
        <w:keepNext/>
        <w:keepLines/>
        <w:spacing w:before="60" w:after="60" w:line="360" w:lineRule="auto"/>
        <w:outlineLvl w:val="1"/>
        <w:rPr>
          <w:rFonts w:hint="eastAsia" w:ascii="宋体" w:hAnsi="宋体" w:eastAsia="宋体" w:cs="宋体"/>
          <w:b/>
          <w:bCs/>
          <w:color w:val="auto"/>
          <w:kern w:val="0"/>
          <w:sz w:val="24"/>
          <w:highlight w:val="none"/>
          <w:lang w:val="zh-CN"/>
        </w:rPr>
      </w:pPr>
      <w:bookmarkStart w:id="1241" w:name="_Toc407135279"/>
      <w:bookmarkStart w:id="1242" w:name="_Toc1430568476"/>
      <w:bookmarkStart w:id="1243" w:name="_Toc1959910599"/>
      <w:bookmarkStart w:id="1244" w:name="_Toc78449865"/>
      <w:bookmarkStart w:id="1245" w:name="_Toc351203651"/>
      <w:bookmarkStart w:id="1246" w:name="_Toc373478423"/>
      <w:bookmarkStart w:id="1247" w:name="_Toc373227776"/>
      <w:bookmarkStart w:id="1248" w:name="_Toc389065341"/>
      <w:bookmarkStart w:id="1249" w:name="_Toc162971450"/>
      <w:r>
        <w:rPr>
          <w:rFonts w:hint="eastAsia" w:ascii="宋体" w:hAnsi="宋体" w:eastAsia="宋体" w:cs="宋体"/>
          <w:b/>
          <w:bCs/>
          <w:color w:val="auto"/>
          <w:kern w:val="0"/>
          <w:sz w:val="24"/>
          <w:highlight w:val="none"/>
          <w:lang w:val="zh-CN"/>
        </w:rPr>
        <w:t>20. 争议解决</w:t>
      </w:r>
      <w:bookmarkEnd w:id="1241"/>
      <w:bookmarkEnd w:id="1242"/>
      <w:bookmarkEnd w:id="1243"/>
      <w:bookmarkEnd w:id="1244"/>
      <w:bookmarkEnd w:id="1245"/>
      <w:bookmarkEnd w:id="1246"/>
      <w:bookmarkEnd w:id="1247"/>
      <w:bookmarkEnd w:id="1248"/>
      <w:bookmarkEnd w:id="1249"/>
    </w:p>
    <w:p w14:paraId="4BBA203D">
      <w:pPr>
        <w:spacing w:line="360" w:lineRule="auto"/>
        <w:rPr>
          <w:rFonts w:hint="eastAsia" w:ascii="宋体" w:hAnsi="宋体" w:eastAsia="宋体" w:cs="宋体"/>
          <w:color w:val="auto"/>
          <w:szCs w:val="21"/>
          <w:highlight w:val="none"/>
          <w:lang w:val="zh-CN"/>
        </w:rPr>
      </w:pPr>
    </w:p>
    <w:bookmarkEnd w:id="1121"/>
    <w:bookmarkEnd w:id="1122"/>
    <w:p w14:paraId="271453EA">
      <w:pPr>
        <w:keepNext/>
        <w:keepLines/>
        <w:spacing w:line="360" w:lineRule="auto"/>
        <w:outlineLvl w:val="2"/>
        <w:rPr>
          <w:rFonts w:hint="eastAsia" w:ascii="宋体" w:hAnsi="宋体" w:eastAsia="宋体" w:cs="宋体"/>
          <w:b/>
          <w:bCs/>
          <w:color w:val="auto"/>
          <w:kern w:val="0"/>
          <w:sz w:val="24"/>
          <w:highlight w:val="none"/>
          <w:lang w:val="zh-CN"/>
        </w:rPr>
      </w:pPr>
      <w:bookmarkStart w:id="1250" w:name="_Toc373478424"/>
      <w:bookmarkStart w:id="1251" w:name="_Toc2138124043"/>
      <w:bookmarkStart w:id="1252" w:name="_Toc162971451"/>
      <w:bookmarkStart w:id="1253" w:name="_Toc373227777"/>
      <w:bookmarkStart w:id="1254" w:name="_Toc389065342"/>
      <w:bookmarkStart w:id="1255" w:name="_Toc407135280"/>
      <w:bookmarkStart w:id="1256" w:name="_Toc78449866"/>
      <w:bookmarkStart w:id="1257" w:name="_Toc1645489822"/>
      <w:r>
        <w:rPr>
          <w:rFonts w:hint="eastAsia" w:ascii="宋体" w:hAnsi="宋体" w:eastAsia="宋体" w:cs="宋体"/>
          <w:b/>
          <w:bCs/>
          <w:color w:val="auto"/>
          <w:kern w:val="0"/>
          <w:sz w:val="24"/>
          <w:highlight w:val="none"/>
          <w:lang w:val="zh-CN"/>
        </w:rPr>
        <w:t>20.3 争</w:t>
      </w:r>
      <w:bookmarkEnd w:id="1123"/>
      <w:r>
        <w:rPr>
          <w:rFonts w:hint="eastAsia" w:ascii="宋体" w:hAnsi="宋体" w:eastAsia="宋体" w:cs="宋体"/>
          <w:b/>
          <w:bCs/>
          <w:color w:val="auto"/>
          <w:kern w:val="0"/>
          <w:sz w:val="24"/>
          <w:highlight w:val="none"/>
          <w:lang w:val="zh-CN"/>
        </w:rPr>
        <w:t>议评审</w:t>
      </w:r>
      <w:bookmarkEnd w:id="1250"/>
      <w:bookmarkEnd w:id="1251"/>
      <w:bookmarkEnd w:id="1252"/>
      <w:bookmarkEnd w:id="1253"/>
      <w:bookmarkEnd w:id="1254"/>
      <w:bookmarkEnd w:id="1255"/>
      <w:bookmarkEnd w:id="1256"/>
      <w:bookmarkEnd w:id="1257"/>
    </w:p>
    <w:p w14:paraId="527FD361">
      <w:pPr>
        <w:spacing w:line="360" w:lineRule="auto"/>
        <w:ind w:left="149" w:leftChars="71" w:firstLine="360" w:firstLineChars="15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合同当事人是否同意将工程争议提交争议评审小组决定：</w:t>
      </w:r>
      <w:r>
        <w:rPr>
          <w:rFonts w:hint="eastAsia" w:ascii="宋体" w:hAnsi="宋体" w:eastAsia="宋体" w:cs="宋体"/>
          <w:color w:val="auto"/>
          <w:sz w:val="24"/>
          <w:highlight w:val="none"/>
          <w:u w:val="single"/>
        </w:rPr>
        <w:t>不同意</w:t>
      </w:r>
      <w:r>
        <w:rPr>
          <w:rFonts w:hint="eastAsia" w:ascii="宋体" w:hAnsi="宋体" w:eastAsia="宋体" w:cs="宋体"/>
          <w:color w:val="auto"/>
          <w:sz w:val="24"/>
          <w:highlight w:val="none"/>
        </w:rPr>
        <w:t>。</w:t>
      </w:r>
    </w:p>
    <w:p w14:paraId="01C9081C">
      <w:pPr>
        <w:spacing w:line="360" w:lineRule="auto"/>
        <w:ind w:firstLine="480" w:firstLineChars="200"/>
        <w:jc w:val="left"/>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20.3.1 争议评审小组的确定</w:t>
      </w:r>
    </w:p>
    <w:p w14:paraId="05B0FECD">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争议评审小组成员的确定：</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5B8727C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选定争议评审员的期限：</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591F7AB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争议评审小组成员的报酬承担方式：</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4CD5363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其他事项的约定：</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5411BDF1">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20.3.2 争议评审小组的决定</w:t>
      </w:r>
    </w:p>
    <w:p w14:paraId="5E2137D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合同当事人关于本项的约定：</w:t>
      </w:r>
      <w:r>
        <w:rPr>
          <w:rFonts w:hint="eastAsia" w:ascii="宋体" w:hAnsi="宋体" w:eastAsia="宋体" w:cs="宋体"/>
          <w:color w:val="auto"/>
          <w:sz w:val="24"/>
          <w:highlight w:val="none"/>
          <w:u w:val="single"/>
        </w:rPr>
        <w:t xml:space="preserve">  /  </w:t>
      </w:r>
    </w:p>
    <w:p w14:paraId="698A1833">
      <w:pPr>
        <w:keepNext/>
        <w:keepLines/>
        <w:spacing w:line="360" w:lineRule="auto"/>
        <w:outlineLvl w:val="2"/>
        <w:rPr>
          <w:rFonts w:hint="eastAsia" w:ascii="宋体" w:hAnsi="宋体" w:eastAsia="宋体" w:cs="宋体"/>
          <w:b/>
          <w:bCs/>
          <w:color w:val="auto"/>
          <w:kern w:val="0"/>
          <w:sz w:val="24"/>
          <w:highlight w:val="none"/>
          <w:lang w:val="zh-CN"/>
        </w:rPr>
      </w:pPr>
      <w:bookmarkStart w:id="1258" w:name="_Toc162971453"/>
      <w:bookmarkStart w:id="1259" w:name="_Toc373227778"/>
      <w:bookmarkStart w:id="1260" w:name="_Toc78449867"/>
      <w:bookmarkStart w:id="1261" w:name="_Toc373478425"/>
      <w:bookmarkStart w:id="1262" w:name="_Toc1456517022"/>
      <w:bookmarkStart w:id="1263" w:name="_Toc1156795721"/>
      <w:bookmarkStart w:id="1264" w:name="_Toc389065343"/>
      <w:bookmarkStart w:id="1265" w:name="_Toc407135281"/>
      <w:r>
        <w:rPr>
          <w:rFonts w:hint="eastAsia" w:ascii="宋体" w:hAnsi="宋体" w:eastAsia="宋体" w:cs="宋体"/>
          <w:b/>
          <w:bCs/>
          <w:color w:val="auto"/>
          <w:kern w:val="0"/>
          <w:sz w:val="24"/>
          <w:highlight w:val="none"/>
          <w:lang w:val="zh-CN"/>
        </w:rPr>
        <w:t>20.4 仲裁或诉讼</w:t>
      </w:r>
      <w:bookmarkEnd w:id="1124"/>
      <w:bookmarkEnd w:id="1258"/>
      <w:bookmarkEnd w:id="1259"/>
      <w:bookmarkEnd w:id="1260"/>
      <w:bookmarkEnd w:id="1261"/>
      <w:bookmarkEnd w:id="1262"/>
      <w:bookmarkEnd w:id="1263"/>
      <w:bookmarkEnd w:id="1264"/>
      <w:bookmarkEnd w:id="1265"/>
    </w:p>
    <w:p w14:paraId="37DE2EA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因合同及合同有关事项发生的争议，按下列第</w:t>
      </w:r>
      <w:r>
        <w:rPr>
          <w:rFonts w:hint="eastAsia" w:ascii="宋体" w:hAnsi="宋体" w:eastAsia="宋体" w:cs="宋体"/>
          <w:color w:val="auto"/>
          <w:sz w:val="24"/>
          <w:highlight w:val="none"/>
          <w:u w:val="single"/>
        </w:rPr>
        <w:t>（2）</w:t>
      </w:r>
      <w:r>
        <w:rPr>
          <w:rFonts w:hint="eastAsia" w:ascii="宋体" w:hAnsi="宋体" w:eastAsia="宋体" w:cs="宋体"/>
          <w:color w:val="auto"/>
          <w:sz w:val="24"/>
          <w:highlight w:val="none"/>
        </w:rPr>
        <w:t>种方式解决：</w:t>
      </w:r>
    </w:p>
    <w:p w14:paraId="2F2E80F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（1）提请</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仲裁委员会按照该会仲裁规则进行仲裁，仲裁裁决是终局的，对合同双方均有约束力。</w:t>
      </w:r>
    </w:p>
    <w:p w14:paraId="1EED093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（2）向</w:t>
      </w:r>
      <w:r>
        <w:rPr>
          <w:rFonts w:hint="eastAsia" w:ascii="宋体" w:hAnsi="宋体" w:eastAsia="宋体" w:cs="宋体"/>
          <w:color w:val="auto"/>
          <w:sz w:val="24"/>
          <w:highlight w:val="none"/>
          <w:u w:val="single"/>
        </w:rPr>
        <w:t>项目工程所在地</w:t>
      </w:r>
      <w:r>
        <w:rPr>
          <w:rFonts w:hint="eastAsia" w:ascii="宋体" w:hAnsi="宋体" w:eastAsia="宋体" w:cs="宋体"/>
          <w:color w:val="auto"/>
          <w:sz w:val="24"/>
          <w:highlight w:val="none"/>
        </w:rPr>
        <w:t>人民法院起诉。</w:t>
      </w:r>
      <w:bookmarkEnd w:id="1125"/>
      <w:bookmarkEnd w:id="1126"/>
      <w:bookmarkEnd w:id="1127"/>
      <w:bookmarkEnd w:id="1128"/>
      <w:bookmarkEnd w:id="1129"/>
      <w:bookmarkEnd w:id="1130"/>
      <w:bookmarkStart w:id="1266" w:name="_Toc351203652"/>
    </w:p>
    <w:p w14:paraId="7112BBB5">
      <w:pPr>
        <w:keepNext/>
        <w:keepLines/>
        <w:spacing w:line="360" w:lineRule="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zh-CN"/>
        </w:rPr>
        <w:t>20.</w:t>
      </w:r>
      <w:r>
        <w:rPr>
          <w:rFonts w:hint="eastAsia" w:ascii="宋体" w:hAnsi="宋体" w:eastAsia="宋体" w:cs="宋体"/>
          <w:b/>
          <w:bCs/>
          <w:color w:val="auto"/>
          <w:sz w:val="24"/>
          <w:highlight w:val="none"/>
        </w:rPr>
        <w:t>5其他</w:t>
      </w:r>
    </w:p>
    <w:p w14:paraId="0F78145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第一部分合同协议书落款处明确的各方联络信息以及专用条款明确的各方人员联络信息，适用于与项目有关的通知、批准、证明、证书、指示、要求、请求、同意、意见、确定和决定等文件的送达，同时适用于人民法院、律师事务所、仲裁委员会等部门送达诉讼法律文书、律师函等。上述各类文件及诉讼法律文书、律师函等均采取书面方式送达，当面的交付，交付之时即为送达之时，通过邮寄送达的，签收之时即为送达之时，拒不签收或联络信息变更导致无法送达的，以文书退回之日视为送达之日。</w:t>
      </w:r>
    </w:p>
    <w:p w14:paraId="0A27C6B2">
      <w:pPr>
        <w:keepNext/>
        <w:keepLines/>
        <w:spacing w:before="60" w:after="60" w:line="360" w:lineRule="auto"/>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 补充条款</w:t>
      </w:r>
    </w:p>
    <w:p w14:paraId="5848D31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21.1 承包人提交给发包人、监理人的所有通知、报告、信函、索赔申请以及其他相关文件等，发包人在指定时间内没有回复的，不代表默认同意、接受或认可。</w:t>
      </w:r>
    </w:p>
    <w:p w14:paraId="7B6B2AC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21.12本合同履行过程中，因一方违反本合同约定导致另一方通过诉讼维护自身权益的，因此产生的诉讼费、公告费、保全费、律师费、鉴定费、交通费、诉讼财产保全责任险保险费等一切费用由违约方承担。</w:t>
      </w:r>
    </w:p>
    <w:p w14:paraId="0E4B8B97">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p>
    <w:p w14:paraId="37F89F1B">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附件</w:t>
      </w:r>
      <w:bookmarkEnd w:id="1266"/>
    </w:p>
    <w:p w14:paraId="31C458BF">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附件1：承包人承揽工程项目一览表</w:t>
      </w:r>
    </w:p>
    <w:p w14:paraId="10EC358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附件2：工程质量保修书</w:t>
      </w:r>
    </w:p>
    <w:p w14:paraId="6B3DA37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附件3：主要建设工程文件目录</w:t>
      </w:r>
    </w:p>
    <w:p w14:paraId="3DE8946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附件4：承包人用于本工程施工的机械设备表</w:t>
      </w:r>
    </w:p>
    <w:p w14:paraId="39B13E4B">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附件5：承包人主要施工管理人员表</w:t>
      </w:r>
    </w:p>
    <w:p w14:paraId="619B015E">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附件6：分包人主要施工管理人员表</w:t>
      </w:r>
    </w:p>
    <w:p w14:paraId="136333A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附件7：履约担保格式（独立保函、非独立保函）</w:t>
      </w:r>
    </w:p>
    <w:p w14:paraId="47C72FEF">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附件8：预付款担保格式（独立保函、非独立保函）</w:t>
      </w:r>
    </w:p>
    <w:p w14:paraId="32513A6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附件9：支付担保格式（独立保函、非独立保函）</w:t>
      </w:r>
    </w:p>
    <w:p w14:paraId="51A35D63">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附件10：预付款支付申请（核准）表</w:t>
      </w:r>
    </w:p>
    <w:p w14:paraId="2C432B23">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附件11：进度款支付申请（核准）表</w:t>
      </w:r>
    </w:p>
    <w:p w14:paraId="1D969C6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附件12：竣工结算款支付申请（核准）表</w:t>
      </w:r>
    </w:p>
    <w:p w14:paraId="310F0FF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附件13：最终结算款支付申请（核准）表</w:t>
      </w:r>
    </w:p>
    <w:p w14:paraId="51FC07FA">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附件14：总价合同进度款支付分解表</w:t>
      </w:r>
    </w:p>
    <w:p w14:paraId="050B110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附件15：施工安全生产责任书</w:t>
      </w:r>
    </w:p>
    <w:p w14:paraId="04A6655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附件16：廉洁协议</w:t>
      </w:r>
    </w:p>
    <w:p w14:paraId="039B94D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附件17：供应商资质证明</w:t>
      </w:r>
    </w:p>
    <w:p w14:paraId="02104693">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附件18：自治区人民医院新建及改造项目消防安全管理二十条措施实施方案</w:t>
      </w:r>
    </w:p>
    <w:p w14:paraId="4EF074CA">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附件19：工程结算审计审核所需资料表</w:t>
      </w:r>
    </w:p>
    <w:p w14:paraId="0B3224A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附件20：建筑类工程档案接收内容及排列顺序（2023年版）</w:t>
      </w:r>
    </w:p>
    <w:p w14:paraId="7086D1BA">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附件21：承包人需移交发包人综合档案室的竣工资料明细清单</w:t>
      </w:r>
    </w:p>
    <w:p w14:paraId="1E9443B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附件22：中标工程量清单</w:t>
      </w:r>
    </w:p>
    <w:p w14:paraId="494086DB">
      <w:pPr>
        <w:spacing w:line="360" w:lineRule="auto"/>
        <w:ind w:firstLine="480" w:firstLineChars="200"/>
        <w:rPr>
          <w:rFonts w:hint="eastAsia" w:ascii="宋体" w:hAnsi="宋体" w:eastAsia="宋体" w:cs="宋体"/>
          <w:color w:val="auto"/>
          <w:sz w:val="24"/>
          <w:highlight w:val="none"/>
        </w:rPr>
        <w:sectPr>
          <w:footerReference r:id="rId5" w:type="default"/>
          <w:pgSz w:w="11907" w:h="16840"/>
          <w:pgMar w:top="1418" w:right="1418" w:bottom="1418" w:left="1474" w:header="851" w:footer="851" w:gutter="0"/>
          <w:cols w:space="720" w:num="1"/>
          <w:docGrid w:linePitch="312" w:charSpace="0"/>
        </w:sectPr>
      </w:pPr>
    </w:p>
    <w:p w14:paraId="1C3EBD31">
      <w:pPr>
        <w:spacing w:before="120" w:beforeLines="50" w:after="120" w:afterLines="5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附件1：</w:t>
      </w:r>
    </w:p>
    <w:p w14:paraId="08B14A4E">
      <w:pPr>
        <w:spacing w:before="120" w:beforeLines="50" w:after="120" w:afterLines="5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承包人承揽工程项目一览表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75"/>
        <w:gridCol w:w="992"/>
        <w:gridCol w:w="992"/>
        <w:gridCol w:w="993"/>
        <w:gridCol w:w="708"/>
        <w:gridCol w:w="851"/>
        <w:gridCol w:w="1276"/>
        <w:gridCol w:w="850"/>
        <w:gridCol w:w="709"/>
        <w:gridCol w:w="567"/>
      </w:tblGrid>
      <w:tr w14:paraId="3C60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5" w:hRule="atLeast"/>
          <w:jc w:val="center"/>
        </w:trPr>
        <w:tc>
          <w:tcPr>
            <w:tcW w:w="975" w:type="dxa"/>
            <w:noWrap w:val="0"/>
            <w:vAlign w:val="center"/>
          </w:tcPr>
          <w:p w14:paraId="4BF06CDB">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单位工程名称</w:t>
            </w:r>
          </w:p>
        </w:tc>
        <w:tc>
          <w:tcPr>
            <w:tcW w:w="992" w:type="dxa"/>
            <w:noWrap w:val="0"/>
            <w:vAlign w:val="center"/>
          </w:tcPr>
          <w:p w14:paraId="577D8B7A">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建设规模</w:t>
            </w:r>
          </w:p>
        </w:tc>
        <w:tc>
          <w:tcPr>
            <w:tcW w:w="992" w:type="dxa"/>
            <w:noWrap w:val="0"/>
            <w:vAlign w:val="center"/>
          </w:tcPr>
          <w:p w14:paraId="69AC9A23">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建筑面积（平方米）</w:t>
            </w:r>
          </w:p>
        </w:tc>
        <w:tc>
          <w:tcPr>
            <w:tcW w:w="993" w:type="dxa"/>
            <w:noWrap w:val="0"/>
            <w:vAlign w:val="center"/>
          </w:tcPr>
          <w:p w14:paraId="5C19A742">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结构</w:t>
            </w:r>
          </w:p>
          <w:p w14:paraId="7D6B8867">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形式</w:t>
            </w:r>
          </w:p>
        </w:tc>
        <w:tc>
          <w:tcPr>
            <w:tcW w:w="708" w:type="dxa"/>
            <w:noWrap w:val="0"/>
            <w:vAlign w:val="center"/>
          </w:tcPr>
          <w:p w14:paraId="3AF5DFE1">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层数</w:t>
            </w:r>
          </w:p>
        </w:tc>
        <w:tc>
          <w:tcPr>
            <w:tcW w:w="851" w:type="dxa"/>
            <w:noWrap w:val="0"/>
            <w:vAlign w:val="center"/>
          </w:tcPr>
          <w:p w14:paraId="1AB451FA">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生产能力</w:t>
            </w:r>
          </w:p>
        </w:tc>
        <w:tc>
          <w:tcPr>
            <w:tcW w:w="1276" w:type="dxa"/>
            <w:noWrap w:val="0"/>
            <w:vAlign w:val="center"/>
          </w:tcPr>
          <w:p w14:paraId="091F6837">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设备安装内容</w:t>
            </w:r>
          </w:p>
        </w:tc>
        <w:tc>
          <w:tcPr>
            <w:tcW w:w="850" w:type="dxa"/>
            <w:noWrap w:val="0"/>
            <w:vAlign w:val="center"/>
          </w:tcPr>
          <w:p w14:paraId="566E3815">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合同价格（元）</w:t>
            </w:r>
          </w:p>
        </w:tc>
        <w:tc>
          <w:tcPr>
            <w:tcW w:w="709" w:type="dxa"/>
            <w:noWrap w:val="0"/>
            <w:vAlign w:val="center"/>
          </w:tcPr>
          <w:p w14:paraId="4F97A2D9">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开工日期</w:t>
            </w:r>
          </w:p>
        </w:tc>
        <w:tc>
          <w:tcPr>
            <w:tcW w:w="567" w:type="dxa"/>
            <w:noWrap w:val="0"/>
            <w:vAlign w:val="center"/>
          </w:tcPr>
          <w:p w14:paraId="51B74063">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竣工日期</w:t>
            </w:r>
          </w:p>
        </w:tc>
      </w:tr>
      <w:tr w14:paraId="6202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8" w:hRule="atLeast"/>
          <w:jc w:val="center"/>
        </w:trPr>
        <w:tc>
          <w:tcPr>
            <w:tcW w:w="975" w:type="dxa"/>
            <w:noWrap w:val="0"/>
            <w:vAlign w:val="center"/>
          </w:tcPr>
          <w:p w14:paraId="7938D89B">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92" w:type="dxa"/>
            <w:noWrap w:val="0"/>
            <w:vAlign w:val="center"/>
          </w:tcPr>
          <w:p w14:paraId="7BA2738B">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92" w:type="dxa"/>
            <w:noWrap w:val="0"/>
            <w:vAlign w:val="center"/>
          </w:tcPr>
          <w:p w14:paraId="2B32AD20">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93" w:type="dxa"/>
            <w:noWrap w:val="0"/>
            <w:vAlign w:val="center"/>
          </w:tcPr>
          <w:p w14:paraId="503CC1FE">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708" w:type="dxa"/>
            <w:noWrap w:val="0"/>
            <w:vAlign w:val="center"/>
          </w:tcPr>
          <w:p w14:paraId="1F25FBD5">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51" w:type="dxa"/>
            <w:noWrap w:val="0"/>
            <w:vAlign w:val="center"/>
          </w:tcPr>
          <w:p w14:paraId="6A36F36E">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276" w:type="dxa"/>
            <w:noWrap w:val="0"/>
            <w:vAlign w:val="center"/>
          </w:tcPr>
          <w:p w14:paraId="75BB12B6">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50" w:type="dxa"/>
            <w:noWrap w:val="0"/>
            <w:vAlign w:val="center"/>
          </w:tcPr>
          <w:p w14:paraId="6C59F73C">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709" w:type="dxa"/>
            <w:noWrap w:val="0"/>
            <w:vAlign w:val="center"/>
          </w:tcPr>
          <w:p w14:paraId="19403CC2">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567" w:type="dxa"/>
            <w:noWrap w:val="0"/>
            <w:vAlign w:val="center"/>
          </w:tcPr>
          <w:p w14:paraId="3FC6ABE7">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2BF1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8" w:hRule="atLeast"/>
          <w:jc w:val="center"/>
        </w:trPr>
        <w:tc>
          <w:tcPr>
            <w:tcW w:w="975" w:type="dxa"/>
            <w:noWrap w:val="0"/>
            <w:vAlign w:val="center"/>
          </w:tcPr>
          <w:p w14:paraId="0B2DB21B">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92" w:type="dxa"/>
            <w:noWrap w:val="0"/>
            <w:vAlign w:val="center"/>
          </w:tcPr>
          <w:p w14:paraId="2FBA35FD">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92" w:type="dxa"/>
            <w:noWrap w:val="0"/>
            <w:vAlign w:val="center"/>
          </w:tcPr>
          <w:p w14:paraId="008B845A">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93" w:type="dxa"/>
            <w:noWrap w:val="0"/>
            <w:vAlign w:val="center"/>
          </w:tcPr>
          <w:p w14:paraId="5CEF6337">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708" w:type="dxa"/>
            <w:noWrap w:val="0"/>
            <w:vAlign w:val="center"/>
          </w:tcPr>
          <w:p w14:paraId="62977A6A">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51" w:type="dxa"/>
            <w:noWrap w:val="0"/>
            <w:vAlign w:val="center"/>
          </w:tcPr>
          <w:p w14:paraId="742677A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276" w:type="dxa"/>
            <w:noWrap w:val="0"/>
            <w:vAlign w:val="center"/>
          </w:tcPr>
          <w:p w14:paraId="4573BEF7">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50" w:type="dxa"/>
            <w:noWrap w:val="0"/>
            <w:vAlign w:val="center"/>
          </w:tcPr>
          <w:p w14:paraId="21551502">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709" w:type="dxa"/>
            <w:noWrap w:val="0"/>
            <w:vAlign w:val="center"/>
          </w:tcPr>
          <w:p w14:paraId="25114391">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567" w:type="dxa"/>
            <w:noWrap w:val="0"/>
            <w:vAlign w:val="center"/>
          </w:tcPr>
          <w:p w14:paraId="27DB846D">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58F1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8" w:hRule="atLeast"/>
          <w:jc w:val="center"/>
        </w:trPr>
        <w:tc>
          <w:tcPr>
            <w:tcW w:w="975" w:type="dxa"/>
            <w:noWrap w:val="0"/>
            <w:vAlign w:val="center"/>
          </w:tcPr>
          <w:p w14:paraId="02ED3946">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92" w:type="dxa"/>
            <w:noWrap w:val="0"/>
            <w:vAlign w:val="center"/>
          </w:tcPr>
          <w:p w14:paraId="3F1C214B">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92" w:type="dxa"/>
            <w:noWrap w:val="0"/>
            <w:vAlign w:val="center"/>
          </w:tcPr>
          <w:p w14:paraId="02250AEE">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93" w:type="dxa"/>
            <w:noWrap w:val="0"/>
            <w:vAlign w:val="center"/>
          </w:tcPr>
          <w:p w14:paraId="4D16826F">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708" w:type="dxa"/>
            <w:noWrap w:val="0"/>
            <w:vAlign w:val="center"/>
          </w:tcPr>
          <w:p w14:paraId="24CFF080">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51" w:type="dxa"/>
            <w:noWrap w:val="0"/>
            <w:vAlign w:val="center"/>
          </w:tcPr>
          <w:p w14:paraId="196AFAC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276" w:type="dxa"/>
            <w:noWrap w:val="0"/>
            <w:vAlign w:val="center"/>
          </w:tcPr>
          <w:p w14:paraId="1A7A1733">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50" w:type="dxa"/>
            <w:noWrap w:val="0"/>
            <w:vAlign w:val="center"/>
          </w:tcPr>
          <w:p w14:paraId="71162C57">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709" w:type="dxa"/>
            <w:noWrap w:val="0"/>
            <w:vAlign w:val="center"/>
          </w:tcPr>
          <w:p w14:paraId="4767339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567" w:type="dxa"/>
            <w:noWrap w:val="0"/>
            <w:vAlign w:val="center"/>
          </w:tcPr>
          <w:p w14:paraId="5739669F">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07FE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8" w:hRule="atLeast"/>
          <w:jc w:val="center"/>
        </w:trPr>
        <w:tc>
          <w:tcPr>
            <w:tcW w:w="975" w:type="dxa"/>
            <w:noWrap w:val="0"/>
            <w:vAlign w:val="center"/>
          </w:tcPr>
          <w:p w14:paraId="0CCA1619">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92" w:type="dxa"/>
            <w:noWrap w:val="0"/>
            <w:vAlign w:val="center"/>
          </w:tcPr>
          <w:p w14:paraId="277F383F">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92" w:type="dxa"/>
            <w:noWrap w:val="0"/>
            <w:vAlign w:val="center"/>
          </w:tcPr>
          <w:p w14:paraId="5E0B073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93" w:type="dxa"/>
            <w:noWrap w:val="0"/>
            <w:vAlign w:val="center"/>
          </w:tcPr>
          <w:p w14:paraId="0D3424D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708" w:type="dxa"/>
            <w:noWrap w:val="0"/>
            <w:vAlign w:val="center"/>
          </w:tcPr>
          <w:p w14:paraId="00094E26">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51" w:type="dxa"/>
            <w:noWrap w:val="0"/>
            <w:vAlign w:val="center"/>
          </w:tcPr>
          <w:p w14:paraId="7A497F53">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276" w:type="dxa"/>
            <w:noWrap w:val="0"/>
            <w:vAlign w:val="center"/>
          </w:tcPr>
          <w:p w14:paraId="041D6FF1">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50" w:type="dxa"/>
            <w:noWrap w:val="0"/>
            <w:vAlign w:val="center"/>
          </w:tcPr>
          <w:p w14:paraId="42BE920F">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709" w:type="dxa"/>
            <w:noWrap w:val="0"/>
            <w:vAlign w:val="center"/>
          </w:tcPr>
          <w:p w14:paraId="268AEB4C">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567" w:type="dxa"/>
            <w:noWrap w:val="0"/>
            <w:vAlign w:val="center"/>
          </w:tcPr>
          <w:p w14:paraId="543AE499">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4524D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8" w:hRule="atLeast"/>
          <w:jc w:val="center"/>
        </w:trPr>
        <w:tc>
          <w:tcPr>
            <w:tcW w:w="975" w:type="dxa"/>
            <w:noWrap w:val="0"/>
            <w:vAlign w:val="center"/>
          </w:tcPr>
          <w:p w14:paraId="349644C6">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92" w:type="dxa"/>
            <w:noWrap w:val="0"/>
            <w:vAlign w:val="center"/>
          </w:tcPr>
          <w:p w14:paraId="4F00938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92" w:type="dxa"/>
            <w:noWrap w:val="0"/>
            <w:vAlign w:val="center"/>
          </w:tcPr>
          <w:p w14:paraId="07916ED2">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93" w:type="dxa"/>
            <w:noWrap w:val="0"/>
            <w:vAlign w:val="center"/>
          </w:tcPr>
          <w:p w14:paraId="28F2ACEC">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708" w:type="dxa"/>
            <w:noWrap w:val="0"/>
            <w:vAlign w:val="center"/>
          </w:tcPr>
          <w:p w14:paraId="2AC40516">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51" w:type="dxa"/>
            <w:noWrap w:val="0"/>
            <w:vAlign w:val="center"/>
          </w:tcPr>
          <w:p w14:paraId="09914116">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276" w:type="dxa"/>
            <w:noWrap w:val="0"/>
            <w:vAlign w:val="center"/>
          </w:tcPr>
          <w:p w14:paraId="10D661CA">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50" w:type="dxa"/>
            <w:noWrap w:val="0"/>
            <w:vAlign w:val="center"/>
          </w:tcPr>
          <w:p w14:paraId="2F1F8F51">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709" w:type="dxa"/>
            <w:noWrap w:val="0"/>
            <w:vAlign w:val="center"/>
          </w:tcPr>
          <w:p w14:paraId="1CC3FE8E">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567" w:type="dxa"/>
            <w:noWrap w:val="0"/>
            <w:vAlign w:val="center"/>
          </w:tcPr>
          <w:p w14:paraId="29E98DD7">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082F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8" w:hRule="atLeast"/>
          <w:jc w:val="center"/>
        </w:trPr>
        <w:tc>
          <w:tcPr>
            <w:tcW w:w="975" w:type="dxa"/>
            <w:noWrap w:val="0"/>
            <w:vAlign w:val="center"/>
          </w:tcPr>
          <w:p w14:paraId="7AB9FC93">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92" w:type="dxa"/>
            <w:noWrap w:val="0"/>
            <w:vAlign w:val="center"/>
          </w:tcPr>
          <w:p w14:paraId="684355DF">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92" w:type="dxa"/>
            <w:noWrap w:val="0"/>
            <w:vAlign w:val="center"/>
          </w:tcPr>
          <w:p w14:paraId="07A574C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93" w:type="dxa"/>
            <w:noWrap w:val="0"/>
            <w:vAlign w:val="center"/>
          </w:tcPr>
          <w:p w14:paraId="68B723D7">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708" w:type="dxa"/>
            <w:noWrap w:val="0"/>
            <w:vAlign w:val="center"/>
          </w:tcPr>
          <w:p w14:paraId="2B2165FF">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51" w:type="dxa"/>
            <w:noWrap w:val="0"/>
            <w:vAlign w:val="center"/>
          </w:tcPr>
          <w:p w14:paraId="2C90A347">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276" w:type="dxa"/>
            <w:noWrap w:val="0"/>
            <w:vAlign w:val="center"/>
          </w:tcPr>
          <w:p w14:paraId="5C03F3CB">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50" w:type="dxa"/>
            <w:noWrap w:val="0"/>
            <w:vAlign w:val="center"/>
          </w:tcPr>
          <w:p w14:paraId="2D5D030A">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709" w:type="dxa"/>
            <w:noWrap w:val="0"/>
            <w:vAlign w:val="center"/>
          </w:tcPr>
          <w:p w14:paraId="05767506">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567" w:type="dxa"/>
            <w:noWrap w:val="0"/>
            <w:vAlign w:val="center"/>
          </w:tcPr>
          <w:p w14:paraId="455C99C1">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3D33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8" w:hRule="atLeast"/>
          <w:jc w:val="center"/>
        </w:trPr>
        <w:tc>
          <w:tcPr>
            <w:tcW w:w="975" w:type="dxa"/>
            <w:noWrap w:val="0"/>
            <w:vAlign w:val="center"/>
          </w:tcPr>
          <w:p w14:paraId="2A33163E">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92" w:type="dxa"/>
            <w:noWrap w:val="0"/>
            <w:vAlign w:val="center"/>
          </w:tcPr>
          <w:p w14:paraId="140CF045">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92" w:type="dxa"/>
            <w:noWrap w:val="0"/>
            <w:vAlign w:val="center"/>
          </w:tcPr>
          <w:p w14:paraId="2B24C45E">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93" w:type="dxa"/>
            <w:noWrap w:val="0"/>
            <w:vAlign w:val="center"/>
          </w:tcPr>
          <w:p w14:paraId="4D877D2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708" w:type="dxa"/>
            <w:noWrap w:val="0"/>
            <w:vAlign w:val="center"/>
          </w:tcPr>
          <w:p w14:paraId="37AC13A3">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51" w:type="dxa"/>
            <w:noWrap w:val="0"/>
            <w:vAlign w:val="center"/>
          </w:tcPr>
          <w:p w14:paraId="694ED1A0">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276" w:type="dxa"/>
            <w:noWrap w:val="0"/>
            <w:vAlign w:val="center"/>
          </w:tcPr>
          <w:p w14:paraId="360BCE21">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50" w:type="dxa"/>
            <w:noWrap w:val="0"/>
            <w:vAlign w:val="center"/>
          </w:tcPr>
          <w:p w14:paraId="07ECDEE7">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709" w:type="dxa"/>
            <w:noWrap w:val="0"/>
            <w:vAlign w:val="center"/>
          </w:tcPr>
          <w:p w14:paraId="064E8907">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567" w:type="dxa"/>
            <w:noWrap w:val="0"/>
            <w:vAlign w:val="center"/>
          </w:tcPr>
          <w:p w14:paraId="3233A91C">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0AC7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8" w:hRule="atLeast"/>
          <w:jc w:val="center"/>
        </w:trPr>
        <w:tc>
          <w:tcPr>
            <w:tcW w:w="975" w:type="dxa"/>
            <w:noWrap w:val="0"/>
            <w:vAlign w:val="center"/>
          </w:tcPr>
          <w:p w14:paraId="7C2B907E">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92" w:type="dxa"/>
            <w:noWrap w:val="0"/>
            <w:vAlign w:val="center"/>
          </w:tcPr>
          <w:p w14:paraId="1F020027">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92" w:type="dxa"/>
            <w:noWrap w:val="0"/>
            <w:vAlign w:val="center"/>
          </w:tcPr>
          <w:p w14:paraId="1C7188E4">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93" w:type="dxa"/>
            <w:noWrap w:val="0"/>
            <w:vAlign w:val="center"/>
          </w:tcPr>
          <w:p w14:paraId="36EDE68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708" w:type="dxa"/>
            <w:noWrap w:val="0"/>
            <w:vAlign w:val="center"/>
          </w:tcPr>
          <w:p w14:paraId="177672AA">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51" w:type="dxa"/>
            <w:noWrap w:val="0"/>
            <w:vAlign w:val="center"/>
          </w:tcPr>
          <w:p w14:paraId="7078A2D3">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276" w:type="dxa"/>
            <w:noWrap w:val="0"/>
            <w:vAlign w:val="center"/>
          </w:tcPr>
          <w:p w14:paraId="3A11BA40">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50" w:type="dxa"/>
            <w:noWrap w:val="0"/>
            <w:vAlign w:val="center"/>
          </w:tcPr>
          <w:p w14:paraId="0B0F1C60">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709" w:type="dxa"/>
            <w:noWrap w:val="0"/>
            <w:vAlign w:val="center"/>
          </w:tcPr>
          <w:p w14:paraId="1D65213D">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567" w:type="dxa"/>
            <w:noWrap w:val="0"/>
            <w:vAlign w:val="center"/>
          </w:tcPr>
          <w:p w14:paraId="350B18D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3BF7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8" w:hRule="atLeast"/>
          <w:jc w:val="center"/>
        </w:trPr>
        <w:tc>
          <w:tcPr>
            <w:tcW w:w="975" w:type="dxa"/>
            <w:noWrap w:val="0"/>
            <w:vAlign w:val="center"/>
          </w:tcPr>
          <w:p w14:paraId="6D1D055B">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92" w:type="dxa"/>
            <w:noWrap w:val="0"/>
            <w:vAlign w:val="center"/>
          </w:tcPr>
          <w:p w14:paraId="58CD119D">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92" w:type="dxa"/>
            <w:noWrap w:val="0"/>
            <w:vAlign w:val="center"/>
          </w:tcPr>
          <w:p w14:paraId="01D65B7D">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93" w:type="dxa"/>
            <w:noWrap w:val="0"/>
            <w:vAlign w:val="center"/>
          </w:tcPr>
          <w:p w14:paraId="49545427">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708" w:type="dxa"/>
            <w:noWrap w:val="0"/>
            <w:vAlign w:val="center"/>
          </w:tcPr>
          <w:p w14:paraId="0AEDD3A6">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51" w:type="dxa"/>
            <w:noWrap w:val="0"/>
            <w:vAlign w:val="center"/>
          </w:tcPr>
          <w:p w14:paraId="14A0F36C">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276" w:type="dxa"/>
            <w:noWrap w:val="0"/>
            <w:vAlign w:val="center"/>
          </w:tcPr>
          <w:p w14:paraId="578095E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50" w:type="dxa"/>
            <w:noWrap w:val="0"/>
            <w:vAlign w:val="center"/>
          </w:tcPr>
          <w:p w14:paraId="33ECF134">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709" w:type="dxa"/>
            <w:noWrap w:val="0"/>
            <w:vAlign w:val="center"/>
          </w:tcPr>
          <w:p w14:paraId="68512C45">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567" w:type="dxa"/>
            <w:noWrap w:val="0"/>
            <w:vAlign w:val="center"/>
          </w:tcPr>
          <w:p w14:paraId="3816FA16">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603D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8" w:hRule="atLeast"/>
          <w:jc w:val="center"/>
        </w:trPr>
        <w:tc>
          <w:tcPr>
            <w:tcW w:w="975" w:type="dxa"/>
            <w:noWrap w:val="0"/>
            <w:vAlign w:val="center"/>
          </w:tcPr>
          <w:p w14:paraId="2DDB0F2F">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92" w:type="dxa"/>
            <w:noWrap w:val="0"/>
            <w:vAlign w:val="center"/>
          </w:tcPr>
          <w:p w14:paraId="7C76BDFD">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92" w:type="dxa"/>
            <w:noWrap w:val="0"/>
            <w:vAlign w:val="center"/>
          </w:tcPr>
          <w:p w14:paraId="6B16624D">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93" w:type="dxa"/>
            <w:noWrap w:val="0"/>
            <w:vAlign w:val="center"/>
          </w:tcPr>
          <w:p w14:paraId="6FBDB49D">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708" w:type="dxa"/>
            <w:noWrap w:val="0"/>
            <w:vAlign w:val="center"/>
          </w:tcPr>
          <w:p w14:paraId="59E757A4">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51" w:type="dxa"/>
            <w:noWrap w:val="0"/>
            <w:vAlign w:val="center"/>
          </w:tcPr>
          <w:p w14:paraId="53E721D5">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276" w:type="dxa"/>
            <w:noWrap w:val="0"/>
            <w:vAlign w:val="center"/>
          </w:tcPr>
          <w:p w14:paraId="0E12251B">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50" w:type="dxa"/>
            <w:noWrap w:val="0"/>
            <w:vAlign w:val="center"/>
          </w:tcPr>
          <w:p w14:paraId="211CE57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709" w:type="dxa"/>
            <w:noWrap w:val="0"/>
            <w:vAlign w:val="center"/>
          </w:tcPr>
          <w:p w14:paraId="3AFF8FA1">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567" w:type="dxa"/>
            <w:noWrap w:val="0"/>
            <w:vAlign w:val="center"/>
          </w:tcPr>
          <w:p w14:paraId="1CC94095">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7186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8" w:hRule="atLeast"/>
          <w:jc w:val="center"/>
        </w:trPr>
        <w:tc>
          <w:tcPr>
            <w:tcW w:w="975" w:type="dxa"/>
            <w:noWrap w:val="0"/>
            <w:vAlign w:val="center"/>
          </w:tcPr>
          <w:p w14:paraId="63786E1A">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92" w:type="dxa"/>
            <w:noWrap w:val="0"/>
            <w:vAlign w:val="center"/>
          </w:tcPr>
          <w:p w14:paraId="0921EDEE">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92" w:type="dxa"/>
            <w:noWrap w:val="0"/>
            <w:vAlign w:val="center"/>
          </w:tcPr>
          <w:p w14:paraId="22C170C1">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93" w:type="dxa"/>
            <w:noWrap w:val="0"/>
            <w:vAlign w:val="center"/>
          </w:tcPr>
          <w:p w14:paraId="20BDCAD6">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708" w:type="dxa"/>
            <w:noWrap w:val="0"/>
            <w:vAlign w:val="center"/>
          </w:tcPr>
          <w:p w14:paraId="4942C936">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51" w:type="dxa"/>
            <w:noWrap w:val="0"/>
            <w:vAlign w:val="center"/>
          </w:tcPr>
          <w:p w14:paraId="5D6E3B29">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276" w:type="dxa"/>
            <w:noWrap w:val="0"/>
            <w:vAlign w:val="center"/>
          </w:tcPr>
          <w:p w14:paraId="3093BA0E">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50" w:type="dxa"/>
            <w:noWrap w:val="0"/>
            <w:vAlign w:val="center"/>
          </w:tcPr>
          <w:p w14:paraId="72F4F9CB">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709" w:type="dxa"/>
            <w:noWrap w:val="0"/>
            <w:vAlign w:val="center"/>
          </w:tcPr>
          <w:p w14:paraId="10CA39BA">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567" w:type="dxa"/>
            <w:noWrap w:val="0"/>
            <w:vAlign w:val="center"/>
          </w:tcPr>
          <w:p w14:paraId="07AD8A2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bl>
    <w:p w14:paraId="5AF1A0D1">
      <w:pPr>
        <w:spacing w:line="360" w:lineRule="auto"/>
        <w:ind w:firstLine="480" w:firstLineChars="200"/>
        <w:rPr>
          <w:rFonts w:hint="eastAsia" w:ascii="宋体" w:hAnsi="宋体" w:eastAsia="宋体" w:cs="宋体"/>
          <w:color w:val="auto"/>
          <w:sz w:val="24"/>
          <w:highlight w:val="none"/>
        </w:rPr>
      </w:pPr>
    </w:p>
    <w:p w14:paraId="27F9F913">
      <w:pPr>
        <w:spacing w:line="360" w:lineRule="auto"/>
        <w:ind w:firstLine="480" w:firstLineChars="200"/>
        <w:rPr>
          <w:rFonts w:hint="eastAsia" w:ascii="宋体" w:hAnsi="宋体" w:eastAsia="宋体" w:cs="宋体"/>
          <w:color w:val="auto"/>
          <w:sz w:val="24"/>
          <w:highlight w:val="none"/>
        </w:rPr>
        <w:sectPr>
          <w:footerReference r:id="rId6" w:type="default"/>
          <w:pgSz w:w="11907" w:h="16840"/>
          <w:pgMar w:top="1418" w:right="1474" w:bottom="1418" w:left="1418" w:header="851" w:footer="851" w:gutter="0"/>
          <w:cols w:space="720" w:num="1"/>
          <w:docGrid w:linePitch="312" w:charSpace="0"/>
        </w:sectPr>
      </w:pPr>
    </w:p>
    <w:p w14:paraId="65BB659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附件2：</w:t>
      </w:r>
    </w:p>
    <w:p w14:paraId="3E23FACF">
      <w:pPr>
        <w:spacing w:before="120" w:beforeLines="50" w:after="120" w:afterLines="50"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工程质量保修书（房屋建筑工程）</w:t>
      </w:r>
    </w:p>
    <w:p w14:paraId="07146085">
      <w:pPr>
        <w:spacing w:line="360" w:lineRule="auto"/>
        <w:ind w:firstLine="480" w:firstLineChars="200"/>
        <w:rPr>
          <w:rFonts w:hint="eastAsia" w:ascii="宋体" w:hAnsi="宋体" w:eastAsia="宋体" w:cs="宋体"/>
          <w:color w:val="auto"/>
          <w:sz w:val="24"/>
          <w:highlight w:val="none"/>
        </w:rPr>
      </w:pPr>
    </w:p>
    <w:p w14:paraId="6A820FDB">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发包人（全称）：</w:t>
      </w:r>
      <w:r>
        <w:rPr>
          <w:rFonts w:hint="eastAsia" w:ascii="宋体" w:hAnsi="宋体" w:cs="宋体"/>
          <w:color w:val="auto"/>
          <w:sz w:val="24"/>
          <w:highlight w:val="none"/>
          <w:u w:val="single"/>
          <w:lang w:eastAsia="zh-CN"/>
        </w:rPr>
        <w:t>广西壮族自治区人民医院</w:t>
      </w:r>
    </w:p>
    <w:p w14:paraId="7B41BC0F">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承包人（全称）：</w:t>
      </w:r>
    </w:p>
    <w:p w14:paraId="25CE0EEB">
      <w:pPr>
        <w:spacing w:line="360" w:lineRule="auto"/>
        <w:rPr>
          <w:rFonts w:hint="eastAsia" w:ascii="宋体" w:hAnsi="宋体" w:eastAsia="宋体" w:cs="宋体"/>
          <w:color w:val="auto"/>
          <w:sz w:val="24"/>
          <w:highlight w:val="none"/>
        </w:rPr>
      </w:pPr>
    </w:p>
    <w:p w14:paraId="1FF4822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发包人和承包人根据《中华人民共和国建筑法》和《建设工程质量管理条例》，经协商一致就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（工程全称）签订工程质量保修书。</w:t>
      </w:r>
    </w:p>
    <w:p w14:paraId="48BB070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一、工程质量保修范围和内容</w:t>
      </w:r>
    </w:p>
    <w:p w14:paraId="5DCADC0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承包人在质量保修期内，按照有关法律规定和合同约定，承担工程质量保修责任。</w:t>
      </w:r>
    </w:p>
    <w:p w14:paraId="221D8B32">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质量保修范围包括</w:t>
      </w:r>
      <w:r>
        <w:rPr>
          <w:rFonts w:hint="eastAsia" w:ascii="宋体" w:hAnsi="宋体" w:eastAsia="宋体" w:cs="宋体"/>
          <w:color w:val="auto"/>
          <w:sz w:val="24"/>
          <w:highlight w:val="none"/>
          <w:u w:val="single"/>
        </w:rPr>
        <w:t>本项目施工图及招标工程量清单所包含</w:t>
      </w:r>
      <w:r>
        <w:rPr>
          <w:rFonts w:hint="eastAsia" w:ascii="宋体" w:hAnsi="宋体" w:eastAsia="宋体" w:cs="宋体"/>
          <w:color w:val="auto"/>
          <w:sz w:val="24"/>
          <w:highlight w:val="none"/>
        </w:rPr>
        <w:t>的工程，以及双方约定的其他项目。具体保修的内容，双方约定如下：</w:t>
      </w:r>
    </w:p>
    <w:p w14:paraId="310E416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1.缺陷责任期内，如发生属承包人责任的质量问题，按工程质量保修书约定执行。承包人未按照法律法规有关规定和合同约定履行质量保修义务的，发包人有权从质量保证金中扣留用于质量保修的各项支出；若质量保证金不足以抵扣实际支出费用，发包人有权要求承包人补足差额</w:t>
      </w:r>
      <w:r>
        <w:rPr>
          <w:rFonts w:hint="eastAsia" w:ascii="宋体" w:hAnsi="宋体" w:eastAsia="宋体" w:cs="宋体"/>
          <w:color w:val="auto"/>
          <w:sz w:val="24"/>
          <w:highlight w:val="none"/>
        </w:rPr>
        <w:t>。</w:t>
      </w:r>
    </w:p>
    <w:p w14:paraId="6D7C490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2.缺陷责任期结束后质保期结束前，如发生属承包人责任的质量问题，由承包人负责维修并承担相关鉴定及维修费用。如承包人未及时履行保修义务，导致建筑物毁损或者造成人身损害、财产损失的，承包人应当承担赔偿责任，同时发包人可以委托他人修理，修理费用（无需经承包人认可，以发包人与第三方签订的合同金额为准）从质量保证金内扣除，质量保证金不足以支付的，费用仍由承包人承担。因为承包人怠于保修的，由此产生的责任由承包人承担。如承包人拒绝履行支付，发包人有权通过法律途径要求承包人支付</w:t>
      </w:r>
      <w:r>
        <w:rPr>
          <w:rFonts w:hint="eastAsia" w:ascii="宋体" w:hAnsi="宋体" w:eastAsia="宋体" w:cs="宋体"/>
          <w:color w:val="auto"/>
          <w:sz w:val="24"/>
          <w:highlight w:val="none"/>
        </w:rPr>
        <w:t>。</w:t>
      </w:r>
    </w:p>
    <w:p w14:paraId="1D9FCFF3">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二、质量保修期</w:t>
      </w:r>
    </w:p>
    <w:p w14:paraId="511C1A73">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根据《建设工程质量管理条例》及有关规定，工程的质量保修期如下：</w:t>
      </w:r>
    </w:p>
    <w:p w14:paraId="315A2299">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1．地基基础工程和主体结构工程为设计文件规定的工程合理使用年限；</w:t>
      </w:r>
    </w:p>
    <w:p w14:paraId="70CD1381">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2．屋面防水工程、有防水要求的卫生间、房间和外墙面的防渗为</w:t>
      </w:r>
      <w:r>
        <w:rPr>
          <w:rFonts w:hint="eastAsia" w:ascii="宋体" w:hAnsi="宋体" w:eastAsia="宋体" w:cs="宋体"/>
          <w:color w:val="auto"/>
          <w:sz w:val="24"/>
          <w:highlight w:val="none"/>
          <w:u w:val="single"/>
        </w:rPr>
        <w:t>5</w:t>
      </w:r>
      <w:r>
        <w:rPr>
          <w:rFonts w:hint="eastAsia" w:ascii="宋体" w:hAnsi="宋体" w:eastAsia="宋体" w:cs="宋体"/>
          <w:color w:val="auto"/>
          <w:sz w:val="24"/>
          <w:highlight w:val="none"/>
        </w:rPr>
        <w:t>年；</w:t>
      </w:r>
    </w:p>
    <w:p w14:paraId="288020E0">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3．装修工程为</w:t>
      </w:r>
      <w:r>
        <w:rPr>
          <w:rFonts w:hint="eastAsia" w:ascii="宋体" w:hAnsi="宋体" w:eastAsia="宋体" w:cs="宋体"/>
          <w:color w:val="auto"/>
          <w:sz w:val="24"/>
          <w:highlight w:val="none"/>
          <w:u w:val="single"/>
        </w:rPr>
        <w:t>2</w:t>
      </w:r>
      <w:r>
        <w:rPr>
          <w:rFonts w:hint="eastAsia" w:ascii="宋体" w:hAnsi="宋体" w:eastAsia="宋体" w:cs="宋体"/>
          <w:color w:val="auto"/>
          <w:sz w:val="24"/>
          <w:highlight w:val="none"/>
        </w:rPr>
        <w:t>年；</w:t>
      </w:r>
    </w:p>
    <w:p w14:paraId="281DC270">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4．电气管线、给排水管道、设备安装工程为</w:t>
      </w:r>
      <w:r>
        <w:rPr>
          <w:rFonts w:hint="eastAsia" w:ascii="宋体" w:hAnsi="宋体" w:eastAsia="宋体" w:cs="宋体"/>
          <w:color w:val="auto"/>
          <w:sz w:val="24"/>
          <w:highlight w:val="none"/>
          <w:u w:val="single"/>
        </w:rPr>
        <w:t>2</w:t>
      </w:r>
      <w:r>
        <w:rPr>
          <w:rFonts w:hint="eastAsia" w:ascii="宋体" w:hAnsi="宋体" w:eastAsia="宋体" w:cs="宋体"/>
          <w:color w:val="auto"/>
          <w:sz w:val="24"/>
          <w:highlight w:val="none"/>
        </w:rPr>
        <w:t>年；</w:t>
      </w:r>
    </w:p>
    <w:p w14:paraId="160C96FC">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5．供热与供冷系统为</w:t>
      </w:r>
      <w:r>
        <w:rPr>
          <w:rFonts w:hint="eastAsia" w:ascii="宋体" w:hAnsi="宋体" w:eastAsia="宋体" w:cs="宋体"/>
          <w:color w:val="auto"/>
          <w:sz w:val="24"/>
          <w:highlight w:val="none"/>
          <w:u w:val="single"/>
        </w:rPr>
        <w:t>2</w:t>
      </w:r>
      <w:r>
        <w:rPr>
          <w:rFonts w:hint="eastAsia" w:ascii="宋体" w:hAnsi="宋体" w:eastAsia="宋体" w:cs="宋体"/>
          <w:color w:val="auto"/>
          <w:sz w:val="24"/>
          <w:highlight w:val="none"/>
        </w:rPr>
        <w:t>个采暖期、供冷期；</w:t>
      </w:r>
    </w:p>
    <w:p w14:paraId="6961B185">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6．住宅小区内的给排水设施、道路等配套工程为</w:t>
      </w:r>
      <w:r>
        <w:rPr>
          <w:rFonts w:hint="eastAsia" w:ascii="宋体" w:hAnsi="宋体" w:eastAsia="宋体" w:cs="宋体"/>
          <w:color w:val="auto"/>
          <w:sz w:val="24"/>
          <w:highlight w:val="none"/>
          <w:u w:val="single"/>
        </w:rPr>
        <w:t>2</w:t>
      </w:r>
      <w:r>
        <w:rPr>
          <w:rFonts w:hint="eastAsia" w:ascii="宋体" w:hAnsi="宋体" w:eastAsia="宋体" w:cs="宋体"/>
          <w:color w:val="auto"/>
          <w:sz w:val="24"/>
          <w:highlight w:val="none"/>
        </w:rPr>
        <w:t>年；</w:t>
      </w:r>
    </w:p>
    <w:p w14:paraId="78C2FD42">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7．其他项目保修期限约定如下：</w:t>
      </w:r>
      <w:r>
        <w:rPr>
          <w:rFonts w:hint="eastAsia" w:ascii="宋体" w:hAnsi="宋体" w:eastAsia="宋体" w:cs="宋体"/>
          <w:color w:val="auto"/>
          <w:sz w:val="24"/>
          <w:highlight w:val="none"/>
          <w:u w:val="single"/>
        </w:rPr>
        <w:t xml:space="preserve">2 年 </w:t>
      </w:r>
      <w:r>
        <w:rPr>
          <w:rFonts w:hint="eastAsia" w:ascii="宋体" w:hAnsi="宋体" w:eastAsia="宋体" w:cs="宋体"/>
          <w:color w:val="auto"/>
          <w:sz w:val="24"/>
          <w:highlight w:val="none"/>
        </w:rPr>
        <w:t>。</w:t>
      </w:r>
    </w:p>
    <w:p w14:paraId="3BA9C351">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质量保修期自工程竣工验收合格之日起计算。</w:t>
      </w:r>
    </w:p>
    <w:p w14:paraId="6E788AB1">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三、缺陷责任期</w:t>
      </w:r>
    </w:p>
    <w:p w14:paraId="6C1C2395">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工程缺陷责任期为</w:t>
      </w:r>
      <w:r>
        <w:rPr>
          <w:rFonts w:hint="eastAsia" w:ascii="宋体" w:hAnsi="宋体" w:eastAsia="宋体" w:cs="宋体"/>
          <w:color w:val="auto"/>
          <w:sz w:val="24"/>
          <w:highlight w:val="none"/>
          <w:u w:val="single"/>
        </w:rPr>
        <w:t>24</w:t>
      </w:r>
      <w:r>
        <w:rPr>
          <w:rFonts w:hint="eastAsia" w:ascii="宋体" w:hAnsi="宋体" w:eastAsia="宋体" w:cs="宋体"/>
          <w:color w:val="auto"/>
          <w:sz w:val="24"/>
          <w:highlight w:val="none"/>
        </w:rPr>
        <w:t>个月（最长不超过24个月），缺陷责任期自工程竣工验收合格之日起计算。单位工程先于全部工程进行验收，单位工程缺陷责任期自单位工程验收合格之日起算。</w:t>
      </w:r>
    </w:p>
    <w:p w14:paraId="56BFF78B">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四、质量保修责任</w:t>
      </w:r>
    </w:p>
    <w:p w14:paraId="49BC623A">
      <w:pPr>
        <w:spacing w:line="360" w:lineRule="auto"/>
        <w:ind w:left="105" w:leftChars="50" w:firstLine="491" w:firstLineChars="205"/>
        <w:rPr>
          <w:rFonts w:hint="eastAsia" w:ascii="宋体" w:hAnsi="宋体" w:eastAsia="宋体" w:cs="宋体"/>
          <w:color w:val="auto"/>
          <w:sz w:val="24"/>
          <w:highlight w:val="none"/>
        </w:rPr>
      </w:pPr>
      <w:r>
        <w:rPr>
          <w:rFonts w:hint="eastAsia" w:ascii="宋体" w:hAnsi="宋体" w:eastAsia="宋体" w:cs="宋体"/>
          <w:color w:val="auto"/>
          <w:sz w:val="24"/>
          <w:highlight w:val="none"/>
        </w:rPr>
        <w:t>1．属于保修范围、内容的项目，门（窗）锁、水龙头（冲水阀）、灯具等，承包人应在接到保修电话通知后8小时内派人保修，其余项目在2天内派人保修。承包人不在约定期限内派人保修的，发包人可以委托他人修理，（无需经承包人认可，以发包人与第三方签订的合同金额为准）.修理费用从质量保证金内扣除。</w:t>
      </w:r>
    </w:p>
    <w:p w14:paraId="753CC0FE">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2．发生紧急事故需抢修的，承包人在接到事故通知后，应当立即到达事故现场抢修。</w:t>
      </w:r>
    </w:p>
    <w:p w14:paraId="4620A573">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BD08A92">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4．质量保修完成后，由发包人组织验收。</w:t>
      </w:r>
    </w:p>
    <w:p w14:paraId="33AE2B94">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五、保修费用</w:t>
      </w:r>
    </w:p>
    <w:p w14:paraId="18B79CD3">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保修费用由造成质量缺陷的责任方承担。</w:t>
      </w:r>
    </w:p>
    <w:p w14:paraId="32A27E0B">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六、双方约定的其他工程质量保修事项：</w:t>
      </w:r>
    </w:p>
    <w:p w14:paraId="301F3E3F">
      <w:pPr>
        <w:spacing w:line="360" w:lineRule="auto"/>
        <w:ind w:firstLine="456" w:firstLineChars="19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承包人未按照法律法规有关规定和合同约定履行质量保修义务的，发包人有权从质量保证金中扣留用于质量保修的各项支出；若质量保证金不足以抵扣实际支出费用，发包人有权要求承包人补足差额。</w:t>
      </w:r>
    </w:p>
    <w:p w14:paraId="6AFCB527">
      <w:pPr>
        <w:spacing w:line="360" w:lineRule="auto"/>
        <w:ind w:firstLine="456" w:firstLineChars="19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前述处理方式，并不表示承包人可以不再履行质量保修义务、免于承担违约责任。</w:t>
      </w:r>
    </w:p>
    <w:p w14:paraId="3DFD6A90">
      <w:pPr>
        <w:spacing w:line="360" w:lineRule="auto"/>
        <w:ind w:firstLine="456" w:firstLineChars="190"/>
        <w:rPr>
          <w:rFonts w:hint="eastAsia" w:ascii="宋体" w:hAnsi="宋体" w:eastAsia="宋体" w:cs="宋体"/>
          <w:color w:val="auto"/>
          <w:sz w:val="24"/>
          <w:highlight w:val="none"/>
        </w:rPr>
      </w:pPr>
      <w:r>
        <w:rPr>
          <w:rFonts w:hint="eastAsia" w:ascii="宋体" w:hAnsi="宋体" w:eastAsia="宋体" w:cs="宋体"/>
          <w:color w:val="auto"/>
          <w:sz w:val="24"/>
          <w:highlight w:val="none"/>
        </w:rPr>
        <w:t>工程质量保修书由发包人、承包人在工程竣工验收前共同签署，作为施工合同附件，其有效期限至保修期满。</w:t>
      </w:r>
    </w:p>
    <w:p w14:paraId="5DB7BCF6">
      <w:pPr>
        <w:spacing w:line="360" w:lineRule="auto"/>
        <w:ind w:firstLine="456" w:firstLineChars="190"/>
        <w:rPr>
          <w:rFonts w:hint="eastAsia" w:ascii="宋体" w:hAnsi="宋体" w:eastAsia="宋体" w:cs="宋体"/>
          <w:color w:val="auto"/>
          <w:sz w:val="24"/>
          <w:highlight w:val="none"/>
        </w:rPr>
      </w:pPr>
    </w:p>
    <w:p w14:paraId="43C12B1F">
      <w:pPr>
        <w:spacing w:line="360" w:lineRule="auto"/>
        <w:ind w:firstLine="456" w:firstLineChars="190"/>
        <w:rPr>
          <w:rFonts w:hint="eastAsia" w:ascii="宋体" w:hAnsi="宋体" w:eastAsia="宋体" w:cs="宋体"/>
          <w:color w:val="auto"/>
          <w:sz w:val="24"/>
          <w:highlight w:val="none"/>
        </w:rPr>
      </w:pPr>
    </w:p>
    <w:p w14:paraId="12CD6AFD">
      <w:pPr>
        <w:spacing w:line="360" w:lineRule="auto"/>
        <w:ind w:firstLine="456" w:firstLineChars="190"/>
        <w:rPr>
          <w:rFonts w:hint="eastAsia" w:ascii="宋体" w:hAnsi="宋体" w:eastAsia="宋体" w:cs="宋体"/>
          <w:color w:val="auto"/>
          <w:sz w:val="24"/>
          <w:highlight w:val="none"/>
        </w:rPr>
      </w:pPr>
    </w:p>
    <w:p w14:paraId="0C90C17D">
      <w:pPr>
        <w:spacing w:line="360" w:lineRule="auto"/>
        <w:ind w:firstLine="456" w:firstLineChars="190"/>
        <w:rPr>
          <w:rFonts w:hint="eastAsia" w:ascii="宋体" w:hAnsi="宋体" w:eastAsia="宋体" w:cs="宋体"/>
          <w:color w:val="auto"/>
          <w:sz w:val="24"/>
          <w:highlight w:val="none"/>
        </w:rPr>
      </w:pPr>
    </w:p>
    <w:p w14:paraId="375175EA">
      <w:pPr>
        <w:spacing w:line="360" w:lineRule="auto"/>
        <w:ind w:firstLine="456" w:firstLineChars="190"/>
        <w:rPr>
          <w:rFonts w:hint="eastAsia" w:ascii="宋体" w:hAnsi="宋体" w:eastAsia="宋体" w:cs="宋体"/>
          <w:color w:val="auto"/>
          <w:sz w:val="24"/>
          <w:highlight w:val="none"/>
        </w:rPr>
      </w:pPr>
    </w:p>
    <w:p w14:paraId="243003E1">
      <w:pPr>
        <w:spacing w:line="360" w:lineRule="auto"/>
        <w:ind w:firstLine="456" w:firstLineChars="190"/>
        <w:rPr>
          <w:rFonts w:hint="eastAsia" w:ascii="宋体" w:hAnsi="宋体" w:eastAsia="宋体" w:cs="宋体"/>
          <w:color w:val="auto"/>
          <w:sz w:val="24"/>
          <w:highlight w:val="none"/>
        </w:rPr>
      </w:pPr>
      <w:r>
        <w:rPr>
          <w:rFonts w:hint="eastAsia" w:ascii="宋体" w:hAnsi="宋体" w:eastAsia="宋体" w:cs="宋体"/>
          <w:color w:val="auto"/>
          <w:sz w:val="24"/>
          <w:highlight w:val="none"/>
        </w:rPr>
        <w:t>（以下无正文，为工程质量保修书的签署页）</w:t>
      </w:r>
    </w:p>
    <w:p w14:paraId="22806D77">
      <w:pPr>
        <w:spacing w:line="360" w:lineRule="auto"/>
        <w:ind w:firstLine="456" w:firstLineChars="190"/>
        <w:rPr>
          <w:rFonts w:hint="eastAsia" w:ascii="宋体" w:hAnsi="宋体" w:eastAsia="宋体" w:cs="宋体"/>
          <w:color w:val="auto"/>
          <w:sz w:val="24"/>
          <w:highlight w:val="none"/>
        </w:rPr>
      </w:pPr>
    </w:p>
    <w:tbl>
      <w:tblPr>
        <w:tblStyle w:val="38"/>
        <w:tblpPr w:leftFromText="180" w:rightFromText="180" w:vertAnchor="text" w:horzAnchor="page" w:tblpX="1784" w:tblpY="198"/>
        <w:tblOverlap w:val="never"/>
        <w:tblW w:w="8580" w:type="dxa"/>
        <w:tblInd w:w="0" w:type="dxa"/>
        <w:tblLayout w:type="fixed"/>
        <w:tblCellMar>
          <w:top w:w="0" w:type="dxa"/>
          <w:left w:w="0" w:type="dxa"/>
          <w:bottom w:w="0" w:type="dxa"/>
          <w:right w:w="0" w:type="dxa"/>
        </w:tblCellMar>
      </w:tblPr>
      <w:tblGrid>
        <w:gridCol w:w="4290"/>
        <w:gridCol w:w="4290"/>
      </w:tblGrid>
      <w:tr w14:paraId="77F35AC8">
        <w:tblPrEx>
          <w:tblCellMar>
            <w:top w:w="0" w:type="dxa"/>
            <w:left w:w="0" w:type="dxa"/>
            <w:bottom w:w="0" w:type="dxa"/>
            <w:right w:w="0" w:type="dxa"/>
          </w:tblCellMar>
        </w:tblPrEx>
        <w:trPr>
          <w:trHeight w:val="665" w:hRule="atLeast"/>
        </w:trPr>
        <w:tc>
          <w:tcPr>
            <w:tcW w:w="4290" w:type="dxa"/>
            <w:tcBorders>
              <w:top w:val="nil"/>
              <w:left w:val="nil"/>
              <w:bottom w:val="nil"/>
              <w:right w:val="nil"/>
            </w:tcBorders>
            <w:noWrap w:val="0"/>
            <w:tcMar>
              <w:top w:w="15" w:type="dxa"/>
              <w:left w:w="15" w:type="dxa"/>
              <w:right w:w="15" w:type="dxa"/>
            </w:tcMar>
            <w:vAlign w:val="top"/>
          </w:tcPr>
          <w:p w14:paraId="0B160F60">
            <w:pPr>
              <w:widowControl/>
              <w:spacing w:line="360" w:lineRule="auto"/>
              <w:ind w:left="1920" w:hanging="1920" w:hangingChars="800"/>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t>发包人（公章）：</w:t>
            </w:r>
            <w:r>
              <w:rPr>
                <w:rFonts w:hint="eastAsia" w:ascii="宋体" w:hAnsi="宋体" w:cs="宋体"/>
                <w:color w:val="auto"/>
                <w:kern w:val="0"/>
                <w:sz w:val="24"/>
                <w:highlight w:val="none"/>
                <w:lang w:eastAsia="zh-CN" w:bidi="ar"/>
              </w:rPr>
              <w:t>广西壮族自治区人民医院</w:t>
            </w:r>
          </w:p>
        </w:tc>
        <w:tc>
          <w:tcPr>
            <w:tcW w:w="4290" w:type="dxa"/>
            <w:tcBorders>
              <w:top w:val="nil"/>
              <w:left w:val="nil"/>
              <w:bottom w:val="nil"/>
              <w:right w:val="nil"/>
            </w:tcBorders>
            <w:noWrap w:val="0"/>
            <w:tcMar>
              <w:top w:w="15" w:type="dxa"/>
              <w:left w:w="15" w:type="dxa"/>
              <w:right w:w="15" w:type="dxa"/>
            </w:tcMar>
            <w:vAlign w:val="top"/>
          </w:tcPr>
          <w:p w14:paraId="3AB16B55">
            <w:pPr>
              <w:widowControl/>
              <w:spacing w:line="360" w:lineRule="auto"/>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承包人（公章）：</w:t>
            </w:r>
          </w:p>
        </w:tc>
      </w:tr>
      <w:tr w14:paraId="480AFEFA">
        <w:tblPrEx>
          <w:tblCellMar>
            <w:top w:w="0" w:type="dxa"/>
            <w:left w:w="0" w:type="dxa"/>
            <w:bottom w:w="0" w:type="dxa"/>
            <w:right w:w="0" w:type="dxa"/>
          </w:tblCellMar>
        </w:tblPrEx>
        <w:trPr>
          <w:trHeight w:val="536" w:hRule="atLeast"/>
        </w:trPr>
        <w:tc>
          <w:tcPr>
            <w:tcW w:w="4290" w:type="dxa"/>
            <w:tcBorders>
              <w:top w:val="nil"/>
              <w:left w:val="nil"/>
              <w:bottom w:val="nil"/>
              <w:right w:val="nil"/>
            </w:tcBorders>
            <w:noWrap w:val="0"/>
            <w:tcMar>
              <w:top w:w="15" w:type="dxa"/>
              <w:left w:w="15" w:type="dxa"/>
              <w:right w:w="15" w:type="dxa"/>
            </w:tcMar>
            <w:vAlign w:val="top"/>
          </w:tcPr>
          <w:p w14:paraId="3B623054">
            <w:pPr>
              <w:widowControl/>
              <w:spacing w:line="360" w:lineRule="auto"/>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址：南宁市青秀区桃源路6号</w:t>
            </w:r>
          </w:p>
        </w:tc>
        <w:tc>
          <w:tcPr>
            <w:tcW w:w="4290" w:type="dxa"/>
            <w:tcBorders>
              <w:top w:val="nil"/>
              <w:left w:val="nil"/>
              <w:bottom w:val="nil"/>
              <w:right w:val="nil"/>
            </w:tcBorders>
            <w:noWrap w:val="0"/>
            <w:tcMar>
              <w:top w:w="15" w:type="dxa"/>
              <w:left w:w="15" w:type="dxa"/>
              <w:right w:w="15" w:type="dxa"/>
            </w:tcMar>
            <w:vAlign w:val="top"/>
          </w:tcPr>
          <w:p w14:paraId="13FBC5EF">
            <w:pPr>
              <w:widowControl/>
              <w:spacing w:line="360" w:lineRule="auto"/>
              <w:ind w:left="840" w:hanging="840" w:hangingChars="350"/>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p>
        </w:tc>
      </w:tr>
      <w:tr w14:paraId="29756D5E">
        <w:tblPrEx>
          <w:tblCellMar>
            <w:top w:w="0" w:type="dxa"/>
            <w:left w:w="0" w:type="dxa"/>
            <w:bottom w:w="0" w:type="dxa"/>
            <w:right w:w="0" w:type="dxa"/>
          </w:tblCellMar>
        </w:tblPrEx>
        <w:trPr>
          <w:trHeight w:val="984" w:hRule="atLeast"/>
        </w:trPr>
        <w:tc>
          <w:tcPr>
            <w:tcW w:w="4290" w:type="dxa"/>
            <w:tcBorders>
              <w:top w:val="nil"/>
              <w:left w:val="nil"/>
              <w:bottom w:val="nil"/>
              <w:right w:val="nil"/>
            </w:tcBorders>
            <w:noWrap w:val="0"/>
            <w:tcMar>
              <w:top w:w="15" w:type="dxa"/>
              <w:left w:w="15" w:type="dxa"/>
              <w:right w:w="15" w:type="dxa"/>
            </w:tcMar>
            <w:vAlign w:val="top"/>
          </w:tcPr>
          <w:p w14:paraId="0805324A">
            <w:pPr>
              <w:widowControl/>
              <w:spacing w:line="360" w:lineRule="auto"/>
              <w:textAlignment w:val="center"/>
              <w:rPr>
                <w:rFonts w:hint="eastAsia" w:ascii="宋体" w:hAnsi="宋体" w:eastAsia="宋体" w:cs="宋体"/>
                <w:color w:val="auto"/>
                <w:sz w:val="24"/>
                <w:highlight w:val="none"/>
              </w:rPr>
            </w:pPr>
          </w:p>
          <w:p w14:paraId="55F40620">
            <w:pPr>
              <w:widowControl/>
              <w:spacing w:line="360" w:lineRule="auto"/>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4290" w:type="dxa"/>
            <w:tcBorders>
              <w:top w:val="nil"/>
              <w:left w:val="nil"/>
              <w:bottom w:val="nil"/>
              <w:right w:val="nil"/>
            </w:tcBorders>
            <w:noWrap w:val="0"/>
            <w:tcMar>
              <w:top w:w="15" w:type="dxa"/>
              <w:left w:w="15" w:type="dxa"/>
              <w:right w:w="15" w:type="dxa"/>
            </w:tcMar>
            <w:vAlign w:val="top"/>
          </w:tcPr>
          <w:p w14:paraId="70050602">
            <w:pPr>
              <w:widowControl/>
              <w:spacing w:line="360" w:lineRule="auto"/>
              <w:textAlignment w:val="center"/>
              <w:rPr>
                <w:rFonts w:hint="eastAsia" w:ascii="宋体" w:hAnsi="宋体" w:eastAsia="宋体" w:cs="宋体"/>
                <w:color w:val="auto"/>
                <w:sz w:val="24"/>
                <w:highlight w:val="none"/>
              </w:rPr>
            </w:pPr>
          </w:p>
          <w:p w14:paraId="2E983C72">
            <w:pPr>
              <w:widowControl/>
              <w:spacing w:line="360" w:lineRule="auto"/>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r>
      <w:tr w14:paraId="158CB18C">
        <w:tblPrEx>
          <w:tblCellMar>
            <w:top w:w="0" w:type="dxa"/>
            <w:left w:w="0" w:type="dxa"/>
            <w:bottom w:w="0" w:type="dxa"/>
            <w:right w:w="0" w:type="dxa"/>
          </w:tblCellMar>
        </w:tblPrEx>
        <w:trPr>
          <w:trHeight w:val="536" w:hRule="atLeast"/>
        </w:trPr>
        <w:tc>
          <w:tcPr>
            <w:tcW w:w="4290" w:type="dxa"/>
            <w:tcBorders>
              <w:top w:val="nil"/>
              <w:left w:val="nil"/>
              <w:bottom w:val="nil"/>
              <w:right w:val="nil"/>
            </w:tcBorders>
            <w:noWrap w:val="0"/>
            <w:tcMar>
              <w:top w:w="15" w:type="dxa"/>
              <w:left w:w="15" w:type="dxa"/>
              <w:right w:w="15" w:type="dxa"/>
            </w:tcMar>
            <w:vAlign w:val="top"/>
          </w:tcPr>
          <w:p w14:paraId="502764BF">
            <w:pPr>
              <w:widowControl/>
              <w:spacing w:line="360" w:lineRule="auto"/>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或委托代理人（签字）：</w:t>
            </w:r>
          </w:p>
        </w:tc>
        <w:tc>
          <w:tcPr>
            <w:tcW w:w="4290" w:type="dxa"/>
            <w:tcBorders>
              <w:top w:val="nil"/>
              <w:left w:val="nil"/>
              <w:bottom w:val="nil"/>
              <w:right w:val="nil"/>
            </w:tcBorders>
            <w:noWrap w:val="0"/>
            <w:tcMar>
              <w:top w:w="15" w:type="dxa"/>
              <w:left w:w="15" w:type="dxa"/>
              <w:right w:w="15" w:type="dxa"/>
            </w:tcMar>
            <w:vAlign w:val="top"/>
          </w:tcPr>
          <w:p w14:paraId="6C59C833">
            <w:pPr>
              <w:widowControl/>
              <w:spacing w:line="360" w:lineRule="auto"/>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或委托代理人（签字）：</w:t>
            </w:r>
          </w:p>
        </w:tc>
      </w:tr>
      <w:tr w14:paraId="3ABF93DD">
        <w:tblPrEx>
          <w:tblCellMar>
            <w:top w:w="0" w:type="dxa"/>
            <w:left w:w="0" w:type="dxa"/>
            <w:bottom w:w="0" w:type="dxa"/>
            <w:right w:w="0" w:type="dxa"/>
          </w:tblCellMar>
        </w:tblPrEx>
        <w:trPr>
          <w:trHeight w:val="536" w:hRule="atLeast"/>
        </w:trPr>
        <w:tc>
          <w:tcPr>
            <w:tcW w:w="4290" w:type="dxa"/>
            <w:tcBorders>
              <w:top w:val="nil"/>
              <w:left w:val="nil"/>
              <w:bottom w:val="nil"/>
              <w:right w:val="nil"/>
            </w:tcBorders>
            <w:noWrap w:val="0"/>
            <w:tcMar>
              <w:top w:w="15" w:type="dxa"/>
              <w:left w:w="15" w:type="dxa"/>
              <w:right w:w="15" w:type="dxa"/>
            </w:tcMar>
            <w:vAlign w:val="top"/>
          </w:tcPr>
          <w:p w14:paraId="1D847D10">
            <w:pPr>
              <w:widowControl/>
              <w:spacing w:line="360" w:lineRule="auto"/>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签订日期：</w:t>
            </w:r>
          </w:p>
        </w:tc>
        <w:tc>
          <w:tcPr>
            <w:tcW w:w="4290" w:type="dxa"/>
            <w:tcBorders>
              <w:top w:val="nil"/>
              <w:left w:val="nil"/>
              <w:bottom w:val="nil"/>
              <w:right w:val="nil"/>
            </w:tcBorders>
            <w:noWrap w:val="0"/>
            <w:tcMar>
              <w:top w:w="15" w:type="dxa"/>
              <w:left w:w="15" w:type="dxa"/>
              <w:right w:w="15" w:type="dxa"/>
            </w:tcMar>
            <w:vAlign w:val="top"/>
          </w:tcPr>
          <w:p w14:paraId="606F8CAB">
            <w:pPr>
              <w:widowControl/>
              <w:spacing w:line="360" w:lineRule="auto"/>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签订日期：</w:t>
            </w:r>
          </w:p>
        </w:tc>
      </w:tr>
    </w:tbl>
    <w:p w14:paraId="1640F733">
      <w:pPr>
        <w:spacing w:line="360" w:lineRule="auto"/>
        <w:rPr>
          <w:rFonts w:hint="eastAsia" w:ascii="宋体" w:hAnsi="宋体" w:eastAsia="宋体" w:cs="宋体"/>
          <w:color w:val="auto"/>
          <w:sz w:val="24"/>
          <w:highlight w:val="none"/>
        </w:rPr>
      </w:pPr>
    </w:p>
    <w:p w14:paraId="6742410C">
      <w:pPr>
        <w:spacing w:line="360" w:lineRule="auto"/>
        <w:rPr>
          <w:rFonts w:hint="eastAsia" w:ascii="宋体" w:hAnsi="宋体" w:eastAsia="宋体" w:cs="宋体"/>
          <w:color w:val="auto"/>
          <w:sz w:val="24"/>
          <w:highlight w:val="none"/>
        </w:rPr>
      </w:pPr>
    </w:p>
    <w:p w14:paraId="3E6F7A5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附件3：</w:t>
      </w:r>
    </w:p>
    <w:p w14:paraId="7684B23A">
      <w:pPr>
        <w:spacing w:before="120" w:beforeLines="50" w:after="120" w:afterLines="5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主要建设工程文件目录</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258F7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exact"/>
          <w:jc w:val="center"/>
        </w:trPr>
        <w:tc>
          <w:tcPr>
            <w:tcW w:w="1953" w:type="dxa"/>
            <w:tcBorders>
              <w:top w:val="single" w:color="auto" w:sz="12" w:space="0"/>
              <w:bottom w:val="double" w:color="auto" w:sz="6" w:space="0"/>
            </w:tcBorders>
            <w:noWrap w:val="0"/>
            <w:vAlign w:val="center"/>
          </w:tcPr>
          <w:p w14:paraId="67538CD5">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文件名称</w:t>
            </w:r>
          </w:p>
        </w:tc>
        <w:tc>
          <w:tcPr>
            <w:tcW w:w="1276" w:type="dxa"/>
            <w:tcBorders>
              <w:top w:val="single" w:color="auto" w:sz="12" w:space="0"/>
              <w:bottom w:val="double" w:color="auto" w:sz="6" w:space="0"/>
            </w:tcBorders>
            <w:noWrap w:val="0"/>
            <w:vAlign w:val="center"/>
          </w:tcPr>
          <w:p w14:paraId="0B058BD0">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套数</w:t>
            </w:r>
          </w:p>
        </w:tc>
        <w:tc>
          <w:tcPr>
            <w:tcW w:w="1450" w:type="dxa"/>
            <w:tcBorders>
              <w:top w:val="single" w:color="auto" w:sz="12" w:space="0"/>
              <w:bottom w:val="double" w:color="auto" w:sz="6" w:space="0"/>
            </w:tcBorders>
            <w:noWrap w:val="0"/>
            <w:vAlign w:val="center"/>
          </w:tcPr>
          <w:p w14:paraId="5841AAB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费用（元）</w:t>
            </w:r>
          </w:p>
        </w:tc>
        <w:tc>
          <w:tcPr>
            <w:tcW w:w="1243" w:type="dxa"/>
            <w:tcBorders>
              <w:top w:val="single" w:color="auto" w:sz="12" w:space="0"/>
              <w:bottom w:val="double" w:color="auto" w:sz="6" w:space="0"/>
            </w:tcBorders>
            <w:noWrap w:val="0"/>
            <w:vAlign w:val="center"/>
          </w:tcPr>
          <w:p w14:paraId="6D60ACFB">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质量</w:t>
            </w:r>
          </w:p>
        </w:tc>
        <w:tc>
          <w:tcPr>
            <w:tcW w:w="1450" w:type="dxa"/>
            <w:tcBorders>
              <w:top w:val="single" w:color="auto" w:sz="12" w:space="0"/>
              <w:bottom w:val="double" w:color="auto" w:sz="6" w:space="0"/>
            </w:tcBorders>
            <w:noWrap w:val="0"/>
            <w:vAlign w:val="top"/>
          </w:tcPr>
          <w:p w14:paraId="6FBE1BA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移交时间</w:t>
            </w:r>
          </w:p>
        </w:tc>
        <w:tc>
          <w:tcPr>
            <w:tcW w:w="1667" w:type="dxa"/>
            <w:tcBorders>
              <w:top w:val="single" w:color="auto" w:sz="12" w:space="0"/>
              <w:bottom w:val="double" w:color="auto" w:sz="6" w:space="0"/>
            </w:tcBorders>
            <w:noWrap w:val="0"/>
            <w:vAlign w:val="top"/>
          </w:tcPr>
          <w:p w14:paraId="017A2CE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责任人</w:t>
            </w:r>
          </w:p>
        </w:tc>
      </w:tr>
      <w:tr w14:paraId="3DA52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953" w:type="dxa"/>
            <w:tcBorders>
              <w:top w:val="double" w:color="auto" w:sz="6" w:space="0"/>
              <w:bottom w:val="single" w:color="auto" w:sz="6" w:space="0"/>
            </w:tcBorders>
            <w:noWrap w:val="0"/>
            <w:vAlign w:val="center"/>
          </w:tcPr>
          <w:p w14:paraId="76BA6520">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276" w:type="dxa"/>
            <w:tcBorders>
              <w:top w:val="double" w:color="auto" w:sz="6" w:space="0"/>
              <w:bottom w:val="single" w:color="auto" w:sz="6" w:space="0"/>
            </w:tcBorders>
            <w:noWrap w:val="0"/>
            <w:vAlign w:val="center"/>
          </w:tcPr>
          <w:p w14:paraId="67F78894">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50" w:type="dxa"/>
            <w:tcBorders>
              <w:top w:val="double" w:color="auto" w:sz="6" w:space="0"/>
              <w:bottom w:val="single" w:color="auto" w:sz="6" w:space="0"/>
            </w:tcBorders>
            <w:noWrap w:val="0"/>
            <w:vAlign w:val="center"/>
          </w:tcPr>
          <w:p w14:paraId="7C800290">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243" w:type="dxa"/>
            <w:tcBorders>
              <w:top w:val="double" w:color="auto" w:sz="6" w:space="0"/>
              <w:bottom w:val="single" w:color="auto" w:sz="6" w:space="0"/>
            </w:tcBorders>
            <w:noWrap w:val="0"/>
            <w:vAlign w:val="center"/>
          </w:tcPr>
          <w:p w14:paraId="6D2562F2">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50" w:type="dxa"/>
            <w:tcBorders>
              <w:top w:val="double" w:color="auto" w:sz="6" w:space="0"/>
              <w:bottom w:val="single" w:color="auto" w:sz="6" w:space="0"/>
            </w:tcBorders>
            <w:noWrap w:val="0"/>
            <w:vAlign w:val="center"/>
          </w:tcPr>
          <w:p w14:paraId="6C399F9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667" w:type="dxa"/>
            <w:tcBorders>
              <w:top w:val="double" w:color="auto" w:sz="6" w:space="0"/>
              <w:bottom w:val="single" w:color="auto" w:sz="6" w:space="0"/>
            </w:tcBorders>
            <w:noWrap w:val="0"/>
            <w:vAlign w:val="center"/>
          </w:tcPr>
          <w:p w14:paraId="29FB9189">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11337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953" w:type="dxa"/>
            <w:tcBorders>
              <w:top w:val="nil"/>
            </w:tcBorders>
            <w:noWrap w:val="0"/>
            <w:vAlign w:val="center"/>
          </w:tcPr>
          <w:p w14:paraId="6584880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276" w:type="dxa"/>
            <w:tcBorders>
              <w:top w:val="nil"/>
            </w:tcBorders>
            <w:noWrap w:val="0"/>
            <w:vAlign w:val="center"/>
          </w:tcPr>
          <w:p w14:paraId="019EC470">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50" w:type="dxa"/>
            <w:tcBorders>
              <w:top w:val="nil"/>
            </w:tcBorders>
            <w:noWrap w:val="0"/>
            <w:vAlign w:val="center"/>
          </w:tcPr>
          <w:p w14:paraId="1B40657B">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243" w:type="dxa"/>
            <w:tcBorders>
              <w:top w:val="nil"/>
            </w:tcBorders>
            <w:noWrap w:val="0"/>
            <w:vAlign w:val="center"/>
          </w:tcPr>
          <w:p w14:paraId="32A76C87">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50" w:type="dxa"/>
            <w:tcBorders>
              <w:top w:val="nil"/>
            </w:tcBorders>
            <w:noWrap w:val="0"/>
            <w:vAlign w:val="center"/>
          </w:tcPr>
          <w:p w14:paraId="1F004A30">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667" w:type="dxa"/>
            <w:tcBorders>
              <w:top w:val="nil"/>
            </w:tcBorders>
            <w:noWrap w:val="0"/>
            <w:vAlign w:val="center"/>
          </w:tcPr>
          <w:p w14:paraId="14D55884">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6F051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953" w:type="dxa"/>
            <w:noWrap w:val="0"/>
            <w:vAlign w:val="center"/>
          </w:tcPr>
          <w:p w14:paraId="1FFD5BA2">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276" w:type="dxa"/>
            <w:noWrap w:val="0"/>
            <w:vAlign w:val="center"/>
          </w:tcPr>
          <w:p w14:paraId="684B0486">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50" w:type="dxa"/>
            <w:noWrap w:val="0"/>
            <w:vAlign w:val="center"/>
          </w:tcPr>
          <w:p w14:paraId="2F5606B3">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243" w:type="dxa"/>
            <w:noWrap w:val="0"/>
            <w:vAlign w:val="center"/>
          </w:tcPr>
          <w:p w14:paraId="3F98475A">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50" w:type="dxa"/>
            <w:noWrap w:val="0"/>
            <w:vAlign w:val="center"/>
          </w:tcPr>
          <w:p w14:paraId="2B7D40AC">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667" w:type="dxa"/>
            <w:noWrap w:val="0"/>
            <w:vAlign w:val="center"/>
          </w:tcPr>
          <w:p w14:paraId="1667DC8D">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216CD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953" w:type="dxa"/>
            <w:noWrap w:val="0"/>
            <w:vAlign w:val="center"/>
          </w:tcPr>
          <w:p w14:paraId="30443287">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276" w:type="dxa"/>
            <w:noWrap w:val="0"/>
            <w:vAlign w:val="center"/>
          </w:tcPr>
          <w:p w14:paraId="1FA07CFD">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50" w:type="dxa"/>
            <w:noWrap w:val="0"/>
            <w:vAlign w:val="center"/>
          </w:tcPr>
          <w:p w14:paraId="2C9BAE9F">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243" w:type="dxa"/>
            <w:noWrap w:val="0"/>
            <w:vAlign w:val="center"/>
          </w:tcPr>
          <w:p w14:paraId="7E363001">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50" w:type="dxa"/>
            <w:noWrap w:val="0"/>
            <w:vAlign w:val="center"/>
          </w:tcPr>
          <w:p w14:paraId="37A10102">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667" w:type="dxa"/>
            <w:noWrap w:val="0"/>
            <w:vAlign w:val="center"/>
          </w:tcPr>
          <w:p w14:paraId="1225E7F3">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3481A8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953" w:type="dxa"/>
            <w:noWrap w:val="0"/>
            <w:vAlign w:val="center"/>
          </w:tcPr>
          <w:p w14:paraId="753C3A84">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276" w:type="dxa"/>
            <w:noWrap w:val="0"/>
            <w:vAlign w:val="center"/>
          </w:tcPr>
          <w:p w14:paraId="4E7214AF">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50" w:type="dxa"/>
            <w:noWrap w:val="0"/>
            <w:vAlign w:val="center"/>
          </w:tcPr>
          <w:p w14:paraId="519B6323">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243" w:type="dxa"/>
            <w:noWrap w:val="0"/>
            <w:vAlign w:val="center"/>
          </w:tcPr>
          <w:p w14:paraId="0B8740C1">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50" w:type="dxa"/>
            <w:noWrap w:val="0"/>
            <w:vAlign w:val="center"/>
          </w:tcPr>
          <w:p w14:paraId="623189FD">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667" w:type="dxa"/>
            <w:noWrap w:val="0"/>
            <w:vAlign w:val="center"/>
          </w:tcPr>
          <w:p w14:paraId="335F2456">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18B8A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953" w:type="dxa"/>
            <w:noWrap w:val="0"/>
            <w:vAlign w:val="center"/>
          </w:tcPr>
          <w:p w14:paraId="4DAC21AF">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276" w:type="dxa"/>
            <w:noWrap w:val="0"/>
            <w:vAlign w:val="center"/>
          </w:tcPr>
          <w:p w14:paraId="710F8C52">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50" w:type="dxa"/>
            <w:noWrap w:val="0"/>
            <w:vAlign w:val="center"/>
          </w:tcPr>
          <w:p w14:paraId="5FBB865F">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243" w:type="dxa"/>
            <w:noWrap w:val="0"/>
            <w:vAlign w:val="center"/>
          </w:tcPr>
          <w:p w14:paraId="0481C4D3">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50" w:type="dxa"/>
            <w:noWrap w:val="0"/>
            <w:vAlign w:val="center"/>
          </w:tcPr>
          <w:p w14:paraId="091F82AF">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667" w:type="dxa"/>
            <w:noWrap w:val="0"/>
            <w:vAlign w:val="center"/>
          </w:tcPr>
          <w:p w14:paraId="2918D2AC">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177791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953" w:type="dxa"/>
            <w:noWrap w:val="0"/>
            <w:vAlign w:val="center"/>
          </w:tcPr>
          <w:p w14:paraId="4E7BC91C">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276" w:type="dxa"/>
            <w:noWrap w:val="0"/>
            <w:vAlign w:val="center"/>
          </w:tcPr>
          <w:p w14:paraId="1E9DF0F4">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50" w:type="dxa"/>
            <w:noWrap w:val="0"/>
            <w:vAlign w:val="center"/>
          </w:tcPr>
          <w:p w14:paraId="2EF04E7C">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243" w:type="dxa"/>
            <w:noWrap w:val="0"/>
            <w:vAlign w:val="center"/>
          </w:tcPr>
          <w:p w14:paraId="435195CB">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50" w:type="dxa"/>
            <w:noWrap w:val="0"/>
            <w:vAlign w:val="center"/>
          </w:tcPr>
          <w:p w14:paraId="1C469794">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667" w:type="dxa"/>
            <w:noWrap w:val="0"/>
            <w:vAlign w:val="center"/>
          </w:tcPr>
          <w:p w14:paraId="1823D9EB">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4A46B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953" w:type="dxa"/>
            <w:noWrap w:val="0"/>
            <w:vAlign w:val="center"/>
          </w:tcPr>
          <w:p w14:paraId="647E31EE">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276" w:type="dxa"/>
            <w:noWrap w:val="0"/>
            <w:vAlign w:val="center"/>
          </w:tcPr>
          <w:p w14:paraId="4A42C15F">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50" w:type="dxa"/>
            <w:noWrap w:val="0"/>
            <w:vAlign w:val="center"/>
          </w:tcPr>
          <w:p w14:paraId="64BCEC3B">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243" w:type="dxa"/>
            <w:noWrap w:val="0"/>
            <w:vAlign w:val="center"/>
          </w:tcPr>
          <w:p w14:paraId="3CE7EE8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50" w:type="dxa"/>
            <w:noWrap w:val="0"/>
            <w:vAlign w:val="center"/>
          </w:tcPr>
          <w:p w14:paraId="7A2EFC2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667" w:type="dxa"/>
            <w:noWrap w:val="0"/>
            <w:vAlign w:val="center"/>
          </w:tcPr>
          <w:p w14:paraId="4F8B7E1F">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4476F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953" w:type="dxa"/>
            <w:noWrap w:val="0"/>
            <w:vAlign w:val="top"/>
          </w:tcPr>
          <w:p w14:paraId="0DAFEC0B">
            <w:pPr>
              <w:spacing w:line="360" w:lineRule="auto"/>
              <w:rPr>
                <w:rFonts w:hint="eastAsia" w:ascii="宋体" w:hAnsi="宋体" w:eastAsia="宋体" w:cs="宋体"/>
                <w:color w:val="auto"/>
                <w:sz w:val="24"/>
                <w:highlight w:val="none"/>
              </w:rPr>
            </w:pPr>
          </w:p>
        </w:tc>
        <w:tc>
          <w:tcPr>
            <w:tcW w:w="1276" w:type="dxa"/>
            <w:noWrap w:val="0"/>
            <w:vAlign w:val="top"/>
          </w:tcPr>
          <w:p w14:paraId="47DD72A2">
            <w:pPr>
              <w:spacing w:line="360" w:lineRule="auto"/>
              <w:rPr>
                <w:rFonts w:hint="eastAsia" w:ascii="宋体" w:hAnsi="宋体" w:eastAsia="宋体" w:cs="宋体"/>
                <w:color w:val="auto"/>
                <w:sz w:val="24"/>
                <w:highlight w:val="none"/>
              </w:rPr>
            </w:pPr>
          </w:p>
        </w:tc>
        <w:tc>
          <w:tcPr>
            <w:tcW w:w="1450" w:type="dxa"/>
            <w:noWrap w:val="0"/>
            <w:vAlign w:val="top"/>
          </w:tcPr>
          <w:p w14:paraId="031EBC58">
            <w:pPr>
              <w:spacing w:line="360" w:lineRule="auto"/>
              <w:rPr>
                <w:rFonts w:hint="eastAsia" w:ascii="宋体" w:hAnsi="宋体" w:eastAsia="宋体" w:cs="宋体"/>
                <w:color w:val="auto"/>
                <w:sz w:val="24"/>
                <w:highlight w:val="none"/>
              </w:rPr>
            </w:pPr>
          </w:p>
        </w:tc>
        <w:tc>
          <w:tcPr>
            <w:tcW w:w="1243" w:type="dxa"/>
            <w:noWrap w:val="0"/>
            <w:vAlign w:val="top"/>
          </w:tcPr>
          <w:p w14:paraId="1267CCFD">
            <w:pPr>
              <w:spacing w:line="360" w:lineRule="auto"/>
              <w:rPr>
                <w:rFonts w:hint="eastAsia" w:ascii="宋体" w:hAnsi="宋体" w:eastAsia="宋体" w:cs="宋体"/>
                <w:color w:val="auto"/>
                <w:sz w:val="24"/>
                <w:highlight w:val="none"/>
              </w:rPr>
            </w:pPr>
          </w:p>
        </w:tc>
        <w:tc>
          <w:tcPr>
            <w:tcW w:w="1450" w:type="dxa"/>
            <w:noWrap w:val="0"/>
            <w:vAlign w:val="top"/>
          </w:tcPr>
          <w:p w14:paraId="21C3CA07">
            <w:pPr>
              <w:spacing w:line="360" w:lineRule="auto"/>
              <w:rPr>
                <w:rFonts w:hint="eastAsia" w:ascii="宋体" w:hAnsi="宋体" w:eastAsia="宋体" w:cs="宋体"/>
                <w:color w:val="auto"/>
                <w:sz w:val="24"/>
                <w:highlight w:val="none"/>
              </w:rPr>
            </w:pPr>
          </w:p>
        </w:tc>
        <w:tc>
          <w:tcPr>
            <w:tcW w:w="1667" w:type="dxa"/>
            <w:noWrap w:val="0"/>
            <w:vAlign w:val="top"/>
          </w:tcPr>
          <w:p w14:paraId="57A3BCBC">
            <w:pPr>
              <w:spacing w:line="360" w:lineRule="auto"/>
              <w:rPr>
                <w:rFonts w:hint="eastAsia" w:ascii="宋体" w:hAnsi="宋体" w:eastAsia="宋体" w:cs="宋体"/>
                <w:color w:val="auto"/>
                <w:sz w:val="24"/>
                <w:highlight w:val="none"/>
              </w:rPr>
            </w:pPr>
          </w:p>
        </w:tc>
      </w:tr>
      <w:tr w14:paraId="41BAFE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953" w:type="dxa"/>
            <w:noWrap w:val="0"/>
            <w:vAlign w:val="center"/>
          </w:tcPr>
          <w:p w14:paraId="44663067">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276" w:type="dxa"/>
            <w:noWrap w:val="0"/>
            <w:vAlign w:val="center"/>
          </w:tcPr>
          <w:p w14:paraId="4AEA1C63">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50" w:type="dxa"/>
            <w:noWrap w:val="0"/>
            <w:vAlign w:val="center"/>
          </w:tcPr>
          <w:p w14:paraId="1204348B">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243" w:type="dxa"/>
            <w:noWrap w:val="0"/>
            <w:vAlign w:val="center"/>
          </w:tcPr>
          <w:p w14:paraId="5CD6CA94">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50" w:type="dxa"/>
            <w:noWrap w:val="0"/>
            <w:vAlign w:val="center"/>
          </w:tcPr>
          <w:p w14:paraId="3B5CDC06">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667" w:type="dxa"/>
            <w:noWrap w:val="0"/>
            <w:vAlign w:val="center"/>
          </w:tcPr>
          <w:p w14:paraId="7DF4BB1B">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19835D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953" w:type="dxa"/>
            <w:noWrap w:val="0"/>
            <w:vAlign w:val="top"/>
          </w:tcPr>
          <w:p w14:paraId="64B75ECC">
            <w:pPr>
              <w:spacing w:line="360" w:lineRule="auto"/>
              <w:rPr>
                <w:rFonts w:hint="eastAsia" w:ascii="宋体" w:hAnsi="宋体" w:eastAsia="宋体" w:cs="宋体"/>
                <w:color w:val="auto"/>
                <w:sz w:val="24"/>
                <w:highlight w:val="none"/>
              </w:rPr>
            </w:pPr>
          </w:p>
        </w:tc>
        <w:tc>
          <w:tcPr>
            <w:tcW w:w="1276" w:type="dxa"/>
            <w:noWrap w:val="0"/>
            <w:vAlign w:val="top"/>
          </w:tcPr>
          <w:p w14:paraId="5C5AEF0A">
            <w:pPr>
              <w:spacing w:line="360" w:lineRule="auto"/>
              <w:rPr>
                <w:rFonts w:hint="eastAsia" w:ascii="宋体" w:hAnsi="宋体" w:eastAsia="宋体" w:cs="宋体"/>
                <w:color w:val="auto"/>
                <w:sz w:val="24"/>
                <w:highlight w:val="none"/>
              </w:rPr>
            </w:pPr>
          </w:p>
        </w:tc>
        <w:tc>
          <w:tcPr>
            <w:tcW w:w="1450" w:type="dxa"/>
            <w:noWrap w:val="0"/>
            <w:vAlign w:val="top"/>
          </w:tcPr>
          <w:p w14:paraId="4AAB1301">
            <w:pPr>
              <w:spacing w:line="360" w:lineRule="auto"/>
              <w:rPr>
                <w:rFonts w:hint="eastAsia" w:ascii="宋体" w:hAnsi="宋体" w:eastAsia="宋体" w:cs="宋体"/>
                <w:color w:val="auto"/>
                <w:sz w:val="24"/>
                <w:highlight w:val="none"/>
              </w:rPr>
            </w:pPr>
          </w:p>
        </w:tc>
        <w:tc>
          <w:tcPr>
            <w:tcW w:w="1243" w:type="dxa"/>
            <w:noWrap w:val="0"/>
            <w:vAlign w:val="top"/>
          </w:tcPr>
          <w:p w14:paraId="1FFC65ED">
            <w:pPr>
              <w:spacing w:line="360" w:lineRule="auto"/>
              <w:rPr>
                <w:rFonts w:hint="eastAsia" w:ascii="宋体" w:hAnsi="宋体" w:eastAsia="宋体" w:cs="宋体"/>
                <w:color w:val="auto"/>
                <w:sz w:val="24"/>
                <w:highlight w:val="none"/>
              </w:rPr>
            </w:pPr>
          </w:p>
        </w:tc>
        <w:tc>
          <w:tcPr>
            <w:tcW w:w="1450" w:type="dxa"/>
            <w:noWrap w:val="0"/>
            <w:vAlign w:val="top"/>
          </w:tcPr>
          <w:p w14:paraId="12DE1CA5">
            <w:pPr>
              <w:spacing w:line="360" w:lineRule="auto"/>
              <w:rPr>
                <w:rFonts w:hint="eastAsia" w:ascii="宋体" w:hAnsi="宋体" w:eastAsia="宋体" w:cs="宋体"/>
                <w:color w:val="auto"/>
                <w:sz w:val="24"/>
                <w:highlight w:val="none"/>
              </w:rPr>
            </w:pPr>
          </w:p>
        </w:tc>
        <w:tc>
          <w:tcPr>
            <w:tcW w:w="1667" w:type="dxa"/>
            <w:noWrap w:val="0"/>
            <w:vAlign w:val="top"/>
          </w:tcPr>
          <w:p w14:paraId="74B59BF3">
            <w:pPr>
              <w:spacing w:line="360" w:lineRule="auto"/>
              <w:rPr>
                <w:rFonts w:hint="eastAsia" w:ascii="宋体" w:hAnsi="宋体" w:eastAsia="宋体" w:cs="宋体"/>
                <w:color w:val="auto"/>
                <w:sz w:val="24"/>
                <w:highlight w:val="none"/>
              </w:rPr>
            </w:pPr>
          </w:p>
        </w:tc>
      </w:tr>
      <w:tr w14:paraId="147136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953" w:type="dxa"/>
            <w:noWrap w:val="0"/>
            <w:vAlign w:val="top"/>
          </w:tcPr>
          <w:p w14:paraId="61006EAC">
            <w:pPr>
              <w:spacing w:line="360" w:lineRule="auto"/>
              <w:rPr>
                <w:rFonts w:hint="eastAsia" w:ascii="宋体" w:hAnsi="宋体" w:eastAsia="宋体" w:cs="宋体"/>
                <w:color w:val="auto"/>
                <w:sz w:val="24"/>
                <w:highlight w:val="none"/>
              </w:rPr>
            </w:pPr>
          </w:p>
        </w:tc>
        <w:tc>
          <w:tcPr>
            <w:tcW w:w="1276" w:type="dxa"/>
            <w:noWrap w:val="0"/>
            <w:vAlign w:val="top"/>
          </w:tcPr>
          <w:p w14:paraId="35F645D0">
            <w:pPr>
              <w:spacing w:line="360" w:lineRule="auto"/>
              <w:rPr>
                <w:rFonts w:hint="eastAsia" w:ascii="宋体" w:hAnsi="宋体" w:eastAsia="宋体" w:cs="宋体"/>
                <w:color w:val="auto"/>
                <w:sz w:val="24"/>
                <w:highlight w:val="none"/>
              </w:rPr>
            </w:pPr>
          </w:p>
        </w:tc>
        <w:tc>
          <w:tcPr>
            <w:tcW w:w="1450" w:type="dxa"/>
            <w:noWrap w:val="0"/>
            <w:vAlign w:val="top"/>
          </w:tcPr>
          <w:p w14:paraId="6E2D35B0">
            <w:pPr>
              <w:spacing w:line="360" w:lineRule="auto"/>
              <w:rPr>
                <w:rFonts w:hint="eastAsia" w:ascii="宋体" w:hAnsi="宋体" w:eastAsia="宋体" w:cs="宋体"/>
                <w:color w:val="auto"/>
                <w:sz w:val="24"/>
                <w:highlight w:val="none"/>
              </w:rPr>
            </w:pPr>
          </w:p>
        </w:tc>
        <w:tc>
          <w:tcPr>
            <w:tcW w:w="1243" w:type="dxa"/>
            <w:noWrap w:val="0"/>
            <w:vAlign w:val="top"/>
          </w:tcPr>
          <w:p w14:paraId="715B4382">
            <w:pPr>
              <w:spacing w:line="360" w:lineRule="auto"/>
              <w:rPr>
                <w:rFonts w:hint="eastAsia" w:ascii="宋体" w:hAnsi="宋体" w:eastAsia="宋体" w:cs="宋体"/>
                <w:color w:val="auto"/>
                <w:sz w:val="24"/>
                <w:highlight w:val="none"/>
              </w:rPr>
            </w:pPr>
          </w:p>
        </w:tc>
        <w:tc>
          <w:tcPr>
            <w:tcW w:w="1450" w:type="dxa"/>
            <w:noWrap w:val="0"/>
            <w:vAlign w:val="top"/>
          </w:tcPr>
          <w:p w14:paraId="080D855A">
            <w:pPr>
              <w:spacing w:line="360" w:lineRule="auto"/>
              <w:rPr>
                <w:rFonts w:hint="eastAsia" w:ascii="宋体" w:hAnsi="宋体" w:eastAsia="宋体" w:cs="宋体"/>
                <w:color w:val="auto"/>
                <w:sz w:val="24"/>
                <w:highlight w:val="none"/>
              </w:rPr>
            </w:pPr>
          </w:p>
        </w:tc>
        <w:tc>
          <w:tcPr>
            <w:tcW w:w="1667" w:type="dxa"/>
            <w:noWrap w:val="0"/>
            <w:vAlign w:val="top"/>
          </w:tcPr>
          <w:p w14:paraId="251D3602">
            <w:pPr>
              <w:spacing w:line="360" w:lineRule="auto"/>
              <w:rPr>
                <w:rFonts w:hint="eastAsia" w:ascii="宋体" w:hAnsi="宋体" w:eastAsia="宋体" w:cs="宋体"/>
                <w:color w:val="auto"/>
                <w:sz w:val="24"/>
                <w:highlight w:val="none"/>
              </w:rPr>
            </w:pPr>
          </w:p>
        </w:tc>
      </w:tr>
      <w:tr w14:paraId="4CC6D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953" w:type="dxa"/>
            <w:noWrap w:val="0"/>
            <w:vAlign w:val="top"/>
          </w:tcPr>
          <w:p w14:paraId="27C5D55F">
            <w:pPr>
              <w:spacing w:line="360" w:lineRule="auto"/>
              <w:rPr>
                <w:rFonts w:hint="eastAsia" w:ascii="宋体" w:hAnsi="宋体" w:eastAsia="宋体" w:cs="宋体"/>
                <w:color w:val="auto"/>
                <w:sz w:val="24"/>
                <w:highlight w:val="none"/>
              </w:rPr>
            </w:pPr>
          </w:p>
        </w:tc>
        <w:tc>
          <w:tcPr>
            <w:tcW w:w="1276" w:type="dxa"/>
            <w:noWrap w:val="0"/>
            <w:vAlign w:val="top"/>
          </w:tcPr>
          <w:p w14:paraId="1521C232">
            <w:pPr>
              <w:spacing w:line="360" w:lineRule="auto"/>
              <w:rPr>
                <w:rFonts w:hint="eastAsia" w:ascii="宋体" w:hAnsi="宋体" w:eastAsia="宋体" w:cs="宋体"/>
                <w:color w:val="auto"/>
                <w:sz w:val="24"/>
                <w:highlight w:val="none"/>
              </w:rPr>
            </w:pPr>
          </w:p>
        </w:tc>
        <w:tc>
          <w:tcPr>
            <w:tcW w:w="1450" w:type="dxa"/>
            <w:noWrap w:val="0"/>
            <w:vAlign w:val="top"/>
          </w:tcPr>
          <w:p w14:paraId="2A80B83F">
            <w:pPr>
              <w:spacing w:line="360" w:lineRule="auto"/>
              <w:rPr>
                <w:rFonts w:hint="eastAsia" w:ascii="宋体" w:hAnsi="宋体" w:eastAsia="宋体" w:cs="宋体"/>
                <w:color w:val="auto"/>
                <w:sz w:val="24"/>
                <w:highlight w:val="none"/>
              </w:rPr>
            </w:pPr>
          </w:p>
        </w:tc>
        <w:tc>
          <w:tcPr>
            <w:tcW w:w="1243" w:type="dxa"/>
            <w:noWrap w:val="0"/>
            <w:vAlign w:val="top"/>
          </w:tcPr>
          <w:p w14:paraId="21662E97">
            <w:pPr>
              <w:spacing w:line="360" w:lineRule="auto"/>
              <w:rPr>
                <w:rFonts w:hint="eastAsia" w:ascii="宋体" w:hAnsi="宋体" w:eastAsia="宋体" w:cs="宋体"/>
                <w:color w:val="auto"/>
                <w:sz w:val="24"/>
                <w:highlight w:val="none"/>
              </w:rPr>
            </w:pPr>
          </w:p>
        </w:tc>
        <w:tc>
          <w:tcPr>
            <w:tcW w:w="1450" w:type="dxa"/>
            <w:noWrap w:val="0"/>
            <w:vAlign w:val="top"/>
          </w:tcPr>
          <w:p w14:paraId="0B7CDC89">
            <w:pPr>
              <w:spacing w:line="360" w:lineRule="auto"/>
              <w:rPr>
                <w:rFonts w:hint="eastAsia" w:ascii="宋体" w:hAnsi="宋体" w:eastAsia="宋体" w:cs="宋体"/>
                <w:color w:val="auto"/>
                <w:sz w:val="24"/>
                <w:highlight w:val="none"/>
              </w:rPr>
            </w:pPr>
          </w:p>
        </w:tc>
        <w:tc>
          <w:tcPr>
            <w:tcW w:w="1667" w:type="dxa"/>
            <w:noWrap w:val="0"/>
            <w:vAlign w:val="top"/>
          </w:tcPr>
          <w:p w14:paraId="788249AC">
            <w:pPr>
              <w:spacing w:line="360" w:lineRule="auto"/>
              <w:rPr>
                <w:rFonts w:hint="eastAsia" w:ascii="宋体" w:hAnsi="宋体" w:eastAsia="宋体" w:cs="宋体"/>
                <w:color w:val="auto"/>
                <w:sz w:val="24"/>
                <w:highlight w:val="none"/>
              </w:rPr>
            </w:pPr>
          </w:p>
        </w:tc>
      </w:tr>
      <w:tr w14:paraId="3628F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953" w:type="dxa"/>
            <w:noWrap w:val="0"/>
            <w:vAlign w:val="top"/>
          </w:tcPr>
          <w:p w14:paraId="369228A1">
            <w:pPr>
              <w:spacing w:line="360" w:lineRule="auto"/>
              <w:rPr>
                <w:rFonts w:hint="eastAsia" w:ascii="宋体" w:hAnsi="宋体" w:eastAsia="宋体" w:cs="宋体"/>
                <w:color w:val="auto"/>
                <w:sz w:val="24"/>
                <w:highlight w:val="none"/>
              </w:rPr>
            </w:pPr>
          </w:p>
        </w:tc>
        <w:tc>
          <w:tcPr>
            <w:tcW w:w="1276" w:type="dxa"/>
            <w:noWrap w:val="0"/>
            <w:vAlign w:val="top"/>
          </w:tcPr>
          <w:p w14:paraId="74F539D9">
            <w:pPr>
              <w:spacing w:line="360" w:lineRule="auto"/>
              <w:rPr>
                <w:rFonts w:hint="eastAsia" w:ascii="宋体" w:hAnsi="宋体" w:eastAsia="宋体" w:cs="宋体"/>
                <w:color w:val="auto"/>
                <w:sz w:val="24"/>
                <w:highlight w:val="none"/>
              </w:rPr>
            </w:pPr>
          </w:p>
        </w:tc>
        <w:tc>
          <w:tcPr>
            <w:tcW w:w="1450" w:type="dxa"/>
            <w:noWrap w:val="0"/>
            <w:vAlign w:val="top"/>
          </w:tcPr>
          <w:p w14:paraId="4B5E2C73">
            <w:pPr>
              <w:spacing w:line="360" w:lineRule="auto"/>
              <w:rPr>
                <w:rFonts w:hint="eastAsia" w:ascii="宋体" w:hAnsi="宋体" w:eastAsia="宋体" w:cs="宋体"/>
                <w:color w:val="auto"/>
                <w:sz w:val="24"/>
                <w:highlight w:val="none"/>
              </w:rPr>
            </w:pPr>
          </w:p>
        </w:tc>
        <w:tc>
          <w:tcPr>
            <w:tcW w:w="1243" w:type="dxa"/>
            <w:noWrap w:val="0"/>
            <w:vAlign w:val="top"/>
          </w:tcPr>
          <w:p w14:paraId="356E8407">
            <w:pPr>
              <w:spacing w:line="360" w:lineRule="auto"/>
              <w:rPr>
                <w:rFonts w:hint="eastAsia" w:ascii="宋体" w:hAnsi="宋体" w:eastAsia="宋体" w:cs="宋体"/>
                <w:color w:val="auto"/>
                <w:sz w:val="24"/>
                <w:highlight w:val="none"/>
              </w:rPr>
            </w:pPr>
          </w:p>
        </w:tc>
        <w:tc>
          <w:tcPr>
            <w:tcW w:w="1450" w:type="dxa"/>
            <w:noWrap w:val="0"/>
            <w:vAlign w:val="top"/>
          </w:tcPr>
          <w:p w14:paraId="07EC4519">
            <w:pPr>
              <w:spacing w:line="360" w:lineRule="auto"/>
              <w:rPr>
                <w:rFonts w:hint="eastAsia" w:ascii="宋体" w:hAnsi="宋体" w:eastAsia="宋体" w:cs="宋体"/>
                <w:color w:val="auto"/>
                <w:sz w:val="24"/>
                <w:highlight w:val="none"/>
              </w:rPr>
            </w:pPr>
          </w:p>
        </w:tc>
        <w:tc>
          <w:tcPr>
            <w:tcW w:w="1667" w:type="dxa"/>
            <w:noWrap w:val="0"/>
            <w:vAlign w:val="top"/>
          </w:tcPr>
          <w:p w14:paraId="739BBA69">
            <w:pPr>
              <w:spacing w:line="360" w:lineRule="auto"/>
              <w:rPr>
                <w:rFonts w:hint="eastAsia" w:ascii="宋体" w:hAnsi="宋体" w:eastAsia="宋体" w:cs="宋体"/>
                <w:color w:val="auto"/>
                <w:sz w:val="24"/>
                <w:highlight w:val="none"/>
              </w:rPr>
            </w:pPr>
          </w:p>
        </w:tc>
      </w:tr>
      <w:tr w14:paraId="68C60C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953" w:type="dxa"/>
            <w:noWrap w:val="0"/>
            <w:vAlign w:val="top"/>
          </w:tcPr>
          <w:p w14:paraId="027309B3">
            <w:pPr>
              <w:spacing w:line="360" w:lineRule="auto"/>
              <w:rPr>
                <w:rFonts w:hint="eastAsia" w:ascii="宋体" w:hAnsi="宋体" w:eastAsia="宋体" w:cs="宋体"/>
                <w:color w:val="auto"/>
                <w:sz w:val="24"/>
                <w:highlight w:val="none"/>
              </w:rPr>
            </w:pPr>
          </w:p>
        </w:tc>
        <w:tc>
          <w:tcPr>
            <w:tcW w:w="1276" w:type="dxa"/>
            <w:noWrap w:val="0"/>
            <w:vAlign w:val="top"/>
          </w:tcPr>
          <w:p w14:paraId="0DE903B3">
            <w:pPr>
              <w:spacing w:line="360" w:lineRule="auto"/>
              <w:rPr>
                <w:rFonts w:hint="eastAsia" w:ascii="宋体" w:hAnsi="宋体" w:eastAsia="宋体" w:cs="宋体"/>
                <w:color w:val="auto"/>
                <w:sz w:val="24"/>
                <w:highlight w:val="none"/>
              </w:rPr>
            </w:pPr>
          </w:p>
        </w:tc>
        <w:tc>
          <w:tcPr>
            <w:tcW w:w="1450" w:type="dxa"/>
            <w:noWrap w:val="0"/>
            <w:vAlign w:val="top"/>
          </w:tcPr>
          <w:p w14:paraId="1EEB5707">
            <w:pPr>
              <w:spacing w:line="360" w:lineRule="auto"/>
              <w:rPr>
                <w:rFonts w:hint="eastAsia" w:ascii="宋体" w:hAnsi="宋体" w:eastAsia="宋体" w:cs="宋体"/>
                <w:color w:val="auto"/>
                <w:sz w:val="24"/>
                <w:highlight w:val="none"/>
              </w:rPr>
            </w:pPr>
          </w:p>
        </w:tc>
        <w:tc>
          <w:tcPr>
            <w:tcW w:w="1243" w:type="dxa"/>
            <w:noWrap w:val="0"/>
            <w:vAlign w:val="top"/>
          </w:tcPr>
          <w:p w14:paraId="1025B770">
            <w:pPr>
              <w:spacing w:line="360" w:lineRule="auto"/>
              <w:rPr>
                <w:rFonts w:hint="eastAsia" w:ascii="宋体" w:hAnsi="宋体" w:eastAsia="宋体" w:cs="宋体"/>
                <w:color w:val="auto"/>
                <w:sz w:val="24"/>
                <w:highlight w:val="none"/>
              </w:rPr>
            </w:pPr>
          </w:p>
        </w:tc>
        <w:tc>
          <w:tcPr>
            <w:tcW w:w="1450" w:type="dxa"/>
            <w:noWrap w:val="0"/>
            <w:vAlign w:val="top"/>
          </w:tcPr>
          <w:p w14:paraId="34077197">
            <w:pPr>
              <w:spacing w:line="360" w:lineRule="auto"/>
              <w:rPr>
                <w:rFonts w:hint="eastAsia" w:ascii="宋体" w:hAnsi="宋体" w:eastAsia="宋体" w:cs="宋体"/>
                <w:color w:val="auto"/>
                <w:sz w:val="24"/>
                <w:highlight w:val="none"/>
              </w:rPr>
            </w:pPr>
          </w:p>
        </w:tc>
        <w:tc>
          <w:tcPr>
            <w:tcW w:w="1667" w:type="dxa"/>
            <w:noWrap w:val="0"/>
            <w:vAlign w:val="top"/>
          </w:tcPr>
          <w:p w14:paraId="0C7BD8D0">
            <w:pPr>
              <w:spacing w:line="360" w:lineRule="auto"/>
              <w:rPr>
                <w:rFonts w:hint="eastAsia" w:ascii="宋体" w:hAnsi="宋体" w:eastAsia="宋体" w:cs="宋体"/>
                <w:color w:val="auto"/>
                <w:sz w:val="24"/>
                <w:highlight w:val="none"/>
              </w:rPr>
            </w:pPr>
          </w:p>
        </w:tc>
      </w:tr>
      <w:tr w14:paraId="56625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953" w:type="dxa"/>
            <w:noWrap w:val="0"/>
            <w:vAlign w:val="top"/>
          </w:tcPr>
          <w:p w14:paraId="5D6ED618">
            <w:pPr>
              <w:spacing w:line="360" w:lineRule="auto"/>
              <w:rPr>
                <w:rFonts w:hint="eastAsia" w:ascii="宋体" w:hAnsi="宋体" w:eastAsia="宋体" w:cs="宋体"/>
                <w:color w:val="auto"/>
                <w:sz w:val="24"/>
                <w:highlight w:val="none"/>
              </w:rPr>
            </w:pPr>
          </w:p>
        </w:tc>
        <w:tc>
          <w:tcPr>
            <w:tcW w:w="1276" w:type="dxa"/>
            <w:noWrap w:val="0"/>
            <w:vAlign w:val="top"/>
          </w:tcPr>
          <w:p w14:paraId="70B76FC8">
            <w:pPr>
              <w:spacing w:line="360" w:lineRule="auto"/>
              <w:rPr>
                <w:rFonts w:hint="eastAsia" w:ascii="宋体" w:hAnsi="宋体" w:eastAsia="宋体" w:cs="宋体"/>
                <w:color w:val="auto"/>
                <w:sz w:val="24"/>
                <w:highlight w:val="none"/>
              </w:rPr>
            </w:pPr>
          </w:p>
        </w:tc>
        <w:tc>
          <w:tcPr>
            <w:tcW w:w="1450" w:type="dxa"/>
            <w:noWrap w:val="0"/>
            <w:vAlign w:val="top"/>
          </w:tcPr>
          <w:p w14:paraId="07DF4DE3">
            <w:pPr>
              <w:spacing w:line="360" w:lineRule="auto"/>
              <w:rPr>
                <w:rFonts w:hint="eastAsia" w:ascii="宋体" w:hAnsi="宋体" w:eastAsia="宋体" w:cs="宋体"/>
                <w:color w:val="auto"/>
                <w:sz w:val="24"/>
                <w:highlight w:val="none"/>
              </w:rPr>
            </w:pPr>
          </w:p>
        </w:tc>
        <w:tc>
          <w:tcPr>
            <w:tcW w:w="1243" w:type="dxa"/>
            <w:noWrap w:val="0"/>
            <w:vAlign w:val="top"/>
          </w:tcPr>
          <w:p w14:paraId="4E8A0F37">
            <w:pPr>
              <w:spacing w:line="360" w:lineRule="auto"/>
              <w:rPr>
                <w:rFonts w:hint="eastAsia" w:ascii="宋体" w:hAnsi="宋体" w:eastAsia="宋体" w:cs="宋体"/>
                <w:color w:val="auto"/>
                <w:sz w:val="24"/>
                <w:highlight w:val="none"/>
              </w:rPr>
            </w:pPr>
          </w:p>
        </w:tc>
        <w:tc>
          <w:tcPr>
            <w:tcW w:w="1450" w:type="dxa"/>
            <w:noWrap w:val="0"/>
            <w:vAlign w:val="top"/>
          </w:tcPr>
          <w:p w14:paraId="52D3434F">
            <w:pPr>
              <w:spacing w:line="360" w:lineRule="auto"/>
              <w:rPr>
                <w:rFonts w:hint="eastAsia" w:ascii="宋体" w:hAnsi="宋体" w:eastAsia="宋体" w:cs="宋体"/>
                <w:color w:val="auto"/>
                <w:sz w:val="24"/>
                <w:highlight w:val="none"/>
              </w:rPr>
            </w:pPr>
          </w:p>
        </w:tc>
        <w:tc>
          <w:tcPr>
            <w:tcW w:w="1667" w:type="dxa"/>
            <w:noWrap w:val="0"/>
            <w:vAlign w:val="top"/>
          </w:tcPr>
          <w:p w14:paraId="7A77A186">
            <w:pPr>
              <w:spacing w:line="360" w:lineRule="auto"/>
              <w:rPr>
                <w:rFonts w:hint="eastAsia" w:ascii="宋体" w:hAnsi="宋体" w:eastAsia="宋体" w:cs="宋体"/>
                <w:color w:val="auto"/>
                <w:sz w:val="24"/>
                <w:highlight w:val="none"/>
              </w:rPr>
            </w:pPr>
          </w:p>
        </w:tc>
      </w:tr>
      <w:tr w14:paraId="12EB1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953" w:type="dxa"/>
            <w:noWrap w:val="0"/>
            <w:vAlign w:val="top"/>
          </w:tcPr>
          <w:p w14:paraId="34F0B4B8">
            <w:pPr>
              <w:spacing w:line="360" w:lineRule="auto"/>
              <w:rPr>
                <w:rFonts w:hint="eastAsia" w:ascii="宋体" w:hAnsi="宋体" w:eastAsia="宋体" w:cs="宋体"/>
                <w:color w:val="auto"/>
                <w:sz w:val="24"/>
                <w:highlight w:val="none"/>
              </w:rPr>
            </w:pPr>
          </w:p>
        </w:tc>
        <w:tc>
          <w:tcPr>
            <w:tcW w:w="1276" w:type="dxa"/>
            <w:noWrap w:val="0"/>
            <w:vAlign w:val="top"/>
          </w:tcPr>
          <w:p w14:paraId="66EA2F18">
            <w:pPr>
              <w:spacing w:line="360" w:lineRule="auto"/>
              <w:rPr>
                <w:rFonts w:hint="eastAsia" w:ascii="宋体" w:hAnsi="宋体" w:eastAsia="宋体" w:cs="宋体"/>
                <w:color w:val="auto"/>
                <w:sz w:val="24"/>
                <w:highlight w:val="none"/>
              </w:rPr>
            </w:pPr>
          </w:p>
        </w:tc>
        <w:tc>
          <w:tcPr>
            <w:tcW w:w="1450" w:type="dxa"/>
            <w:noWrap w:val="0"/>
            <w:vAlign w:val="top"/>
          </w:tcPr>
          <w:p w14:paraId="279D6E36">
            <w:pPr>
              <w:spacing w:line="360" w:lineRule="auto"/>
              <w:rPr>
                <w:rFonts w:hint="eastAsia" w:ascii="宋体" w:hAnsi="宋体" w:eastAsia="宋体" w:cs="宋体"/>
                <w:color w:val="auto"/>
                <w:sz w:val="24"/>
                <w:highlight w:val="none"/>
              </w:rPr>
            </w:pPr>
          </w:p>
        </w:tc>
        <w:tc>
          <w:tcPr>
            <w:tcW w:w="1243" w:type="dxa"/>
            <w:noWrap w:val="0"/>
            <w:vAlign w:val="top"/>
          </w:tcPr>
          <w:p w14:paraId="2AD2C003">
            <w:pPr>
              <w:spacing w:line="360" w:lineRule="auto"/>
              <w:rPr>
                <w:rFonts w:hint="eastAsia" w:ascii="宋体" w:hAnsi="宋体" w:eastAsia="宋体" w:cs="宋体"/>
                <w:color w:val="auto"/>
                <w:sz w:val="24"/>
                <w:highlight w:val="none"/>
              </w:rPr>
            </w:pPr>
          </w:p>
        </w:tc>
        <w:tc>
          <w:tcPr>
            <w:tcW w:w="1450" w:type="dxa"/>
            <w:noWrap w:val="0"/>
            <w:vAlign w:val="top"/>
          </w:tcPr>
          <w:p w14:paraId="2216E5EF">
            <w:pPr>
              <w:spacing w:line="360" w:lineRule="auto"/>
              <w:rPr>
                <w:rFonts w:hint="eastAsia" w:ascii="宋体" w:hAnsi="宋体" w:eastAsia="宋体" w:cs="宋体"/>
                <w:color w:val="auto"/>
                <w:sz w:val="24"/>
                <w:highlight w:val="none"/>
              </w:rPr>
            </w:pPr>
          </w:p>
        </w:tc>
        <w:tc>
          <w:tcPr>
            <w:tcW w:w="1667" w:type="dxa"/>
            <w:noWrap w:val="0"/>
            <w:vAlign w:val="top"/>
          </w:tcPr>
          <w:p w14:paraId="03166108">
            <w:pPr>
              <w:spacing w:line="360" w:lineRule="auto"/>
              <w:rPr>
                <w:rFonts w:hint="eastAsia" w:ascii="宋体" w:hAnsi="宋体" w:eastAsia="宋体" w:cs="宋体"/>
                <w:color w:val="auto"/>
                <w:sz w:val="24"/>
                <w:highlight w:val="none"/>
              </w:rPr>
            </w:pPr>
          </w:p>
        </w:tc>
      </w:tr>
      <w:tr w14:paraId="0109C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953" w:type="dxa"/>
            <w:noWrap w:val="0"/>
            <w:vAlign w:val="top"/>
          </w:tcPr>
          <w:p w14:paraId="40F7D560">
            <w:pPr>
              <w:spacing w:line="360" w:lineRule="auto"/>
              <w:rPr>
                <w:rFonts w:hint="eastAsia" w:ascii="宋体" w:hAnsi="宋体" w:eastAsia="宋体" w:cs="宋体"/>
                <w:color w:val="auto"/>
                <w:sz w:val="24"/>
                <w:highlight w:val="none"/>
              </w:rPr>
            </w:pPr>
          </w:p>
        </w:tc>
        <w:tc>
          <w:tcPr>
            <w:tcW w:w="1276" w:type="dxa"/>
            <w:noWrap w:val="0"/>
            <w:vAlign w:val="top"/>
          </w:tcPr>
          <w:p w14:paraId="43EECABF">
            <w:pPr>
              <w:spacing w:line="360" w:lineRule="auto"/>
              <w:rPr>
                <w:rFonts w:hint="eastAsia" w:ascii="宋体" w:hAnsi="宋体" w:eastAsia="宋体" w:cs="宋体"/>
                <w:color w:val="auto"/>
                <w:sz w:val="24"/>
                <w:highlight w:val="none"/>
              </w:rPr>
            </w:pPr>
          </w:p>
        </w:tc>
        <w:tc>
          <w:tcPr>
            <w:tcW w:w="1450" w:type="dxa"/>
            <w:noWrap w:val="0"/>
            <w:vAlign w:val="top"/>
          </w:tcPr>
          <w:p w14:paraId="31F9748D">
            <w:pPr>
              <w:spacing w:line="360" w:lineRule="auto"/>
              <w:rPr>
                <w:rFonts w:hint="eastAsia" w:ascii="宋体" w:hAnsi="宋体" w:eastAsia="宋体" w:cs="宋体"/>
                <w:color w:val="auto"/>
                <w:sz w:val="24"/>
                <w:highlight w:val="none"/>
              </w:rPr>
            </w:pPr>
          </w:p>
        </w:tc>
        <w:tc>
          <w:tcPr>
            <w:tcW w:w="1243" w:type="dxa"/>
            <w:noWrap w:val="0"/>
            <w:vAlign w:val="top"/>
          </w:tcPr>
          <w:p w14:paraId="60DA4BD6">
            <w:pPr>
              <w:spacing w:line="360" w:lineRule="auto"/>
              <w:rPr>
                <w:rFonts w:hint="eastAsia" w:ascii="宋体" w:hAnsi="宋体" w:eastAsia="宋体" w:cs="宋体"/>
                <w:color w:val="auto"/>
                <w:sz w:val="24"/>
                <w:highlight w:val="none"/>
              </w:rPr>
            </w:pPr>
          </w:p>
        </w:tc>
        <w:tc>
          <w:tcPr>
            <w:tcW w:w="1450" w:type="dxa"/>
            <w:noWrap w:val="0"/>
            <w:vAlign w:val="top"/>
          </w:tcPr>
          <w:p w14:paraId="57524C00">
            <w:pPr>
              <w:spacing w:line="360" w:lineRule="auto"/>
              <w:rPr>
                <w:rFonts w:hint="eastAsia" w:ascii="宋体" w:hAnsi="宋体" w:eastAsia="宋体" w:cs="宋体"/>
                <w:color w:val="auto"/>
                <w:sz w:val="24"/>
                <w:highlight w:val="none"/>
              </w:rPr>
            </w:pPr>
          </w:p>
        </w:tc>
        <w:tc>
          <w:tcPr>
            <w:tcW w:w="1667" w:type="dxa"/>
            <w:noWrap w:val="0"/>
            <w:vAlign w:val="top"/>
          </w:tcPr>
          <w:p w14:paraId="7BB123F3">
            <w:pPr>
              <w:spacing w:line="360" w:lineRule="auto"/>
              <w:rPr>
                <w:rFonts w:hint="eastAsia" w:ascii="宋体" w:hAnsi="宋体" w:eastAsia="宋体" w:cs="宋体"/>
                <w:color w:val="auto"/>
                <w:sz w:val="24"/>
                <w:highlight w:val="none"/>
              </w:rPr>
            </w:pPr>
          </w:p>
        </w:tc>
      </w:tr>
      <w:tr w14:paraId="68C88A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953" w:type="dxa"/>
            <w:noWrap w:val="0"/>
            <w:vAlign w:val="top"/>
          </w:tcPr>
          <w:p w14:paraId="233FA58D">
            <w:pPr>
              <w:spacing w:line="360" w:lineRule="auto"/>
              <w:rPr>
                <w:rFonts w:hint="eastAsia" w:ascii="宋体" w:hAnsi="宋体" w:eastAsia="宋体" w:cs="宋体"/>
                <w:color w:val="auto"/>
                <w:sz w:val="24"/>
                <w:highlight w:val="none"/>
              </w:rPr>
            </w:pPr>
          </w:p>
        </w:tc>
        <w:tc>
          <w:tcPr>
            <w:tcW w:w="1276" w:type="dxa"/>
            <w:noWrap w:val="0"/>
            <w:vAlign w:val="top"/>
          </w:tcPr>
          <w:p w14:paraId="73D84A08">
            <w:pPr>
              <w:spacing w:line="360" w:lineRule="auto"/>
              <w:rPr>
                <w:rFonts w:hint="eastAsia" w:ascii="宋体" w:hAnsi="宋体" w:eastAsia="宋体" w:cs="宋体"/>
                <w:color w:val="auto"/>
                <w:sz w:val="24"/>
                <w:highlight w:val="none"/>
              </w:rPr>
            </w:pPr>
          </w:p>
        </w:tc>
        <w:tc>
          <w:tcPr>
            <w:tcW w:w="1450" w:type="dxa"/>
            <w:noWrap w:val="0"/>
            <w:vAlign w:val="top"/>
          </w:tcPr>
          <w:p w14:paraId="15B4BAF4">
            <w:pPr>
              <w:spacing w:line="360" w:lineRule="auto"/>
              <w:rPr>
                <w:rFonts w:hint="eastAsia" w:ascii="宋体" w:hAnsi="宋体" w:eastAsia="宋体" w:cs="宋体"/>
                <w:color w:val="auto"/>
                <w:sz w:val="24"/>
                <w:highlight w:val="none"/>
              </w:rPr>
            </w:pPr>
          </w:p>
        </w:tc>
        <w:tc>
          <w:tcPr>
            <w:tcW w:w="1243" w:type="dxa"/>
            <w:noWrap w:val="0"/>
            <w:vAlign w:val="top"/>
          </w:tcPr>
          <w:p w14:paraId="503A0423">
            <w:pPr>
              <w:spacing w:line="360" w:lineRule="auto"/>
              <w:rPr>
                <w:rFonts w:hint="eastAsia" w:ascii="宋体" w:hAnsi="宋体" w:eastAsia="宋体" w:cs="宋体"/>
                <w:color w:val="auto"/>
                <w:sz w:val="24"/>
                <w:highlight w:val="none"/>
              </w:rPr>
            </w:pPr>
          </w:p>
        </w:tc>
        <w:tc>
          <w:tcPr>
            <w:tcW w:w="1450" w:type="dxa"/>
            <w:noWrap w:val="0"/>
            <w:vAlign w:val="top"/>
          </w:tcPr>
          <w:p w14:paraId="12BDBB56">
            <w:pPr>
              <w:spacing w:line="360" w:lineRule="auto"/>
              <w:rPr>
                <w:rFonts w:hint="eastAsia" w:ascii="宋体" w:hAnsi="宋体" w:eastAsia="宋体" w:cs="宋体"/>
                <w:color w:val="auto"/>
                <w:sz w:val="24"/>
                <w:highlight w:val="none"/>
              </w:rPr>
            </w:pPr>
          </w:p>
        </w:tc>
        <w:tc>
          <w:tcPr>
            <w:tcW w:w="1667" w:type="dxa"/>
            <w:noWrap w:val="0"/>
            <w:vAlign w:val="top"/>
          </w:tcPr>
          <w:p w14:paraId="4A4CC644">
            <w:pPr>
              <w:spacing w:line="360" w:lineRule="auto"/>
              <w:rPr>
                <w:rFonts w:hint="eastAsia" w:ascii="宋体" w:hAnsi="宋体" w:eastAsia="宋体" w:cs="宋体"/>
                <w:color w:val="auto"/>
                <w:sz w:val="24"/>
                <w:highlight w:val="none"/>
              </w:rPr>
            </w:pPr>
          </w:p>
        </w:tc>
      </w:tr>
    </w:tbl>
    <w:p w14:paraId="7A01A4C5">
      <w:pPr>
        <w:spacing w:line="360" w:lineRule="auto"/>
        <w:rPr>
          <w:rFonts w:hint="eastAsia" w:ascii="宋体" w:hAnsi="宋体" w:eastAsia="宋体" w:cs="宋体"/>
          <w:color w:val="auto"/>
          <w:sz w:val="24"/>
          <w:highlight w:val="none"/>
        </w:rPr>
      </w:pPr>
    </w:p>
    <w:p w14:paraId="6CB8490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附件4：</w:t>
      </w:r>
    </w:p>
    <w:p w14:paraId="74D59EEF">
      <w:pPr>
        <w:spacing w:before="120" w:beforeLines="50" w:after="120" w:afterLines="5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承包人用于本工程施工的机械设备表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5852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14:paraId="07D7FDC9">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418" w:type="dxa"/>
            <w:noWrap w:val="0"/>
            <w:vAlign w:val="center"/>
          </w:tcPr>
          <w:p w14:paraId="0CD05F92">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bCs/>
                <w:color w:val="auto"/>
                <w:sz w:val="24"/>
                <w:highlight w:val="none"/>
              </w:rPr>
              <w:t>设备名称</w:t>
            </w:r>
          </w:p>
        </w:tc>
        <w:tc>
          <w:tcPr>
            <w:tcW w:w="850" w:type="dxa"/>
            <w:noWrap w:val="0"/>
            <w:vAlign w:val="center"/>
          </w:tcPr>
          <w:p w14:paraId="71A8ADA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1058" w:type="dxa"/>
            <w:noWrap w:val="0"/>
            <w:vAlign w:val="center"/>
          </w:tcPr>
          <w:p w14:paraId="62B9BF37">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880" w:type="dxa"/>
            <w:noWrap w:val="0"/>
            <w:vAlign w:val="center"/>
          </w:tcPr>
          <w:p w14:paraId="15E870FA">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产地</w:t>
            </w:r>
          </w:p>
        </w:tc>
        <w:tc>
          <w:tcPr>
            <w:tcW w:w="1020" w:type="dxa"/>
            <w:noWrap w:val="0"/>
            <w:vAlign w:val="center"/>
          </w:tcPr>
          <w:p w14:paraId="3FCBDBD4">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制造年份</w:t>
            </w:r>
          </w:p>
        </w:tc>
        <w:tc>
          <w:tcPr>
            <w:tcW w:w="1480" w:type="dxa"/>
            <w:noWrap w:val="0"/>
            <w:vAlign w:val="center"/>
          </w:tcPr>
          <w:p w14:paraId="661768CA">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额定功率（kW）</w:t>
            </w:r>
          </w:p>
        </w:tc>
        <w:tc>
          <w:tcPr>
            <w:tcW w:w="1020" w:type="dxa"/>
            <w:noWrap w:val="0"/>
            <w:vAlign w:val="center"/>
          </w:tcPr>
          <w:p w14:paraId="32C70006">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生产能力</w:t>
            </w:r>
          </w:p>
        </w:tc>
        <w:tc>
          <w:tcPr>
            <w:tcW w:w="921" w:type="dxa"/>
            <w:noWrap w:val="0"/>
            <w:vAlign w:val="center"/>
          </w:tcPr>
          <w:p w14:paraId="2A12A58A">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5AAA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C3FC1A1">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18" w:type="dxa"/>
            <w:noWrap w:val="0"/>
            <w:vAlign w:val="center"/>
          </w:tcPr>
          <w:p w14:paraId="3EB4A44F">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50" w:type="dxa"/>
            <w:noWrap w:val="0"/>
            <w:vAlign w:val="center"/>
          </w:tcPr>
          <w:p w14:paraId="30184A4A">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058" w:type="dxa"/>
            <w:noWrap w:val="0"/>
            <w:vAlign w:val="center"/>
          </w:tcPr>
          <w:p w14:paraId="615F257F">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80" w:type="dxa"/>
            <w:noWrap w:val="0"/>
            <w:vAlign w:val="center"/>
          </w:tcPr>
          <w:p w14:paraId="2013471F">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020" w:type="dxa"/>
            <w:noWrap w:val="0"/>
            <w:vAlign w:val="center"/>
          </w:tcPr>
          <w:p w14:paraId="41D32367">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80" w:type="dxa"/>
            <w:noWrap w:val="0"/>
            <w:vAlign w:val="center"/>
          </w:tcPr>
          <w:p w14:paraId="3DB2DFE5">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020" w:type="dxa"/>
            <w:noWrap w:val="0"/>
            <w:vAlign w:val="center"/>
          </w:tcPr>
          <w:p w14:paraId="3C37BC91">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21" w:type="dxa"/>
            <w:noWrap w:val="0"/>
            <w:vAlign w:val="center"/>
          </w:tcPr>
          <w:p w14:paraId="1BDB60B6">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2F37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4DB2FB1A">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18" w:type="dxa"/>
            <w:noWrap w:val="0"/>
            <w:vAlign w:val="center"/>
          </w:tcPr>
          <w:p w14:paraId="71B3EDCE">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50" w:type="dxa"/>
            <w:noWrap w:val="0"/>
            <w:vAlign w:val="center"/>
          </w:tcPr>
          <w:p w14:paraId="6535079D">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058" w:type="dxa"/>
            <w:noWrap w:val="0"/>
            <w:vAlign w:val="center"/>
          </w:tcPr>
          <w:p w14:paraId="078BD686">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80" w:type="dxa"/>
            <w:noWrap w:val="0"/>
            <w:vAlign w:val="center"/>
          </w:tcPr>
          <w:p w14:paraId="4E25D674">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020" w:type="dxa"/>
            <w:noWrap w:val="0"/>
            <w:vAlign w:val="center"/>
          </w:tcPr>
          <w:p w14:paraId="5CEF118B">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80" w:type="dxa"/>
            <w:noWrap w:val="0"/>
            <w:vAlign w:val="center"/>
          </w:tcPr>
          <w:p w14:paraId="3D58010E">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020" w:type="dxa"/>
            <w:noWrap w:val="0"/>
            <w:vAlign w:val="center"/>
          </w:tcPr>
          <w:p w14:paraId="105A1650">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21" w:type="dxa"/>
            <w:noWrap w:val="0"/>
            <w:vAlign w:val="center"/>
          </w:tcPr>
          <w:p w14:paraId="31A1F0B4">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5B6E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1EE3D744">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18" w:type="dxa"/>
            <w:noWrap w:val="0"/>
            <w:vAlign w:val="center"/>
          </w:tcPr>
          <w:p w14:paraId="5828BBA6">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50" w:type="dxa"/>
            <w:noWrap w:val="0"/>
            <w:vAlign w:val="center"/>
          </w:tcPr>
          <w:p w14:paraId="0AC0406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058" w:type="dxa"/>
            <w:noWrap w:val="0"/>
            <w:vAlign w:val="center"/>
          </w:tcPr>
          <w:p w14:paraId="1B5176C7">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80" w:type="dxa"/>
            <w:noWrap w:val="0"/>
            <w:vAlign w:val="center"/>
          </w:tcPr>
          <w:p w14:paraId="5E4FFD69">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020" w:type="dxa"/>
            <w:noWrap w:val="0"/>
            <w:vAlign w:val="center"/>
          </w:tcPr>
          <w:p w14:paraId="40930AD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80" w:type="dxa"/>
            <w:noWrap w:val="0"/>
            <w:vAlign w:val="center"/>
          </w:tcPr>
          <w:p w14:paraId="0A84513A">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020" w:type="dxa"/>
            <w:noWrap w:val="0"/>
            <w:vAlign w:val="center"/>
          </w:tcPr>
          <w:p w14:paraId="44EF8370">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21" w:type="dxa"/>
            <w:noWrap w:val="0"/>
            <w:vAlign w:val="center"/>
          </w:tcPr>
          <w:p w14:paraId="14C642D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6C8F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1BA1072">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18" w:type="dxa"/>
            <w:noWrap w:val="0"/>
            <w:vAlign w:val="center"/>
          </w:tcPr>
          <w:p w14:paraId="746BC9B6">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50" w:type="dxa"/>
            <w:noWrap w:val="0"/>
            <w:vAlign w:val="center"/>
          </w:tcPr>
          <w:p w14:paraId="629DAC0D">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058" w:type="dxa"/>
            <w:noWrap w:val="0"/>
            <w:vAlign w:val="center"/>
          </w:tcPr>
          <w:p w14:paraId="21584C0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80" w:type="dxa"/>
            <w:noWrap w:val="0"/>
            <w:vAlign w:val="center"/>
          </w:tcPr>
          <w:p w14:paraId="06D3771E">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020" w:type="dxa"/>
            <w:noWrap w:val="0"/>
            <w:vAlign w:val="center"/>
          </w:tcPr>
          <w:p w14:paraId="1E0C9FE5">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80" w:type="dxa"/>
            <w:noWrap w:val="0"/>
            <w:vAlign w:val="center"/>
          </w:tcPr>
          <w:p w14:paraId="49F67D79">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020" w:type="dxa"/>
            <w:noWrap w:val="0"/>
            <w:vAlign w:val="center"/>
          </w:tcPr>
          <w:p w14:paraId="147B19D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21" w:type="dxa"/>
            <w:noWrap w:val="0"/>
            <w:vAlign w:val="center"/>
          </w:tcPr>
          <w:p w14:paraId="5385486D">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06A1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9273825">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18" w:type="dxa"/>
            <w:noWrap w:val="0"/>
            <w:vAlign w:val="center"/>
          </w:tcPr>
          <w:p w14:paraId="16ED5FF0">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50" w:type="dxa"/>
            <w:noWrap w:val="0"/>
            <w:vAlign w:val="center"/>
          </w:tcPr>
          <w:p w14:paraId="0995798C">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058" w:type="dxa"/>
            <w:noWrap w:val="0"/>
            <w:vAlign w:val="center"/>
          </w:tcPr>
          <w:p w14:paraId="0B7D3115">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80" w:type="dxa"/>
            <w:noWrap w:val="0"/>
            <w:vAlign w:val="center"/>
          </w:tcPr>
          <w:p w14:paraId="6FE15EC2">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020" w:type="dxa"/>
            <w:noWrap w:val="0"/>
            <w:vAlign w:val="center"/>
          </w:tcPr>
          <w:p w14:paraId="19E05AB3">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80" w:type="dxa"/>
            <w:noWrap w:val="0"/>
            <w:vAlign w:val="center"/>
          </w:tcPr>
          <w:p w14:paraId="03E4F451">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020" w:type="dxa"/>
            <w:noWrap w:val="0"/>
            <w:vAlign w:val="center"/>
          </w:tcPr>
          <w:p w14:paraId="538EC52D">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21" w:type="dxa"/>
            <w:noWrap w:val="0"/>
            <w:vAlign w:val="center"/>
          </w:tcPr>
          <w:p w14:paraId="6214DCB1">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2752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029EBAB7">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18" w:type="dxa"/>
            <w:noWrap w:val="0"/>
            <w:vAlign w:val="center"/>
          </w:tcPr>
          <w:p w14:paraId="3D8C6E55">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50" w:type="dxa"/>
            <w:noWrap w:val="0"/>
            <w:vAlign w:val="center"/>
          </w:tcPr>
          <w:p w14:paraId="1DC63CA0">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058" w:type="dxa"/>
            <w:noWrap w:val="0"/>
            <w:vAlign w:val="center"/>
          </w:tcPr>
          <w:p w14:paraId="4D5AB327">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80" w:type="dxa"/>
            <w:noWrap w:val="0"/>
            <w:vAlign w:val="center"/>
          </w:tcPr>
          <w:p w14:paraId="543E9ACE">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020" w:type="dxa"/>
            <w:noWrap w:val="0"/>
            <w:vAlign w:val="center"/>
          </w:tcPr>
          <w:p w14:paraId="3AE1A9F9">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80" w:type="dxa"/>
            <w:noWrap w:val="0"/>
            <w:vAlign w:val="center"/>
          </w:tcPr>
          <w:p w14:paraId="7E575F06">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020" w:type="dxa"/>
            <w:noWrap w:val="0"/>
            <w:vAlign w:val="center"/>
          </w:tcPr>
          <w:p w14:paraId="26C8FD6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21" w:type="dxa"/>
            <w:noWrap w:val="0"/>
            <w:vAlign w:val="center"/>
          </w:tcPr>
          <w:p w14:paraId="0B1C0BA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38B1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1F7AC7C">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18" w:type="dxa"/>
            <w:noWrap w:val="0"/>
            <w:vAlign w:val="center"/>
          </w:tcPr>
          <w:p w14:paraId="069B978A">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50" w:type="dxa"/>
            <w:noWrap w:val="0"/>
            <w:vAlign w:val="center"/>
          </w:tcPr>
          <w:p w14:paraId="191238FC">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058" w:type="dxa"/>
            <w:noWrap w:val="0"/>
            <w:vAlign w:val="center"/>
          </w:tcPr>
          <w:p w14:paraId="649AA44A">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80" w:type="dxa"/>
            <w:noWrap w:val="0"/>
            <w:vAlign w:val="center"/>
          </w:tcPr>
          <w:p w14:paraId="6249CDD6">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020" w:type="dxa"/>
            <w:noWrap w:val="0"/>
            <w:vAlign w:val="center"/>
          </w:tcPr>
          <w:p w14:paraId="062BF813">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80" w:type="dxa"/>
            <w:noWrap w:val="0"/>
            <w:vAlign w:val="center"/>
          </w:tcPr>
          <w:p w14:paraId="3BC8370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020" w:type="dxa"/>
            <w:noWrap w:val="0"/>
            <w:vAlign w:val="center"/>
          </w:tcPr>
          <w:p w14:paraId="48D15BE2">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21" w:type="dxa"/>
            <w:noWrap w:val="0"/>
            <w:vAlign w:val="center"/>
          </w:tcPr>
          <w:p w14:paraId="09F45DA0">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56A6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9741201">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18" w:type="dxa"/>
            <w:noWrap w:val="0"/>
            <w:vAlign w:val="center"/>
          </w:tcPr>
          <w:p w14:paraId="2821200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50" w:type="dxa"/>
            <w:noWrap w:val="0"/>
            <w:vAlign w:val="center"/>
          </w:tcPr>
          <w:p w14:paraId="073A5CE3">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058" w:type="dxa"/>
            <w:noWrap w:val="0"/>
            <w:vAlign w:val="center"/>
          </w:tcPr>
          <w:p w14:paraId="4955D4BB">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80" w:type="dxa"/>
            <w:noWrap w:val="0"/>
            <w:vAlign w:val="center"/>
          </w:tcPr>
          <w:p w14:paraId="5D32AC2E">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020" w:type="dxa"/>
            <w:noWrap w:val="0"/>
            <w:vAlign w:val="center"/>
          </w:tcPr>
          <w:p w14:paraId="14040722">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80" w:type="dxa"/>
            <w:noWrap w:val="0"/>
            <w:vAlign w:val="center"/>
          </w:tcPr>
          <w:p w14:paraId="6651E1B4">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020" w:type="dxa"/>
            <w:noWrap w:val="0"/>
            <w:vAlign w:val="center"/>
          </w:tcPr>
          <w:p w14:paraId="3BCD4533">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21" w:type="dxa"/>
            <w:noWrap w:val="0"/>
            <w:vAlign w:val="center"/>
          </w:tcPr>
          <w:p w14:paraId="55DCD4A6">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0C73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73CBC2DE">
            <w:pPr>
              <w:spacing w:line="360" w:lineRule="auto"/>
              <w:rPr>
                <w:rFonts w:hint="eastAsia" w:ascii="宋体" w:hAnsi="宋体" w:eastAsia="宋体" w:cs="宋体"/>
                <w:color w:val="auto"/>
                <w:sz w:val="24"/>
                <w:highlight w:val="none"/>
              </w:rPr>
            </w:pPr>
          </w:p>
        </w:tc>
        <w:tc>
          <w:tcPr>
            <w:tcW w:w="1418" w:type="dxa"/>
            <w:noWrap w:val="0"/>
            <w:vAlign w:val="top"/>
          </w:tcPr>
          <w:p w14:paraId="582A4011">
            <w:pPr>
              <w:spacing w:line="360" w:lineRule="auto"/>
              <w:rPr>
                <w:rFonts w:hint="eastAsia" w:ascii="宋体" w:hAnsi="宋体" w:eastAsia="宋体" w:cs="宋体"/>
                <w:color w:val="auto"/>
                <w:sz w:val="24"/>
                <w:highlight w:val="none"/>
              </w:rPr>
            </w:pPr>
          </w:p>
        </w:tc>
        <w:tc>
          <w:tcPr>
            <w:tcW w:w="850" w:type="dxa"/>
            <w:noWrap w:val="0"/>
            <w:vAlign w:val="top"/>
          </w:tcPr>
          <w:p w14:paraId="09600B3D">
            <w:pPr>
              <w:spacing w:line="360" w:lineRule="auto"/>
              <w:rPr>
                <w:rFonts w:hint="eastAsia" w:ascii="宋体" w:hAnsi="宋体" w:eastAsia="宋体" w:cs="宋体"/>
                <w:color w:val="auto"/>
                <w:sz w:val="24"/>
                <w:highlight w:val="none"/>
              </w:rPr>
            </w:pPr>
          </w:p>
        </w:tc>
        <w:tc>
          <w:tcPr>
            <w:tcW w:w="1058" w:type="dxa"/>
            <w:noWrap w:val="0"/>
            <w:vAlign w:val="top"/>
          </w:tcPr>
          <w:p w14:paraId="35B5EB35">
            <w:pPr>
              <w:spacing w:line="360" w:lineRule="auto"/>
              <w:rPr>
                <w:rFonts w:hint="eastAsia" w:ascii="宋体" w:hAnsi="宋体" w:eastAsia="宋体" w:cs="宋体"/>
                <w:color w:val="auto"/>
                <w:sz w:val="24"/>
                <w:highlight w:val="none"/>
              </w:rPr>
            </w:pPr>
          </w:p>
        </w:tc>
        <w:tc>
          <w:tcPr>
            <w:tcW w:w="880" w:type="dxa"/>
            <w:noWrap w:val="0"/>
            <w:vAlign w:val="top"/>
          </w:tcPr>
          <w:p w14:paraId="23CD942A">
            <w:pPr>
              <w:spacing w:line="360" w:lineRule="auto"/>
              <w:rPr>
                <w:rFonts w:hint="eastAsia" w:ascii="宋体" w:hAnsi="宋体" w:eastAsia="宋体" w:cs="宋体"/>
                <w:color w:val="auto"/>
                <w:sz w:val="24"/>
                <w:highlight w:val="none"/>
              </w:rPr>
            </w:pPr>
          </w:p>
        </w:tc>
        <w:tc>
          <w:tcPr>
            <w:tcW w:w="1020" w:type="dxa"/>
            <w:noWrap w:val="0"/>
            <w:vAlign w:val="top"/>
          </w:tcPr>
          <w:p w14:paraId="7837EC6C">
            <w:pPr>
              <w:spacing w:line="360" w:lineRule="auto"/>
              <w:rPr>
                <w:rFonts w:hint="eastAsia" w:ascii="宋体" w:hAnsi="宋体" w:eastAsia="宋体" w:cs="宋体"/>
                <w:color w:val="auto"/>
                <w:sz w:val="24"/>
                <w:highlight w:val="none"/>
              </w:rPr>
            </w:pPr>
          </w:p>
        </w:tc>
        <w:tc>
          <w:tcPr>
            <w:tcW w:w="1480" w:type="dxa"/>
            <w:noWrap w:val="0"/>
            <w:vAlign w:val="top"/>
          </w:tcPr>
          <w:p w14:paraId="0F23C44C">
            <w:pPr>
              <w:spacing w:line="360" w:lineRule="auto"/>
              <w:rPr>
                <w:rFonts w:hint="eastAsia" w:ascii="宋体" w:hAnsi="宋体" w:eastAsia="宋体" w:cs="宋体"/>
                <w:color w:val="auto"/>
                <w:sz w:val="24"/>
                <w:highlight w:val="none"/>
              </w:rPr>
            </w:pPr>
          </w:p>
        </w:tc>
        <w:tc>
          <w:tcPr>
            <w:tcW w:w="1020" w:type="dxa"/>
            <w:noWrap w:val="0"/>
            <w:vAlign w:val="top"/>
          </w:tcPr>
          <w:p w14:paraId="5CD453E2">
            <w:pPr>
              <w:spacing w:line="360" w:lineRule="auto"/>
              <w:rPr>
                <w:rFonts w:hint="eastAsia" w:ascii="宋体" w:hAnsi="宋体" w:eastAsia="宋体" w:cs="宋体"/>
                <w:color w:val="auto"/>
                <w:sz w:val="24"/>
                <w:highlight w:val="none"/>
              </w:rPr>
            </w:pPr>
          </w:p>
        </w:tc>
        <w:tc>
          <w:tcPr>
            <w:tcW w:w="921" w:type="dxa"/>
            <w:noWrap w:val="0"/>
            <w:vAlign w:val="top"/>
          </w:tcPr>
          <w:p w14:paraId="1451C35B">
            <w:pPr>
              <w:spacing w:line="360" w:lineRule="auto"/>
              <w:rPr>
                <w:rFonts w:hint="eastAsia" w:ascii="宋体" w:hAnsi="宋体" w:eastAsia="宋体" w:cs="宋体"/>
                <w:color w:val="auto"/>
                <w:sz w:val="24"/>
                <w:highlight w:val="none"/>
              </w:rPr>
            </w:pPr>
          </w:p>
        </w:tc>
      </w:tr>
      <w:tr w14:paraId="1048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0D26468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18" w:type="dxa"/>
            <w:noWrap w:val="0"/>
            <w:vAlign w:val="center"/>
          </w:tcPr>
          <w:p w14:paraId="7CBFE33E">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50" w:type="dxa"/>
            <w:noWrap w:val="0"/>
            <w:vAlign w:val="center"/>
          </w:tcPr>
          <w:p w14:paraId="65F5D57B">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058" w:type="dxa"/>
            <w:noWrap w:val="0"/>
            <w:vAlign w:val="center"/>
          </w:tcPr>
          <w:p w14:paraId="3296895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880" w:type="dxa"/>
            <w:noWrap w:val="0"/>
            <w:vAlign w:val="center"/>
          </w:tcPr>
          <w:p w14:paraId="21C0AFC4">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020" w:type="dxa"/>
            <w:noWrap w:val="0"/>
            <w:vAlign w:val="center"/>
          </w:tcPr>
          <w:p w14:paraId="6DB7EBF9">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80" w:type="dxa"/>
            <w:noWrap w:val="0"/>
            <w:vAlign w:val="center"/>
          </w:tcPr>
          <w:p w14:paraId="1FD64530">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020" w:type="dxa"/>
            <w:noWrap w:val="0"/>
            <w:vAlign w:val="center"/>
          </w:tcPr>
          <w:p w14:paraId="0286EA4A">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921" w:type="dxa"/>
            <w:noWrap w:val="0"/>
            <w:vAlign w:val="center"/>
          </w:tcPr>
          <w:p w14:paraId="19403826">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2B73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644C2ED">
            <w:pPr>
              <w:spacing w:line="360" w:lineRule="auto"/>
              <w:rPr>
                <w:rFonts w:hint="eastAsia" w:ascii="宋体" w:hAnsi="宋体" w:eastAsia="宋体" w:cs="宋体"/>
                <w:color w:val="auto"/>
                <w:sz w:val="24"/>
                <w:highlight w:val="none"/>
              </w:rPr>
            </w:pPr>
          </w:p>
        </w:tc>
        <w:tc>
          <w:tcPr>
            <w:tcW w:w="1418" w:type="dxa"/>
            <w:noWrap w:val="0"/>
            <w:vAlign w:val="top"/>
          </w:tcPr>
          <w:p w14:paraId="7F4FB96D">
            <w:pPr>
              <w:spacing w:line="360" w:lineRule="auto"/>
              <w:rPr>
                <w:rFonts w:hint="eastAsia" w:ascii="宋体" w:hAnsi="宋体" w:eastAsia="宋体" w:cs="宋体"/>
                <w:color w:val="auto"/>
                <w:sz w:val="24"/>
                <w:highlight w:val="none"/>
              </w:rPr>
            </w:pPr>
          </w:p>
        </w:tc>
        <w:tc>
          <w:tcPr>
            <w:tcW w:w="850" w:type="dxa"/>
            <w:noWrap w:val="0"/>
            <w:vAlign w:val="top"/>
          </w:tcPr>
          <w:p w14:paraId="32713998">
            <w:pPr>
              <w:spacing w:line="360" w:lineRule="auto"/>
              <w:rPr>
                <w:rFonts w:hint="eastAsia" w:ascii="宋体" w:hAnsi="宋体" w:eastAsia="宋体" w:cs="宋体"/>
                <w:color w:val="auto"/>
                <w:sz w:val="24"/>
                <w:highlight w:val="none"/>
              </w:rPr>
            </w:pPr>
          </w:p>
        </w:tc>
        <w:tc>
          <w:tcPr>
            <w:tcW w:w="1058" w:type="dxa"/>
            <w:noWrap w:val="0"/>
            <w:vAlign w:val="top"/>
          </w:tcPr>
          <w:p w14:paraId="76D56E66">
            <w:pPr>
              <w:spacing w:line="360" w:lineRule="auto"/>
              <w:rPr>
                <w:rFonts w:hint="eastAsia" w:ascii="宋体" w:hAnsi="宋体" w:eastAsia="宋体" w:cs="宋体"/>
                <w:color w:val="auto"/>
                <w:sz w:val="24"/>
                <w:highlight w:val="none"/>
              </w:rPr>
            </w:pPr>
          </w:p>
        </w:tc>
        <w:tc>
          <w:tcPr>
            <w:tcW w:w="880" w:type="dxa"/>
            <w:noWrap w:val="0"/>
            <w:vAlign w:val="top"/>
          </w:tcPr>
          <w:p w14:paraId="7DA2E868">
            <w:pPr>
              <w:spacing w:line="360" w:lineRule="auto"/>
              <w:rPr>
                <w:rFonts w:hint="eastAsia" w:ascii="宋体" w:hAnsi="宋体" w:eastAsia="宋体" w:cs="宋体"/>
                <w:color w:val="auto"/>
                <w:sz w:val="24"/>
                <w:highlight w:val="none"/>
              </w:rPr>
            </w:pPr>
          </w:p>
        </w:tc>
        <w:tc>
          <w:tcPr>
            <w:tcW w:w="1020" w:type="dxa"/>
            <w:noWrap w:val="0"/>
            <w:vAlign w:val="top"/>
          </w:tcPr>
          <w:p w14:paraId="1FB2BDBA">
            <w:pPr>
              <w:spacing w:line="360" w:lineRule="auto"/>
              <w:rPr>
                <w:rFonts w:hint="eastAsia" w:ascii="宋体" w:hAnsi="宋体" w:eastAsia="宋体" w:cs="宋体"/>
                <w:color w:val="auto"/>
                <w:sz w:val="24"/>
                <w:highlight w:val="none"/>
              </w:rPr>
            </w:pPr>
          </w:p>
        </w:tc>
        <w:tc>
          <w:tcPr>
            <w:tcW w:w="1480" w:type="dxa"/>
            <w:noWrap w:val="0"/>
            <w:vAlign w:val="top"/>
          </w:tcPr>
          <w:p w14:paraId="6B1272FB">
            <w:pPr>
              <w:spacing w:line="360" w:lineRule="auto"/>
              <w:rPr>
                <w:rFonts w:hint="eastAsia" w:ascii="宋体" w:hAnsi="宋体" w:eastAsia="宋体" w:cs="宋体"/>
                <w:color w:val="auto"/>
                <w:sz w:val="24"/>
                <w:highlight w:val="none"/>
              </w:rPr>
            </w:pPr>
          </w:p>
        </w:tc>
        <w:tc>
          <w:tcPr>
            <w:tcW w:w="1020" w:type="dxa"/>
            <w:noWrap w:val="0"/>
            <w:vAlign w:val="top"/>
          </w:tcPr>
          <w:p w14:paraId="780A8C81">
            <w:pPr>
              <w:spacing w:line="360" w:lineRule="auto"/>
              <w:rPr>
                <w:rFonts w:hint="eastAsia" w:ascii="宋体" w:hAnsi="宋体" w:eastAsia="宋体" w:cs="宋体"/>
                <w:color w:val="auto"/>
                <w:sz w:val="24"/>
                <w:highlight w:val="none"/>
              </w:rPr>
            </w:pPr>
          </w:p>
        </w:tc>
        <w:tc>
          <w:tcPr>
            <w:tcW w:w="921" w:type="dxa"/>
            <w:noWrap w:val="0"/>
            <w:vAlign w:val="top"/>
          </w:tcPr>
          <w:p w14:paraId="37C6DB64">
            <w:pPr>
              <w:spacing w:line="360" w:lineRule="auto"/>
              <w:rPr>
                <w:rFonts w:hint="eastAsia" w:ascii="宋体" w:hAnsi="宋体" w:eastAsia="宋体" w:cs="宋体"/>
                <w:color w:val="auto"/>
                <w:sz w:val="24"/>
                <w:highlight w:val="none"/>
              </w:rPr>
            </w:pPr>
          </w:p>
        </w:tc>
      </w:tr>
      <w:tr w14:paraId="6696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39E690D0">
            <w:pPr>
              <w:spacing w:line="360" w:lineRule="auto"/>
              <w:rPr>
                <w:rFonts w:hint="eastAsia" w:ascii="宋体" w:hAnsi="宋体" w:eastAsia="宋体" w:cs="宋体"/>
                <w:color w:val="auto"/>
                <w:sz w:val="24"/>
                <w:highlight w:val="none"/>
              </w:rPr>
            </w:pPr>
          </w:p>
        </w:tc>
        <w:tc>
          <w:tcPr>
            <w:tcW w:w="1418" w:type="dxa"/>
            <w:noWrap w:val="0"/>
            <w:vAlign w:val="top"/>
          </w:tcPr>
          <w:p w14:paraId="231C3523">
            <w:pPr>
              <w:spacing w:line="360" w:lineRule="auto"/>
              <w:rPr>
                <w:rFonts w:hint="eastAsia" w:ascii="宋体" w:hAnsi="宋体" w:eastAsia="宋体" w:cs="宋体"/>
                <w:color w:val="auto"/>
                <w:sz w:val="24"/>
                <w:highlight w:val="none"/>
              </w:rPr>
            </w:pPr>
          </w:p>
        </w:tc>
        <w:tc>
          <w:tcPr>
            <w:tcW w:w="850" w:type="dxa"/>
            <w:noWrap w:val="0"/>
            <w:vAlign w:val="top"/>
          </w:tcPr>
          <w:p w14:paraId="3FA75D60">
            <w:pPr>
              <w:spacing w:line="360" w:lineRule="auto"/>
              <w:rPr>
                <w:rFonts w:hint="eastAsia" w:ascii="宋体" w:hAnsi="宋体" w:eastAsia="宋体" w:cs="宋体"/>
                <w:color w:val="auto"/>
                <w:sz w:val="24"/>
                <w:highlight w:val="none"/>
              </w:rPr>
            </w:pPr>
          </w:p>
        </w:tc>
        <w:tc>
          <w:tcPr>
            <w:tcW w:w="1058" w:type="dxa"/>
            <w:noWrap w:val="0"/>
            <w:vAlign w:val="top"/>
          </w:tcPr>
          <w:p w14:paraId="26174700">
            <w:pPr>
              <w:spacing w:line="360" w:lineRule="auto"/>
              <w:rPr>
                <w:rFonts w:hint="eastAsia" w:ascii="宋体" w:hAnsi="宋体" w:eastAsia="宋体" w:cs="宋体"/>
                <w:color w:val="auto"/>
                <w:sz w:val="24"/>
                <w:highlight w:val="none"/>
              </w:rPr>
            </w:pPr>
          </w:p>
        </w:tc>
        <w:tc>
          <w:tcPr>
            <w:tcW w:w="880" w:type="dxa"/>
            <w:noWrap w:val="0"/>
            <w:vAlign w:val="top"/>
          </w:tcPr>
          <w:p w14:paraId="52446B35">
            <w:pPr>
              <w:spacing w:line="360" w:lineRule="auto"/>
              <w:rPr>
                <w:rFonts w:hint="eastAsia" w:ascii="宋体" w:hAnsi="宋体" w:eastAsia="宋体" w:cs="宋体"/>
                <w:color w:val="auto"/>
                <w:sz w:val="24"/>
                <w:highlight w:val="none"/>
              </w:rPr>
            </w:pPr>
          </w:p>
        </w:tc>
        <w:tc>
          <w:tcPr>
            <w:tcW w:w="1020" w:type="dxa"/>
            <w:noWrap w:val="0"/>
            <w:vAlign w:val="top"/>
          </w:tcPr>
          <w:p w14:paraId="151F7130">
            <w:pPr>
              <w:spacing w:line="360" w:lineRule="auto"/>
              <w:rPr>
                <w:rFonts w:hint="eastAsia" w:ascii="宋体" w:hAnsi="宋体" w:eastAsia="宋体" w:cs="宋体"/>
                <w:color w:val="auto"/>
                <w:sz w:val="24"/>
                <w:highlight w:val="none"/>
              </w:rPr>
            </w:pPr>
          </w:p>
        </w:tc>
        <w:tc>
          <w:tcPr>
            <w:tcW w:w="1480" w:type="dxa"/>
            <w:noWrap w:val="0"/>
            <w:vAlign w:val="top"/>
          </w:tcPr>
          <w:p w14:paraId="4E8D752B">
            <w:pPr>
              <w:spacing w:line="360" w:lineRule="auto"/>
              <w:rPr>
                <w:rFonts w:hint="eastAsia" w:ascii="宋体" w:hAnsi="宋体" w:eastAsia="宋体" w:cs="宋体"/>
                <w:color w:val="auto"/>
                <w:sz w:val="24"/>
                <w:highlight w:val="none"/>
              </w:rPr>
            </w:pPr>
          </w:p>
        </w:tc>
        <w:tc>
          <w:tcPr>
            <w:tcW w:w="1020" w:type="dxa"/>
            <w:noWrap w:val="0"/>
            <w:vAlign w:val="top"/>
          </w:tcPr>
          <w:p w14:paraId="6C5C1E45">
            <w:pPr>
              <w:spacing w:line="360" w:lineRule="auto"/>
              <w:rPr>
                <w:rFonts w:hint="eastAsia" w:ascii="宋体" w:hAnsi="宋体" w:eastAsia="宋体" w:cs="宋体"/>
                <w:color w:val="auto"/>
                <w:sz w:val="24"/>
                <w:highlight w:val="none"/>
              </w:rPr>
            </w:pPr>
          </w:p>
        </w:tc>
        <w:tc>
          <w:tcPr>
            <w:tcW w:w="921" w:type="dxa"/>
            <w:noWrap w:val="0"/>
            <w:vAlign w:val="top"/>
          </w:tcPr>
          <w:p w14:paraId="4214489F">
            <w:pPr>
              <w:spacing w:line="360" w:lineRule="auto"/>
              <w:rPr>
                <w:rFonts w:hint="eastAsia" w:ascii="宋体" w:hAnsi="宋体" w:eastAsia="宋体" w:cs="宋体"/>
                <w:color w:val="auto"/>
                <w:sz w:val="24"/>
                <w:highlight w:val="none"/>
              </w:rPr>
            </w:pPr>
          </w:p>
        </w:tc>
      </w:tr>
      <w:tr w14:paraId="600B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71176AEE">
            <w:pPr>
              <w:spacing w:line="360" w:lineRule="auto"/>
              <w:rPr>
                <w:rFonts w:hint="eastAsia" w:ascii="宋体" w:hAnsi="宋体" w:eastAsia="宋体" w:cs="宋体"/>
                <w:color w:val="auto"/>
                <w:sz w:val="24"/>
                <w:highlight w:val="none"/>
              </w:rPr>
            </w:pPr>
          </w:p>
        </w:tc>
        <w:tc>
          <w:tcPr>
            <w:tcW w:w="1418" w:type="dxa"/>
            <w:noWrap w:val="0"/>
            <w:vAlign w:val="top"/>
          </w:tcPr>
          <w:p w14:paraId="570CEE2E">
            <w:pPr>
              <w:spacing w:line="360" w:lineRule="auto"/>
              <w:rPr>
                <w:rFonts w:hint="eastAsia" w:ascii="宋体" w:hAnsi="宋体" w:eastAsia="宋体" w:cs="宋体"/>
                <w:color w:val="auto"/>
                <w:sz w:val="24"/>
                <w:highlight w:val="none"/>
              </w:rPr>
            </w:pPr>
          </w:p>
        </w:tc>
        <w:tc>
          <w:tcPr>
            <w:tcW w:w="850" w:type="dxa"/>
            <w:noWrap w:val="0"/>
            <w:vAlign w:val="top"/>
          </w:tcPr>
          <w:p w14:paraId="6C968121">
            <w:pPr>
              <w:spacing w:line="360" w:lineRule="auto"/>
              <w:rPr>
                <w:rFonts w:hint="eastAsia" w:ascii="宋体" w:hAnsi="宋体" w:eastAsia="宋体" w:cs="宋体"/>
                <w:color w:val="auto"/>
                <w:sz w:val="24"/>
                <w:highlight w:val="none"/>
              </w:rPr>
            </w:pPr>
          </w:p>
        </w:tc>
        <w:tc>
          <w:tcPr>
            <w:tcW w:w="1058" w:type="dxa"/>
            <w:noWrap w:val="0"/>
            <w:vAlign w:val="top"/>
          </w:tcPr>
          <w:p w14:paraId="67AFCB13">
            <w:pPr>
              <w:spacing w:line="360" w:lineRule="auto"/>
              <w:rPr>
                <w:rFonts w:hint="eastAsia" w:ascii="宋体" w:hAnsi="宋体" w:eastAsia="宋体" w:cs="宋体"/>
                <w:color w:val="auto"/>
                <w:sz w:val="24"/>
                <w:highlight w:val="none"/>
              </w:rPr>
            </w:pPr>
          </w:p>
        </w:tc>
        <w:tc>
          <w:tcPr>
            <w:tcW w:w="880" w:type="dxa"/>
            <w:noWrap w:val="0"/>
            <w:vAlign w:val="top"/>
          </w:tcPr>
          <w:p w14:paraId="76B1F9FB">
            <w:pPr>
              <w:spacing w:line="360" w:lineRule="auto"/>
              <w:rPr>
                <w:rFonts w:hint="eastAsia" w:ascii="宋体" w:hAnsi="宋体" w:eastAsia="宋体" w:cs="宋体"/>
                <w:color w:val="auto"/>
                <w:sz w:val="24"/>
                <w:highlight w:val="none"/>
              </w:rPr>
            </w:pPr>
          </w:p>
        </w:tc>
        <w:tc>
          <w:tcPr>
            <w:tcW w:w="1020" w:type="dxa"/>
            <w:noWrap w:val="0"/>
            <w:vAlign w:val="top"/>
          </w:tcPr>
          <w:p w14:paraId="7F752BDA">
            <w:pPr>
              <w:spacing w:line="360" w:lineRule="auto"/>
              <w:rPr>
                <w:rFonts w:hint="eastAsia" w:ascii="宋体" w:hAnsi="宋体" w:eastAsia="宋体" w:cs="宋体"/>
                <w:color w:val="auto"/>
                <w:sz w:val="24"/>
                <w:highlight w:val="none"/>
              </w:rPr>
            </w:pPr>
          </w:p>
        </w:tc>
        <w:tc>
          <w:tcPr>
            <w:tcW w:w="1480" w:type="dxa"/>
            <w:noWrap w:val="0"/>
            <w:vAlign w:val="top"/>
          </w:tcPr>
          <w:p w14:paraId="6B626557">
            <w:pPr>
              <w:spacing w:line="360" w:lineRule="auto"/>
              <w:rPr>
                <w:rFonts w:hint="eastAsia" w:ascii="宋体" w:hAnsi="宋体" w:eastAsia="宋体" w:cs="宋体"/>
                <w:color w:val="auto"/>
                <w:sz w:val="24"/>
                <w:highlight w:val="none"/>
              </w:rPr>
            </w:pPr>
          </w:p>
        </w:tc>
        <w:tc>
          <w:tcPr>
            <w:tcW w:w="1020" w:type="dxa"/>
            <w:noWrap w:val="0"/>
            <w:vAlign w:val="top"/>
          </w:tcPr>
          <w:p w14:paraId="4F266BDB">
            <w:pPr>
              <w:spacing w:line="360" w:lineRule="auto"/>
              <w:rPr>
                <w:rFonts w:hint="eastAsia" w:ascii="宋体" w:hAnsi="宋体" w:eastAsia="宋体" w:cs="宋体"/>
                <w:color w:val="auto"/>
                <w:sz w:val="24"/>
                <w:highlight w:val="none"/>
              </w:rPr>
            </w:pPr>
          </w:p>
        </w:tc>
        <w:tc>
          <w:tcPr>
            <w:tcW w:w="921" w:type="dxa"/>
            <w:noWrap w:val="0"/>
            <w:vAlign w:val="top"/>
          </w:tcPr>
          <w:p w14:paraId="7E38D503">
            <w:pPr>
              <w:spacing w:line="360" w:lineRule="auto"/>
              <w:rPr>
                <w:rFonts w:hint="eastAsia" w:ascii="宋体" w:hAnsi="宋体" w:eastAsia="宋体" w:cs="宋体"/>
                <w:color w:val="auto"/>
                <w:sz w:val="24"/>
                <w:highlight w:val="none"/>
              </w:rPr>
            </w:pPr>
          </w:p>
        </w:tc>
      </w:tr>
      <w:tr w14:paraId="2CB5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D213419">
            <w:pPr>
              <w:spacing w:line="360" w:lineRule="auto"/>
              <w:rPr>
                <w:rFonts w:hint="eastAsia" w:ascii="宋体" w:hAnsi="宋体" w:eastAsia="宋体" w:cs="宋体"/>
                <w:color w:val="auto"/>
                <w:sz w:val="24"/>
                <w:highlight w:val="none"/>
              </w:rPr>
            </w:pPr>
          </w:p>
        </w:tc>
        <w:tc>
          <w:tcPr>
            <w:tcW w:w="1418" w:type="dxa"/>
            <w:noWrap w:val="0"/>
            <w:vAlign w:val="top"/>
          </w:tcPr>
          <w:p w14:paraId="5DEFE1F4">
            <w:pPr>
              <w:spacing w:line="360" w:lineRule="auto"/>
              <w:rPr>
                <w:rFonts w:hint="eastAsia" w:ascii="宋体" w:hAnsi="宋体" w:eastAsia="宋体" w:cs="宋体"/>
                <w:color w:val="auto"/>
                <w:sz w:val="24"/>
                <w:highlight w:val="none"/>
              </w:rPr>
            </w:pPr>
          </w:p>
        </w:tc>
        <w:tc>
          <w:tcPr>
            <w:tcW w:w="850" w:type="dxa"/>
            <w:noWrap w:val="0"/>
            <w:vAlign w:val="top"/>
          </w:tcPr>
          <w:p w14:paraId="4D99C2BD">
            <w:pPr>
              <w:spacing w:line="360" w:lineRule="auto"/>
              <w:rPr>
                <w:rFonts w:hint="eastAsia" w:ascii="宋体" w:hAnsi="宋体" w:eastAsia="宋体" w:cs="宋体"/>
                <w:color w:val="auto"/>
                <w:sz w:val="24"/>
                <w:highlight w:val="none"/>
              </w:rPr>
            </w:pPr>
          </w:p>
        </w:tc>
        <w:tc>
          <w:tcPr>
            <w:tcW w:w="1058" w:type="dxa"/>
            <w:noWrap w:val="0"/>
            <w:vAlign w:val="top"/>
          </w:tcPr>
          <w:p w14:paraId="49E6F595">
            <w:pPr>
              <w:spacing w:line="360" w:lineRule="auto"/>
              <w:rPr>
                <w:rFonts w:hint="eastAsia" w:ascii="宋体" w:hAnsi="宋体" w:eastAsia="宋体" w:cs="宋体"/>
                <w:color w:val="auto"/>
                <w:sz w:val="24"/>
                <w:highlight w:val="none"/>
              </w:rPr>
            </w:pPr>
          </w:p>
        </w:tc>
        <w:tc>
          <w:tcPr>
            <w:tcW w:w="880" w:type="dxa"/>
            <w:noWrap w:val="0"/>
            <w:vAlign w:val="top"/>
          </w:tcPr>
          <w:p w14:paraId="2609836B">
            <w:pPr>
              <w:spacing w:line="360" w:lineRule="auto"/>
              <w:rPr>
                <w:rFonts w:hint="eastAsia" w:ascii="宋体" w:hAnsi="宋体" w:eastAsia="宋体" w:cs="宋体"/>
                <w:color w:val="auto"/>
                <w:sz w:val="24"/>
                <w:highlight w:val="none"/>
              </w:rPr>
            </w:pPr>
          </w:p>
        </w:tc>
        <w:tc>
          <w:tcPr>
            <w:tcW w:w="1020" w:type="dxa"/>
            <w:noWrap w:val="0"/>
            <w:vAlign w:val="top"/>
          </w:tcPr>
          <w:p w14:paraId="5E6FAC86">
            <w:pPr>
              <w:spacing w:line="360" w:lineRule="auto"/>
              <w:rPr>
                <w:rFonts w:hint="eastAsia" w:ascii="宋体" w:hAnsi="宋体" w:eastAsia="宋体" w:cs="宋体"/>
                <w:color w:val="auto"/>
                <w:sz w:val="24"/>
                <w:highlight w:val="none"/>
              </w:rPr>
            </w:pPr>
          </w:p>
        </w:tc>
        <w:tc>
          <w:tcPr>
            <w:tcW w:w="1480" w:type="dxa"/>
            <w:noWrap w:val="0"/>
            <w:vAlign w:val="top"/>
          </w:tcPr>
          <w:p w14:paraId="2DB13FFA">
            <w:pPr>
              <w:spacing w:line="360" w:lineRule="auto"/>
              <w:rPr>
                <w:rFonts w:hint="eastAsia" w:ascii="宋体" w:hAnsi="宋体" w:eastAsia="宋体" w:cs="宋体"/>
                <w:color w:val="auto"/>
                <w:sz w:val="24"/>
                <w:highlight w:val="none"/>
              </w:rPr>
            </w:pPr>
          </w:p>
        </w:tc>
        <w:tc>
          <w:tcPr>
            <w:tcW w:w="1020" w:type="dxa"/>
            <w:noWrap w:val="0"/>
            <w:vAlign w:val="top"/>
          </w:tcPr>
          <w:p w14:paraId="1076AA1F">
            <w:pPr>
              <w:spacing w:line="360" w:lineRule="auto"/>
              <w:rPr>
                <w:rFonts w:hint="eastAsia" w:ascii="宋体" w:hAnsi="宋体" w:eastAsia="宋体" w:cs="宋体"/>
                <w:color w:val="auto"/>
                <w:sz w:val="24"/>
                <w:highlight w:val="none"/>
              </w:rPr>
            </w:pPr>
          </w:p>
        </w:tc>
        <w:tc>
          <w:tcPr>
            <w:tcW w:w="921" w:type="dxa"/>
            <w:noWrap w:val="0"/>
            <w:vAlign w:val="top"/>
          </w:tcPr>
          <w:p w14:paraId="747AAD91">
            <w:pPr>
              <w:spacing w:line="360" w:lineRule="auto"/>
              <w:rPr>
                <w:rFonts w:hint="eastAsia" w:ascii="宋体" w:hAnsi="宋体" w:eastAsia="宋体" w:cs="宋体"/>
                <w:color w:val="auto"/>
                <w:sz w:val="24"/>
                <w:highlight w:val="none"/>
              </w:rPr>
            </w:pPr>
          </w:p>
        </w:tc>
      </w:tr>
      <w:tr w14:paraId="16B2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0DC01FF">
            <w:pPr>
              <w:spacing w:line="360" w:lineRule="auto"/>
              <w:rPr>
                <w:rFonts w:hint="eastAsia" w:ascii="宋体" w:hAnsi="宋体" w:eastAsia="宋体" w:cs="宋体"/>
                <w:color w:val="auto"/>
                <w:sz w:val="24"/>
                <w:highlight w:val="none"/>
              </w:rPr>
            </w:pPr>
          </w:p>
        </w:tc>
        <w:tc>
          <w:tcPr>
            <w:tcW w:w="1418" w:type="dxa"/>
            <w:noWrap w:val="0"/>
            <w:vAlign w:val="top"/>
          </w:tcPr>
          <w:p w14:paraId="4AD061EF">
            <w:pPr>
              <w:spacing w:line="360" w:lineRule="auto"/>
              <w:rPr>
                <w:rFonts w:hint="eastAsia" w:ascii="宋体" w:hAnsi="宋体" w:eastAsia="宋体" w:cs="宋体"/>
                <w:color w:val="auto"/>
                <w:sz w:val="24"/>
                <w:highlight w:val="none"/>
              </w:rPr>
            </w:pPr>
          </w:p>
        </w:tc>
        <w:tc>
          <w:tcPr>
            <w:tcW w:w="850" w:type="dxa"/>
            <w:noWrap w:val="0"/>
            <w:vAlign w:val="top"/>
          </w:tcPr>
          <w:p w14:paraId="4B686D01">
            <w:pPr>
              <w:spacing w:line="360" w:lineRule="auto"/>
              <w:rPr>
                <w:rFonts w:hint="eastAsia" w:ascii="宋体" w:hAnsi="宋体" w:eastAsia="宋体" w:cs="宋体"/>
                <w:color w:val="auto"/>
                <w:sz w:val="24"/>
                <w:highlight w:val="none"/>
              </w:rPr>
            </w:pPr>
          </w:p>
        </w:tc>
        <w:tc>
          <w:tcPr>
            <w:tcW w:w="1058" w:type="dxa"/>
            <w:noWrap w:val="0"/>
            <w:vAlign w:val="top"/>
          </w:tcPr>
          <w:p w14:paraId="4452D347">
            <w:pPr>
              <w:spacing w:line="360" w:lineRule="auto"/>
              <w:rPr>
                <w:rFonts w:hint="eastAsia" w:ascii="宋体" w:hAnsi="宋体" w:eastAsia="宋体" w:cs="宋体"/>
                <w:color w:val="auto"/>
                <w:sz w:val="24"/>
                <w:highlight w:val="none"/>
              </w:rPr>
            </w:pPr>
          </w:p>
        </w:tc>
        <w:tc>
          <w:tcPr>
            <w:tcW w:w="880" w:type="dxa"/>
            <w:noWrap w:val="0"/>
            <w:vAlign w:val="top"/>
          </w:tcPr>
          <w:p w14:paraId="797B99ED">
            <w:pPr>
              <w:spacing w:line="360" w:lineRule="auto"/>
              <w:rPr>
                <w:rFonts w:hint="eastAsia" w:ascii="宋体" w:hAnsi="宋体" w:eastAsia="宋体" w:cs="宋体"/>
                <w:color w:val="auto"/>
                <w:sz w:val="24"/>
                <w:highlight w:val="none"/>
              </w:rPr>
            </w:pPr>
          </w:p>
        </w:tc>
        <w:tc>
          <w:tcPr>
            <w:tcW w:w="1020" w:type="dxa"/>
            <w:noWrap w:val="0"/>
            <w:vAlign w:val="top"/>
          </w:tcPr>
          <w:p w14:paraId="386FDA09">
            <w:pPr>
              <w:spacing w:line="360" w:lineRule="auto"/>
              <w:rPr>
                <w:rFonts w:hint="eastAsia" w:ascii="宋体" w:hAnsi="宋体" w:eastAsia="宋体" w:cs="宋体"/>
                <w:color w:val="auto"/>
                <w:sz w:val="24"/>
                <w:highlight w:val="none"/>
              </w:rPr>
            </w:pPr>
          </w:p>
        </w:tc>
        <w:tc>
          <w:tcPr>
            <w:tcW w:w="1480" w:type="dxa"/>
            <w:noWrap w:val="0"/>
            <w:vAlign w:val="top"/>
          </w:tcPr>
          <w:p w14:paraId="163A9ADE">
            <w:pPr>
              <w:spacing w:line="360" w:lineRule="auto"/>
              <w:rPr>
                <w:rFonts w:hint="eastAsia" w:ascii="宋体" w:hAnsi="宋体" w:eastAsia="宋体" w:cs="宋体"/>
                <w:color w:val="auto"/>
                <w:sz w:val="24"/>
                <w:highlight w:val="none"/>
              </w:rPr>
            </w:pPr>
          </w:p>
        </w:tc>
        <w:tc>
          <w:tcPr>
            <w:tcW w:w="1020" w:type="dxa"/>
            <w:noWrap w:val="0"/>
            <w:vAlign w:val="top"/>
          </w:tcPr>
          <w:p w14:paraId="1AC93F74">
            <w:pPr>
              <w:spacing w:line="360" w:lineRule="auto"/>
              <w:rPr>
                <w:rFonts w:hint="eastAsia" w:ascii="宋体" w:hAnsi="宋体" w:eastAsia="宋体" w:cs="宋体"/>
                <w:color w:val="auto"/>
                <w:sz w:val="24"/>
                <w:highlight w:val="none"/>
              </w:rPr>
            </w:pPr>
          </w:p>
        </w:tc>
        <w:tc>
          <w:tcPr>
            <w:tcW w:w="921" w:type="dxa"/>
            <w:noWrap w:val="0"/>
            <w:vAlign w:val="top"/>
          </w:tcPr>
          <w:p w14:paraId="5A087016">
            <w:pPr>
              <w:spacing w:line="360" w:lineRule="auto"/>
              <w:rPr>
                <w:rFonts w:hint="eastAsia" w:ascii="宋体" w:hAnsi="宋体" w:eastAsia="宋体" w:cs="宋体"/>
                <w:color w:val="auto"/>
                <w:sz w:val="24"/>
                <w:highlight w:val="none"/>
              </w:rPr>
            </w:pPr>
          </w:p>
        </w:tc>
      </w:tr>
      <w:tr w14:paraId="6DE8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725A1A7F">
            <w:pPr>
              <w:spacing w:line="360" w:lineRule="auto"/>
              <w:rPr>
                <w:rFonts w:hint="eastAsia" w:ascii="宋体" w:hAnsi="宋体" w:eastAsia="宋体" w:cs="宋体"/>
                <w:color w:val="auto"/>
                <w:sz w:val="24"/>
                <w:highlight w:val="none"/>
              </w:rPr>
            </w:pPr>
          </w:p>
        </w:tc>
        <w:tc>
          <w:tcPr>
            <w:tcW w:w="1418" w:type="dxa"/>
            <w:noWrap w:val="0"/>
            <w:vAlign w:val="top"/>
          </w:tcPr>
          <w:p w14:paraId="1D3C29FC">
            <w:pPr>
              <w:spacing w:line="360" w:lineRule="auto"/>
              <w:rPr>
                <w:rFonts w:hint="eastAsia" w:ascii="宋体" w:hAnsi="宋体" w:eastAsia="宋体" w:cs="宋体"/>
                <w:color w:val="auto"/>
                <w:sz w:val="24"/>
                <w:highlight w:val="none"/>
              </w:rPr>
            </w:pPr>
          </w:p>
        </w:tc>
        <w:tc>
          <w:tcPr>
            <w:tcW w:w="850" w:type="dxa"/>
            <w:noWrap w:val="0"/>
            <w:vAlign w:val="top"/>
          </w:tcPr>
          <w:p w14:paraId="255064D0">
            <w:pPr>
              <w:spacing w:line="360" w:lineRule="auto"/>
              <w:rPr>
                <w:rFonts w:hint="eastAsia" w:ascii="宋体" w:hAnsi="宋体" w:eastAsia="宋体" w:cs="宋体"/>
                <w:color w:val="auto"/>
                <w:sz w:val="24"/>
                <w:highlight w:val="none"/>
              </w:rPr>
            </w:pPr>
          </w:p>
        </w:tc>
        <w:tc>
          <w:tcPr>
            <w:tcW w:w="1058" w:type="dxa"/>
            <w:noWrap w:val="0"/>
            <w:vAlign w:val="top"/>
          </w:tcPr>
          <w:p w14:paraId="3B2E0AC6">
            <w:pPr>
              <w:spacing w:line="360" w:lineRule="auto"/>
              <w:rPr>
                <w:rFonts w:hint="eastAsia" w:ascii="宋体" w:hAnsi="宋体" w:eastAsia="宋体" w:cs="宋体"/>
                <w:color w:val="auto"/>
                <w:sz w:val="24"/>
                <w:highlight w:val="none"/>
              </w:rPr>
            </w:pPr>
          </w:p>
        </w:tc>
        <w:tc>
          <w:tcPr>
            <w:tcW w:w="880" w:type="dxa"/>
            <w:noWrap w:val="0"/>
            <w:vAlign w:val="top"/>
          </w:tcPr>
          <w:p w14:paraId="650F36DB">
            <w:pPr>
              <w:spacing w:line="360" w:lineRule="auto"/>
              <w:rPr>
                <w:rFonts w:hint="eastAsia" w:ascii="宋体" w:hAnsi="宋体" w:eastAsia="宋体" w:cs="宋体"/>
                <w:color w:val="auto"/>
                <w:sz w:val="24"/>
                <w:highlight w:val="none"/>
              </w:rPr>
            </w:pPr>
          </w:p>
        </w:tc>
        <w:tc>
          <w:tcPr>
            <w:tcW w:w="1020" w:type="dxa"/>
            <w:noWrap w:val="0"/>
            <w:vAlign w:val="top"/>
          </w:tcPr>
          <w:p w14:paraId="573929A1">
            <w:pPr>
              <w:spacing w:line="360" w:lineRule="auto"/>
              <w:rPr>
                <w:rFonts w:hint="eastAsia" w:ascii="宋体" w:hAnsi="宋体" w:eastAsia="宋体" w:cs="宋体"/>
                <w:color w:val="auto"/>
                <w:sz w:val="24"/>
                <w:highlight w:val="none"/>
              </w:rPr>
            </w:pPr>
          </w:p>
        </w:tc>
        <w:tc>
          <w:tcPr>
            <w:tcW w:w="1480" w:type="dxa"/>
            <w:noWrap w:val="0"/>
            <w:vAlign w:val="top"/>
          </w:tcPr>
          <w:p w14:paraId="5FBC33CC">
            <w:pPr>
              <w:spacing w:line="360" w:lineRule="auto"/>
              <w:rPr>
                <w:rFonts w:hint="eastAsia" w:ascii="宋体" w:hAnsi="宋体" w:eastAsia="宋体" w:cs="宋体"/>
                <w:color w:val="auto"/>
                <w:sz w:val="24"/>
                <w:highlight w:val="none"/>
              </w:rPr>
            </w:pPr>
          </w:p>
        </w:tc>
        <w:tc>
          <w:tcPr>
            <w:tcW w:w="1020" w:type="dxa"/>
            <w:noWrap w:val="0"/>
            <w:vAlign w:val="top"/>
          </w:tcPr>
          <w:p w14:paraId="2EA8484D">
            <w:pPr>
              <w:spacing w:line="360" w:lineRule="auto"/>
              <w:rPr>
                <w:rFonts w:hint="eastAsia" w:ascii="宋体" w:hAnsi="宋体" w:eastAsia="宋体" w:cs="宋体"/>
                <w:color w:val="auto"/>
                <w:sz w:val="24"/>
                <w:highlight w:val="none"/>
              </w:rPr>
            </w:pPr>
          </w:p>
        </w:tc>
        <w:tc>
          <w:tcPr>
            <w:tcW w:w="921" w:type="dxa"/>
            <w:noWrap w:val="0"/>
            <w:vAlign w:val="top"/>
          </w:tcPr>
          <w:p w14:paraId="4DB8A4D5">
            <w:pPr>
              <w:spacing w:line="360" w:lineRule="auto"/>
              <w:rPr>
                <w:rFonts w:hint="eastAsia" w:ascii="宋体" w:hAnsi="宋体" w:eastAsia="宋体" w:cs="宋体"/>
                <w:color w:val="auto"/>
                <w:sz w:val="24"/>
                <w:highlight w:val="none"/>
              </w:rPr>
            </w:pPr>
          </w:p>
        </w:tc>
      </w:tr>
      <w:tr w14:paraId="7FE0B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0C4D9A4">
            <w:pPr>
              <w:spacing w:line="360" w:lineRule="auto"/>
              <w:rPr>
                <w:rFonts w:hint="eastAsia" w:ascii="宋体" w:hAnsi="宋体" w:eastAsia="宋体" w:cs="宋体"/>
                <w:color w:val="auto"/>
                <w:sz w:val="24"/>
                <w:highlight w:val="none"/>
              </w:rPr>
            </w:pPr>
          </w:p>
        </w:tc>
        <w:tc>
          <w:tcPr>
            <w:tcW w:w="1418" w:type="dxa"/>
            <w:noWrap w:val="0"/>
            <w:vAlign w:val="top"/>
          </w:tcPr>
          <w:p w14:paraId="16CCAA14">
            <w:pPr>
              <w:spacing w:line="360" w:lineRule="auto"/>
              <w:rPr>
                <w:rFonts w:hint="eastAsia" w:ascii="宋体" w:hAnsi="宋体" w:eastAsia="宋体" w:cs="宋体"/>
                <w:color w:val="auto"/>
                <w:sz w:val="24"/>
                <w:highlight w:val="none"/>
              </w:rPr>
            </w:pPr>
          </w:p>
        </w:tc>
        <w:tc>
          <w:tcPr>
            <w:tcW w:w="850" w:type="dxa"/>
            <w:noWrap w:val="0"/>
            <w:vAlign w:val="top"/>
          </w:tcPr>
          <w:p w14:paraId="51651EC4">
            <w:pPr>
              <w:spacing w:line="360" w:lineRule="auto"/>
              <w:rPr>
                <w:rFonts w:hint="eastAsia" w:ascii="宋体" w:hAnsi="宋体" w:eastAsia="宋体" w:cs="宋体"/>
                <w:color w:val="auto"/>
                <w:sz w:val="24"/>
                <w:highlight w:val="none"/>
              </w:rPr>
            </w:pPr>
          </w:p>
        </w:tc>
        <w:tc>
          <w:tcPr>
            <w:tcW w:w="1058" w:type="dxa"/>
            <w:noWrap w:val="0"/>
            <w:vAlign w:val="top"/>
          </w:tcPr>
          <w:p w14:paraId="638BA981">
            <w:pPr>
              <w:spacing w:line="360" w:lineRule="auto"/>
              <w:rPr>
                <w:rFonts w:hint="eastAsia" w:ascii="宋体" w:hAnsi="宋体" w:eastAsia="宋体" w:cs="宋体"/>
                <w:color w:val="auto"/>
                <w:sz w:val="24"/>
                <w:highlight w:val="none"/>
              </w:rPr>
            </w:pPr>
          </w:p>
        </w:tc>
        <w:tc>
          <w:tcPr>
            <w:tcW w:w="880" w:type="dxa"/>
            <w:noWrap w:val="0"/>
            <w:vAlign w:val="top"/>
          </w:tcPr>
          <w:p w14:paraId="79A5BCA2">
            <w:pPr>
              <w:spacing w:line="360" w:lineRule="auto"/>
              <w:rPr>
                <w:rFonts w:hint="eastAsia" w:ascii="宋体" w:hAnsi="宋体" w:eastAsia="宋体" w:cs="宋体"/>
                <w:color w:val="auto"/>
                <w:sz w:val="24"/>
                <w:highlight w:val="none"/>
              </w:rPr>
            </w:pPr>
          </w:p>
        </w:tc>
        <w:tc>
          <w:tcPr>
            <w:tcW w:w="1020" w:type="dxa"/>
            <w:noWrap w:val="0"/>
            <w:vAlign w:val="top"/>
          </w:tcPr>
          <w:p w14:paraId="1E7A5A67">
            <w:pPr>
              <w:spacing w:line="360" w:lineRule="auto"/>
              <w:rPr>
                <w:rFonts w:hint="eastAsia" w:ascii="宋体" w:hAnsi="宋体" w:eastAsia="宋体" w:cs="宋体"/>
                <w:color w:val="auto"/>
                <w:sz w:val="24"/>
                <w:highlight w:val="none"/>
              </w:rPr>
            </w:pPr>
          </w:p>
        </w:tc>
        <w:tc>
          <w:tcPr>
            <w:tcW w:w="1480" w:type="dxa"/>
            <w:noWrap w:val="0"/>
            <w:vAlign w:val="top"/>
          </w:tcPr>
          <w:p w14:paraId="126264B9">
            <w:pPr>
              <w:spacing w:line="360" w:lineRule="auto"/>
              <w:rPr>
                <w:rFonts w:hint="eastAsia" w:ascii="宋体" w:hAnsi="宋体" w:eastAsia="宋体" w:cs="宋体"/>
                <w:color w:val="auto"/>
                <w:sz w:val="24"/>
                <w:highlight w:val="none"/>
              </w:rPr>
            </w:pPr>
          </w:p>
        </w:tc>
        <w:tc>
          <w:tcPr>
            <w:tcW w:w="1020" w:type="dxa"/>
            <w:noWrap w:val="0"/>
            <w:vAlign w:val="top"/>
          </w:tcPr>
          <w:p w14:paraId="3296A5CA">
            <w:pPr>
              <w:spacing w:line="360" w:lineRule="auto"/>
              <w:rPr>
                <w:rFonts w:hint="eastAsia" w:ascii="宋体" w:hAnsi="宋体" w:eastAsia="宋体" w:cs="宋体"/>
                <w:color w:val="auto"/>
                <w:sz w:val="24"/>
                <w:highlight w:val="none"/>
              </w:rPr>
            </w:pPr>
          </w:p>
        </w:tc>
        <w:tc>
          <w:tcPr>
            <w:tcW w:w="921" w:type="dxa"/>
            <w:noWrap w:val="0"/>
            <w:vAlign w:val="top"/>
          </w:tcPr>
          <w:p w14:paraId="674826F9">
            <w:pPr>
              <w:spacing w:line="360" w:lineRule="auto"/>
              <w:rPr>
                <w:rFonts w:hint="eastAsia" w:ascii="宋体" w:hAnsi="宋体" w:eastAsia="宋体" w:cs="宋体"/>
                <w:color w:val="auto"/>
                <w:sz w:val="24"/>
                <w:highlight w:val="none"/>
              </w:rPr>
            </w:pPr>
          </w:p>
        </w:tc>
      </w:tr>
      <w:tr w14:paraId="3AEB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1787BCE8">
            <w:pPr>
              <w:spacing w:line="360" w:lineRule="auto"/>
              <w:rPr>
                <w:rFonts w:hint="eastAsia" w:ascii="宋体" w:hAnsi="宋体" w:eastAsia="宋体" w:cs="宋体"/>
                <w:color w:val="auto"/>
                <w:sz w:val="24"/>
                <w:highlight w:val="none"/>
              </w:rPr>
            </w:pPr>
          </w:p>
        </w:tc>
        <w:tc>
          <w:tcPr>
            <w:tcW w:w="1418" w:type="dxa"/>
            <w:noWrap w:val="0"/>
            <w:vAlign w:val="top"/>
          </w:tcPr>
          <w:p w14:paraId="75C85FEF">
            <w:pPr>
              <w:spacing w:line="360" w:lineRule="auto"/>
              <w:rPr>
                <w:rFonts w:hint="eastAsia" w:ascii="宋体" w:hAnsi="宋体" w:eastAsia="宋体" w:cs="宋体"/>
                <w:color w:val="auto"/>
                <w:sz w:val="24"/>
                <w:highlight w:val="none"/>
              </w:rPr>
            </w:pPr>
          </w:p>
        </w:tc>
        <w:tc>
          <w:tcPr>
            <w:tcW w:w="850" w:type="dxa"/>
            <w:noWrap w:val="0"/>
            <w:vAlign w:val="top"/>
          </w:tcPr>
          <w:p w14:paraId="554261F0">
            <w:pPr>
              <w:spacing w:line="360" w:lineRule="auto"/>
              <w:rPr>
                <w:rFonts w:hint="eastAsia" w:ascii="宋体" w:hAnsi="宋体" w:eastAsia="宋体" w:cs="宋体"/>
                <w:color w:val="auto"/>
                <w:sz w:val="24"/>
                <w:highlight w:val="none"/>
              </w:rPr>
            </w:pPr>
          </w:p>
        </w:tc>
        <w:tc>
          <w:tcPr>
            <w:tcW w:w="1058" w:type="dxa"/>
            <w:noWrap w:val="0"/>
            <w:vAlign w:val="top"/>
          </w:tcPr>
          <w:p w14:paraId="613AEE0E">
            <w:pPr>
              <w:spacing w:line="360" w:lineRule="auto"/>
              <w:rPr>
                <w:rFonts w:hint="eastAsia" w:ascii="宋体" w:hAnsi="宋体" w:eastAsia="宋体" w:cs="宋体"/>
                <w:color w:val="auto"/>
                <w:sz w:val="24"/>
                <w:highlight w:val="none"/>
              </w:rPr>
            </w:pPr>
          </w:p>
        </w:tc>
        <w:tc>
          <w:tcPr>
            <w:tcW w:w="880" w:type="dxa"/>
            <w:noWrap w:val="0"/>
            <w:vAlign w:val="top"/>
          </w:tcPr>
          <w:p w14:paraId="6FE2070D">
            <w:pPr>
              <w:spacing w:line="360" w:lineRule="auto"/>
              <w:rPr>
                <w:rFonts w:hint="eastAsia" w:ascii="宋体" w:hAnsi="宋体" w:eastAsia="宋体" w:cs="宋体"/>
                <w:color w:val="auto"/>
                <w:sz w:val="24"/>
                <w:highlight w:val="none"/>
              </w:rPr>
            </w:pPr>
          </w:p>
        </w:tc>
        <w:tc>
          <w:tcPr>
            <w:tcW w:w="1020" w:type="dxa"/>
            <w:noWrap w:val="0"/>
            <w:vAlign w:val="top"/>
          </w:tcPr>
          <w:p w14:paraId="1EAA75F5">
            <w:pPr>
              <w:spacing w:line="360" w:lineRule="auto"/>
              <w:rPr>
                <w:rFonts w:hint="eastAsia" w:ascii="宋体" w:hAnsi="宋体" w:eastAsia="宋体" w:cs="宋体"/>
                <w:color w:val="auto"/>
                <w:sz w:val="24"/>
                <w:highlight w:val="none"/>
              </w:rPr>
            </w:pPr>
          </w:p>
        </w:tc>
        <w:tc>
          <w:tcPr>
            <w:tcW w:w="1480" w:type="dxa"/>
            <w:noWrap w:val="0"/>
            <w:vAlign w:val="top"/>
          </w:tcPr>
          <w:p w14:paraId="4F48327F">
            <w:pPr>
              <w:spacing w:line="360" w:lineRule="auto"/>
              <w:rPr>
                <w:rFonts w:hint="eastAsia" w:ascii="宋体" w:hAnsi="宋体" w:eastAsia="宋体" w:cs="宋体"/>
                <w:color w:val="auto"/>
                <w:sz w:val="24"/>
                <w:highlight w:val="none"/>
              </w:rPr>
            </w:pPr>
          </w:p>
        </w:tc>
        <w:tc>
          <w:tcPr>
            <w:tcW w:w="1020" w:type="dxa"/>
            <w:noWrap w:val="0"/>
            <w:vAlign w:val="top"/>
          </w:tcPr>
          <w:p w14:paraId="134866F9">
            <w:pPr>
              <w:spacing w:line="360" w:lineRule="auto"/>
              <w:rPr>
                <w:rFonts w:hint="eastAsia" w:ascii="宋体" w:hAnsi="宋体" w:eastAsia="宋体" w:cs="宋体"/>
                <w:color w:val="auto"/>
                <w:sz w:val="24"/>
                <w:highlight w:val="none"/>
              </w:rPr>
            </w:pPr>
          </w:p>
        </w:tc>
        <w:tc>
          <w:tcPr>
            <w:tcW w:w="921" w:type="dxa"/>
            <w:noWrap w:val="0"/>
            <w:vAlign w:val="top"/>
          </w:tcPr>
          <w:p w14:paraId="0AF76E79">
            <w:pPr>
              <w:spacing w:line="360" w:lineRule="auto"/>
              <w:rPr>
                <w:rFonts w:hint="eastAsia" w:ascii="宋体" w:hAnsi="宋体" w:eastAsia="宋体" w:cs="宋体"/>
                <w:color w:val="auto"/>
                <w:sz w:val="24"/>
                <w:highlight w:val="none"/>
              </w:rPr>
            </w:pPr>
          </w:p>
        </w:tc>
      </w:tr>
      <w:tr w14:paraId="5C0E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53B55C14">
            <w:pPr>
              <w:spacing w:line="360" w:lineRule="auto"/>
              <w:rPr>
                <w:rFonts w:hint="eastAsia" w:ascii="宋体" w:hAnsi="宋体" w:eastAsia="宋体" w:cs="宋体"/>
                <w:color w:val="auto"/>
                <w:sz w:val="24"/>
                <w:highlight w:val="none"/>
              </w:rPr>
            </w:pPr>
          </w:p>
        </w:tc>
        <w:tc>
          <w:tcPr>
            <w:tcW w:w="1418" w:type="dxa"/>
            <w:noWrap w:val="0"/>
            <w:vAlign w:val="top"/>
          </w:tcPr>
          <w:p w14:paraId="0BA2782C">
            <w:pPr>
              <w:spacing w:line="360" w:lineRule="auto"/>
              <w:rPr>
                <w:rFonts w:hint="eastAsia" w:ascii="宋体" w:hAnsi="宋体" w:eastAsia="宋体" w:cs="宋体"/>
                <w:color w:val="auto"/>
                <w:sz w:val="24"/>
                <w:highlight w:val="none"/>
              </w:rPr>
            </w:pPr>
          </w:p>
        </w:tc>
        <w:tc>
          <w:tcPr>
            <w:tcW w:w="850" w:type="dxa"/>
            <w:noWrap w:val="0"/>
            <w:vAlign w:val="top"/>
          </w:tcPr>
          <w:p w14:paraId="53998F99">
            <w:pPr>
              <w:spacing w:line="360" w:lineRule="auto"/>
              <w:rPr>
                <w:rFonts w:hint="eastAsia" w:ascii="宋体" w:hAnsi="宋体" w:eastAsia="宋体" w:cs="宋体"/>
                <w:color w:val="auto"/>
                <w:sz w:val="24"/>
                <w:highlight w:val="none"/>
              </w:rPr>
            </w:pPr>
          </w:p>
        </w:tc>
        <w:tc>
          <w:tcPr>
            <w:tcW w:w="1058" w:type="dxa"/>
            <w:noWrap w:val="0"/>
            <w:vAlign w:val="top"/>
          </w:tcPr>
          <w:p w14:paraId="28F2CB45">
            <w:pPr>
              <w:spacing w:line="360" w:lineRule="auto"/>
              <w:rPr>
                <w:rFonts w:hint="eastAsia" w:ascii="宋体" w:hAnsi="宋体" w:eastAsia="宋体" w:cs="宋体"/>
                <w:color w:val="auto"/>
                <w:sz w:val="24"/>
                <w:highlight w:val="none"/>
              </w:rPr>
            </w:pPr>
          </w:p>
        </w:tc>
        <w:tc>
          <w:tcPr>
            <w:tcW w:w="880" w:type="dxa"/>
            <w:noWrap w:val="0"/>
            <w:vAlign w:val="top"/>
          </w:tcPr>
          <w:p w14:paraId="76A67FBA">
            <w:pPr>
              <w:spacing w:line="360" w:lineRule="auto"/>
              <w:rPr>
                <w:rFonts w:hint="eastAsia" w:ascii="宋体" w:hAnsi="宋体" w:eastAsia="宋体" w:cs="宋体"/>
                <w:color w:val="auto"/>
                <w:sz w:val="24"/>
                <w:highlight w:val="none"/>
              </w:rPr>
            </w:pPr>
          </w:p>
        </w:tc>
        <w:tc>
          <w:tcPr>
            <w:tcW w:w="1020" w:type="dxa"/>
            <w:noWrap w:val="0"/>
            <w:vAlign w:val="top"/>
          </w:tcPr>
          <w:p w14:paraId="305C7D79">
            <w:pPr>
              <w:spacing w:line="360" w:lineRule="auto"/>
              <w:rPr>
                <w:rFonts w:hint="eastAsia" w:ascii="宋体" w:hAnsi="宋体" w:eastAsia="宋体" w:cs="宋体"/>
                <w:color w:val="auto"/>
                <w:sz w:val="24"/>
                <w:highlight w:val="none"/>
              </w:rPr>
            </w:pPr>
          </w:p>
        </w:tc>
        <w:tc>
          <w:tcPr>
            <w:tcW w:w="1480" w:type="dxa"/>
            <w:noWrap w:val="0"/>
            <w:vAlign w:val="top"/>
          </w:tcPr>
          <w:p w14:paraId="6FAC1B02">
            <w:pPr>
              <w:spacing w:line="360" w:lineRule="auto"/>
              <w:rPr>
                <w:rFonts w:hint="eastAsia" w:ascii="宋体" w:hAnsi="宋体" w:eastAsia="宋体" w:cs="宋体"/>
                <w:color w:val="auto"/>
                <w:sz w:val="24"/>
                <w:highlight w:val="none"/>
              </w:rPr>
            </w:pPr>
          </w:p>
        </w:tc>
        <w:tc>
          <w:tcPr>
            <w:tcW w:w="1020" w:type="dxa"/>
            <w:noWrap w:val="0"/>
            <w:vAlign w:val="top"/>
          </w:tcPr>
          <w:p w14:paraId="5A66EB61">
            <w:pPr>
              <w:spacing w:line="360" w:lineRule="auto"/>
              <w:rPr>
                <w:rFonts w:hint="eastAsia" w:ascii="宋体" w:hAnsi="宋体" w:eastAsia="宋体" w:cs="宋体"/>
                <w:color w:val="auto"/>
                <w:sz w:val="24"/>
                <w:highlight w:val="none"/>
              </w:rPr>
            </w:pPr>
          </w:p>
        </w:tc>
        <w:tc>
          <w:tcPr>
            <w:tcW w:w="921" w:type="dxa"/>
            <w:noWrap w:val="0"/>
            <w:vAlign w:val="top"/>
          </w:tcPr>
          <w:p w14:paraId="34ECE77C">
            <w:pPr>
              <w:spacing w:line="360" w:lineRule="auto"/>
              <w:rPr>
                <w:rFonts w:hint="eastAsia" w:ascii="宋体" w:hAnsi="宋体" w:eastAsia="宋体" w:cs="宋体"/>
                <w:color w:val="auto"/>
                <w:sz w:val="24"/>
                <w:highlight w:val="none"/>
              </w:rPr>
            </w:pPr>
          </w:p>
        </w:tc>
      </w:tr>
    </w:tbl>
    <w:p w14:paraId="06C542B7">
      <w:pPr>
        <w:spacing w:line="360" w:lineRule="auto"/>
        <w:rPr>
          <w:rFonts w:hint="eastAsia" w:ascii="宋体" w:hAnsi="宋体" w:eastAsia="宋体" w:cs="宋体"/>
          <w:color w:val="auto"/>
          <w:sz w:val="24"/>
          <w:highlight w:val="none"/>
        </w:rPr>
        <w:sectPr>
          <w:pgSz w:w="11907" w:h="16840"/>
          <w:pgMar w:top="1418" w:right="1418" w:bottom="1418" w:left="1474" w:header="851" w:footer="851" w:gutter="0"/>
          <w:cols w:space="720" w:num="1"/>
          <w:docGrid w:linePitch="312" w:charSpace="0"/>
        </w:sectPr>
      </w:pPr>
    </w:p>
    <w:p w14:paraId="5995CE7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w:t>
      </w:r>
      <w:bookmarkStart w:id="1267" w:name="_Toc296891056"/>
      <w:bookmarkStart w:id="1268" w:name="_Toc296891268"/>
      <w:bookmarkStart w:id="1269" w:name="_Toc296503228"/>
      <w:bookmarkStart w:id="1270" w:name="_Toc296346729"/>
      <w:bookmarkStart w:id="1271" w:name="_Toc296347227"/>
      <w:bookmarkStart w:id="1272" w:name="_Toc296944567"/>
      <w:bookmarkStart w:id="1273" w:name="_Toc267261699"/>
      <w:r>
        <w:rPr>
          <w:rFonts w:hint="eastAsia" w:ascii="宋体" w:hAnsi="宋体" w:eastAsia="宋体" w:cs="宋体"/>
          <w:color w:val="auto"/>
          <w:sz w:val="24"/>
          <w:highlight w:val="none"/>
        </w:rPr>
        <w:t>件5：</w:t>
      </w:r>
    </w:p>
    <w:bookmarkEnd w:id="1267"/>
    <w:bookmarkEnd w:id="1268"/>
    <w:bookmarkEnd w:id="1269"/>
    <w:bookmarkEnd w:id="1270"/>
    <w:bookmarkEnd w:id="1271"/>
    <w:bookmarkEnd w:id="1272"/>
    <w:bookmarkEnd w:id="1273"/>
    <w:p w14:paraId="4E25320E">
      <w:pPr>
        <w:spacing w:before="165" w:beforeLines="50" w:after="165" w:afterLines="5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承包人主要施工管理人员表</w:t>
      </w:r>
    </w:p>
    <w:tbl>
      <w:tblPr>
        <w:tblStyle w:val="38"/>
        <w:tblW w:w="8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895"/>
        <w:gridCol w:w="1410"/>
        <w:gridCol w:w="1621"/>
      </w:tblGrid>
      <w:tr w14:paraId="19A0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14:paraId="6E634D47">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653F597">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895" w:type="dxa"/>
            <w:tcBorders>
              <w:top w:val="single" w:color="auto" w:sz="4" w:space="0"/>
              <w:left w:val="single" w:color="auto" w:sz="4" w:space="0"/>
              <w:bottom w:val="single" w:color="auto" w:sz="4" w:space="0"/>
              <w:right w:val="single" w:color="auto" w:sz="4" w:space="0"/>
            </w:tcBorders>
            <w:noWrap w:val="0"/>
            <w:vAlign w:val="center"/>
          </w:tcPr>
          <w:p w14:paraId="08D09D3D">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78C2C5B">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270765E8">
            <w:pPr>
              <w:keepNext/>
              <w:adjustRightInd w:val="0"/>
              <w:spacing w:line="360" w:lineRule="auto"/>
              <w:ind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计划进场时间</w:t>
            </w:r>
          </w:p>
        </w:tc>
      </w:tr>
      <w:tr w14:paraId="46D5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215" w:type="dxa"/>
            <w:gridSpan w:val="5"/>
            <w:tcBorders>
              <w:top w:val="single" w:color="auto" w:sz="4" w:space="0"/>
              <w:left w:val="single" w:color="auto" w:sz="4" w:space="0"/>
              <w:bottom w:val="single" w:color="auto" w:sz="4" w:space="0"/>
              <w:right w:val="single" w:color="auto" w:sz="4" w:space="0"/>
            </w:tcBorders>
            <w:noWrap w:val="0"/>
            <w:vAlign w:val="center"/>
          </w:tcPr>
          <w:p w14:paraId="4827A45B">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一、总部人员</w:t>
            </w:r>
          </w:p>
        </w:tc>
      </w:tr>
      <w:tr w14:paraId="3F75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14:paraId="5AB9EF71">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项目主管</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B1138F9">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6AA331BA">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731C57A">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14:paraId="6D87DD07">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351D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single" w:color="auto" w:sz="4" w:space="0"/>
              <w:left w:val="single" w:color="auto" w:sz="4" w:space="0"/>
              <w:bottom w:val="single" w:color="auto" w:sz="4" w:space="0"/>
              <w:right w:val="single" w:color="auto" w:sz="4" w:space="0"/>
            </w:tcBorders>
            <w:noWrap w:val="0"/>
            <w:vAlign w:val="center"/>
          </w:tcPr>
          <w:p w14:paraId="54823009">
            <w:pPr>
              <w:keepNext/>
              <w:adjustRightInd w:val="0"/>
              <w:spacing w:after="60"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其他人员</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A1E8142">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2FD55490">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46E605F">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14:paraId="71C61B10">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00D6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noWrap w:val="0"/>
            <w:vAlign w:val="center"/>
          </w:tcPr>
          <w:p w14:paraId="494B5CD2">
            <w:pPr>
              <w:widowControl/>
              <w:spacing w:line="360" w:lineRule="auto"/>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64959F2">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7315562D">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CBAE617">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14:paraId="0EF5190E">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3372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noWrap w:val="0"/>
            <w:vAlign w:val="center"/>
          </w:tcPr>
          <w:p w14:paraId="193EBBD8">
            <w:pPr>
              <w:widowControl/>
              <w:spacing w:line="360" w:lineRule="auto"/>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74E06FD">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5FA81F57">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A54F779">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14:paraId="6416FDE7">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6F68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215" w:type="dxa"/>
            <w:gridSpan w:val="5"/>
            <w:tcBorders>
              <w:top w:val="single" w:color="auto" w:sz="4" w:space="0"/>
              <w:left w:val="single" w:color="auto" w:sz="4" w:space="0"/>
              <w:bottom w:val="single" w:color="auto" w:sz="4" w:space="0"/>
              <w:right w:val="single" w:color="auto" w:sz="4" w:space="0"/>
            </w:tcBorders>
            <w:noWrap w:val="0"/>
            <w:vAlign w:val="center"/>
          </w:tcPr>
          <w:p w14:paraId="29727E62">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二、现场人员</w:t>
            </w:r>
          </w:p>
        </w:tc>
      </w:tr>
    </w:tbl>
    <w:p w14:paraId="26F00C5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附</w:t>
      </w:r>
      <w:bookmarkStart w:id="1274" w:name="_Toc296891269"/>
      <w:bookmarkStart w:id="1275" w:name="_Toc296503229"/>
      <w:bookmarkStart w:id="1276" w:name="_Toc296944568"/>
      <w:bookmarkStart w:id="1277" w:name="_Toc296891057"/>
      <w:bookmarkStart w:id="1278" w:name="_Toc296346730"/>
      <w:bookmarkStart w:id="1279" w:name="_Toc296347228"/>
      <w:r>
        <w:rPr>
          <w:rFonts w:hint="eastAsia" w:ascii="宋体" w:hAnsi="宋体" w:eastAsia="宋体" w:cs="宋体"/>
          <w:color w:val="auto"/>
          <w:sz w:val="24"/>
          <w:highlight w:val="none"/>
        </w:rPr>
        <w:t>件6：</w:t>
      </w:r>
    </w:p>
    <w:bookmarkEnd w:id="1274"/>
    <w:bookmarkEnd w:id="1275"/>
    <w:bookmarkEnd w:id="1276"/>
    <w:bookmarkEnd w:id="1277"/>
    <w:bookmarkEnd w:id="1278"/>
    <w:bookmarkEnd w:id="1279"/>
    <w:p w14:paraId="242571CA">
      <w:pPr>
        <w:spacing w:before="165" w:beforeLines="50" w:after="165" w:afterLines="5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分包人主要施工管理人员表</w:t>
      </w:r>
    </w:p>
    <w:tbl>
      <w:tblPr>
        <w:tblStyle w:val="38"/>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50"/>
        <w:gridCol w:w="1418"/>
        <w:gridCol w:w="1134"/>
        <w:gridCol w:w="1134"/>
        <w:gridCol w:w="4125"/>
      </w:tblGrid>
      <w:tr w14:paraId="7AE78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50" w:type="dxa"/>
            <w:noWrap w:val="0"/>
            <w:vAlign w:val="center"/>
          </w:tcPr>
          <w:p w14:paraId="327A9DBC">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1418" w:type="dxa"/>
            <w:noWrap w:val="0"/>
            <w:vAlign w:val="center"/>
          </w:tcPr>
          <w:p w14:paraId="681DD553">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134" w:type="dxa"/>
            <w:noWrap w:val="0"/>
            <w:vAlign w:val="center"/>
          </w:tcPr>
          <w:p w14:paraId="47C3CE1A">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134" w:type="dxa"/>
            <w:noWrap w:val="0"/>
            <w:vAlign w:val="center"/>
          </w:tcPr>
          <w:p w14:paraId="708E1764">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4125" w:type="dxa"/>
            <w:noWrap w:val="0"/>
            <w:vAlign w:val="center"/>
          </w:tcPr>
          <w:p w14:paraId="10B9B200">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主要资历、经验及承担过的项目</w:t>
            </w:r>
          </w:p>
        </w:tc>
      </w:tr>
      <w:tr w14:paraId="1E91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9261" w:type="dxa"/>
            <w:gridSpan w:val="5"/>
            <w:noWrap w:val="0"/>
            <w:vAlign w:val="center"/>
          </w:tcPr>
          <w:p w14:paraId="716CC091">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一、总部人员</w:t>
            </w:r>
          </w:p>
        </w:tc>
      </w:tr>
      <w:tr w14:paraId="32E2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50" w:type="dxa"/>
            <w:noWrap w:val="0"/>
            <w:vAlign w:val="center"/>
          </w:tcPr>
          <w:p w14:paraId="135C4BF0">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项目主管</w:t>
            </w:r>
          </w:p>
        </w:tc>
        <w:tc>
          <w:tcPr>
            <w:tcW w:w="1418" w:type="dxa"/>
            <w:noWrap w:val="0"/>
            <w:vAlign w:val="center"/>
          </w:tcPr>
          <w:p w14:paraId="6F5B17F4">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64AD2B9F">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136F41E2">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4125" w:type="dxa"/>
            <w:noWrap w:val="0"/>
            <w:vAlign w:val="center"/>
          </w:tcPr>
          <w:p w14:paraId="2B89C9EA">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400A6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50" w:type="dxa"/>
            <w:vMerge w:val="restart"/>
            <w:noWrap w:val="0"/>
            <w:vAlign w:val="center"/>
          </w:tcPr>
          <w:p w14:paraId="2877ACF6">
            <w:pPr>
              <w:keepNext/>
              <w:adjustRightInd w:val="0"/>
              <w:spacing w:after="60"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其他人员</w:t>
            </w:r>
          </w:p>
        </w:tc>
        <w:tc>
          <w:tcPr>
            <w:tcW w:w="1418" w:type="dxa"/>
            <w:noWrap w:val="0"/>
            <w:vAlign w:val="center"/>
          </w:tcPr>
          <w:p w14:paraId="79617A5F">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3739CBC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09A6216B">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4125" w:type="dxa"/>
            <w:noWrap w:val="0"/>
            <w:vAlign w:val="center"/>
          </w:tcPr>
          <w:p w14:paraId="3BB3A542">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41DB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50" w:type="dxa"/>
            <w:vMerge w:val="continue"/>
            <w:noWrap w:val="0"/>
            <w:vAlign w:val="center"/>
          </w:tcPr>
          <w:p w14:paraId="7A090FD1">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18" w:type="dxa"/>
            <w:noWrap w:val="0"/>
            <w:vAlign w:val="center"/>
          </w:tcPr>
          <w:p w14:paraId="77165D1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381A8A9E">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190AC689">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4125" w:type="dxa"/>
            <w:noWrap w:val="0"/>
            <w:vAlign w:val="center"/>
          </w:tcPr>
          <w:p w14:paraId="61E5E84A">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655F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50" w:type="dxa"/>
            <w:vMerge w:val="continue"/>
            <w:noWrap w:val="0"/>
            <w:vAlign w:val="center"/>
          </w:tcPr>
          <w:p w14:paraId="272FB27B">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18" w:type="dxa"/>
            <w:noWrap w:val="0"/>
            <w:vAlign w:val="center"/>
          </w:tcPr>
          <w:p w14:paraId="7423D0D2">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34679910">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2BAF0924">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4125" w:type="dxa"/>
            <w:noWrap w:val="0"/>
            <w:vAlign w:val="center"/>
          </w:tcPr>
          <w:p w14:paraId="0370AD3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6E7F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9261" w:type="dxa"/>
            <w:gridSpan w:val="5"/>
            <w:noWrap w:val="0"/>
            <w:vAlign w:val="center"/>
          </w:tcPr>
          <w:p w14:paraId="3B6582E2">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二、现场人员</w:t>
            </w:r>
          </w:p>
        </w:tc>
      </w:tr>
      <w:tr w14:paraId="72CB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50" w:type="dxa"/>
            <w:noWrap w:val="0"/>
            <w:vAlign w:val="center"/>
          </w:tcPr>
          <w:p w14:paraId="04FF7A80">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项目经理</w:t>
            </w:r>
          </w:p>
        </w:tc>
        <w:tc>
          <w:tcPr>
            <w:tcW w:w="1418" w:type="dxa"/>
            <w:noWrap w:val="0"/>
            <w:vAlign w:val="center"/>
          </w:tcPr>
          <w:p w14:paraId="3C5E9F42">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1B5C4FAB">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457C8025">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4125" w:type="dxa"/>
            <w:noWrap w:val="0"/>
            <w:vAlign w:val="center"/>
          </w:tcPr>
          <w:p w14:paraId="73C0F962">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2D01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50" w:type="dxa"/>
            <w:noWrap w:val="0"/>
            <w:vAlign w:val="center"/>
          </w:tcPr>
          <w:p w14:paraId="7F7F0602">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项目副经理</w:t>
            </w:r>
          </w:p>
        </w:tc>
        <w:tc>
          <w:tcPr>
            <w:tcW w:w="1418" w:type="dxa"/>
            <w:noWrap w:val="0"/>
            <w:vAlign w:val="center"/>
          </w:tcPr>
          <w:p w14:paraId="3330EF46">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66B9A582">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77819FE5">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4125" w:type="dxa"/>
            <w:noWrap w:val="0"/>
            <w:vAlign w:val="center"/>
          </w:tcPr>
          <w:p w14:paraId="5C9AAF26">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2C2D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50" w:type="dxa"/>
            <w:noWrap w:val="0"/>
            <w:vAlign w:val="center"/>
          </w:tcPr>
          <w:p w14:paraId="143DC67D">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技术负责人</w:t>
            </w:r>
          </w:p>
        </w:tc>
        <w:tc>
          <w:tcPr>
            <w:tcW w:w="1418" w:type="dxa"/>
            <w:noWrap w:val="0"/>
            <w:vAlign w:val="center"/>
          </w:tcPr>
          <w:p w14:paraId="47508CFA">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48B5866D">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3826408A">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4125" w:type="dxa"/>
            <w:noWrap w:val="0"/>
            <w:vAlign w:val="center"/>
          </w:tcPr>
          <w:p w14:paraId="2E10E2A4">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5CE8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50" w:type="dxa"/>
            <w:noWrap w:val="0"/>
            <w:vAlign w:val="center"/>
          </w:tcPr>
          <w:p w14:paraId="2422939F">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造价管理</w:t>
            </w:r>
          </w:p>
        </w:tc>
        <w:tc>
          <w:tcPr>
            <w:tcW w:w="1418" w:type="dxa"/>
            <w:noWrap w:val="0"/>
            <w:vAlign w:val="center"/>
          </w:tcPr>
          <w:p w14:paraId="058EFD45">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608739DE">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1C9632DF">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4125" w:type="dxa"/>
            <w:noWrap w:val="0"/>
            <w:vAlign w:val="center"/>
          </w:tcPr>
          <w:p w14:paraId="4A468387">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02EC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50" w:type="dxa"/>
            <w:noWrap w:val="0"/>
            <w:vAlign w:val="center"/>
          </w:tcPr>
          <w:p w14:paraId="4634C624">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质量管理</w:t>
            </w:r>
          </w:p>
        </w:tc>
        <w:tc>
          <w:tcPr>
            <w:tcW w:w="1418" w:type="dxa"/>
            <w:noWrap w:val="0"/>
            <w:vAlign w:val="center"/>
          </w:tcPr>
          <w:p w14:paraId="5A5E63B4">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77B70F50">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413019D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4125" w:type="dxa"/>
            <w:noWrap w:val="0"/>
            <w:vAlign w:val="center"/>
          </w:tcPr>
          <w:p w14:paraId="06C484FD">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5242A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50" w:type="dxa"/>
            <w:noWrap w:val="0"/>
            <w:vAlign w:val="center"/>
          </w:tcPr>
          <w:p w14:paraId="3F9B8DBF">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材料管理</w:t>
            </w:r>
          </w:p>
        </w:tc>
        <w:tc>
          <w:tcPr>
            <w:tcW w:w="1418" w:type="dxa"/>
            <w:noWrap w:val="0"/>
            <w:vAlign w:val="center"/>
          </w:tcPr>
          <w:p w14:paraId="53A1880F">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07DE3F65">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2FAEE4D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4125" w:type="dxa"/>
            <w:noWrap w:val="0"/>
            <w:vAlign w:val="center"/>
          </w:tcPr>
          <w:p w14:paraId="5451E35E">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3EE0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50" w:type="dxa"/>
            <w:noWrap w:val="0"/>
            <w:vAlign w:val="center"/>
          </w:tcPr>
          <w:p w14:paraId="248376CB">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计划管理</w:t>
            </w:r>
          </w:p>
        </w:tc>
        <w:tc>
          <w:tcPr>
            <w:tcW w:w="1418" w:type="dxa"/>
            <w:noWrap w:val="0"/>
            <w:vAlign w:val="center"/>
          </w:tcPr>
          <w:p w14:paraId="3006F626">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15E4C68A">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750D6895">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4125" w:type="dxa"/>
            <w:noWrap w:val="0"/>
            <w:vAlign w:val="center"/>
          </w:tcPr>
          <w:p w14:paraId="27178F84">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684B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50" w:type="dxa"/>
            <w:noWrap w:val="0"/>
            <w:vAlign w:val="center"/>
          </w:tcPr>
          <w:p w14:paraId="0BAE4A5F">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安全管理</w:t>
            </w:r>
          </w:p>
        </w:tc>
        <w:tc>
          <w:tcPr>
            <w:tcW w:w="1418" w:type="dxa"/>
            <w:noWrap w:val="0"/>
            <w:vAlign w:val="center"/>
          </w:tcPr>
          <w:p w14:paraId="52838A7E">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7E9FD32E">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5A619885">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4125" w:type="dxa"/>
            <w:noWrap w:val="0"/>
            <w:vAlign w:val="center"/>
          </w:tcPr>
          <w:p w14:paraId="70358E50">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6179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50" w:type="dxa"/>
            <w:vMerge w:val="restart"/>
            <w:noWrap w:val="0"/>
            <w:vAlign w:val="center"/>
          </w:tcPr>
          <w:p w14:paraId="5B5AFFAA">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其他人员</w:t>
            </w:r>
          </w:p>
        </w:tc>
        <w:tc>
          <w:tcPr>
            <w:tcW w:w="1418" w:type="dxa"/>
            <w:noWrap w:val="0"/>
            <w:vAlign w:val="center"/>
          </w:tcPr>
          <w:p w14:paraId="79AFE373">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61A230B3">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68F013A4">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4125" w:type="dxa"/>
            <w:noWrap w:val="0"/>
            <w:vAlign w:val="center"/>
          </w:tcPr>
          <w:p w14:paraId="225D9D66">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0C7C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50" w:type="dxa"/>
            <w:vMerge w:val="continue"/>
            <w:noWrap w:val="0"/>
            <w:vAlign w:val="center"/>
          </w:tcPr>
          <w:p w14:paraId="216FF2A6">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18" w:type="dxa"/>
            <w:noWrap w:val="0"/>
            <w:vAlign w:val="center"/>
          </w:tcPr>
          <w:p w14:paraId="50F3D23B">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257BD9CC">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54353293">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4125" w:type="dxa"/>
            <w:noWrap w:val="0"/>
            <w:vAlign w:val="center"/>
          </w:tcPr>
          <w:p w14:paraId="58B94972">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4B0A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50" w:type="dxa"/>
            <w:vMerge w:val="continue"/>
            <w:noWrap w:val="0"/>
            <w:vAlign w:val="center"/>
          </w:tcPr>
          <w:p w14:paraId="49CC134B">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18" w:type="dxa"/>
            <w:noWrap w:val="0"/>
            <w:vAlign w:val="center"/>
          </w:tcPr>
          <w:p w14:paraId="583A4B86">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23B66F46">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3AE92300">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4125" w:type="dxa"/>
            <w:noWrap w:val="0"/>
            <w:vAlign w:val="center"/>
          </w:tcPr>
          <w:p w14:paraId="1C6F99F7">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7E83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50" w:type="dxa"/>
            <w:vMerge w:val="continue"/>
            <w:noWrap w:val="0"/>
            <w:vAlign w:val="center"/>
          </w:tcPr>
          <w:p w14:paraId="2995E61F">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18" w:type="dxa"/>
            <w:noWrap w:val="0"/>
            <w:vAlign w:val="center"/>
          </w:tcPr>
          <w:p w14:paraId="261C5834">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58530EA6">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212F0736">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4125" w:type="dxa"/>
            <w:noWrap w:val="0"/>
            <w:vAlign w:val="center"/>
          </w:tcPr>
          <w:p w14:paraId="33748D2E">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2667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50" w:type="dxa"/>
            <w:vMerge w:val="continue"/>
            <w:noWrap w:val="0"/>
            <w:vAlign w:val="center"/>
          </w:tcPr>
          <w:p w14:paraId="4CD5A057">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18" w:type="dxa"/>
            <w:noWrap w:val="0"/>
            <w:vAlign w:val="center"/>
          </w:tcPr>
          <w:p w14:paraId="345B0E1B">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53B35460">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39D34366">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4125" w:type="dxa"/>
            <w:noWrap w:val="0"/>
            <w:vAlign w:val="center"/>
          </w:tcPr>
          <w:p w14:paraId="27E90791">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r w14:paraId="4607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50" w:type="dxa"/>
            <w:vMerge w:val="continue"/>
            <w:noWrap w:val="0"/>
            <w:vAlign w:val="center"/>
          </w:tcPr>
          <w:p w14:paraId="7F2A0169">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418" w:type="dxa"/>
            <w:noWrap w:val="0"/>
            <w:vAlign w:val="center"/>
          </w:tcPr>
          <w:p w14:paraId="15E8A33B">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1B1AF1A2">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1134" w:type="dxa"/>
            <w:noWrap w:val="0"/>
            <w:vAlign w:val="center"/>
          </w:tcPr>
          <w:p w14:paraId="3DEC6A4D">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c>
          <w:tcPr>
            <w:tcW w:w="4125" w:type="dxa"/>
            <w:noWrap w:val="0"/>
            <w:vAlign w:val="center"/>
          </w:tcPr>
          <w:p w14:paraId="6D099958">
            <w:pPr>
              <w:keepNext/>
              <w:adjustRightInd w:val="0"/>
              <w:spacing w:line="360" w:lineRule="auto"/>
              <w:ind w:left="63" w:leftChars="30" w:right="63" w:rightChars="30"/>
              <w:jc w:val="center"/>
              <w:textAlignment w:val="baseline"/>
              <w:rPr>
                <w:rFonts w:hint="eastAsia" w:ascii="宋体" w:hAnsi="宋体" w:eastAsia="宋体" w:cs="宋体"/>
                <w:color w:val="auto"/>
                <w:sz w:val="24"/>
                <w:highlight w:val="none"/>
              </w:rPr>
            </w:pPr>
          </w:p>
        </w:tc>
      </w:tr>
    </w:tbl>
    <w:p w14:paraId="319F3AD9">
      <w:pPr>
        <w:spacing w:line="360" w:lineRule="auto"/>
        <w:jc w:val="left"/>
        <w:rPr>
          <w:rFonts w:hint="eastAsia" w:ascii="宋体" w:hAnsi="宋体" w:eastAsia="宋体" w:cs="宋体"/>
          <w:color w:val="auto"/>
          <w:sz w:val="32"/>
          <w:szCs w:val="32"/>
          <w:highlight w:val="none"/>
        </w:rPr>
      </w:pPr>
      <w:r>
        <w:rPr>
          <w:rFonts w:hint="eastAsia" w:ascii="宋体" w:hAnsi="宋体" w:eastAsia="宋体" w:cs="宋体"/>
          <w:color w:val="auto"/>
          <w:sz w:val="24"/>
          <w:highlight w:val="none"/>
        </w:rPr>
        <w:br w:type="page"/>
      </w:r>
      <w:bookmarkStart w:id="1280" w:name="_Toc267261701"/>
      <w:r>
        <w:rPr>
          <w:rFonts w:hint="eastAsia" w:ascii="宋体" w:hAnsi="宋体" w:eastAsia="宋体" w:cs="宋体"/>
          <w:color w:val="auto"/>
          <w:sz w:val="32"/>
          <w:szCs w:val="32"/>
          <w:highlight w:val="none"/>
        </w:rPr>
        <w:t>附件7</w:t>
      </w:r>
    </w:p>
    <w:p w14:paraId="07BB50E7">
      <w:pPr>
        <w:spacing w:line="360" w:lineRule="auto"/>
        <w:jc w:val="left"/>
        <w:rPr>
          <w:rFonts w:hint="eastAsia" w:ascii="宋体" w:hAnsi="宋体" w:eastAsia="宋体" w:cs="宋体"/>
          <w:b/>
          <w:bCs/>
          <w:color w:val="auto"/>
          <w:sz w:val="32"/>
          <w:szCs w:val="32"/>
          <w:highlight w:val="none"/>
        </w:rPr>
      </w:pPr>
    </w:p>
    <w:p w14:paraId="2DDE060C">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履约保函示范文本</w:t>
      </w:r>
    </w:p>
    <w:p w14:paraId="6970880C">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（独立保函）</w:t>
      </w:r>
    </w:p>
    <w:p w14:paraId="3082E4A8">
      <w:pPr>
        <w:wordWrap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编号：           </w:t>
      </w:r>
    </w:p>
    <w:p w14:paraId="78634FC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申请人：</w:t>
      </w:r>
    </w:p>
    <w:p w14:paraId="5A329E2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地址：</w:t>
      </w:r>
    </w:p>
    <w:p w14:paraId="1760B15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受益人：</w:t>
      </w:r>
    </w:p>
    <w:p w14:paraId="0F688A6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地址：</w:t>
      </w:r>
    </w:p>
    <w:p w14:paraId="384CE03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开立人：</w:t>
      </w:r>
    </w:p>
    <w:p w14:paraId="05B7D45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14:paraId="1B4EE184">
      <w:pPr>
        <w:spacing w:line="360" w:lineRule="auto"/>
        <w:rPr>
          <w:rFonts w:hint="eastAsia" w:ascii="宋体" w:hAnsi="宋体" w:eastAsia="宋体" w:cs="宋体"/>
          <w:color w:val="auto"/>
          <w:sz w:val="24"/>
          <w:highlight w:val="none"/>
        </w:rPr>
      </w:pPr>
    </w:p>
    <w:p w14:paraId="0B71407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（受益人名称）： </w:t>
      </w:r>
    </w:p>
    <w:p w14:paraId="51565A1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鉴于（以下简称“受益人”）与（以下简称“申请人”）于</w:t>
      </w:r>
      <w:r>
        <w:rPr>
          <w:rFonts w:hint="eastAsia" w:ascii="宋体" w:hAnsi="宋体" w:eastAsia="宋体" w:cs="宋体"/>
          <w:color w:val="auto"/>
          <w:sz w:val="24"/>
          <w:highlight w:val="none"/>
          <w:u w:val="single"/>
        </w:rPr>
        <w:t xml:space="preserve">    年  月  日</w:t>
      </w:r>
      <w:r>
        <w:rPr>
          <w:rFonts w:hint="eastAsia" w:ascii="宋体" w:hAnsi="宋体" w:eastAsia="宋体" w:cs="宋体"/>
          <w:color w:val="auto"/>
          <w:sz w:val="24"/>
          <w:highlight w:val="none"/>
        </w:rPr>
        <w:t>就工程（以下简称“本工程”）施工和有关事项协商一致共同签订</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 xml:space="preserve">（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 </w:t>
      </w:r>
    </w:p>
    <w:p w14:paraId="7620468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本保函担保范围：承包人未按照基础合同的约定履行义务，应当向贵方承担的违约责任和赔偿因此造成的损失、利息、律师费、诉讼费用、保全费、诉讼财产保全责任险保险费用、强制执行申请费等实现债权的费用。</w:t>
      </w:r>
    </w:p>
    <w:p w14:paraId="1039B19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二、本保函担保金额最高不超过人民币（大写）元（¥）。 </w:t>
      </w:r>
    </w:p>
    <w:p w14:paraId="673C15A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三、本保函有效期自开立之日起至基础合同约定的缺陷责任期后日止，最迟不超过</w:t>
      </w:r>
      <w:r>
        <w:rPr>
          <w:rFonts w:hint="eastAsia" w:ascii="宋体" w:hAnsi="宋体" w:eastAsia="宋体" w:cs="宋体"/>
          <w:color w:val="auto"/>
          <w:sz w:val="24"/>
          <w:highlight w:val="none"/>
          <w:u w:val="single"/>
        </w:rPr>
        <w:t xml:space="preserve">    年  月  日</w:t>
      </w:r>
      <w:r>
        <w:rPr>
          <w:rFonts w:hint="eastAsia" w:ascii="宋体" w:hAnsi="宋体" w:eastAsia="宋体" w:cs="宋体"/>
          <w:color w:val="auto"/>
          <w:sz w:val="24"/>
          <w:highlight w:val="none"/>
        </w:rPr>
        <w:t xml:space="preserve">。 </w:t>
      </w:r>
    </w:p>
    <w:p w14:paraId="4E030232">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四、我方承诺，在收到受益人发来的书面付款通知后的日内无条件支付，前述书面付款通知即为付款要求之单据，且应满足以下要求：</w:t>
      </w:r>
    </w:p>
    <w:p w14:paraId="4BC04C3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（1）付款通知到达的日期在本保函的有效期内；</w:t>
      </w:r>
    </w:p>
    <w:p w14:paraId="3E4CCC4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（2）载明要求支付的金额；</w:t>
      </w:r>
    </w:p>
    <w:p w14:paraId="6C491A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（3）载明申请人违反合同义务的条款和内容；</w:t>
      </w:r>
    </w:p>
    <w:p w14:paraId="22C6F1F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（4）声明不存在合同文件约定或我国法律规定免除申请人或开立人支付责任的情形；</w:t>
      </w:r>
    </w:p>
    <w:p w14:paraId="2BFFA47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（5）付款通知应在本保函有效期内到达的地址是</w:t>
      </w:r>
      <w:r>
        <w:rPr>
          <w:rFonts w:hint="eastAsia" w:ascii="宋体" w:hAnsi="宋体" w:eastAsia="宋体" w:cs="宋体"/>
          <w:color w:val="auto"/>
          <w:sz w:val="24"/>
          <w:highlight w:val="none"/>
          <w:u w:val="single"/>
        </w:rPr>
        <w:t>：                    。</w:t>
      </w:r>
    </w:p>
    <w:p w14:paraId="0C57CD2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受益人发出的书面付款通知应由其为鉴明受益人法定代表人（负责人）或授权代理人签字并加盖公章。</w:t>
      </w:r>
    </w:p>
    <w:p w14:paraId="7AAB188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五、本保函项下的权利不得转让，不得设定担保。贵方未经我方书面同意转 让本保函或其项下任何权利，对我方不发生法律效力。 </w:t>
      </w:r>
    </w:p>
    <w:p w14:paraId="3ECEB18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六、与本保函有关的基础合同不成立、不生效、无效、被撤销、被解除，不影响本保函的独立有效。 </w:t>
      </w:r>
    </w:p>
    <w:p w14:paraId="5A8AEB5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534D6FF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八、本保函适用的法律为中华人民共和国法律，争议裁判管辖地为中华人民共和国</w:t>
      </w:r>
      <w:r>
        <w:rPr>
          <w:rFonts w:hint="eastAsia" w:ascii="宋体" w:hAnsi="宋体" w:eastAsia="宋体" w:cs="宋体"/>
          <w:color w:val="auto"/>
          <w:sz w:val="24"/>
          <w:highlight w:val="none"/>
          <w:u w:val="single"/>
        </w:rPr>
        <w:t>广西壮族自治区南宁市</w:t>
      </w:r>
      <w:r>
        <w:rPr>
          <w:rFonts w:hint="eastAsia" w:ascii="宋体" w:hAnsi="宋体" w:eastAsia="宋体" w:cs="宋体"/>
          <w:color w:val="auto"/>
          <w:sz w:val="24"/>
          <w:highlight w:val="none"/>
        </w:rPr>
        <w:t xml:space="preserve">。 </w:t>
      </w:r>
    </w:p>
    <w:p w14:paraId="4067E5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九、本保函自我方法定代表人或授权代表签字并加盖公章之日起生效。 </w:t>
      </w:r>
    </w:p>
    <w:p w14:paraId="048A8183">
      <w:pPr>
        <w:spacing w:line="360" w:lineRule="auto"/>
        <w:ind w:firstLine="480" w:firstLineChars="200"/>
        <w:rPr>
          <w:rFonts w:hint="eastAsia" w:ascii="宋体" w:hAnsi="宋体" w:eastAsia="宋体" w:cs="宋体"/>
          <w:color w:val="auto"/>
          <w:sz w:val="24"/>
          <w:highlight w:val="none"/>
        </w:rPr>
      </w:pPr>
    </w:p>
    <w:p w14:paraId="7EC1961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 立 人：                 （公章） </w:t>
      </w:r>
    </w:p>
    <w:p w14:paraId="1DD7D24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法定代表人（或授权代表）：               （签字） </w:t>
      </w:r>
    </w:p>
    <w:p w14:paraId="17E3E96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    址：                                       </w:t>
      </w:r>
    </w:p>
    <w:p w14:paraId="76616CE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p w14:paraId="0A2FC35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    话：                 </w:t>
      </w:r>
    </w:p>
    <w:p w14:paraId="05BF724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传    真：                 </w:t>
      </w:r>
    </w:p>
    <w:p w14:paraId="59ED960B">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 w:val="24"/>
          <w:highlight w:val="none"/>
        </w:rPr>
        <w:t xml:space="preserve">开立时间：      年      月     日    </w:t>
      </w:r>
    </w:p>
    <w:p w14:paraId="6BF4CC06">
      <w:pPr>
        <w:spacing w:line="360" w:lineRule="auto"/>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14:paraId="5CE51AB1">
      <w:pPr>
        <w:spacing w:line="360" w:lineRule="auto"/>
        <w:jc w:val="left"/>
        <w:rPr>
          <w:rFonts w:hint="eastAsia" w:ascii="宋体" w:hAnsi="宋体" w:eastAsia="宋体" w:cs="宋体"/>
          <w:color w:val="auto"/>
          <w:sz w:val="32"/>
          <w:szCs w:val="32"/>
          <w:highlight w:val="none"/>
        </w:rPr>
      </w:pPr>
      <w:r>
        <w:rPr>
          <w:rFonts w:hint="eastAsia" w:ascii="宋体" w:hAnsi="宋体" w:eastAsia="宋体" w:cs="宋体"/>
          <w:color w:val="auto"/>
          <w:sz w:val="30"/>
          <w:szCs w:val="30"/>
          <w:highlight w:val="none"/>
        </w:rPr>
        <w:t>附</w:t>
      </w:r>
      <w:bookmarkStart w:id="1281" w:name="_Toc296346732"/>
      <w:bookmarkStart w:id="1282" w:name="_Toc296891271"/>
      <w:bookmarkStart w:id="1283" w:name="_Toc296944570"/>
      <w:bookmarkStart w:id="1284" w:name="_Toc296503231"/>
      <w:bookmarkStart w:id="1285" w:name="_Toc296347230"/>
      <w:bookmarkStart w:id="1286" w:name="_Toc296891059"/>
      <w:r>
        <w:rPr>
          <w:rFonts w:hint="eastAsia" w:ascii="宋体" w:hAnsi="宋体" w:eastAsia="宋体" w:cs="宋体"/>
          <w:color w:val="auto"/>
          <w:sz w:val="30"/>
          <w:szCs w:val="30"/>
          <w:highlight w:val="none"/>
        </w:rPr>
        <w:t>件7：</w:t>
      </w:r>
    </w:p>
    <w:p w14:paraId="286B929B">
      <w:pPr>
        <w:spacing w:line="360" w:lineRule="auto"/>
        <w:rPr>
          <w:rFonts w:hint="eastAsia" w:ascii="宋体" w:hAnsi="宋体" w:eastAsia="宋体" w:cs="宋体"/>
          <w:b/>
          <w:bCs/>
          <w:color w:val="auto"/>
          <w:sz w:val="32"/>
          <w:szCs w:val="32"/>
          <w:highlight w:val="none"/>
        </w:rPr>
      </w:pPr>
    </w:p>
    <w:p w14:paraId="21DE4451">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履约保函示范文本</w:t>
      </w:r>
    </w:p>
    <w:p w14:paraId="00A5A51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（非独立保函）</w:t>
      </w:r>
    </w:p>
    <w:p w14:paraId="4A8F0827">
      <w:pPr>
        <w:spacing w:line="360" w:lineRule="auto"/>
        <w:jc w:val="center"/>
        <w:rPr>
          <w:rFonts w:hint="eastAsia" w:ascii="宋体" w:hAnsi="宋体" w:eastAsia="宋体" w:cs="宋体"/>
          <w:b/>
          <w:bCs/>
          <w:color w:val="auto"/>
          <w:sz w:val="32"/>
          <w:szCs w:val="32"/>
          <w:highlight w:val="none"/>
        </w:rPr>
      </w:pPr>
    </w:p>
    <w:p w14:paraId="73854121">
      <w:pPr>
        <w:wordWrap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编号：           </w:t>
      </w:r>
    </w:p>
    <w:p w14:paraId="622DBB1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w:t>
      </w:r>
    </w:p>
    <w:p w14:paraId="14A1E60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14:paraId="6E725E0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担保权人/发包人：</w:t>
      </w:r>
    </w:p>
    <w:p w14:paraId="1984A63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14:paraId="3E80817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保证人：</w:t>
      </w:r>
    </w:p>
    <w:p w14:paraId="7A48462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14:paraId="4E9450AF">
      <w:pPr>
        <w:spacing w:line="360" w:lineRule="auto"/>
        <w:rPr>
          <w:rFonts w:hint="eastAsia" w:ascii="宋体" w:hAnsi="宋体" w:eastAsia="宋体" w:cs="宋体"/>
          <w:color w:val="auto"/>
          <w:sz w:val="24"/>
          <w:highlight w:val="none"/>
        </w:rPr>
      </w:pPr>
    </w:p>
    <w:p w14:paraId="3B8B3B0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（发包人名称）： </w:t>
      </w:r>
    </w:p>
    <w:p w14:paraId="7F21211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鉴于（以下简称“发包人”）与（以下简称“承包人”）于</w:t>
      </w:r>
      <w:r>
        <w:rPr>
          <w:rFonts w:hint="eastAsia" w:ascii="宋体" w:hAnsi="宋体" w:eastAsia="宋体" w:cs="宋体"/>
          <w:color w:val="auto"/>
          <w:sz w:val="24"/>
          <w:highlight w:val="none"/>
          <w:u w:val="single"/>
        </w:rPr>
        <w:t xml:space="preserve">    年  月  日</w:t>
      </w:r>
      <w:r>
        <w:rPr>
          <w:rFonts w:hint="eastAsia" w:ascii="宋体" w:hAnsi="宋体" w:eastAsia="宋体" w:cs="宋体"/>
          <w:color w:val="auto"/>
          <w:sz w:val="24"/>
          <w:highlight w:val="none"/>
        </w:rPr>
        <w:t>就工程（以下简称“本工程”）施工和有关事项协商一致共同签订</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 xml:space="preserve">（以下简称“主合同”），我方即保证人基于承包人的请求，同意就承包人履行与贵方签订的主合同项下的义务，向贵方提供如下保证担保（以下简称“本保证担保”）。 </w:t>
      </w:r>
    </w:p>
    <w:p w14:paraId="151C381E">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一、保证担保的范围及保证担保金额</w:t>
      </w:r>
    </w:p>
    <w:p w14:paraId="0D7D6A2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证担保范围：承包人未按照主合同的约定履行义务，应当向贵方承担的违约责任和赔偿因此造成的损失、利息、律师费、诉讼费用、保全费、诉讼财产保全责任险保险费用、强制执行申请费等实现债权的费用。</w:t>
      </w:r>
    </w:p>
    <w:p w14:paraId="2488526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2.保证担保金额最高不超过人民币（大写）元（¥</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p>
    <w:p w14:paraId="6750B23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二、保证担保的方式及保证期间</w:t>
      </w:r>
    </w:p>
    <w:p w14:paraId="6DDE3BD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1.保证担保方式：连带责任保证。</w:t>
      </w:r>
    </w:p>
    <w:p w14:paraId="785D25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2.保证期间：自出具之日起至主合同约定的缺陷责任期后日止，最迟不超过</w:t>
      </w:r>
      <w:r>
        <w:rPr>
          <w:rFonts w:hint="eastAsia" w:ascii="宋体" w:hAnsi="宋体" w:eastAsia="宋体" w:cs="宋体"/>
          <w:color w:val="auto"/>
          <w:sz w:val="24"/>
          <w:highlight w:val="none"/>
          <w:u w:val="single"/>
        </w:rPr>
        <w:t xml:space="preserve">    年  月  日</w:t>
      </w:r>
      <w:r>
        <w:rPr>
          <w:rFonts w:hint="eastAsia" w:ascii="宋体" w:hAnsi="宋体" w:eastAsia="宋体" w:cs="宋体"/>
          <w:color w:val="auto"/>
          <w:sz w:val="24"/>
          <w:highlight w:val="none"/>
        </w:rPr>
        <w:t xml:space="preserve">。 </w:t>
      </w:r>
    </w:p>
    <w:p w14:paraId="7741268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三、承担保证担保责任的形式</w:t>
      </w:r>
    </w:p>
    <w:p w14:paraId="7E6FBE7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我方按照贵方的要求以下列方式之一承担保证担保责任：</w:t>
      </w:r>
    </w:p>
    <w:p w14:paraId="5302244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1.向承包人资金、设备或者技术援助，使其能继续履行合同义务；</w:t>
      </w:r>
    </w:p>
    <w:p w14:paraId="6A28F09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2.直接接管该项工程或者委托经贵方同意的其他承包商，继续履行合同义务；</w:t>
      </w:r>
    </w:p>
    <w:p w14:paraId="26BDC13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3.在保证担保金额最高限额内，按照合同约定，向贵方承担违约责任和赔偿因此造成的损失，以及利息和律师费、诉讼费用等实现债权的费用。</w:t>
      </w:r>
    </w:p>
    <w:p w14:paraId="45D7C4A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四、代偿的安排</w:t>
      </w:r>
    </w:p>
    <w:p w14:paraId="110105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贵方要求我方承担保证责任的，应向我方发出书面索赔通知及承包人未履行主合同约定义务的证明材料。索赔通知应写明要求索赔的金额，支付款项应到达的账号，并附有说明承包人违反主合同造成贵方损失情况的证明材料。</w:t>
      </w:r>
    </w:p>
    <w:p w14:paraId="0111F9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2.贵方以工程质量不符合主合同约定标准为由，向我方提出违约索赔的，还需同时提供符合相应条件要求的工程质量检测部门出具的质量说明材料。</w:t>
      </w:r>
    </w:p>
    <w:p w14:paraId="56C4A42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3.我方收到贵方的书面索赔通知及相应证明材料后，在工作日内进行核定后按照本保函的承诺承担保证责任。</w:t>
      </w:r>
    </w:p>
    <w:p w14:paraId="44A019E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五、保证担保责任的解除</w:t>
      </w:r>
    </w:p>
    <w:p w14:paraId="2840B94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1.保证期间届满贵方未向我方书面主张保证责任的，自保证期间届满次日起，我方解除保证责任。 </w:t>
      </w:r>
    </w:p>
    <w:p w14:paraId="452DBD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2.我方按照本保证担保向贵方履行了保证担保责任后，自我方向贵方支付的金额达到最高保证担保金额之日起，保证担保责任解除。 </w:t>
      </w:r>
    </w:p>
    <w:p w14:paraId="2D05BD0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3.按照法律法规的规定应解除我方保证担保责任的其它情形的，我方在本保证担保项下的保证担保责任亦解除。 </w:t>
      </w:r>
    </w:p>
    <w:p w14:paraId="5F18CA1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7BC938A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六、免责条款</w:t>
      </w:r>
    </w:p>
    <w:p w14:paraId="4288CA1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1.因贵方原因致使承包人未按照主合同约定履行义务的，我方不承担保证担保责任。 </w:t>
      </w:r>
    </w:p>
    <w:p w14:paraId="5E01E50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2.依照法律规定或贵方与发包人的另行约定，免除承包人部分或全部义务的，我方亦免除其相应的保证担保责任。 </w:t>
      </w:r>
    </w:p>
    <w:p w14:paraId="4E46990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3.因不可抗力造成承包人未按照主合同约定履行义务的，我方不承担保证担保责任。</w:t>
      </w:r>
    </w:p>
    <w:p w14:paraId="09C5E6A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七、其他</w:t>
      </w:r>
    </w:p>
    <w:p w14:paraId="600E9CC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1.本保证担保项下的权利不得转让，不得设定担保。贵方未经我方书面同意转让本保证担保或其项下任何权利，对我方不发生法律效力。 </w:t>
      </w:r>
    </w:p>
    <w:p w14:paraId="396D740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2.本保证担保适用的法律为中华人民共和国法律，争议裁判管辖地为中华人民共和国。</w:t>
      </w:r>
    </w:p>
    <w:p w14:paraId="2DB96BA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3.本保证担保自我方法定代表人或授权代表签字并加盖公章之日起生效。 </w:t>
      </w:r>
    </w:p>
    <w:p w14:paraId="1D193F2C">
      <w:pPr>
        <w:spacing w:line="360" w:lineRule="auto"/>
        <w:ind w:firstLine="480" w:firstLineChars="200"/>
        <w:rPr>
          <w:rFonts w:hint="eastAsia" w:ascii="宋体" w:hAnsi="宋体" w:eastAsia="宋体" w:cs="宋体"/>
          <w:color w:val="auto"/>
          <w:sz w:val="24"/>
          <w:highlight w:val="none"/>
        </w:rPr>
      </w:pPr>
    </w:p>
    <w:p w14:paraId="0617238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保 证 人：                              （公章） </w:t>
      </w:r>
    </w:p>
    <w:p w14:paraId="72B7192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法定代表人（或授权代表）：               （签字） </w:t>
      </w:r>
    </w:p>
    <w:p w14:paraId="011A1CF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    址：                                       </w:t>
      </w:r>
    </w:p>
    <w:p w14:paraId="077B5CD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p w14:paraId="71512D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    话：                 </w:t>
      </w:r>
    </w:p>
    <w:p w14:paraId="01DFD6D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传    真：                 </w:t>
      </w:r>
    </w:p>
    <w:p w14:paraId="69651B2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时 间：      年      月        日</w:t>
      </w:r>
    </w:p>
    <w:p w14:paraId="5D775F5A">
      <w:pPr>
        <w:spacing w:line="360" w:lineRule="auto"/>
        <w:rPr>
          <w:rFonts w:hint="eastAsia" w:ascii="宋体" w:hAnsi="宋体" w:eastAsia="宋体" w:cs="宋体"/>
          <w:color w:val="auto"/>
          <w:szCs w:val="21"/>
          <w:highlight w:val="none"/>
        </w:rPr>
      </w:pPr>
    </w:p>
    <w:p w14:paraId="5F7D370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bookmarkEnd w:id="1280"/>
    <w:bookmarkEnd w:id="1281"/>
    <w:bookmarkEnd w:id="1282"/>
    <w:bookmarkEnd w:id="1283"/>
    <w:bookmarkEnd w:id="1284"/>
    <w:bookmarkEnd w:id="1285"/>
    <w:bookmarkEnd w:id="1286"/>
    <w:p w14:paraId="333B90E4">
      <w:pPr>
        <w:spacing w:line="360" w:lineRule="auto"/>
        <w:jc w:val="left"/>
        <w:rPr>
          <w:rFonts w:hint="eastAsia" w:ascii="宋体" w:hAnsi="宋体" w:eastAsia="宋体" w:cs="宋体"/>
          <w:color w:val="auto"/>
          <w:sz w:val="32"/>
          <w:szCs w:val="32"/>
          <w:highlight w:val="none"/>
        </w:rPr>
      </w:pPr>
      <w:r>
        <w:rPr>
          <w:rFonts w:hint="eastAsia" w:ascii="宋体" w:hAnsi="宋体" w:eastAsia="宋体" w:cs="宋体"/>
          <w:color w:val="auto"/>
          <w:sz w:val="30"/>
          <w:szCs w:val="30"/>
          <w:highlight w:val="none"/>
        </w:rPr>
        <w:t>附件8：</w:t>
      </w:r>
    </w:p>
    <w:p w14:paraId="2CEEDF49">
      <w:pPr>
        <w:spacing w:line="360" w:lineRule="auto"/>
        <w:jc w:val="left"/>
        <w:rPr>
          <w:rFonts w:hint="eastAsia" w:ascii="宋体" w:hAnsi="宋体" w:eastAsia="宋体" w:cs="宋体"/>
          <w:b/>
          <w:bCs/>
          <w:color w:val="auto"/>
          <w:sz w:val="32"/>
          <w:szCs w:val="32"/>
          <w:highlight w:val="none"/>
        </w:rPr>
      </w:pPr>
    </w:p>
    <w:p w14:paraId="7CC2A942">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预付款保函示范文本</w:t>
      </w:r>
    </w:p>
    <w:p w14:paraId="7D0C756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（独立保函）</w:t>
      </w:r>
    </w:p>
    <w:p w14:paraId="3C7E73CE">
      <w:pPr>
        <w:wordWrap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编号：           </w:t>
      </w:r>
    </w:p>
    <w:p w14:paraId="5433C24D">
      <w:pPr>
        <w:spacing w:line="360" w:lineRule="auto"/>
        <w:rPr>
          <w:rFonts w:hint="eastAsia" w:ascii="宋体" w:hAnsi="宋体" w:eastAsia="宋体" w:cs="宋体"/>
          <w:color w:val="auto"/>
          <w:sz w:val="24"/>
          <w:highlight w:val="none"/>
        </w:rPr>
      </w:pPr>
    </w:p>
    <w:p w14:paraId="5743EF9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申请人：</w:t>
      </w:r>
    </w:p>
    <w:p w14:paraId="30C0F13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地址：</w:t>
      </w:r>
    </w:p>
    <w:p w14:paraId="009336B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受益人：</w:t>
      </w:r>
    </w:p>
    <w:p w14:paraId="1A54C99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地址：</w:t>
      </w:r>
    </w:p>
    <w:p w14:paraId="6C88B4B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开立人：</w:t>
      </w:r>
    </w:p>
    <w:p w14:paraId="3BA5E96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14:paraId="488A6D25">
      <w:pPr>
        <w:spacing w:line="360" w:lineRule="auto"/>
        <w:rPr>
          <w:rFonts w:hint="eastAsia" w:ascii="宋体" w:hAnsi="宋体" w:eastAsia="宋体" w:cs="宋体"/>
          <w:color w:val="auto"/>
          <w:sz w:val="24"/>
          <w:highlight w:val="none"/>
        </w:rPr>
      </w:pPr>
    </w:p>
    <w:p w14:paraId="41977E6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（受益人名称）： </w:t>
      </w:r>
    </w:p>
    <w:p w14:paraId="691DA4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鉴于（以下简称“受益人”）与（以下简称“申请人”）于</w:t>
      </w:r>
      <w:r>
        <w:rPr>
          <w:rFonts w:hint="eastAsia" w:ascii="宋体" w:hAnsi="宋体" w:eastAsia="宋体" w:cs="宋体"/>
          <w:color w:val="auto"/>
          <w:sz w:val="24"/>
          <w:highlight w:val="none"/>
          <w:u w:val="single"/>
        </w:rPr>
        <w:t xml:space="preserve">    年  月  日</w:t>
      </w:r>
      <w:r>
        <w:rPr>
          <w:rFonts w:hint="eastAsia" w:ascii="宋体" w:hAnsi="宋体" w:eastAsia="宋体" w:cs="宋体"/>
          <w:color w:val="auto"/>
          <w:sz w:val="24"/>
          <w:highlight w:val="none"/>
        </w:rPr>
        <w:t>就工程（以下简称“本工程”）施工和有关事项协商一致共同签订</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 xml:space="preserve">（以下简称“基础合同”），我方（即“开立人”）根据主合同了解到申请人为主合同项下之承包人，受益人为主合同项下之发包人，基于申请人的请求，我方同意就申请人按照合同约定正确和合理地为合同目的使用预付款，向贵方提供不可撤销、不可转让的见索即付独立保函（以下简称“本保函”）。 </w:t>
      </w:r>
    </w:p>
    <w:p w14:paraId="16A836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本保函担保范围：申请人未按照合同约定正确和合理地为合同目的使用预付款，应当向贵方承担的违约责任和赔偿因此造成的损失、利息、律师费、诉讼费用、保全费、诉讼财产保全责任险保险费用、强制执行申请费等实现债权的费用。</w:t>
      </w:r>
    </w:p>
    <w:p w14:paraId="0A3A5F4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二、本保函担保金额最高不超过人民币（大写）元（¥）。 </w:t>
      </w:r>
    </w:p>
    <w:p w14:paraId="2586C91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三、本保函有效期自开立之日起至发包人全额扣回预付款后日止，最迟不超过</w:t>
      </w:r>
      <w:r>
        <w:rPr>
          <w:rFonts w:hint="eastAsia" w:ascii="宋体" w:hAnsi="宋体" w:eastAsia="宋体" w:cs="宋体"/>
          <w:color w:val="auto"/>
          <w:sz w:val="24"/>
          <w:highlight w:val="none"/>
          <w:u w:val="single"/>
        </w:rPr>
        <w:t xml:space="preserve">    年  月  日</w:t>
      </w:r>
      <w:r>
        <w:rPr>
          <w:rFonts w:hint="eastAsia" w:ascii="宋体" w:hAnsi="宋体" w:eastAsia="宋体" w:cs="宋体"/>
          <w:color w:val="auto"/>
          <w:sz w:val="24"/>
          <w:highlight w:val="none"/>
        </w:rPr>
        <w:t>。</w:t>
      </w:r>
    </w:p>
    <w:p w14:paraId="3A205E8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四、我方承诺，在收到受益人发来的书面付款通知后的日内无条件支付，前述书面付款通知即为付款要求之单据，且应满足以下要求：</w:t>
      </w:r>
    </w:p>
    <w:p w14:paraId="066708B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（1）付款通知到达的日期在本保函的有效期内；</w:t>
      </w:r>
    </w:p>
    <w:p w14:paraId="6AD822B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（2）载明要求支付的金额；</w:t>
      </w:r>
    </w:p>
    <w:p w14:paraId="1E078AB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（3）载明申请人违反合同义务的条款和内容；</w:t>
      </w:r>
    </w:p>
    <w:p w14:paraId="0FF028F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（4）声明不存在合同文件约定或我国法律规定免除申请人或开立人支付责任的情形；</w:t>
      </w:r>
    </w:p>
    <w:p w14:paraId="2DC813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（5）付款通知应在本保函有效期内到达的地址是</w:t>
      </w:r>
      <w:r>
        <w:rPr>
          <w:rFonts w:hint="eastAsia" w:ascii="宋体" w:hAnsi="宋体" w:eastAsia="宋体" w:cs="宋体"/>
          <w:color w:val="auto"/>
          <w:sz w:val="24"/>
          <w:highlight w:val="none"/>
          <w:u w:val="single"/>
        </w:rPr>
        <w:t>：                    。</w:t>
      </w:r>
    </w:p>
    <w:p w14:paraId="0DCD553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受益人发出的书面付款通知应由其为鉴明受益人法定代表人（负责人）或授权代理人签字并加盖公章。</w:t>
      </w:r>
    </w:p>
    <w:p w14:paraId="40B36B7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五、本保函项下的权利不得转让，不得设定担保。贵方未经我方书面同意转 让本保函或其项下任何权利，对我方不发生法律效力。 </w:t>
      </w:r>
    </w:p>
    <w:p w14:paraId="3BD6097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六、与本保函有关的基础合同不成立、不生效、无效、被撤销、被解除，不影响本保函的独立有效。 </w:t>
      </w:r>
    </w:p>
    <w:p w14:paraId="33DA412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4E94538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八、本保函适用的法律为中华人民共和国法律，争议裁判管辖地为中华人民共和国</w:t>
      </w:r>
      <w:r>
        <w:rPr>
          <w:rFonts w:hint="eastAsia" w:ascii="宋体" w:hAnsi="宋体" w:eastAsia="宋体" w:cs="宋体"/>
          <w:color w:val="auto"/>
          <w:sz w:val="24"/>
          <w:highlight w:val="none"/>
          <w:u w:val="single"/>
        </w:rPr>
        <w:t xml:space="preserve"> 广西壮族自治区南宁市</w:t>
      </w:r>
      <w:r>
        <w:rPr>
          <w:rFonts w:hint="eastAsia" w:ascii="宋体" w:hAnsi="宋体" w:eastAsia="宋体" w:cs="宋体"/>
          <w:color w:val="auto"/>
          <w:sz w:val="24"/>
          <w:highlight w:val="none"/>
        </w:rPr>
        <w:t xml:space="preserve">。 </w:t>
      </w:r>
    </w:p>
    <w:p w14:paraId="0D5C072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九、本保函自我方法定代表人或授权代表签字并加盖公章之日起生效。 </w:t>
      </w:r>
    </w:p>
    <w:p w14:paraId="17C94F5D">
      <w:pPr>
        <w:spacing w:line="360" w:lineRule="auto"/>
        <w:ind w:firstLine="480" w:firstLineChars="200"/>
        <w:rPr>
          <w:rFonts w:hint="eastAsia" w:ascii="宋体" w:hAnsi="宋体" w:eastAsia="宋体" w:cs="宋体"/>
          <w:color w:val="auto"/>
          <w:sz w:val="24"/>
          <w:highlight w:val="none"/>
        </w:rPr>
      </w:pPr>
    </w:p>
    <w:p w14:paraId="2C614A03">
      <w:pPr>
        <w:spacing w:line="360" w:lineRule="auto"/>
        <w:ind w:firstLine="480" w:firstLineChars="200"/>
        <w:rPr>
          <w:rFonts w:hint="eastAsia" w:ascii="宋体" w:hAnsi="宋体" w:eastAsia="宋体" w:cs="宋体"/>
          <w:color w:val="auto"/>
          <w:sz w:val="24"/>
          <w:highlight w:val="none"/>
        </w:rPr>
      </w:pPr>
    </w:p>
    <w:p w14:paraId="3B2762F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 立 人：                 （公章） </w:t>
      </w:r>
    </w:p>
    <w:p w14:paraId="2F36CBD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法定代表人（或授权代表）：               （签字） </w:t>
      </w:r>
    </w:p>
    <w:p w14:paraId="56E7714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    址：                                       </w:t>
      </w:r>
    </w:p>
    <w:p w14:paraId="0CE4DEB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p w14:paraId="0DD60BE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    话：                 </w:t>
      </w:r>
    </w:p>
    <w:p w14:paraId="0D1196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传    真：                 </w:t>
      </w:r>
    </w:p>
    <w:p w14:paraId="15B60322">
      <w:pPr>
        <w:spacing w:line="360" w:lineRule="auto"/>
        <w:rPr>
          <w:rFonts w:hint="eastAsia" w:ascii="宋体" w:hAnsi="宋体" w:eastAsia="宋体" w:cs="宋体"/>
          <w:color w:val="auto"/>
          <w:szCs w:val="21"/>
          <w:highlight w:val="none"/>
        </w:rPr>
      </w:pPr>
      <w:r>
        <w:rPr>
          <w:rFonts w:hint="eastAsia" w:ascii="宋体" w:hAnsi="宋体" w:eastAsia="宋体" w:cs="宋体"/>
          <w:color w:val="auto"/>
          <w:sz w:val="24"/>
          <w:highlight w:val="none"/>
        </w:rPr>
        <w:t xml:space="preserve">    开立时间：      年      月        日</w:t>
      </w:r>
    </w:p>
    <w:p w14:paraId="20715CCB">
      <w:pPr>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color w:val="auto"/>
          <w:sz w:val="32"/>
          <w:szCs w:val="32"/>
          <w:highlight w:val="none"/>
        </w:rPr>
        <w:t>附件8</w:t>
      </w:r>
    </w:p>
    <w:p w14:paraId="30E92BFD">
      <w:pPr>
        <w:spacing w:line="360" w:lineRule="auto"/>
        <w:jc w:val="left"/>
        <w:rPr>
          <w:rFonts w:hint="eastAsia" w:ascii="宋体" w:hAnsi="宋体" w:eastAsia="宋体" w:cs="宋体"/>
          <w:b/>
          <w:bCs/>
          <w:color w:val="auto"/>
          <w:sz w:val="32"/>
          <w:szCs w:val="32"/>
          <w:highlight w:val="none"/>
        </w:rPr>
      </w:pPr>
    </w:p>
    <w:p w14:paraId="09E278C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预付款保函示范文本</w:t>
      </w:r>
    </w:p>
    <w:p w14:paraId="3C209407">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（非独立保函）</w:t>
      </w:r>
    </w:p>
    <w:p w14:paraId="6FA27F1E">
      <w:pPr>
        <w:wordWrap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编号：           </w:t>
      </w:r>
    </w:p>
    <w:p w14:paraId="552A7DCF">
      <w:pPr>
        <w:spacing w:line="360" w:lineRule="auto"/>
        <w:rPr>
          <w:rFonts w:hint="eastAsia" w:ascii="宋体" w:hAnsi="宋体" w:eastAsia="宋体" w:cs="宋体"/>
          <w:color w:val="auto"/>
          <w:sz w:val="24"/>
          <w:highlight w:val="none"/>
        </w:rPr>
      </w:pPr>
    </w:p>
    <w:p w14:paraId="2AF698D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担保权人/发包人：</w:t>
      </w:r>
    </w:p>
    <w:p w14:paraId="5EF657C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14:paraId="1B54DFD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w:t>
      </w:r>
    </w:p>
    <w:p w14:paraId="6BBB6FF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14:paraId="7E2C7CF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保证人：</w:t>
      </w:r>
    </w:p>
    <w:p w14:paraId="6459759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14:paraId="5F2C0BF8">
      <w:pPr>
        <w:spacing w:line="360" w:lineRule="auto"/>
        <w:rPr>
          <w:rFonts w:hint="eastAsia" w:ascii="宋体" w:hAnsi="宋体" w:eastAsia="宋体" w:cs="宋体"/>
          <w:color w:val="auto"/>
          <w:sz w:val="24"/>
          <w:highlight w:val="none"/>
        </w:rPr>
      </w:pPr>
    </w:p>
    <w:p w14:paraId="6F76D90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（发包人名称）： </w:t>
      </w:r>
    </w:p>
    <w:p w14:paraId="1670CA7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鉴于（以下简称“发包人”）与（以下简称“承包人”）于</w:t>
      </w:r>
      <w:r>
        <w:rPr>
          <w:rFonts w:hint="eastAsia" w:ascii="宋体" w:hAnsi="宋体" w:eastAsia="宋体" w:cs="宋体"/>
          <w:color w:val="auto"/>
          <w:sz w:val="24"/>
          <w:highlight w:val="none"/>
          <w:u w:val="single"/>
        </w:rPr>
        <w:t xml:space="preserve">    年  月  日</w:t>
      </w:r>
      <w:r>
        <w:rPr>
          <w:rFonts w:hint="eastAsia" w:ascii="宋体" w:hAnsi="宋体" w:eastAsia="宋体" w:cs="宋体"/>
          <w:color w:val="auto"/>
          <w:sz w:val="24"/>
          <w:highlight w:val="none"/>
        </w:rPr>
        <w:t>就工程（以下简称“本工程”）施工和有关事项协商一致共同签订</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 xml:space="preserve">（以下简称“主合同”），我方即保证人基于承包人的请求，同意就承包人按照合同约定正确和合理地为合同目的使用预付款，不将预付款挪作他用，向贵方提供如下保证担保（以下简称“本保证担保”）。 </w:t>
      </w:r>
    </w:p>
    <w:p w14:paraId="2209ADA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一、保证担保的范围及保证担保金额</w:t>
      </w:r>
    </w:p>
    <w:p w14:paraId="1A7407D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证担保范围：申请人未按照合同约定正确和合理地为合同目的使用预付款，应当向贵方承担的违约责任和赔偿因此造成的损失、利息、律师费、诉讼费用、保全费、诉讼财产保全责任险保险费用、强制执行申请费等实现债权的费用。</w:t>
      </w:r>
    </w:p>
    <w:p w14:paraId="49B3804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2.保证担保金额最高不超过人民币（大写）元（¥）。 </w:t>
      </w:r>
    </w:p>
    <w:p w14:paraId="0F4D8CC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二、保证担保的方式及保证期间</w:t>
      </w:r>
    </w:p>
    <w:p w14:paraId="6D9FFAD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1.保证担保方式：连带责任保证。</w:t>
      </w:r>
    </w:p>
    <w:p w14:paraId="652D50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2.保证期间：自出具之日起至发包人全额扣回预付款后日止，最迟不超过</w:t>
      </w:r>
      <w:r>
        <w:rPr>
          <w:rFonts w:hint="eastAsia" w:ascii="宋体" w:hAnsi="宋体" w:eastAsia="宋体" w:cs="宋体"/>
          <w:color w:val="auto"/>
          <w:sz w:val="24"/>
          <w:highlight w:val="none"/>
          <w:u w:val="single"/>
        </w:rPr>
        <w:t xml:space="preserve">    年  月  日</w:t>
      </w:r>
      <w:r>
        <w:rPr>
          <w:rFonts w:hint="eastAsia" w:ascii="宋体" w:hAnsi="宋体" w:eastAsia="宋体" w:cs="宋体"/>
          <w:color w:val="auto"/>
          <w:sz w:val="24"/>
          <w:highlight w:val="none"/>
        </w:rPr>
        <w:t xml:space="preserve">。 </w:t>
      </w:r>
    </w:p>
    <w:p w14:paraId="53E83BD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三、承担保证担保责任的形式</w:t>
      </w:r>
    </w:p>
    <w:p w14:paraId="0AAE67D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发生应承担保证责任情形的，我方在保证金额内向贵方支付，并赔偿因此给贵方造成的损失，以及利息和律师费、诉讼费用等实现债权的费用。</w:t>
      </w:r>
    </w:p>
    <w:p w14:paraId="28105A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四、代偿的安排</w:t>
      </w:r>
    </w:p>
    <w:p w14:paraId="078F95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贵方要求我方承担保证责任的，应向我方发出书面索赔通知及承包人未履行主合同约定义务的证明材料。索赔通知应写明要求索赔的金额，支付款项应到达的账号，并附有说明承包人违反主合同造成贵方损失情况的证明材料。</w:t>
      </w:r>
    </w:p>
    <w:p w14:paraId="49C49A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2.我方收到贵方的书面索赔通知及相应证明材料后，在工作日内进行核定后按照本保函的承诺承担保证责任。</w:t>
      </w:r>
    </w:p>
    <w:p w14:paraId="3A79F77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五、保证担保责任的解除</w:t>
      </w:r>
    </w:p>
    <w:p w14:paraId="1A81A8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1.保证期间届满贵方未向我方书面主张保证责任的，自保证期间届满次日起，我方解除保证责任。 </w:t>
      </w:r>
    </w:p>
    <w:p w14:paraId="18226A0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2.我方按照本保证担保向贵方履行了保证担保责任后，自我方向贵方支付的金额达到最高保证担保金额之日起，保证担保责任解除。 </w:t>
      </w:r>
    </w:p>
    <w:p w14:paraId="5EB7CC8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3.按照法律法规的规定应解除我方保证担保责任的其它情形的，我方在本保证担保项下的保证担保责任亦解除。 </w:t>
      </w:r>
    </w:p>
    <w:p w14:paraId="7717711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73A30A0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六、免责条款</w:t>
      </w:r>
    </w:p>
    <w:p w14:paraId="2172621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1.因贵方原因致使发生应承担保证责任情形的，我方不承担保证担保责任。 </w:t>
      </w:r>
    </w:p>
    <w:p w14:paraId="0F20431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2.依照法律规定或贵方与承包人的另行约定，免除承包人部分或全部义务的，我方亦免除其相应的保证担保责任。 </w:t>
      </w:r>
    </w:p>
    <w:p w14:paraId="00F92E2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3.因不可抗力造成发生应承担保证责任情形的，我方不承担保证担保责任。</w:t>
      </w:r>
    </w:p>
    <w:p w14:paraId="2C82C61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七、其他</w:t>
      </w:r>
    </w:p>
    <w:p w14:paraId="4A065D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1.本保证担保项下的权利不得转让，不得设定担保。贵方未经我方书面同意转让本保证担保或其项下任何权利，对我方不发生法律效力。 </w:t>
      </w:r>
    </w:p>
    <w:p w14:paraId="56CFC41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2.本保证担保适用的法律为中华人民共和国法律，争议裁判管辖地为中华人民共和国。</w:t>
      </w:r>
    </w:p>
    <w:p w14:paraId="11BB46D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3.本保证担保自我方法定代表人或授权代表签字并加盖公章之日起生效。 </w:t>
      </w:r>
    </w:p>
    <w:p w14:paraId="745DC268">
      <w:pPr>
        <w:spacing w:line="360" w:lineRule="auto"/>
        <w:ind w:firstLine="480" w:firstLineChars="200"/>
        <w:rPr>
          <w:rFonts w:hint="eastAsia" w:ascii="宋体" w:hAnsi="宋体" w:eastAsia="宋体" w:cs="宋体"/>
          <w:color w:val="auto"/>
          <w:sz w:val="24"/>
          <w:highlight w:val="none"/>
        </w:rPr>
      </w:pPr>
    </w:p>
    <w:p w14:paraId="6506FCF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保 证 人：                （公章） </w:t>
      </w:r>
    </w:p>
    <w:p w14:paraId="46E8406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法定代表人（或授权代表）：               （签字） </w:t>
      </w:r>
    </w:p>
    <w:p w14:paraId="709D7C9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    址：                                       </w:t>
      </w:r>
    </w:p>
    <w:p w14:paraId="08699E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p w14:paraId="1A68E0E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    话：                 </w:t>
      </w:r>
    </w:p>
    <w:p w14:paraId="510216D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传    真：                 </w:t>
      </w:r>
    </w:p>
    <w:p w14:paraId="191E97F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时 间：      年      月        日</w:t>
      </w:r>
    </w:p>
    <w:p w14:paraId="619AB880">
      <w:pPr>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30"/>
          <w:szCs w:val="30"/>
          <w:highlight w:val="none"/>
        </w:rPr>
        <w:t>附件9：</w:t>
      </w:r>
    </w:p>
    <w:p w14:paraId="3484C503">
      <w:pPr>
        <w:spacing w:line="360" w:lineRule="auto"/>
        <w:jc w:val="left"/>
        <w:rPr>
          <w:rFonts w:hint="eastAsia" w:ascii="宋体" w:hAnsi="宋体" w:eastAsia="宋体" w:cs="宋体"/>
          <w:b/>
          <w:bCs/>
          <w:color w:val="auto"/>
          <w:sz w:val="32"/>
          <w:szCs w:val="32"/>
          <w:highlight w:val="none"/>
        </w:rPr>
      </w:pPr>
    </w:p>
    <w:p w14:paraId="03D2EA83">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支付保函示范文本</w:t>
      </w:r>
    </w:p>
    <w:p w14:paraId="7A150518">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（独立保函）</w:t>
      </w:r>
    </w:p>
    <w:p w14:paraId="3F75C97A">
      <w:pPr>
        <w:wordWrap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编号：           </w:t>
      </w:r>
    </w:p>
    <w:p w14:paraId="7E976D6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申请人：</w:t>
      </w:r>
    </w:p>
    <w:p w14:paraId="2107FE8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地址：</w:t>
      </w:r>
    </w:p>
    <w:p w14:paraId="35948B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受益人：</w:t>
      </w:r>
    </w:p>
    <w:p w14:paraId="6E06599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地址：</w:t>
      </w:r>
    </w:p>
    <w:p w14:paraId="69FF8CC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开立人：</w:t>
      </w:r>
    </w:p>
    <w:p w14:paraId="444E941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14:paraId="118B281A">
      <w:pPr>
        <w:spacing w:line="360" w:lineRule="auto"/>
        <w:rPr>
          <w:rFonts w:hint="eastAsia" w:ascii="宋体" w:hAnsi="宋体" w:eastAsia="宋体" w:cs="宋体"/>
          <w:color w:val="auto"/>
          <w:sz w:val="24"/>
          <w:highlight w:val="none"/>
        </w:rPr>
      </w:pPr>
    </w:p>
    <w:p w14:paraId="777CE54E">
      <w:pPr>
        <w:spacing w:line="360" w:lineRule="auto"/>
        <w:rPr>
          <w:rFonts w:hint="eastAsia" w:ascii="宋体" w:hAnsi="宋体" w:eastAsia="宋体" w:cs="宋体"/>
          <w:color w:val="auto"/>
          <w:sz w:val="24"/>
          <w:highlight w:val="none"/>
        </w:rPr>
      </w:pPr>
      <w:bookmarkStart w:id="1287" w:name="_Hlk40355074"/>
      <w:r>
        <w:rPr>
          <w:rFonts w:hint="eastAsia" w:ascii="宋体" w:hAnsi="宋体" w:eastAsia="宋体" w:cs="宋体"/>
          <w:color w:val="auto"/>
          <w:sz w:val="24"/>
          <w:highlight w:val="none"/>
        </w:rPr>
        <w:t xml:space="preserve">（受益人名称）： </w:t>
      </w:r>
    </w:p>
    <w:bookmarkEnd w:id="1287"/>
    <w:p w14:paraId="4F13AC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鉴于（以下简称“受益人”）与（以下简称“申请人”）于</w:t>
      </w:r>
      <w:r>
        <w:rPr>
          <w:rFonts w:hint="eastAsia" w:ascii="宋体" w:hAnsi="宋体" w:eastAsia="宋体" w:cs="宋体"/>
          <w:color w:val="auto"/>
          <w:sz w:val="24"/>
          <w:highlight w:val="none"/>
          <w:u w:val="single"/>
        </w:rPr>
        <w:t xml:space="preserve">    年  月  日</w:t>
      </w:r>
      <w:r>
        <w:rPr>
          <w:rFonts w:hint="eastAsia" w:ascii="宋体" w:hAnsi="宋体" w:eastAsia="宋体" w:cs="宋体"/>
          <w:color w:val="auto"/>
          <w:sz w:val="24"/>
          <w:highlight w:val="none"/>
        </w:rPr>
        <w:t>就工程（以下简称“本工程”）施工和有关事项协商一致共同签订</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 xml:space="preserve">（以下简称基础合同”），我方（即“开立人”）根据基础合同了解到申请人为基础合同项下之发包人，受益人为基础合同项下之承包人，基于申请人的请求，我方同意就申请人履行与贵方签订的基础合同项下的工程款（指基础合同约定的除工程质量保修金以外的工程款）付款义务，向贵方提供不可撤销、不可转让的见索即付独立保函（以下简称“本保函”）。 </w:t>
      </w:r>
    </w:p>
    <w:p w14:paraId="17C7DEB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本保函担保范围：申请人未履行基础合同约定的工程款支付义务，应当向贵方承担的违约责任和赔偿因此造成的损失、利息、律师费、诉讼费用、保全费、诉讼财产保全责任险保险费用、强制执行申请费等实现债权的费用。</w:t>
      </w:r>
    </w:p>
    <w:p w14:paraId="0ED35A0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二、本保函担保金额最高不超过人民币（大写）元（¥）。 </w:t>
      </w:r>
    </w:p>
    <w:p w14:paraId="04B32FB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三、本保函有效期自开立之日起至基础合同约定的除工程质量保修金以外的全部工程结算款项支付之日后日止，最迟不超过</w:t>
      </w:r>
      <w:r>
        <w:rPr>
          <w:rFonts w:hint="eastAsia" w:ascii="宋体" w:hAnsi="宋体" w:eastAsia="宋体" w:cs="宋体"/>
          <w:color w:val="auto"/>
          <w:sz w:val="24"/>
          <w:highlight w:val="none"/>
          <w:u w:val="single"/>
        </w:rPr>
        <w:t xml:space="preserve">    年  月  日</w:t>
      </w:r>
      <w:r>
        <w:rPr>
          <w:rFonts w:hint="eastAsia" w:ascii="宋体" w:hAnsi="宋体" w:eastAsia="宋体" w:cs="宋体"/>
          <w:color w:val="auto"/>
          <w:sz w:val="24"/>
          <w:highlight w:val="none"/>
        </w:rPr>
        <w:t xml:space="preserve">。 </w:t>
      </w:r>
    </w:p>
    <w:p w14:paraId="3FDF063A">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四、我方承诺，在收到受益人发来的书面付款通知后的日内无条件支付，前述书面付款通知即为付款要求之单据，且应满足以下要求：</w:t>
      </w:r>
    </w:p>
    <w:p w14:paraId="32D17E8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（1）付款通知到达的日期在本保函的有效期内；</w:t>
      </w:r>
    </w:p>
    <w:p w14:paraId="456202A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（2）载明要求支付的金额；</w:t>
      </w:r>
    </w:p>
    <w:p w14:paraId="461C002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（3）载明申请人违反合同义务的条款和内容；</w:t>
      </w:r>
    </w:p>
    <w:p w14:paraId="295CA52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（4）声明不存在合同文件约定或我国法律规定免除申请人或开立人支付责任的情形；</w:t>
      </w:r>
    </w:p>
    <w:p w14:paraId="6FFF1A9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（5）付款通知应在本保函有效期内到达的地址是</w:t>
      </w:r>
      <w:r>
        <w:rPr>
          <w:rFonts w:hint="eastAsia" w:ascii="宋体" w:hAnsi="宋体" w:eastAsia="宋体" w:cs="宋体"/>
          <w:color w:val="auto"/>
          <w:sz w:val="24"/>
          <w:highlight w:val="none"/>
          <w:u w:val="single"/>
        </w:rPr>
        <w:t>：                    。</w:t>
      </w:r>
    </w:p>
    <w:p w14:paraId="75E32BC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受益人发出的书面付款通知应由其为鉴明受益人法定代表人（负责人）或授权代理人签字并加盖公章。</w:t>
      </w:r>
    </w:p>
    <w:p w14:paraId="4A87298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五、本保函项下的权利不得转让，不得设定担保。贵方未经我方书面同意转 让本保函或其项下任何权利，对我方不发生法律效力。 </w:t>
      </w:r>
    </w:p>
    <w:p w14:paraId="2741C21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六、与本保函有关的基础合同不成立、不生效、无效、被撤销、被解除，不影响本保函的独立有效。 </w:t>
      </w:r>
    </w:p>
    <w:p w14:paraId="72E62D2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1BA91FC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八、本保函适用的法律为中华人民共和国法律，争议裁判管辖地为中华人民共和国</w:t>
      </w:r>
      <w:r>
        <w:rPr>
          <w:rFonts w:hint="eastAsia" w:ascii="宋体" w:hAnsi="宋体" w:eastAsia="宋体" w:cs="宋体"/>
          <w:color w:val="auto"/>
          <w:sz w:val="24"/>
          <w:highlight w:val="none"/>
          <w:u w:val="single"/>
        </w:rPr>
        <w:t xml:space="preserve"> 广西壮族自治区南宁市</w:t>
      </w:r>
      <w:r>
        <w:rPr>
          <w:rFonts w:hint="eastAsia" w:ascii="宋体" w:hAnsi="宋体" w:eastAsia="宋体" w:cs="宋体"/>
          <w:color w:val="auto"/>
          <w:sz w:val="24"/>
          <w:highlight w:val="none"/>
        </w:rPr>
        <w:t xml:space="preserve">。 </w:t>
      </w:r>
    </w:p>
    <w:p w14:paraId="502957C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九、本保函自我方法定代表人</w:t>
      </w:r>
      <w:bookmarkStart w:id="1288" w:name="_Hlk58487855"/>
      <w:r>
        <w:rPr>
          <w:rFonts w:hint="eastAsia" w:ascii="宋体" w:hAnsi="宋体" w:eastAsia="宋体" w:cs="宋体"/>
          <w:color w:val="auto"/>
          <w:sz w:val="24"/>
          <w:highlight w:val="none"/>
        </w:rPr>
        <w:t>或授权代表</w:t>
      </w:r>
      <w:bookmarkEnd w:id="1288"/>
      <w:r>
        <w:rPr>
          <w:rFonts w:hint="eastAsia" w:ascii="宋体" w:hAnsi="宋体" w:eastAsia="宋体" w:cs="宋体"/>
          <w:color w:val="auto"/>
          <w:sz w:val="24"/>
          <w:highlight w:val="none"/>
        </w:rPr>
        <w:t xml:space="preserve">签字并加盖公章之日起生效。 </w:t>
      </w:r>
    </w:p>
    <w:p w14:paraId="70294353">
      <w:pPr>
        <w:spacing w:line="360" w:lineRule="auto"/>
        <w:ind w:firstLine="480" w:firstLineChars="200"/>
        <w:rPr>
          <w:rFonts w:hint="eastAsia" w:ascii="宋体" w:hAnsi="宋体" w:eastAsia="宋体" w:cs="宋体"/>
          <w:color w:val="auto"/>
          <w:sz w:val="24"/>
          <w:highlight w:val="none"/>
        </w:rPr>
      </w:pPr>
    </w:p>
    <w:p w14:paraId="18EDF753">
      <w:pPr>
        <w:spacing w:line="360" w:lineRule="auto"/>
        <w:ind w:firstLine="480" w:firstLineChars="200"/>
        <w:rPr>
          <w:rFonts w:hint="eastAsia" w:ascii="宋体" w:hAnsi="宋体" w:eastAsia="宋体" w:cs="宋体"/>
          <w:color w:val="auto"/>
          <w:sz w:val="24"/>
          <w:highlight w:val="none"/>
        </w:rPr>
      </w:pPr>
    </w:p>
    <w:p w14:paraId="1C763A3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 立 人：                 （公章） </w:t>
      </w:r>
    </w:p>
    <w:p w14:paraId="03F3F7D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法定代表人（或授权代表）：               （签字） </w:t>
      </w:r>
    </w:p>
    <w:p w14:paraId="62B8E1D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    址：                                       </w:t>
      </w:r>
    </w:p>
    <w:p w14:paraId="69E7F48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p w14:paraId="1982E73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    话：                 </w:t>
      </w:r>
    </w:p>
    <w:p w14:paraId="0BFC72C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传    真：                 </w:t>
      </w:r>
    </w:p>
    <w:p w14:paraId="07314CA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开立时间：      年      月        日</w:t>
      </w:r>
    </w:p>
    <w:p w14:paraId="47F5C564">
      <w:pPr>
        <w:spacing w:line="360" w:lineRule="auto"/>
        <w:ind w:firstLine="480" w:firstLineChars="200"/>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32"/>
          <w:szCs w:val="32"/>
          <w:highlight w:val="none"/>
        </w:rPr>
        <w:t>附件9：</w:t>
      </w:r>
    </w:p>
    <w:p w14:paraId="4E60D082">
      <w:pPr>
        <w:spacing w:line="360" w:lineRule="auto"/>
        <w:jc w:val="left"/>
        <w:rPr>
          <w:rFonts w:hint="eastAsia" w:ascii="宋体" w:hAnsi="宋体" w:eastAsia="宋体" w:cs="宋体"/>
          <w:b/>
          <w:bCs/>
          <w:color w:val="auto"/>
          <w:sz w:val="32"/>
          <w:szCs w:val="32"/>
          <w:highlight w:val="none"/>
        </w:rPr>
      </w:pPr>
    </w:p>
    <w:p w14:paraId="045BF4EF">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支付保函示范文本</w:t>
      </w:r>
    </w:p>
    <w:p w14:paraId="156C32E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（非独立保函）</w:t>
      </w:r>
    </w:p>
    <w:p w14:paraId="4E105960">
      <w:pPr>
        <w:wordWrap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编号：      </w:t>
      </w:r>
    </w:p>
    <w:p w14:paraId="4BE88B2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w:t>
      </w:r>
    </w:p>
    <w:p w14:paraId="220BEE0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14:paraId="442A058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担保权人/承包人：</w:t>
      </w:r>
    </w:p>
    <w:p w14:paraId="5D35672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14:paraId="2B90685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保证人：</w:t>
      </w:r>
    </w:p>
    <w:p w14:paraId="3D9FFD4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14:paraId="157B7411">
      <w:pPr>
        <w:spacing w:line="360" w:lineRule="auto"/>
        <w:rPr>
          <w:rFonts w:hint="eastAsia" w:ascii="宋体" w:hAnsi="宋体" w:eastAsia="宋体" w:cs="宋体"/>
          <w:color w:val="auto"/>
          <w:sz w:val="24"/>
          <w:highlight w:val="none"/>
        </w:rPr>
      </w:pPr>
    </w:p>
    <w:p w14:paraId="36E41ED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（承包人名称）： </w:t>
      </w:r>
    </w:p>
    <w:p w14:paraId="3C7AD98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鉴于（以下简称“发包人”）与（以下简称“承包人”）于</w:t>
      </w:r>
      <w:r>
        <w:rPr>
          <w:rFonts w:hint="eastAsia" w:ascii="宋体" w:hAnsi="宋体" w:eastAsia="宋体" w:cs="宋体"/>
          <w:color w:val="auto"/>
          <w:sz w:val="24"/>
          <w:highlight w:val="none"/>
          <w:u w:val="single"/>
        </w:rPr>
        <w:t xml:space="preserve">    年  月  日</w:t>
      </w:r>
      <w:r>
        <w:rPr>
          <w:rFonts w:hint="eastAsia" w:ascii="宋体" w:hAnsi="宋体" w:eastAsia="宋体" w:cs="宋体"/>
          <w:color w:val="auto"/>
          <w:sz w:val="24"/>
          <w:highlight w:val="none"/>
        </w:rPr>
        <w:t>就工程（以下简称“本工程”）施工和有关事项协商一致共同签订</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 xml:space="preserve">（以下简称“主合同”），我方即保证人基于发包人的请求，同意就发包人履行与贵方签订的主合同项下的工程款（指主合同约定的除工程质量保修金以外的全部工程结算款项）付款义务，向贵方提供如下保证担保（以下简称“本保证担保”）。 </w:t>
      </w:r>
    </w:p>
    <w:p w14:paraId="5B43F6E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一、保证担保的范围及保证担保金额</w:t>
      </w:r>
    </w:p>
    <w:p w14:paraId="57527B7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证担保范围：申请人未履行主合同约定的工程款支付义务，应当向贵方承担的违约责任和赔偿因此造成的损失、利息、律师费、诉讼费用、保全费、诉讼财产保全责任险保险费用、强制执行申请费等实现债权的费用。</w:t>
      </w:r>
    </w:p>
    <w:p w14:paraId="370352C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2.保证担保金额最高不超过人民币（大写）元（¥）。 </w:t>
      </w:r>
    </w:p>
    <w:p w14:paraId="77D4702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二、保证担保的方式及保证期间</w:t>
      </w:r>
    </w:p>
    <w:p w14:paraId="100E825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1.保证担保方式：连带责任保证。</w:t>
      </w:r>
    </w:p>
    <w:p w14:paraId="4E90FA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2.保证期间：自出具之日起至主合同约定的除工程质量保修金以外的工程款支付之日后日止，最迟不超过</w:t>
      </w:r>
      <w:r>
        <w:rPr>
          <w:rFonts w:hint="eastAsia" w:ascii="宋体" w:hAnsi="宋体" w:eastAsia="宋体" w:cs="宋体"/>
          <w:color w:val="auto"/>
          <w:sz w:val="24"/>
          <w:highlight w:val="none"/>
          <w:u w:val="single"/>
        </w:rPr>
        <w:t xml:space="preserve">    年  月  日</w:t>
      </w:r>
      <w:r>
        <w:rPr>
          <w:rFonts w:hint="eastAsia" w:ascii="宋体" w:hAnsi="宋体" w:eastAsia="宋体" w:cs="宋体"/>
          <w:color w:val="auto"/>
          <w:sz w:val="24"/>
          <w:highlight w:val="none"/>
        </w:rPr>
        <w:t xml:space="preserve">。 </w:t>
      </w:r>
    </w:p>
    <w:p w14:paraId="2FB7E22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三、承担保证担保责任的形式</w:t>
      </w:r>
    </w:p>
    <w:p w14:paraId="7062883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发包人未按合同约定向贵方支付主合同项下工程款的，由我方在保证金额内代为支付，并赔偿因此给贵方造成的损失，以及利息和律师费、诉讼费用等实现债权的费用。</w:t>
      </w:r>
    </w:p>
    <w:p w14:paraId="276E59E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四、代偿的安排</w:t>
      </w:r>
    </w:p>
    <w:p w14:paraId="6CC0649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1.贵方要求我方承担保证责任的，应向我方发出书面索赔通知及发包人未支付主合同约定工程款的证明材料。索赔通知应写明要求索赔的金额，支付款项应到达的账号。</w:t>
      </w:r>
    </w:p>
    <w:p w14:paraId="2839FF9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336070B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3.我方收到贵方的书面索赔通知及相应证明材料后，在工作日内进行核定后按照本保函的承诺承担保证责任。</w:t>
      </w:r>
    </w:p>
    <w:p w14:paraId="798EE87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五、保证担保责任的解除</w:t>
      </w:r>
    </w:p>
    <w:p w14:paraId="6E46558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1.保证期间届满贵方未向我方书面主张保证责任的，自保证期间届满次日起，我方解除保证责任。 </w:t>
      </w:r>
    </w:p>
    <w:p w14:paraId="0C8A73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2.我方按照本保证担保向贵方履行了保证担保责任后，自我方向贵方支付的金额达到最高保证担保金额之日起，保证担保责任解除。 </w:t>
      </w:r>
    </w:p>
    <w:p w14:paraId="7268FEF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3.按照法律法规的规定应解除我方保证担保责任的其它情形的，我方在本保证担保项下的保证担保责任亦解除。 </w:t>
      </w:r>
    </w:p>
    <w:p w14:paraId="1D324F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008A3DB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六、免责条款</w:t>
      </w:r>
    </w:p>
    <w:p w14:paraId="40F7226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1.因贵方原因致使发包人未履行主合同项下工程款付款义务的，我方不承担保证担保责任。 </w:t>
      </w:r>
    </w:p>
    <w:p w14:paraId="4DC976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2.依照法律规定或贵方与发包人的另行约定，免除发包人部分或全部义务的，我方亦免除其相应的保证担保责任。 </w:t>
      </w:r>
    </w:p>
    <w:p w14:paraId="70D36D2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3.因不可抗力造成发包人未履行主合同项下工程款付款义务的，我方不承担保证担保责任。</w:t>
      </w:r>
    </w:p>
    <w:p w14:paraId="0FDF91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七、其他</w:t>
      </w:r>
    </w:p>
    <w:p w14:paraId="6027D39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1.本保证担保项下的权利不得转让，不得设定担保。贵方未经我方书面同意转让本保证担保或其项下任何权利，对我方不发生法律效力。 </w:t>
      </w:r>
    </w:p>
    <w:p w14:paraId="7955F21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2.本保证担保适用的法律为中华人民共和国法律，争议裁判管辖地为中华人民共和国</w:t>
      </w:r>
      <w:r>
        <w:rPr>
          <w:rFonts w:hint="eastAsia" w:ascii="宋体" w:hAnsi="宋体" w:eastAsia="宋体" w:cs="宋体"/>
          <w:color w:val="auto"/>
          <w:sz w:val="24"/>
          <w:highlight w:val="none"/>
          <w:u w:val="single"/>
        </w:rPr>
        <w:t>广西壮族自治区南宁市</w:t>
      </w:r>
      <w:r>
        <w:rPr>
          <w:rFonts w:hint="eastAsia" w:ascii="宋体" w:hAnsi="宋体" w:eastAsia="宋体" w:cs="宋体"/>
          <w:color w:val="auto"/>
          <w:sz w:val="24"/>
          <w:highlight w:val="none"/>
        </w:rPr>
        <w:t>。</w:t>
      </w:r>
    </w:p>
    <w:p w14:paraId="37CD98E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3.本保证担保自我方法定代表人或授权代表签字并加盖公章之日起生效。 </w:t>
      </w:r>
    </w:p>
    <w:p w14:paraId="19D3DFD3">
      <w:pPr>
        <w:spacing w:line="360" w:lineRule="auto"/>
        <w:ind w:firstLine="480" w:firstLineChars="200"/>
        <w:rPr>
          <w:rFonts w:hint="eastAsia" w:ascii="宋体" w:hAnsi="宋体" w:eastAsia="宋体" w:cs="宋体"/>
          <w:color w:val="auto"/>
          <w:sz w:val="24"/>
          <w:highlight w:val="none"/>
        </w:rPr>
      </w:pPr>
    </w:p>
    <w:p w14:paraId="6DAD45C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保 证 人：                （公章） </w:t>
      </w:r>
    </w:p>
    <w:p w14:paraId="036E6A7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法定代表人（或授权代表）：               （签字） </w:t>
      </w:r>
    </w:p>
    <w:p w14:paraId="56E9C83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    址：                                       </w:t>
      </w:r>
    </w:p>
    <w:p w14:paraId="3F82B57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p w14:paraId="2B2E66F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    话：                 </w:t>
      </w:r>
    </w:p>
    <w:p w14:paraId="56B5F27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传    真：                 </w:t>
      </w:r>
    </w:p>
    <w:p w14:paraId="4282292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时 间：      年      月        日</w:t>
      </w:r>
    </w:p>
    <w:p w14:paraId="68DB9A35">
      <w:pPr>
        <w:spacing w:line="360" w:lineRule="auto"/>
        <w:rPr>
          <w:rFonts w:hint="eastAsia" w:ascii="宋体" w:hAnsi="宋体" w:eastAsia="宋体" w:cs="宋体"/>
          <w:color w:val="auto"/>
          <w:szCs w:val="21"/>
          <w:highlight w:val="none"/>
        </w:rPr>
      </w:pPr>
    </w:p>
    <w:p w14:paraId="03E7E003">
      <w:pPr>
        <w:spacing w:line="360" w:lineRule="auto"/>
        <w:ind w:firstLine="480" w:firstLineChars="200"/>
        <w:rPr>
          <w:rFonts w:hint="eastAsia" w:ascii="宋体" w:hAnsi="宋体" w:eastAsia="宋体" w:cs="宋体"/>
          <w:color w:val="auto"/>
          <w:sz w:val="30"/>
          <w:szCs w:val="30"/>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30"/>
          <w:szCs w:val="30"/>
          <w:highlight w:val="none"/>
        </w:rPr>
        <w:t xml:space="preserve"> 附件10：</w:t>
      </w:r>
    </w:p>
    <w:p w14:paraId="3CE0F849">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预付款支付申请（核准）表</w:t>
      </w:r>
    </w:p>
    <w:p w14:paraId="678B043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工程名称：                                             编号：</w:t>
      </w:r>
    </w:p>
    <w:tbl>
      <w:tblPr>
        <w:tblStyle w:val="3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8"/>
        <w:gridCol w:w="4697"/>
      </w:tblGrid>
      <w:tr w14:paraId="7F95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noWrap w:val="0"/>
            <w:vAlign w:val="top"/>
          </w:tcPr>
          <w:p w14:paraId="57898067">
            <w:pPr>
              <w:spacing w:line="360" w:lineRule="auto"/>
              <w:ind w:left="525" w:leftChars="149" w:hanging="212" w:hangingChars="10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（发包人全称）</w:t>
            </w:r>
          </w:p>
          <w:p w14:paraId="6926B91B">
            <w:pPr>
              <w:spacing w:line="360" w:lineRule="auto"/>
              <w:ind w:left="-4" w:leftChars="-2"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我方根据施工合同的约定，现申请支付工程预付款额为(大写)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元，(小写)</w:t>
            </w:r>
          </w:p>
          <w:p w14:paraId="74CB92E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元，请予核准。</w:t>
            </w:r>
          </w:p>
          <w:tbl>
            <w:tblPr>
              <w:tblStyle w:val="38"/>
              <w:tblpPr w:leftFromText="180" w:rightFromText="180" w:vertAnchor="page" w:horzAnchor="margin" w:tblpY="1309"/>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340"/>
              <w:gridCol w:w="1764"/>
              <w:gridCol w:w="2240"/>
              <w:gridCol w:w="1080"/>
            </w:tblGrid>
            <w:tr w14:paraId="4FF1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5725B02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340" w:type="dxa"/>
                  <w:noWrap w:val="0"/>
                  <w:vAlign w:val="center"/>
                </w:tcPr>
                <w:p w14:paraId="3F86719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p>
              </w:tc>
              <w:tc>
                <w:tcPr>
                  <w:tcW w:w="1764" w:type="dxa"/>
                  <w:noWrap w:val="0"/>
                  <w:vAlign w:val="center"/>
                </w:tcPr>
                <w:p w14:paraId="0B9DC5F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申请金额（元）</w:t>
                  </w:r>
                </w:p>
              </w:tc>
              <w:tc>
                <w:tcPr>
                  <w:tcW w:w="2240" w:type="dxa"/>
                  <w:noWrap w:val="0"/>
                  <w:vAlign w:val="center"/>
                </w:tcPr>
                <w:p w14:paraId="48D7D91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复核金额（元）</w:t>
                  </w:r>
                </w:p>
              </w:tc>
              <w:tc>
                <w:tcPr>
                  <w:tcW w:w="1080" w:type="dxa"/>
                  <w:noWrap w:val="0"/>
                  <w:vAlign w:val="center"/>
                </w:tcPr>
                <w:p w14:paraId="1E00058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2A0C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A39974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340" w:type="dxa"/>
                  <w:noWrap w:val="0"/>
                  <w:vAlign w:val="top"/>
                </w:tcPr>
                <w:p w14:paraId="651A9A4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已签约合同价款金额</w:t>
                  </w:r>
                </w:p>
              </w:tc>
              <w:tc>
                <w:tcPr>
                  <w:tcW w:w="1764" w:type="dxa"/>
                  <w:noWrap w:val="0"/>
                  <w:vAlign w:val="top"/>
                </w:tcPr>
                <w:p w14:paraId="47B9ED1C">
                  <w:pPr>
                    <w:spacing w:line="360" w:lineRule="auto"/>
                    <w:rPr>
                      <w:rFonts w:hint="eastAsia" w:ascii="宋体" w:hAnsi="宋体" w:eastAsia="宋体" w:cs="宋体"/>
                      <w:color w:val="auto"/>
                      <w:szCs w:val="21"/>
                      <w:highlight w:val="none"/>
                    </w:rPr>
                  </w:pPr>
                </w:p>
              </w:tc>
              <w:tc>
                <w:tcPr>
                  <w:tcW w:w="2240" w:type="dxa"/>
                  <w:noWrap w:val="0"/>
                  <w:vAlign w:val="top"/>
                </w:tcPr>
                <w:p w14:paraId="6FB16B42">
                  <w:pPr>
                    <w:spacing w:line="360" w:lineRule="auto"/>
                    <w:rPr>
                      <w:rFonts w:hint="eastAsia" w:ascii="宋体" w:hAnsi="宋体" w:eastAsia="宋体" w:cs="宋体"/>
                      <w:color w:val="auto"/>
                      <w:szCs w:val="21"/>
                      <w:highlight w:val="none"/>
                    </w:rPr>
                  </w:pPr>
                </w:p>
              </w:tc>
              <w:tc>
                <w:tcPr>
                  <w:tcW w:w="1080" w:type="dxa"/>
                  <w:noWrap w:val="0"/>
                  <w:vAlign w:val="top"/>
                </w:tcPr>
                <w:p w14:paraId="3F786C83">
                  <w:pPr>
                    <w:spacing w:line="360" w:lineRule="auto"/>
                    <w:rPr>
                      <w:rFonts w:hint="eastAsia" w:ascii="宋体" w:hAnsi="宋体" w:eastAsia="宋体" w:cs="宋体"/>
                      <w:color w:val="auto"/>
                      <w:szCs w:val="21"/>
                      <w:highlight w:val="none"/>
                    </w:rPr>
                  </w:pPr>
                </w:p>
              </w:tc>
            </w:tr>
            <w:tr w14:paraId="70AC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0B1CB7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340" w:type="dxa"/>
                  <w:noWrap w:val="0"/>
                  <w:vAlign w:val="top"/>
                </w:tcPr>
                <w:p w14:paraId="0B0CFF6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其中：安全文明施工费</w:t>
                  </w:r>
                </w:p>
              </w:tc>
              <w:tc>
                <w:tcPr>
                  <w:tcW w:w="1764" w:type="dxa"/>
                  <w:noWrap w:val="0"/>
                  <w:vAlign w:val="top"/>
                </w:tcPr>
                <w:p w14:paraId="11848323">
                  <w:pPr>
                    <w:spacing w:line="360" w:lineRule="auto"/>
                    <w:rPr>
                      <w:rFonts w:hint="eastAsia" w:ascii="宋体" w:hAnsi="宋体" w:eastAsia="宋体" w:cs="宋体"/>
                      <w:color w:val="auto"/>
                      <w:szCs w:val="21"/>
                      <w:highlight w:val="none"/>
                    </w:rPr>
                  </w:pPr>
                </w:p>
              </w:tc>
              <w:tc>
                <w:tcPr>
                  <w:tcW w:w="2240" w:type="dxa"/>
                  <w:noWrap w:val="0"/>
                  <w:vAlign w:val="top"/>
                </w:tcPr>
                <w:p w14:paraId="13103AAD">
                  <w:pPr>
                    <w:spacing w:line="360" w:lineRule="auto"/>
                    <w:rPr>
                      <w:rFonts w:hint="eastAsia" w:ascii="宋体" w:hAnsi="宋体" w:eastAsia="宋体" w:cs="宋体"/>
                      <w:color w:val="auto"/>
                      <w:szCs w:val="21"/>
                      <w:highlight w:val="none"/>
                    </w:rPr>
                  </w:pPr>
                </w:p>
              </w:tc>
              <w:tc>
                <w:tcPr>
                  <w:tcW w:w="1080" w:type="dxa"/>
                  <w:noWrap w:val="0"/>
                  <w:vAlign w:val="top"/>
                </w:tcPr>
                <w:p w14:paraId="05E16963">
                  <w:pPr>
                    <w:spacing w:line="360" w:lineRule="auto"/>
                    <w:rPr>
                      <w:rFonts w:hint="eastAsia" w:ascii="宋体" w:hAnsi="宋体" w:eastAsia="宋体" w:cs="宋体"/>
                      <w:color w:val="auto"/>
                      <w:szCs w:val="21"/>
                      <w:highlight w:val="none"/>
                    </w:rPr>
                  </w:pPr>
                </w:p>
              </w:tc>
            </w:tr>
            <w:tr w14:paraId="6D6C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324351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340" w:type="dxa"/>
                  <w:noWrap w:val="0"/>
                  <w:vAlign w:val="top"/>
                </w:tcPr>
                <w:p w14:paraId="27F895A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应支付的预付款</w:t>
                  </w:r>
                </w:p>
              </w:tc>
              <w:tc>
                <w:tcPr>
                  <w:tcW w:w="1764" w:type="dxa"/>
                  <w:noWrap w:val="0"/>
                  <w:vAlign w:val="top"/>
                </w:tcPr>
                <w:p w14:paraId="43F89544">
                  <w:pPr>
                    <w:spacing w:line="360" w:lineRule="auto"/>
                    <w:rPr>
                      <w:rFonts w:hint="eastAsia" w:ascii="宋体" w:hAnsi="宋体" w:eastAsia="宋体" w:cs="宋体"/>
                      <w:color w:val="auto"/>
                      <w:szCs w:val="21"/>
                      <w:highlight w:val="none"/>
                    </w:rPr>
                  </w:pPr>
                </w:p>
              </w:tc>
              <w:tc>
                <w:tcPr>
                  <w:tcW w:w="2240" w:type="dxa"/>
                  <w:noWrap w:val="0"/>
                  <w:vAlign w:val="top"/>
                </w:tcPr>
                <w:p w14:paraId="3B1BAE1F">
                  <w:pPr>
                    <w:spacing w:line="360" w:lineRule="auto"/>
                    <w:rPr>
                      <w:rFonts w:hint="eastAsia" w:ascii="宋体" w:hAnsi="宋体" w:eastAsia="宋体" w:cs="宋体"/>
                      <w:color w:val="auto"/>
                      <w:szCs w:val="21"/>
                      <w:highlight w:val="none"/>
                    </w:rPr>
                  </w:pPr>
                </w:p>
              </w:tc>
              <w:tc>
                <w:tcPr>
                  <w:tcW w:w="1080" w:type="dxa"/>
                  <w:noWrap w:val="0"/>
                  <w:vAlign w:val="top"/>
                </w:tcPr>
                <w:p w14:paraId="09DE6F99">
                  <w:pPr>
                    <w:spacing w:line="360" w:lineRule="auto"/>
                    <w:rPr>
                      <w:rFonts w:hint="eastAsia" w:ascii="宋体" w:hAnsi="宋体" w:eastAsia="宋体" w:cs="宋体"/>
                      <w:color w:val="auto"/>
                      <w:szCs w:val="21"/>
                      <w:highlight w:val="none"/>
                    </w:rPr>
                  </w:pPr>
                </w:p>
              </w:tc>
            </w:tr>
            <w:tr w14:paraId="764B6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4D320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340" w:type="dxa"/>
                  <w:noWrap w:val="0"/>
                  <w:vAlign w:val="top"/>
                </w:tcPr>
                <w:p w14:paraId="5C5B280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应支付的安全文明施工费预付款</w:t>
                  </w:r>
                </w:p>
              </w:tc>
              <w:tc>
                <w:tcPr>
                  <w:tcW w:w="1764" w:type="dxa"/>
                  <w:noWrap w:val="0"/>
                  <w:vAlign w:val="top"/>
                </w:tcPr>
                <w:p w14:paraId="376C0CD9">
                  <w:pPr>
                    <w:spacing w:line="360" w:lineRule="auto"/>
                    <w:rPr>
                      <w:rFonts w:hint="eastAsia" w:ascii="宋体" w:hAnsi="宋体" w:eastAsia="宋体" w:cs="宋体"/>
                      <w:color w:val="auto"/>
                      <w:szCs w:val="21"/>
                      <w:highlight w:val="none"/>
                    </w:rPr>
                  </w:pPr>
                </w:p>
              </w:tc>
              <w:tc>
                <w:tcPr>
                  <w:tcW w:w="2240" w:type="dxa"/>
                  <w:noWrap w:val="0"/>
                  <w:vAlign w:val="top"/>
                </w:tcPr>
                <w:p w14:paraId="1A900C3D">
                  <w:pPr>
                    <w:spacing w:line="360" w:lineRule="auto"/>
                    <w:rPr>
                      <w:rFonts w:hint="eastAsia" w:ascii="宋体" w:hAnsi="宋体" w:eastAsia="宋体" w:cs="宋体"/>
                      <w:color w:val="auto"/>
                      <w:szCs w:val="21"/>
                      <w:highlight w:val="none"/>
                    </w:rPr>
                  </w:pPr>
                </w:p>
              </w:tc>
              <w:tc>
                <w:tcPr>
                  <w:tcW w:w="1080" w:type="dxa"/>
                  <w:noWrap w:val="0"/>
                  <w:vAlign w:val="top"/>
                </w:tcPr>
                <w:p w14:paraId="57863FD7">
                  <w:pPr>
                    <w:spacing w:line="360" w:lineRule="auto"/>
                    <w:rPr>
                      <w:rFonts w:hint="eastAsia" w:ascii="宋体" w:hAnsi="宋体" w:eastAsia="宋体" w:cs="宋体"/>
                      <w:color w:val="auto"/>
                      <w:szCs w:val="21"/>
                      <w:highlight w:val="none"/>
                    </w:rPr>
                  </w:pPr>
                </w:p>
              </w:tc>
            </w:tr>
            <w:tr w14:paraId="4E49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A4DF90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340" w:type="dxa"/>
                  <w:noWrap w:val="0"/>
                  <w:vAlign w:val="top"/>
                </w:tcPr>
                <w:p w14:paraId="5B35EC2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合计应支付的预付款</w:t>
                  </w:r>
                </w:p>
              </w:tc>
              <w:tc>
                <w:tcPr>
                  <w:tcW w:w="1764" w:type="dxa"/>
                  <w:noWrap w:val="0"/>
                  <w:vAlign w:val="top"/>
                </w:tcPr>
                <w:p w14:paraId="4439CA7A">
                  <w:pPr>
                    <w:spacing w:line="360" w:lineRule="auto"/>
                    <w:rPr>
                      <w:rFonts w:hint="eastAsia" w:ascii="宋体" w:hAnsi="宋体" w:eastAsia="宋体" w:cs="宋体"/>
                      <w:color w:val="auto"/>
                      <w:szCs w:val="21"/>
                      <w:highlight w:val="none"/>
                    </w:rPr>
                  </w:pPr>
                </w:p>
              </w:tc>
              <w:tc>
                <w:tcPr>
                  <w:tcW w:w="2240" w:type="dxa"/>
                  <w:noWrap w:val="0"/>
                  <w:vAlign w:val="top"/>
                </w:tcPr>
                <w:p w14:paraId="18725441">
                  <w:pPr>
                    <w:spacing w:line="360" w:lineRule="auto"/>
                    <w:rPr>
                      <w:rFonts w:hint="eastAsia" w:ascii="宋体" w:hAnsi="宋体" w:eastAsia="宋体" w:cs="宋体"/>
                      <w:color w:val="auto"/>
                      <w:szCs w:val="21"/>
                      <w:highlight w:val="none"/>
                    </w:rPr>
                  </w:pPr>
                </w:p>
              </w:tc>
              <w:tc>
                <w:tcPr>
                  <w:tcW w:w="1080" w:type="dxa"/>
                  <w:noWrap w:val="0"/>
                  <w:vAlign w:val="top"/>
                </w:tcPr>
                <w:p w14:paraId="5C7A0BA0">
                  <w:pPr>
                    <w:spacing w:line="360" w:lineRule="auto"/>
                    <w:rPr>
                      <w:rFonts w:hint="eastAsia" w:ascii="宋体" w:hAnsi="宋体" w:eastAsia="宋体" w:cs="宋体"/>
                      <w:color w:val="auto"/>
                      <w:szCs w:val="21"/>
                      <w:highlight w:val="none"/>
                    </w:rPr>
                  </w:pPr>
                </w:p>
              </w:tc>
            </w:tr>
            <w:tr w14:paraId="7CBE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FD58A05">
                  <w:pPr>
                    <w:spacing w:line="360" w:lineRule="auto"/>
                    <w:jc w:val="center"/>
                    <w:rPr>
                      <w:rFonts w:hint="eastAsia" w:ascii="宋体" w:hAnsi="宋体" w:eastAsia="宋体" w:cs="宋体"/>
                      <w:color w:val="auto"/>
                      <w:szCs w:val="21"/>
                      <w:highlight w:val="none"/>
                    </w:rPr>
                  </w:pPr>
                </w:p>
              </w:tc>
              <w:tc>
                <w:tcPr>
                  <w:tcW w:w="3340" w:type="dxa"/>
                  <w:noWrap w:val="0"/>
                  <w:vAlign w:val="top"/>
                </w:tcPr>
                <w:p w14:paraId="1E4BEF3B">
                  <w:pPr>
                    <w:spacing w:line="360" w:lineRule="auto"/>
                    <w:rPr>
                      <w:rFonts w:hint="eastAsia" w:ascii="宋体" w:hAnsi="宋体" w:eastAsia="宋体" w:cs="宋体"/>
                      <w:color w:val="auto"/>
                      <w:szCs w:val="21"/>
                      <w:highlight w:val="none"/>
                    </w:rPr>
                  </w:pPr>
                </w:p>
              </w:tc>
              <w:tc>
                <w:tcPr>
                  <w:tcW w:w="1764" w:type="dxa"/>
                  <w:noWrap w:val="0"/>
                  <w:vAlign w:val="top"/>
                </w:tcPr>
                <w:p w14:paraId="0F71CC43">
                  <w:pPr>
                    <w:spacing w:line="360" w:lineRule="auto"/>
                    <w:rPr>
                      <w:rFonts w:hint="eastAsia" w:ascii="宋体" w:hAnsi="宋体" w:eastAsia="宋体" w:cs="宋体"/>
                      <w:color w:val="auto"/>
                      <w:szCs w:val="21"/>
                      <w:highlight w:val="none"/>
                    </w:rPr>
                  </w:pPr>
                </w:p>
              </w:tc>
              <w:tc>
                <w:tcPr>
                  <w:tcW w:w="2240" w:type="dxa"/>
                  <w:noWrap w:val="0"/>
                  <w:vAlign w:val="top"/>
                </w:tcPr>
                <w:p w14:paraId="0FB1B120">
                  <w:pPr>
                    <w:spacing w:line="360" w:lineRule="auto"/>
                    <w:rPr>
                      <w:rFonts w:hint="eastAsia" w:ascii="宋体" w:hAnsi="宋体" w:eastAsia="宋体" w:cs="宋体"/>
                      <w:color w:val="auto"/>
                      <w:szCs w:val="21"/>
                      <w:highlight w:val="none"/>
                    </w:rPr>
                  </w:pPr>
                </w:p>
              </w:tc>
              <w:tc>
                <w:tcPr>
                  <w:tcW w:w="1080" w:type="dxa"/>
                  <w:noWrap w:val="0"/>
                  <w:vAlign w:val="top"/>
                </w:tcPr>
                <w:p w14:paraId="5033A758">
                  <w:pPr>
                    <w:spacing w:line="360" w:lineRule="auto"/>
                    <w:rPr>
                      <w:rFonts w:hint="eastAsia" w:ascii="宋体" w:hAnsi="宋体" w:eastAsia="宋体" w:cs="宋体"/>
                      <w:color w:val="auto"/>
                      <w:szCs w:val="21"/>
                      <w:highlight w:val="none"/>
                    </w:rPr>
                  </w:pPr>
                </w:p>
              </w:tc>
            </w:tr>
          </w:tbl>
          <w:p w14:paraId="2A637AD0">
            <w:pPr>
              <w:wordWrap w:val="0"/>
              <w:spacing w:line="360" w:lineRule="auto"/>
              <w:ind w:right="420"/>
              <w:rPr>
                <w:rFonts w:hint="eastAsia" w:ascii="宋体" w:hAnsi="宋体" w:eastAsia="宋体" w:cs="宋体"/>
                <w:color w:val="auto"/>
                <w:szCs w:val="21"/>
                <w:highlight w:val="none"/>
              </w:rPr>
            </w:pPr>
          </w:p>
          <w:p w14:paraId="3FD1E54C">
            <w:pPr>
              <w:wordWrap w:val="0"/>
              <w:spacing w:line="360" w:lineRule="auto"/>
              <w:ind w:righ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承包人（章）             </w:t>
            </w:r>
          </w:p>
          <w:p w14:paraId="3658641A">
            <w:pPr>
              <w:spacing w:line="360" w:lineRule="auto"/>
              <w:ind w:right="42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造价人员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承包人代表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p>
        </w:tc>
      </w:tr>
      <w:tr w14:paraId="48E8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noWrap w:val="0"/>
            <w:vAlign w:val="top"/>
          </w:tcPr>
          <w:p w14:paraId="2894CC3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复核意见：</w:t>
            </w:r>
          </w:p>
          <w:p w14:paraId="4DB9F5B2">
            <w:pPr>
              <w:spacing w:line="360" w:lineRule="auto"/>
              <w:ind w:firstLine="31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□与合同约定不相符，修改意见见附件。</w:t>
            </w:r>
          </w:p>
          <w:p w14:paraId="51075FF8">
            <w:pPr>
              <w:spacing w:line="360" w:lineRule="auto"/>
              <w:ind w:firstLine="31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□与合同约定相符，具体金额由造价工程师复核。</w:t>
            </w:r>
          </w:p>
          <w:p w14:paraId="3D3A0C6B">
            <w:pPr>
              <w:spacing w:line="360" w:lineRule="auto"/>
              <w:ind w:firstLine="435"/>
              <w:jc w:val="right"/>
              <w:rPr>
                <w:rFonts w:hint="eastAsia" w:ascii="宋体" w:hAnsi="宋体" w:eastAsia="宋体" w:cs="宋体"/>
                <w:color w:val="auto"/>
                <w:szCs w:val="21"/>
                <w:highlight w:val="none"/>
              </w:rPr>
            </w:pPr>
          </w:p>
          <w:p w14:paraId="30FA17F7">
            <w:pPr>
              <w:spacing w:line="360" w:lineRule="auto"/>
              <w:ind w:firstLine="435"/>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监理工程师</w:t>
            </w:r>
            <w:r>
              <w:rPr>
                <w:rFonts w:hint="eastAsia" w:ascii="宋体" w:hAnsi="宋体" w:eastAsia="宋体" w:cs="宋体"/>
                <w:color w:val="auto"/>
                <w:szCs w:val="21"/>
                <w:highlight w:val="none"/>
                <w:u w:val="single"/>
              </w:rPr>
              <w:t xml:space="preserve">           </w:t>
            </w:r>
          </w:p>
          <w:p w14:paraId="731D304D">
            <w:pPr>
              <w:spacing w:line="360" w:lineRule="auto"/>
              <w:ind w:firstLine="435"/>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p>
        </w:tc>
        <w:tc>
          <w:tcPr>
            <w:tcW w:w="4552" w:type="dxa"/>
            <w:noWrap w:val="0"/>
            <w:vAlign w:val="top"/>
          </w:tcPr>
          <w:p w14:paraId="06510E3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复核意见：</w:t>
            </w:r>
          </w:p>
          <w:p w14:paraId="7C441C38">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你方提出的支付申请经复核，应支付预付款金额为(大写)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元，（小写）</w:t>
            </w:r>
          </w:p>
          <w:p w14:paraId="1BFC91F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元。</w:t>
            </w:r>
          </w:p>
          <w:p w14:paraId="1D8BF40E">
            <w:pPr>
              <w:spacing w:line="360" w:lineRule="auto"/>
              <w:rPr>
                <w:rFonts w:hint="eastAsia" w:ascii="宋体" w:hAnsi="宋体" w:eastAsia="宋体" w:cs="宋体"/>
                <w:color w:val="auto"/>
                <w:szCs w:val="21"/>
                <w:highlight w:val="none"/>
                <w:u w:val="single"/>
              </w:rPr>
            </w:pPr>
          </w:p>
          <w:p w14:paraId="02A2592F">
            <w:pPr>
              <w:spacing w:line="360" w:lineRule="auto"/>
              <w:ind w:firstLine="435"/>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造价工程师</w:t>
            </w:r>
            <w:r>
              <w:rPr>
                <w:rFonts w:hint="eastAsia" w:ascii="宋体" w:hAnsi="宋体" w:eastAsia="宋体" w:cs="宋体"/>
                <w:color w:val="auto"/>
                <w:szCs w:val="21"/>
                <w:highlight w:val="none"/>
                <w:u w:val="single"/>
              </w:rPr>
              <w:t xml:space="preserve">           </w:t>
            </w:r>
          </w:p>
          <w:p w14:paraId="0F668673">
            <w:pPr>
              <w:spacing w:line="360" w:lineRule="auto"/>
              <w:ind w:firstLine="435"/>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p>
        </w:tc>
      </w:tr>
      <w:tr w14:paraId="2226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7C0784D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审核意见：</w:t>
            </w:r>
          </w:p>
          <w:p w14:paraId="3E38B381">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□不同意。</w:t>
            </w:r>
          </w:p>
          <w:p w14:paraId="0C62A7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□同意，支付时间为本表签发后的15天内。</w:t>
            </w:r>
          </w:p>
          <w:p w14:paraId="7DB8E2C4">
            <w:pPr>
              <w:wordWrap w:val="0"/>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发包人（章）           </w:t>
            </w:r>
          </w:p>
          <w:p w14:paraId="47333B03">
            <w:pPr>
              <w:wordWrap w:val="0"/>
              <w:spacing w:line="360" w:lineRule="auto"/>
              <w:ind w:firstLine="420" w:firstLineChars="200"/>
              <w:jc w:val="righ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发包人代表</w:t>
            </w:r>
            <w:r>
              <w:rPr>
                <w:rFonts w:hint="eastAsia" w:ascii="宋体" w:hAnsi="宋体" w:eastAsia="宋体" w:cs="宋体"/>
                <w:color w:val="auto"/>
                <w:szCs w:val="21"/>
                <w:highlight w:val="none"/>
                <w:u w:val="single"/>
              </w:rPr>
              <w:t xml:space="preserve">             </w:t>
            </w:r>
          </w:p>
          <w:p w14:paraId="6E26A73F">
            <w:pPr>
              <w:wordWrap w:val="0"/>
              <w:spacing w:line="360" w:lineRule="auto"/>
              <w:ind w:firstLine="420" w:firstLineChars="200"/>
              <w:jc w:val="righ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p>
        </w:tc>
      </w:tr>
    </w:tbl>
    <w:p w14:paraId="62A35517">
      <w:pPr>
        <w:spacing w:before="165" w:beforeLines="50" w:line="360" w:lineRule="auto"/>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注：1.在选择栏中的“□”内作标识“√”。 </w:t>
      </w:r>
    </w:p>
    <w:p w14:paraId="6665990E">
      <w:pPr>
        <w:spacing w:before="165" w:beforeLines="50" w:line="360" w:lineRule="auto"/>
        <w:ind w:left="720" w:hanging="720" w:hangingChars="400"/>
        <w:rPr>
          <w:rFonts w:hint="eastAsia" w:ascii="宋体" w:hAnsi="宋体" w:eastAsia="宋体" w:cs="宋体"/>
          <w:color w:val="auto"/>
          <w:sz w:val="30"/>
          <w:szCs w:val="30"/>
          <w:highlight w:val="none"/>
        </w:rPr>
      </w:pPr>
      <w:r>
        <w:rPr>
          <w:rFonts w:hint="eastAsia" w:ascii="宋体" w:hAnsi="宋体" w:eastAsia="宋体" w:cs="宋体"/>
          <w:color w:val="auto"/>
          <w:sz w:val="18"/>
          <w:szCs w:val="18"/>
          <w:highlight w:val="none"/>
        </w:rPr>
        <w:t xml:space="preserve">        2.本表一式四份，由承包人填报，发包人、监理人、造价咨询人、承包人各存一份。</w:t>
      </w:r>
    </w:p>
    <w:p w14:paraId="0A2A4CC5">
      <w:pPr>
        <w:spacing w:before="165" w:beforeLines="50" w:line="360" w:lineRule="auto"/>
        <w:ind w:left="1200" w:hanging="1200" w:hangingChars="400"/>
        <w:rPr>
          <w:rFonts w:hint="eastAsia" w:ascii="宋体" w:hAnsi="宋体" w:eastAsia="宋体" w:cs="宋体"/>
          <w:color w:val="auto"/>
          <w:sz w:val="30"/>
          <w:szCs w:val="30"/>
          <w:highlight w:val="none"/>
        </w:rPr>
      </w:pPr>
    </w:p>
    <w:p w14:paraId="59677F0A">
      <w:pPr>
        <w:spacing w:before="165" w:beforeLines="50" w:line="360" w:lineRule="auto"/>
        <w:ind w:left="1200" w:hanging="1200" w:hangingChars="4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附件11：</w:t>
      </w:r>
    </w:p>
    <w:p w14:paraId="3C23681D">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进度款支付申请（核准）表</w:t>
      </w:r>
    </w:p>
    <w:p w14:paraId="3479BB0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工程名称：                                             编号：</w:t>
      </w:r>
    </w:p>
    <w:tbl>
      <w:tblPr>
        <w:tblStyle w:val="3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0"/>
        <w:gridCol w:w="4552"/>
      </w:tblGrid>
      <w:tr w14:paraId="2F87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noWrap w:val="0"/>
            <w:vAlign w:val="top"/>
          </w:tcPr>
          <w:p w14:paraId="20E894CB">
            <w:pPr>
              <w:spacing w:line="360" w:lineRule="auto"/>
              <w:ind w:left="525" w:leftChars="149" w:hanging="212" w:hangingChars="10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（发包人全称）</w:t>
            </w:r>
          </w:p>
          <w:p w14:paraId="2A847151">
            <w:pPr>
              <w:spacing w:line="360" w:lineRule="auto"/>
              <w:ind w:left="-4" w:leftChars="-2"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期间已完成了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工作，根据施工合同的约定，现申请支付本期的合同款额为(大写)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元，请予核准。</w:t>
            </w:r>
          </w:p>
          <w:tbl>
            <w:tblPr>
              <w:tblStyle w:val="38"/>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340"/>
              <w:gridCol w:w="1340"/>
              <w:gridCol w:w="1440"/>
              <w:gridCol w:w="1260"/>
              <w:gridCol w:w="931"/>
            </w:tblGrid>
            <w:tr w14:paraId="293C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371139F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340" w:type="dxa"/>
                  <w:noWrap w:val="0"/>
                  <w:vAlign w:val="center"/>
                </w:tcPr>
                <w:p w14:paraId="5EBAE1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p>
              </w:tc>
              <w:tc>
                <w:tcPr>
                  <w:tcW w:w="1340" w:type="dxa"/>
                  <w:noWrap w:val="0"/>
                  <w:vAlign w:val="center"/>
                </w:tcPr>
                <w:p w14:paraId="699CA81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实际金额（元）</w:t>
                  </w:r>
                </w:p>
              </w:tc>
              <w:tc>
                <w:tcPr>
                  <w:tcW w:w="1440" w:type="dxa"/>
                  <w:noWrap w:val="0"/>
                  <w:vAlign w:val="center"/>
                </w:tcPr>
                <w:p w14:paraId="247A930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申请金额（元）</w:t>
                  </w:r>
                </w:p>
              </w:tc>
              <w:tc>
                <w:tcPr>
                  <w:tcW w:w="1260" w:type="dxa"/>
                  <w:noWrap w:val="0"/>
                  <w:vAlign w:val="center"/>
                </w:tcPr>
                <w:p w14:paraId="244E12F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复核金额（元）</w:t>
                  </w:r>
                </w:p>
              </w:tc>
              <w:tc>
                <w:tcPr>
                  <w:tcW w:w="931" w:type="dxa"/>
                  <w:noWrap w:val="0"/>
                  <w:vAlign w:val="center"/>
                </w:tcPr>
                <w:p w14:paraId="12DC5BF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1422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7A3BDD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340" w:type="dxa"/>
                  <w:noWrap w:val="0"/>
                  <w:vAlign w:val="top"/>
                </w:tcPr>
                <w:p w14:paraId="4BF0A6D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累计已完成的工程价款</w:t>
                  </w:r>
                </w:p>
              </w:tc>
              <w:tc>
                <w:tcPr>
                  <w:tcW w:w="1340" w:type="dxa"/>
                  <w:noWrap w:val="0"/>
                  <w:vAlign w:val="top"/>
                </w:tcPr>
                <w:p w14:paraId="5A5A538C">
                  <w:pPr>
                    <w:spacing w:line="360" w:lineRule="auto"/>
                    <w:rPr>
                      <w:rFonts w:hint="eastAsia" w:ascii="宋体" w:hAnsi="宋体" w:eastAsia="宋体" w:cs="宋体"/>
                      <w:color w:val="auto"/>
                      <w:szCs w:val="21"/>
                      <w:highlight w:val="none"/>
                    </w:rPr>
                  </w:pPr>
                </w:p>
              </w:tc>
              <w:tc>
                <w:tcPr>
                  <w:tcW w:w="1440" w:type="dxa"/>
                  <w:noWrap w:val="0"/>
                  <w:vAlign w:val="top"/>
                </w:tcPr>
                <w:p w14:paraId="4429ADAC">
                  <w:pPr>
                    <w:spacing w:line="360" w:lineRule="auto"/>
                    <w:rPr>
                      <w:rFonts w:hint="eastAsia" w:ascii="宋体" w:hAnsi="宋体" w:eastAsia="宋体" w:cs="宋体"/>
                      <w:color w:val="auto"/>
                      <w:szCs w:val="21"/>
                      <w:highlight w:val="none"/>
                    </w:rPr>
                  </w:pPr>
                </w:p>
              </w:tc>
              <w:tc>
                <w:tcPr>
                  <w:tcW w:w="1260" w:type="dxa"/>
                  <w:noWrap w:val="0"/>
                  <w:vAlign w:val="top"/>
                </w:tcPr>
                <w:p w14:paraId="5DE2C6ED">
                  <w:pPr>
                    <w:spacing w:line="360" w:lineRule="auto"/>
                    <w:rPr>
                      <w:rFonts w:hint="eastAsia" w:ascii="宋体" w:hAnsi="宋体" w:eastAsia="宋体" w:cs="宋体"/>
                      <w:color w:val="auto"/>
                      <w:szCs w:val="21"/>
                      <w:highlight w:val="none"/>
                    </w:rPr>
                  </w:pPr>
                </w:p>
              </w:tc>
              <w:tc>
                <w:tcPr>
                  <w:tcW w:w="931" w:type="dxa"/>
                  <w:noWrap w:val="0"/>
                  <w:vAlign w:val="top"/>
                </w:tcPr>
                <w:p w14:paraId="6CE64443">
                  <w:pPr>
                    <w:spacing w:line="360" w:lineRule="auto"/>
                    <w:rPr>
                      <w:rFonts w:hint="eastAsia" w:ascii="宋体" w:hAnsi="宋体" w:eastAsia="宋体" w:cs="宋体"/>
                      <w:color w:val="auto"/>
                      <w:szCs w:val="21"/>
                      <w:highlight w:val="none"/>
                    </w:rPr>
                  </w:pPr>
                </w:p>
              </w:tc>
            </w:tr>
            <w:tr w14:paraId="4620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D1FD673">
                  <w:pPr>
                    <w:spacing w:line="360" w:lineRule="auto"/>
                    <w:jc w:val="center"/>
                    <w:rPr>
                      <w:rFonts w:hint="eastAsia" w:ascii="宋体" w:hAnsi="宋体" w:eastAsia="宋体" w:cs="宋体"/>
                      <w:color w:val="auto"/>
                      <w:szCs w:val="21"/>
                      <w:highlight w:val="none"/>
                    </w:rPr>
                  </w:pPr>
                </w:p>
              </w:tc>
              <w:tc>
                <w:tcPr>
                  <w:tcW w:w="3340" w:type="dxa"/>
                  <w:noWrap w:val="0"/>
                  <w:vAlign w:val="top"/>
                </w:tcPr>
                <w:p w14:paraId="783D532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其中：人工费</w:t>
                  </w:r>
                </w:p>
              </w:tc>
              <w:tc>
                <w:tcPr>
                  <w:tcW w:w="1340" w:type="dxa"/>
                  <w:noWrap w:val="0"/>
                  <w:vAlign w:val="top"/>
                </w:tcPr>
                <w:p w14:paraId="67F5917D">
                  <w:pPr>
                    <w:spacing w:line="360" w:lineRule="auto"/>
                    <w:rPr>
                      <w:rFonts w:hint="eastAsia" w:ascii="宋体" w:hAnsi="宋体" w:eastAsia="宋体" w:cs="宋体"/>
                      <w:color w:val="auto"/>
                      <w:szCs w:val="21"/>
                      <w:highlight w:val="none"/>
                    </w:rPr>
                  </w:pPr>
                </w:p>
              </w:tc>
              <w:tc>
                <w:tcPr>
                  <w:tcW w:w="1440" w:type="dxa"/>
                  <w:noWrap w:val="0"/>
                  <w:vAlign w:val="top"/>
                </w:tcPr>
                <w:p w14:paraId="5A39D1BD">
                  <w:pPr>
                    <w:spacing w:line="360" w:lineRule="auto"/>
                    <w:rPr>
                      <w:rFonts w:hint="eastAsia" w:ascii="宋体" w:hAnsi="宋体" w:eastAsia="宋体" w:cs="宋体"/>
                      <w:color w:val="auto"/>
                      <w:szCs w:val="21"/>
                      <w:highlight w:val="none"/>
                    </w:rPr>
                  </w:pPr>
                </w:p>
              </w:tc>
              <w:tc>
                <w:tcPr>
                  <w:tcW w:w="1260" w:type="dxa"/>
                  <w:noWrap w:val="0"/>
                  <w:vAlign w:val="top"/>
                </w:tcPr>
                <w:p w14:paraId="156BB4D0">
                  <w:pPr>
                    <w:spacing w:line="360" w:lineRule="auto"/>
                    <w:rPr>
                      <w:rFonts w:hint="eastAsia" w:ascii="宋体" w:hAnsi="宋体" w:eastAsia="宋体" w:cs="宋体"/>
                      <w:color w:val="auto"/>
                      <w:szCs w:val="21"/>
                      <w:highlight w:val="none"/>
                    </w:rPr>
                  </w:pPr>
                </w:p>
              </w:tc>
              <w:tc>
                <w:tcPr>
                  <w:tcW w:w="931" w:type="dxa"/>
                  <w:noWrap w:val="0"/>
                  <w:vAlign w:val="top"/>
                </w:tcPr>
                <w:p w14:paraId="59597B9C">
                  <w:pPr>
                    <w:spacing w:line="360" w:lineRule="auto"/>
                    <w:rPr>
                      <w:rFonts w:hint="eastAsia" w:ascii="宋体" w:hAnsi="宋体" w:eastAsia="宋体" w:cs="宋体"/>
                      <w:color w:val="auto"/>
                      <w:szCs w:val="21"/>
                      <w:highlight w:val="none"/>
                    </w:rPr>
                  </w:pPr>
                </w:p>
              </w:tc>
            </w:tr>
            <w:tr w14:paraId="66F66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8560A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340" w:type="dxa"/>
                  <w:noWrap w:val="0"/>
                  <w:vAlign w:val="top"/>
                </w:tcPr>
                <w:p w14:paraId="53CA57F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累计已实际支付的工程价款</w:t>
                  </w:r>
                </w:p>
              </w:tc>
              <w:tc>
                <w:tcPr>
                  <w:tcW w:w="1340" w:type="dxa"/>
                  <w:noWrap w:val="0"/>
                  <w:vAlign w:val="top"/>
                </w:tcPr>
                <w:p w14:paraId="56CF168D">
                  <w:pPr>
                    <w:spacing w:line="360" w:lineRule="auto"/>
                    <w:rPr>
                      <w:rFonts w:hint="eastAsia" w:ascii="宋体" w:hAnsi="宋体" w:eastAsia="宋体" w:cs="宋体"/>
                      <w:color w:val="auto"/>
                      <w:szCs w:val="21"/>
                      <w:highlight w:val="none"/>
                    </w:rPr>
                  </w:pPr>
                </w:p>
              </w:tc>
              <w:tc>
                <w:tcPr>
                  <w:tcW w:w="1440" w:type="dxa"/>
                  <w:noWrap w:val="0"/>
                  <w:vAlign w:val="top"/>
                </w:tcPr>
                <w:p w14:paraId="638991D9">
                  <w:pPr>
                    <w:spacing w:line="360" w:lineRule="auto"/>
                    <w:rPr>
                      <w:rFonts w:hint="eastAsia" w:ascii="宋体" w:hAnsi="宋体" w:eastAsia="宋体" w:cs="宋体"/>
                      <w:color w:val="auto"/>
                      <w:szCs w:val="21"/>
                      <w:highlight w:val="none"/>
                    </w:rPr>
                  </w:pPr>
                </w:p>
              </w:tc>
              <w:tc>
                <w:tcPr>
                  <w:tcW w:w="1260" w:type="dxa"/>
                  <w:noWrap w:val="0"/>
                  <w:vAlign w:val="top"/>
                </w:tcPr>
                <w:p w14:paraId="50FD0D29">
                  <w:pPr>
                    <w:spacing w:line="360" w:lineRule="auto"/>
                    <w:rPr>
                      <w:rFonts w:hint="eastAsia" w:ascii="宋体" w:hAnsi="宋体" w:eastAsia="宋体" w:cs="宋体"/>
                      <w:color w:val="auto"/>
                      <w:szCs w:val="21"/>
                      <w:highlight w:val="none"/>
                    </w:rPr>
                  </w:pPr>
                </w:p>
              </w:tc>
              <w:tc>
                <w:tcPr>
                  <w:tcW w:w="931" w:type="dxa"/>
                  <w:noWrap w:val="0"/>
                  <w:vAlign w:val="top"/>
                </w:tcPr>
                <w:p w14:paraId="74DA9BFE">
                  <w:pPr>
                    <w:spacing w:line="360" w:lineRule="auto"/>
                    <w:rPr>
                      <w:rFonts w:hint="eastAsia" w:ascii="宋体" w:hAnsi="宋体" w:eastAsia="宋体" w:cs="宋体"/>
                      <w:color w:val="auto"/>
                      <w:szCs w:val="21"/>
                      <w:highlight w:val="none"/>
                    </w:rPr>
                  </w:pPr>
                </w:p>
              </w:tc>
            </w:tr>
            <w:tr w14:paraId="75FD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729B572">
                  <w:pPr>
                    <w:spacing w:line="360" w:lineRule="auto"/>
                    <w:jc w:val="center"/>
                    <w:rPr>
                      <w:rFonts w:hint="eastAsia" w:ascii="宋体" w:hAnsi="宋体" w:eastAsia="宋体" w:cs="宋体"/>
                      <w:color w:val="auto"/>
                      <w:szCs w:val="21"/>
                      <w:highlight w:val="none"/>
                    </w:rPr>
                  </w:pPr>
                </w:p>
              </w:tc>
              <w:tc>
                <w:tcPr>
                  <w:tcW w:w="3340" w:type="dxa"/>
                  <w:noWrap w:val="0"/>
                  <w:vAlign w:val="top"/>
                </w:tcPr>
                <w:p w14:paraId="6891553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其中：人工费</w:t>
                  </w:r>
                </w:p>
              </w:tc>
              <w:tc>
                <w:tcPr>
                  <w:tcW w:w="1340" w:type="dxa"/>
                  <w:noWrap w:val="0"/>
                  <w:vAlign w:val="top"/>
                </w:tcPr>
                <w:p w14:paraId="63D04D5F">
                  <w:pPr>
                    <w:spacing w:line="360" w:lineRule="auto"/>
                    <w:rPr>
                      <w:rFonts w:hint="eastAsia" w:ascii="宋体" w:hAnsi="宋体" w:eastAsia="宋体" w:cs="宋体"/>
                      <w:color w:val="auto"/>
                      <w:szCs w:val="21"/>
                      <w:highlight w:val="none"/>
                    </w:rPr>
                  </w:pPr>
                </w:p>
              </w:tc>
              <w:tc>
                <w:tcPr>
                  <w:tcW w:w="1440" w:type="dxa"/>
                  <w:noWrap w:val="0"/>
                  <w:vAlign w:val="top"/>
                </w:tcPr>
                <w:p w14:paraId="55DEC8C3">
                  <w:pPr>
                    <w:spacing w:line="360" w:lineRule="auto"/>
                    <w:rPr>
                      <w:rFonts w:hint="eastAsia" w:ascii="宋体" w:hAnsi="宋体" w:eastAsia="宋体" w:cs="宋体"/>
                      <w:color w:val="auto"/>
                      <w:szCs w:val="21"/>
                      <w:highlight w:val="none"/>
                    </w:rPr>
                  </w:pPr>
                </w:p>
              </w:tc>
              <w:tc>
                <w:tcPr>
                  <w:tcW w:w="1260" w:type="dxa"/>
                  <w:noWrap w:val="0"/>
                  <w:vAlign w:val="top"/>
                </w:tcPr>
                <w:p w14:paraId="72A77B23">
                  <w:pPr>
                    <w:spacing w:line="360" w:lineRule="auto"/>
                    <w:rPr>
                      <w:rFonts w:hint="eastAsia" w:ascii="宋体" w:hAnsi="宋体" w:eastAsia="宋体" w:cs="宋体"/>
                      <w:color w:val="auto"/>
                      <w:szCs w:val="21"/>
                      <w:highlight w:val="none"/>
                    </w:rPr>
                  </w:pPr>
                </w:p>
              </w:tc>
              <w:tc>
                <w:tcPr>
                  <w:tcW w:w="931" w:type="dxa"/>
                  <w:noWrap w:val="0"/>
                  <w:vAlign w:val="top"/>
                </w:tcPr>
                <w:p w14:paraId="10C44412">
                  <w:pPr>
                    <w:spacing w:line="360" w:lineRule="auto"/>
                    <w:rPr>
                      <w:rFonts w:hint="eastAsia" w:ascii="宋体" w:hAnsi="宋体" w:eastAsia="宋体" w:cs="宋体"/>
                      <w:color w:val="auto"/>
                      <w:szCs w:val="21"/>
                      <w:highlight w:val="none"/>
                    </w:rPr>
                  </w:pPr>
                </w:p>
              </w:tc>
            </w:tr>
            <w:tr w14:paraId="4D70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B8A44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340" w:type="dxa"/>
                  <w:noWrap w:val="0"/>
                  <w:vAlign w:val="top"/>
                </w:tcPr>
                <w:p w14:paraId="7A28846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本周期已完成的工程价款</w:t>
                  </w:r>
                </w:p>
              </w:tc>
              <w:tc>
                <w:tcPr>
                  <w:tcW w:w="1340" w:type="dxa"/>
                  <w:noWrap w:val="0"/>
                  <w:vAlign w:val="top"/>
                </w:tcPr>
                <w:p w14:paraId="21BCD2BD">
                  <w:pPr>
                    <w:spacing w:line="360" w:lineRule="auto"/>
                    <w:rPr>
                      <w:rFonts w:hint="eastAsia" w:ascii="宋体" w:hAnsi="宋体" w:eastAsia="宋体" w:cs="宋体"/>
                      <w:color w:val="auto"/>
                      <w:szCs w:val="21"/>
                      <w:highlight w:val="none"/>
                    </w:rPr>
                  </w:pPr>
                </w:p>
              </w:tc>
              <w:tc>
                <w:tcPr>
                  <w:tcW w:w="1440" w:type="dxa"/>
                  <w:noWrap w:val="0"/>
                  <w:vAlign w:val="top"/>
                </w:tcPr>
                <w:p w14:paraId="0CFDC11F">
                  <w:pPr>
                    <w:spacing w:line="360" w:lineRule="auto"/>
                    <w:rPr>
                      <w:rFonts w:hint="eastAsia" w:ascii="宋体" w:hAnsi="宋体" w:eastAsia="宋体" w:cs="宋体"/>
                      <w:color w:val="auto"/>
                      <w:szCs w:val="21"/>
                      <w:highlight w:val="none"/>
                    </w:rPr>
                  </w:pPr>
                </w:p>
              </w:tc>
              <w:tc>
                <w:tcPr>
                  <w:tcW w:w="1260" w:type="dxa"/>
                  <w:noWrap w:val="0"/>
                  <w:vAlign w:val="top"/>
                </w:tcPr>
                <w:p w14:paraId="64B6955D">
                  <w:pPr>
                    <w:spacing w:line="360" w:lineRule="auto"/>
                    <w:rPr>
                      <w:rFonts w:hint="eastAsia" w:ascii="宋体" w:hAnsi="宋体" w:eastAsia="宋体" w:cs="宋体"/>
                      <w:color w:val="auto"/>
                      <w:szCs w:val="21"/>
                      <w:highlight w:val="none"/>
                    </w:rPr>
                  </w:pPr>
                </w:p>
              </w:tc>
              <w:tc>
                <w:tcPr>
                  <w:tcW w:w="931" w:type="dxa"/>
                  <w:noWrap w:val="0"/>
                  <w:vAlign w:val="top"/>
                </w:tcPr>
                <w:p w14:paraId="4216316F">
                  <w:pPr>
                    <w:spacing w:line="360" w:lineRule="auto"/>
                    <w:rPr>
                      <w:rFonts w:hint="eastAsia" w:ascii="宋体" w:hAnsi="宋体" w:eastAsia="宋体" w:cs="宋体"/>
                      <w:color w:val="auto"/>
                      <w:szCs w:val="21"/>
                      <w:highlight w:val="none"/>
                    </w:rPr>
                  </w:pPr>
                </w:p>
              </w:tc>
            </w:tr>
            <w:tr w14:paraId="41B4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9CD8150">
                  <w:pPr>
                    <w:spacing w:line="360" w:lineRule="auto"/>
                    <w:jc w:val="center"/>
                    <w:rPr>
                      <w:rFonts w:hint="eastAsia" w:ascii="宋体" w:hAnsi="宋体" w:eastAsia="宋体" w:cs="宋体"/>
                      <w:color w:val="auto"/>
                      <w:szCs w:val="21"/>
                      <w:highlight w:val="none"/>
                    </w:rPr>
                  </w:pPr>
                </w:p>
              </w:tc>
              <w:tc>
                <w:tcPr>
                  <w:tcW w:w="3340" w:type="dxa"/>
                  <w:noWrap w:val="0"/>
                  <w:vAlign w:val="top"/>
                </w:tcPr>
                <w:p w14:paraId="0A25BC8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其中：人工费</w:t>
                  </w:r>
                </w:p>
              </w:tc>
              <w:tc>
                <w:tcPr>
                  <w:tcW w:w="1340" w:type="dxa"/>
                  <w:noWrap w:val="0"/>
                  <w:vAlign w:val="top"/>
                </w:tcPr>
                <w:p w14:paraId="699B9921">
                  <w:pPr>
                    <w:spacing w:line="360" w:lineRule="auto"/>
                    <w:rPr>
                      <w:rFonts w:hint="eastAsia" w:ascii="宋体" w:hAnsi="宋体" w:eastAsia="宋体" w:cs="宋体"/>
                      <w:color w:val="auto"/>
                      <w:szCs w:val="21"/>
                      <w:highlight w:val="none"/>
                    </w:rPr>
                  </w:pPr>
                </w:p>
              </w:tc>
              <w:tc>
                <w:tcPr>
                  <w:tcW w:w="1440" w:type="dxa"/>
                  <w:noWrap w:val="0"/>
                  <w:vAlign w:val="top"/>
                </w:tcPr>
                <w:p w14:paraId="69FB024F">
                  <w:pPr>
                    <w:spacing w:line="360" w:lineRule="auto"/>
                    <w:rPr>
                      <w:rFonts w:hint="eastAsia" w:ascii="宋体" w:hAnsi="宋体" w:eastAsia="宋体" w:cs="宋体"/>
                      <w:color w:val="auto"/>
                      <w:szCs w:val="21"/>
                      <w:highlight w:val="none"/>
                    </w:rPr>
                  </w:pPr>
                </w:p>
              </w:tc>
              <w:tc>
                <w:tcPr>
                  <w:tcW w:w="1260" w:type="dxa"/>
                  <w:noWrap w:val="0"/>
                  <w:vAlign w:val="top"/>
                </w:tcPr>
                <w:p w14:paraId="76CAF9A9">
                  <w:pPr>
                    <w:spacing w:line="360" w:lineRule="auto"/>
                    <w:rPr>
                      <w:rFonts w:hint="eastAsia" w:ascii="宋体" w:hAnsi="宋体" w:eastAsia="宋体" w:cs="宋体"/>
                      <w:color w:val="auto"/>
                      <w:szCs w:val="21"/>
                      <w:highlight w:val="none"/>
                    </w:rPr>
                  </w:pPr>
                </w:p>
              </w:tc>
              <w:tc>
                <w:tcPr>
                  <w:tcW w:w="931" w:type="dxa"/>
                  <w:noWrap w:val="0"/>
                  <w:vAlign w:val="top"/>
                </w:tcPr>
                <w:p w14:paraId="2A06A56A">
                  <w:pPr>
                    <w:spacing w:line="360" w:lineRule="auto"/>
                    <w:rPr>
                      <w:rFonts w:hint="eastAsia" w:ascii="宋体" w:hAnsi="宋体" w:eastAsia="宋体" w:cs="宋体"/>
                      <w:color w:val="auto"/>
                      <w:szCs w:val="21"/>
                      <w:highlight w:val="none"/>
                    </w:rPr>
                  </w:pPr>
                </w:p>
              </w:tc>
            </w:tr>
            <w:tr w14:paraId="1363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89DE0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340" w:type="dxa"/>
                  <w:noWrap w:val="0"/>
                  <w:vAlign w:val="top"/>
                </w:tcPr>
                <w:p w14:paraId="79B790E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本周期应扣减的金额</w:t>
                  </w:r>
                </w:p>
              </w:tc>
              <w:tc>
                <w:tcPr>
                  <w:tcW w:w="1340" w:type="dxa"/>
                  <w:noWrap w:val="0"/>
                  <w:vAlign w:val="top"/>
                </w:tcPr>
                <w:p w14:paraId="19AC35D7">
                  <w:pPr>
                    <w:spacing w:line="360" w:lineRule="auto"/>
                    <w:rPr>
                      <w:rFonts w:hint="eastAsia" w:ascii="宋体" w:hAnsi="宋体" w:eastAsia="宋体" w:cs="宋体"/>
                      <w:color w:val="auto"/>
                      <w:szCs w:val="21"/>
                      <w:highlight w:val="none"/>
                    </w:rPr>
                  </w:pPr>
                </w:p>
              </w:tc>
              <w:tc>
                <w:tcPr>
                  <w:tcW w:w="1440" w:type="dxa"/>
                  <w:noWrap w:val="0"/>
                  <w:vAlign w:val="top"/>
                </w:tcPr>
                <w:p w14:paraId="647AD1E9">
                  <w:pPr>
                    <w:spacing w:line="360" w:lineRule="auto"/>
                    <w:rPr>
                      <w:rFonts w:hint="eastAsia" w:ascii="宋体" w:hAnsi="宋体" w:eastAsia="宋体" w:cs="宋体"/>
                      <w:color w:val="auto"/>
                      <w:szCs w:val="21"/>
                      <w:highlight w:val="none"/>
                    </w:rPr>
                  </w:pPr>
                </w:p>
              </w:tc>
              <w:tc>
                <w:tcPr>
                  <w:tcW w:w="1260" w:type="dxa"/>
                  <w:noWrap w:val="0"/>
                  <w:vAlign w:val="top"/>
                </w:tcPr>
                <w:p w14:paraId="20383EA2">
                  <w:pPr>
                    <w:spacing w:line="360" w:lineRule="auto"/>
                    <w:rPr>
                      <w:rFonts w:hint="eastAsia" w:ascii="宋体" w:hAnsi="宋体" w:eastAsia="宋体" w:cs="宋体"/>
                      <w:color w:val="auto"/>
                      <w:szCs w:val="21"/>
                      <w:highlight w:val="none"/>
                    </w:rPr>
                  </w:pPr>
                </w:p>
              </w:tc>
              <w:tc>
                <w:tcPr>
                  <w:tcW w:w="931" w:type="dxa"/>
                  <w:noWrap w:val="0"/>
                  <w:vAlign w:val="top"/>
                </w:tcPr>
                <w:p w14:paraId="5E9F99A9">
                  <w:pPr>
                    <w:spacing w:line="360" w:lineRule="auto"/>
                    <w:rPr>
                      <w:rFonts w:hint="eastAsia" w:ascii="宋体" w:hAnsi="宋体" w:eastAsia="宋体" w:cs="宋体"/>
                      <w:color w:val="auto"/>
                      <w:szCs w:val="21"/>
                      <w:highlight w:val="none"/>
                    </w:rPr>
                  </w:pPr>
                </w:p>
              </w:tc>
            </w:tr>
            <w:tr w14:paraId="691B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DD4182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p>
              </w:tc>
              <w:tc>
                <w:tcPr>
                  <w:tcW w:w="3340" w:type="dxa"/>
                  <w:noWrap w:val="0"/>
                  <w:vAlign w:val="top"/>
                </w:tcPr>
                <w:p w14:paraId="3A26E77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本周期实际应抵扣的预付款</w:t>
                  </w:r>
                </w:p>
              </w:tc>
              <w:tc>
                <w:tcPr>
                  <w:tcW w:w="1340" w:type="dxa"/>
                  <w:noWrap w:val="0"/>
                  <w:vAlign w:val="top"/>
                </w:tcPr>
                <w:p w14:paraId="664206AE">
                  <w:pPr>
                    <w:spacing w:line="360" w:lineRule="auto"/>
                    <w:rPr>
                      <w:rFonts w:hint="eastAsia" w:ascii="宋体" w:hAnsi="宋体" w:eastAsia="宋体" w:cs="宋体"/>
                      <w:color w:val="auto"/>
                      <w:szCs w:val="21"/>
                      <w:highlight w:val="none"/>
                    </w:rPr>
                  </w:pPr>
                </w:p>
              </w:tc>
              <w:tc>
                <w:tcPr>
                  <w:tcW w:w="1440" w:type="dxa"/>
                  <w:noWrap w:val="0"/>
                  <w:vAlign w:val="top"/>
                </w:tcPr>
                <w:p w14:paraId="3393EB64">
                  <w:pPr>
                    <w:spacing w:line="360" w:lineRule="auto"/>
                    <w:rPr>
                      <w:rFonts w:hint="eastAsia" w:ascii="宋体" w:hAnsi="宋体" w:eastAsia="宋体" w:cs="宋体"/>
                      <w:color w:val="auto"/>
                      <w:szCs w:val="21"/>
                      <w:highlight w:val="none"/>
                    </w:rPr>
                  </w:pPr>
                </w:p>
              </w:tc>
              <w:tc>
                <w:tcPr>
                  <w:tcW w:w="1260" w:type="dxa"/>
                  <w:noWrap w:val="0"/>
                  <w:vAlign w:val="top"/>
                </w:tcPr>
                <w:p w14:paraId="21FE75EB">
                  <w:pPr>
                    <w:spacing w:line="360" w:lineRule="auto"/>
                    <w:rPr>
                      <w:rFonts w:hint="eastAsia" w:ascii="宋体" w:hAnsi="宋体" w:eastAsia="宋体" w:cs="宋体"/>
                      <w:color w:val="auto"/>
                      <w:szCs w:val="21"/>
                      <w:highlight w:val="none"/>
                    </w:rPr>
                  </w:pPr>
                </w:p>
              </w:tc>
              <w:tc>
                <w:tcPr>
                  <w:tcW w:w="931" w:type="dxa"/>
                  <w:noWrap w:val="0"/>
                  <w:vAlign w:val="top"/>
                </w:tcPr>
                <w:p w14:paraId="3F500EAE">
                  <w:pPr>
                    <w:spacing w:line="360" w:lineRule="auto"/>
                    <w:rPr>
                      <w:rFonts w:hint="eastAsia" w:ascii="宋体" w:hAnsi="宋体" w:eastAsia="宋体" w:cs="宋体"/>
                      <w:color w:val="auto"/>
                      <w:szCs w:val="21"/>
                      <w:highlight w:val="none"/>
                    </w:rPr>
                  </w:pPr>
                </w:p>
              </w:tc>
            </w:tr>
            <w:tr w14:paraId="399D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D0D240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w:t>
                  </w:r>
                </w:p>
              </w:tc>
              <w:tc>
                <w:tcPr>
                  <w:tcW w:w="3340" w:type="dxa"/>
                  <w:noWrap w:val="0"/>
                  <w:vAlign w:val="top"/>
                </w:tcPr>
                <w:p w14:paraId="630A666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本周期应扣减的金额</w:t>
                  </w:r>
                </w:p>
              </w:tc>
              <w:tc>
                <w:tcPr>
                  <w:tcW w:w="1340" w:type="dxa"/>
                  <w:noWrap w:val="0"/>
                  <w:vAlign w:val="top"/>
                </w:tcPr>
                <w:p w14:paraId="5BA3947D">
                  <w:pPr>
                    <w:spacing w:line="360" w:lineRule="auto"/>
                    <w:rPr>
                      <w:rFonts w:hint="eastAsia" w:ascii="宋体" w:hAnsi="宋体" w:eastAsia="宋体" w:cs="宋体"/>
                      <w:color w:val="auto"/>
                      <w:szCs w:val="21"/>
                      <w:highlight w:val="none"/>
                    </w:rPr>
                  </w:pPr>
                </w:p>
              </w:tc>
              <w:tc>
                <w:tcPr>
                  <w:tcW w:w="1440" w:type="dxa"/>
                  <w:noWrap w:val="0"/>
                  <w:vAlign w:val="top"/>
                </w:tcPr>
                <w:p w14:paraId="1E228E3C">
                  <w:pPr>
                    <w:spacing w:line="360" w:lineRule="auto"/>
                    <w:rPr>
                      <w:rFonts w:hint="eastAsia" w:ascii="宋体" w:hAnsi="宋体" w:eastAsia="宋体" w:cs="宋体"/>
                      <w:color w:val="auto"/>
                      <w:szCs w:val="21"/>
                      <w:highlight w:val="none"/>
                    </w:rPr>
                  </w:pPr>
                </w:p>
              </w:tc>
              <w:tc>
                <w:tcPr>
                  <w:tcW w:w="1260" w:type="dxa"/>
                  <w:noWrap w:val="0"/>
                  <w:vAlign w:val="top"/>
                </w:tcPr>
                <w:p w14:paraId="6C084C5F">
                  <w:pPr>
                    <w:spacing w:line="360" w:lineRule="auto"/>
                    <w:rPr>
                      <w:rFonts w:hint="eastAsia" w:ascii="宋体" w:hAnsi="宋体" w:eastAsia="宋体" w:cs="宋体"/>
                      <w:color w:val="auto"/>
                      <w:szCs w:val="21"/>
                      <w:highlight w:val="none"/>
                    </w:rPr>
                  </w:pPr>
                </w:p>
              </w:tc>
              <w:tc>
                <w:tcPr>
                  <w:tcW w:w="931" w:type="dxa"/>
                  <w:noWrap w:val="0"/>
                  <w:vAlign w:val="top"/>
                </w:tcPr>
                <w:p w14:paraId="1E66034F">
                  <w:pPr>
                    <w:spacing w:line="360" w:lineRule="auto"/>
                    <w:rPr>
                      <w:rFonts w:hint="eastAsia" w:ascii="宋体" w:hAnsi="宋体" w:eastAsia="宋体" w:cs="宋体"/>
                      <w:color w:val="auto"/>
                      <w:szCs w:val="21"/>
                      <w:highlight w:val="none"/>
                    </w:rPr>
                  </w:pPr>
                </w:p>
              </w:tc>
            </w:tr>
            <w:tr w14:paraId="3671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71459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340" w:type="dxa"/>
                  <w:noWrap w:val="0"/>
                  <w:vAlign w:val="top"/>
                </w:tcPr>
                <w:p w14:paraId="67CAAF0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本周期应支付的合同价款</w:t>
                  </w:r>
                </w:p>
              </w:tc>
              <w:tc>
                <w:tcPr>
                  <w:tcW w:w="1340" w:type="dxa"/>
                  <w:noWrap w:val="0"/>
                  <w:vAlign w:val="top"/>
                </w:tcPr>
                <w:p w14:paraId="18087FB1">
                  <w:pPr>
                    <w:spacing w:line="360" w:lineRule="auto"/>
                    <w:rPr>
                      <w:rFonts w:hint="eastAsia" w:ascii="宋体" w:hAnsi="宋体" w:eastAsia="宋体" w:cs="宋体"/>
                      <w:color w:val="auto"/>
                      <w:szCs w:val="21"/>
                      <w:highlight w:val="none"/>
                    </w:rPr>
                  </w:pPr>
                </w:p>
              </w:tc>
              <w:tc>
                <w:tcPr>
                  <w:tcW w:w="1440" w:type="dxa"/>
                  <w:noWrap w:val="0"/>
                  <w:vAlign w:val="top"/>
                </w:tcPr>
                <w:p w14:paraId="63DC138B">
                  <w:pPr>
                    <w:spacing w:line="360" w:lineRule="auto"/>
                    <w:rPr>
                      <w:rFonts w:hint="eastAsia" w:ascii="宋体" w:hAnsi="宋体" w:eastAsia="宋体" w:cs="宋体"/>
                      <w:color w:val="auto"/>
                      <w:szCs w:val="21"/>
                      <w:highlight w:val="none"/>
                    </w:rPr>
                  </w:pPr>
                </w:p>
              </w:tc>
              <w:tc>
                <w:tcPr>
                  <w:tcW w:w="1260" w:type="dxa"/>
                  <w:noWrap w:val="0"/>
                  <w:vAlign w:val="top"/>
                </w:tcPr>
                <w:p w14:paraId="573F892E">
                  <w:pPr>
                    <w:spacing w:line="360" w:lineRule="auto"/>
                    <w:rPr>
                      <w:rFonts w:hint="eastAsia" w:ascii="宋体" w:hAnsi="宋体" w:eastAsia="宋体" w:cs="宋体"/>
                      <w:color w:val="auto"/>
                      <w:szCs w:val="21"/>
                      <w:highlight w:val="none"/>
                    </w:rPr>
                  </w:pPr>
                </w:p>
              </w:tc>
              <w:tc>
                <w:tcPr>
                  <w:tcW w:w="931" w:type="dxa"/>
                  <w:noWrap w:val="0"/>
                  <w:vAlign w:val="top"/>
                </w:tcPr>
                <w:p w14:paraId="5000F751">
                  <w:pPr>
                    <w:spacing w:line="360" w:lineRule="auto"/>
                    <w:rPr>
                      <w:rFonts w:hint="eastAsia" w:ascii="宋体" w:hAnsi="宋体" w:eastAsia="宋体" w:cs="宋体"/>
                      <w:color w:val="auto"/>
                      <w:szCs w:val="21"/>
                      <w:highlight w:val="none"/>
                    </w:rPr>
                  </w:pPr>
                </w:p>
              </w:tc>
            </w:tr>
            <w:tr w14:paraId="4BBA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D31B4B3">
                  <w:pPr>
                    <w:spacing w:line="360" w:lineRule="auto"/>
                    <w:jc w:val="center"/>
                    <w:rPr>
                      <w:rFonts w:hint="eastAsia" w:ascii="宋体" w:hAnsi="宋体" w:eastAsia="宋体" w:cs="宋体"/>
                      <w:color w:val="auto"/>
                      <w:szCs w:val="21"/>
                      <w:highlight w:val="none"/>
                    </w:rPr>
                  </w:pPr>
                </w:p>
              </w:tc>
              <w:tc>
                <w:tcPr>
                  <w:tcW w:w="3340" w:type="dxa"/>
                  <w:noWrap w:val="0"/>
                  <w:vAlign w:val="top"/>
                </w:tcPr>
                <w:p w14:paraId="61EBB2D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其中：人工费</w:t>
                  </w:r>
                </w:p>
              </w:tc>
              <w:tc>
                <w:tcPr>
                  <w:tcW w:w="1340" w:type="dxa"/>
                  <w:noWrap w:val="0"/>
                  <w:vAlign w:val="top"/>
                </w:tcPr>
                <w:p w14:paraId="4B6F3907">
                  <w:pPr>
                    <w:spacing w:line="360" w:lineRule="auto"/>
                    <w:rPr>
                      <w:rFonts w:hint="eastAsia" w:ascii="宋体" w:hAnsi="宋体" w:eastAsia="宋体" w:cs="宋体"/>
                      <w:color w:val="auto"/>
                      <w:szCs w:val="21"/>
                      <w:highlight w:val="none"/>
                    </w:rPr>
                  </w:pPr>
                </w:p>
              </w:tc>
              <w:tc>
                <w:tcPr>
                  <w:tcW w:w="1440" w:type="dxa"/>
                  <w:noWrap w:val="0"/>
                  <w:vAlign w:val="top"/>
                </w:tcPr>
                <w:p w14:paraId="5E53823F">
                  <w:pPr>
                    <w:spacing w:line="360" w:lineRule="auto"/>
                    <w:rPr>
                      <w:rFonts w:hint="eastAsia" w:ascii="宋体" w:hAnsi="宋体" w:eastAsia="宋体" w:cs="宋体"/>
                      <w:color w:val="auto"/>
                      <w:szCs w:val="21"/>
                      <w:highlight w:val="none"/>
                    </w:rPr>
                  </w:pPr>
                </w:p>
              </w:tc>
              <w:tc>
                <w:tcPr>
                  <w:tcW w:w="1260" w:type="dxa"/>
                  <w:noWrap w:val="0"/>
                  <w:vAlign w:val="top"/>
                </w:tcPr>
                <w:p w14:paraId="4F8E34FB">
                  <w:pPr>
                    <w:spacing w:line="360" w:lineRule="auto"/>
                    <w:rPr>
                      <w:rFonts w:hint="eastAsia" w:ascii="宋体" w:hAnsi="宋体" w:eastAsia="宋体" w:cs="宋体"/>
                      <w:color w:val="auto"/>
                      <w:szCs w:val="21"/>
                      <w:highlight w:val="none"/>
                    </w:rPr>
                  </w:pPr>
                </w:p>
              </w:tc>
              <w:tc>
                <w:tcPr>
                  <w:tcW w:w="931" w:type="dxa"/>
                  <w:noWrap w:val="0"/>
                  <w:vAlign w:val="top"/>
                </w:tcPr>
                <w:p w14:paraId="2D03249E">
                  <w:pPr>
                    <w:spacing w:line="360" w:lineRule="auto"/>
                    <w:rPr>
                      <w:rFonts w:hint="eastAsia" w:ascii="宋体" w:hAnsi="宋体" w:eastAsia="宋体" w:cs="宋体"/>
                      <w:color w:val="auto"/>
                      <w:szCs w:val="21"/>
                      <w:highlight w:val="none"/>
                    </w:rPr>
                  </w:pPr>
                </w:p>
              </w:tc>
            </w:tr>
          </w:tbl>
          <w:p w14:paraId="77768B43">
            <w:pPr>
              <w:wordWrap w:val="0"/>
              <w:spacing w:line="360" w:lineRule="auto"/>
              <w:ind w:righ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附：上述3、4详见附件清单。</w:t>
            </w:r>
          </w:p>
          <w:p w14:paraId="187EA65D">
            <w:pPr>
              <w:wordWrap w:val="0"/>
              <w:spacing w:line="360" w:lineRule="auto"/>
              <w:ind w:righ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承包人（章）             </w:t>
            </w:r>
          </w:p>
          <w:p w14:paraId="352D561E">
            <w:pPr>
              <w:spacing w:line="360" w:lineRule="auto"/>
              <w:ind w:right="42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造价人员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承包人代表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p>
        </w:tc>
      </w:tr>
      <w:tr w14:paraId="00A2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noWrap w:val="0"/>
            <w:vAlign w:val="top"/>
          </w:tcPr>
          <w:p w14:paraId="51022C3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复核意见：</w:t>
            </w:r>
          </w:p>
          <w:p w14:paraId="7ED9218F">
            <w:pPr>
              <w:spacing w:line="360" w:lineRule="auto"/>
              <w:ind w:firstLine="31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□与实际施工情况不相符，修改意见见附件。</w:t>
            </w:r>
          </w:p>
          <w:p w14:paraId="3AFF803A">
            <w:pPr>
              <w:spacing w:line="360" w:lineRule="auto"/>
              <w:ind w:firstLine="31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□与实际施工情况相符，具体金额由造价工程师复核。</w:t>
            </w:r>
          </w:p>
          <w:p w14:paraId="3BE13CB7">
            <w:pPr>
              <w:spacing w:line="360" w:lineRule="auto"/>
              <w:ind w:firstLine="435"/>
              <w:jc w:val="right"/>
              <w:rPr>
                <w:rFonts w:hint="eastAsia" w:ascii="宋体" w:hAnsi="宋体" w:eastAsia="宋体" w:cs="宋体"/>
                <w:color w:val="auto"/>
                <w:szCs w:val="21"/>
                <w:highlight w:val="none"/>
              </w:rPr>
            </w:pPr>
          </w:p>
          <w:p w14:paraId="08AE10B2">
            <w:pPr>
              <w:spacing w:line="360" w:lineRule="auto"/>
              <w:ind w:firstLine="435"/>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监理工程师</w:t>
            </w:r>
            <w:r>
              <w:rPr>
                <w:rFonts w:hint="eastAsia" w:ascii="宋体" w:hAnsi="宋体" w:eastAsia="宋体" w:cs="宋体"/>
                <w:color w:val="auto"/>
                <w:szCs w:val="21"/>
                <w:highlight w:val="none"/>
                <w:u w:val="single"/>
              </w:rPr>
              <w:t xml:space="preserve">           </w:t>
            </w:r>
          </w:p>
          <w:p w14:paraId="41C550A7">
            <w:pPr>
              <w:spacing w:line="360" w:lineRule="auto"/>
              <w:ind w:firstLine="435"/>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p>
        </w:tc>
        <w:tc>
          <w:tcPr>
            <w:tcW w:w="4552" w:type="dxa"/>
            <w:noWrap w:val="0"/>
            <w:vAlign w:val="top"/>
          </w:tcPr>
          <w:p w14:paraId="2521066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复核意见：</w:t>
            </w:r>
          </w:p>
          <w:p w14:paraId="56FAB1FB">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你方提出的支付申请经复核，本周期已完成工程价款为(大写)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元，（小写）</w:t>
            </w:r>
          </w:p>
          <w:p w14:paraId="50E19C9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元，本期间应支付金额为（大写）</w:t>
            </w:r>
          </w:p>
          <w:p w14:paraId="11A4FB48">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101149EA">
            <w:pPr>
              <w:spacing w:line="360" w:lineRule="auto"/>
              <w:ind w:firstLine="435"/>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造价工程师</w:t>
            </w:r>
            <w:r>
              <w:rPr>
                <w:rFonts w:hint="eastAsia" w:ascii="宋体" w:hAnsi="宋体" w:eastAsia="宋体" w:cs="宋体"/>
                <w:color w:val="auto"/>
                <w:szCs w:val="21"/>
                <w:highlight w:val="none"/>
                <w:u w:val="single"/>
              </w:rPr>
              <w:t xml:space="preserve">           </w:t>
            </w:r>
          </w:p>
          <w:p w14:paraId="4E436CA0">
            <w:pPr>
              <w:spacing w:line="360" w:lineRule="auto"/>
              <w:ind w:firstLine="435"/>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p>
        </w:tc>
      </w:tr>
      <w:tr w14:paraId="310E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2AD6CFB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审核意见：</w:t>
            </w:r>
          </w:p>
          <w:p w14:paraId="48E7D79A">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□不同意。</w:t>
            </w:r>
          </w:p>
          <w:p w14:paraId="423FBA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□同意，支付时间为本表签发后的15天内。</w:t>
            </w:r>
          </w:p>
          <w:p w14:paraId="1A2E93E2">
            <w:pPr>
              <w:wordWrap w:val="0"/>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发包人（章）           </w:t>
            </w:r>
          </w:p>
          <w:p w14:paraId="1E5B3F3C">
            <w:pPr>
              <w:wordWrap w:val="0"/>
              <w:spacing w:line="360" w:lineRule="auto"/>
              <w:ind w:firstLine="420" w:firstLineChars="200"/>
              <w:jc w:val="righ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发包人代表</w:t>
            </w:r>
            <w:r>
              <w:rPr>
                <w:rFonts w:hint="eastAsia" w:ascii="宋体" w:hAnsi="宋体" w:eastAsia="宋体" w:cs="宋体"/>
                <w:color w:val="auto"/>
                <w:szCs w:val="21"/>
                <w:highlight w:val="none"/>
                <w:u w:val="single"/>
              </w:rPr>
              <w:t xml:space="preserve">             </w:t>
            </w:r>
          </w:p>
          <w:p w14:paraId="1788D14B">
            <w:pPr>
              <w:wordWrap w:val="0"/>
              <w:spacing w:line="360" w:lineRule="auto"/>
              <w:ind w:firstLine="420" w:firstLineChars="200"/>
              <w:jc w:val="righ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p>
        </w:tc>
      </w:tr>
    </w:tbl>
    <w:p w14:paraId="6A1C7B0D">
      <w:pPr>
        <w:spacing w:before="165" w:beforeLines="50" w:line="360" w:lineRule="auto"/>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注：1.在选择栏中的“□”内作标识“√”。 </w:t>
      </w:r>
    </w:p>
    <w:p w14:paraId="1650BFEF">
      <w:pPr>
        <w:spacing w:before="165" w:beforeLines="50" w:line="360" w:lineRule="auto"/>
        <w:ind w:left="720" w:hanging="720" w:hangingChars="4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2.本表一式四份，由承包人填报，发包人、监理人、造价咨询人、承包人各存一份。</w:t>
      </w:r>
    </w:p>
    <w:p w14:paraId="55EEB10F">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14:paraId="0DE0FCF5">
      <w:pPr>
        <w:spacing w:line="360" w:lineRule="auto"/>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附件12</w:t>
      </w:r>
    </w:p>
    <w:p w14:paraId="0EC48087">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竣工结算款支付申请（核准）表</w:t>
      </w:r>
    </w:p>
    <w:p w14:paraId="678E22D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工程名称：                                              编号：</w:t>
      </w:r>
    </w:p>
    <w:tbl>
      <w:tblPr>
        <w:tblStyle w:val="3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9"/>
        <w:gridCol w:w="4533"/>
      </w:tblGrid>
      <w:tr w14:paraId="7472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240" w:type="dxa"/>
            <w:gridSpan w:val="2"/>
            <w:noWrap w:val="0"/>
            <w:vAlign w:val="top"/>
          </w:tcPr>
          <w:p w14:paraId="2C12B68D">
            <w:pPr>
              <w:spacing w:line="360" w:lineRule="auto"/>
              <w:ind w:left="525" w:leftChars="149" w:hanging="212" w:hangingChars="10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（发包人全称）</w:t>
            </w:r>
          </w:p>
          <w:p w14:paraId="3A52C864">
            <w:pPr>
              <w:spacing w:line="360" w:lineRule="auto"/>
              <w:ind w:left="-4" w:leftChars="-2"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期间已完成了合同约定的工作，根据施工合同的约定，现申请支付竣工结算的工程款额为(大写)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元，请予核准。</w:t>
            </w:r>
          </w:p>
          <w:tbl>
            <w:tblPr>
              <w:tblStyle w:val="38"/>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420"/>
              <w:gridCol w:w="1620"/>
              <w:gridCol w:w="1620"/>
              <w:gridCol w:w="1651"/>
            </w:tblGrid>
            <w:tr w14:paraId="1CE8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66340A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420" w:type="dxa"/>
                  <w:noWrap w:val="0"/>
                  <w:vAlign w:val="center"/>
                </w:tcPr>
                <w:p w14:paraId="762B519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p>
              </w:tc>
              <w:tc>
                <w:tcPr>
                  <w:tcW w:w="1620" w:type="dxa"/>
                  <w:noWrap w:val="0"/>
                  <w:vAlign w:val="center"/>
                </w:tcPr>
                <w:p w14:paraId="6012679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申请金额（元）</w:t>
                  </w:r>
                </w:p>
              </w:tc>
              <w:tc>
                <w:tcPr>
                  <w:tcW w:w="1620" w:type="dxa"/>
                  <w:noWrap w:val="0"/>
                  <w:vAlign w:val="center"/>
                </w:tcPr>
                <w:p w14:paraId="291A04E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复核金额（元）</w:t>
                  </w:r>
                </w:p>
              </w:tc>
              <w:tc>
                <w:tcPr>
                  <w:tcW w:w="1651" w:type="dxa"/>
                  <w:noWrap w:val="0"/>
                  <w:vAlign w:val="center"/>
                </w:tcPr>
                <w:p w14:paraId="46AF936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3536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299B70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420" w:type="dxa"/>
                  <w:noWrap w:val="0"/>
                  <w:vAlign w:val="top"/>
                </w:tcPr>
                <w:p w14:paraId="43E01A6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竣工结算合同价款总额</w:t>
                  </w:r>
                </w:p>
              </w:tc>
              <w:tc>
                <w:tcPr>
                  <w:tcW w:w="1620" w:type="dxa"/>
                  <w:noWrap w:val="0"/>
                  <w:vAlign w:val="top"/>
                </w:tcPr>
                <w:p w14:paraId="19FE47BF">
                  <w:pPr>
                    <w:spacing w:line="360" w:lineRule="auto"/>
                    <w:rPr>
                      <w:rFonts w:hint="eastAsia" w:ascii="宋体" w:hAnsi="宋体" w:eastAsia="宋体" w:cs="宋体"/>
                      <w:color w:val="auto"/>
                      <w:szCs w:val="21"/>
                      <w:highlight w:val="none"/>
                    </w:rPr>
                  </w:pPr>
                </w:p>
              </w:tc>
              <w:tc>
                <w:tcPr>
                  <w:tcW w:w="1620" w:type="dxa"/>
                  <w:noWrap w:val="0"/>
                  <w:vAlign w:val="top"/>
                </w:tcPr>
                <w:p w14:paraId="6D3DA33D">
                  <w:pPr>
                    <w:spacing w:line="360" w:lineRule="auto"/>
                    <w:rPr>
                      <w:rFonts w:hint="eastAsia" w:ascii="宋体" w:hAnsi="宋体" w:eastAsia="宋体" w:cs="宋体"/>
                      <w:color w:val="auto"/>
                      <w:szCs w:val="21"/>
                      <w:highlight w:val="none"/>
                    </w:rPr>
                  </w:pPr>
                </w:p>
              </w:tc>
              <w:tc>
                <w:tcPr>
                  <w:tcW w:w="1651" w:type="dxa"/>
                  <w:noWrap w:val="0"/>
                  <w:vAlign w:val="top"/>
                </w:tcPr>
                <w:p w14:paraId="145581C1">
                  <w:pPr>
                    <w:spacing w:line="360" w:lineRule="auto"/>
                    <w:rPr>
                      <w:rFonts w:hint="eastAsia" w:ascii="宋体" w:hAnsi="宋体" w:eastAsia="宋体" w:cs="宋体"/>
                      <w:color w:val="auto"/>
                      <w:szCs w:val="21"/>
                      <w:highlight w:val="none"/>
                    </w:rPr>
                  </w:pPr>
                </w:p>
              </w:tc>
            </w:tr>
            <w:tr w14:paraId="7A15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6DAF8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420" w:type="dxa"/>
                  <w:noWrap w:val="0"/>
                  <w:vAlign w:val="top"/>
                </w:tcPr>
                <w:p w14:paraId="48DE08A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累计已实际支付的合同价款</w:t>
                  </w:r>
                </w:p>
              </w:tc>
              <w:tc>
                <w:tcPr>
                  <w:tcW w:w="1620" w:type="dxa"/>
                  <w:noWrap w:val="0"/>
                  <w:vAlign w:val="top"/>
                </w:tcPr>
                <w:p w14:paraId="1298EEDB">
                  <w:pPr>
                    <w:spacing w:line="360" w:lineRule="auto"/>
                    <w:rPr>
                      <w:rFonts w:hint="eastAsia" w:ascii="宋体" w:hAnsi="宋体" w:eastAsia="宋体" w:cs="宋体"/>
                      <w:color w:val="auto"/>
                      <w:szCs w:val="21"/>
                      <w:highlight w:val="none"/>
                    </w:rPr>
                  </w:pPr>
                </w:p>
              </w:tc>
              <w:tc>
                <w:tcPr>
                  <w:tcW w:w="1620" w:type="dxa"/>
                  <w:noWrap w:val="0"/>
                  <w:vAlign w:val="top"/>
                </w:tcPr>
                <w:p w14:paraId="40AA3E4E">
                  <w:pPr>
                    <w:spacing w:line="360" w:lineRule="auto"/>
                    <w:rPr>
                      <w:rFonts w:hint="eastAsia" w:ascii="宋体" w:hAnsi="宋体" w:eastAsia="宋体" w:cs="宋体"/>
                      <w:color w:val="auto"/>
                      <w:szCs w:val="21"/>
                      <w:highlight w:val="none"/>
                    </w:rPr>
                  </w:pPr>
                </w:p>
              </w:tc>
              <w:tc>
                <w:tcPr>
                  <w:tcW w:w="1651" w:type="dxa"/>
                  <w:noWrap w:val="0"/>
                  <w:vAlign w:val="top"/>
                </w:tcPr>
                <w:p w14:paraId="68C60E84">
                  <w:pPr>
                    <w:spacing w:line="360" w:lineRule="auto"/>
                    <w:rPr>
                      <w:rFonts w:hint="eastAsia" w:ascii="宋体" w:hAnsi="宋体" w:eastAsia="宋体" w:cs="宋体"/>
                      <w:color w:val="auto"/>
                      <w:szCs w:val="21"/>
                      <w:highlight w:val="none"/>
                    </w:rPr>
                  </w:pPr>
                </w:p>
              </w:tc>
            </w:tr>
            <w:tr w14:paraId="4819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1D95F5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420" w:type="dxa"/>
                  <w:noWrap w:val="0"/>
                  <w:vAlign w:val="top"/>
                </w:tcPr>
                <w:p w14:paraId="6BDE5A2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应预留的质量保证金</w:t>
                  </w:r>
                </w:p>
              </w:tc>
              <w:tc>
                <w:tcPr>
                  <w:tcW w:w="1620" w:type="dxa"/>
                  <w:noWrap w:val="0"/>
                  <w:vAlign w:val="top"/>
                </w:tcPr>
                <w:p w14:paraId="2765F823">
                  <w:pPr>
                    <w:spacing w:line="360" w:lineRule="auto"/>
                    <w:rPr>
                      <w:rFonts w:hint="eastAsia" w:ascii="宋体" w:hAnsi="宋体" w:eastAsia="宋体" w:cs="宋体"/>
                      <w:color w:val="auto"/>
                      <w:szCs w:val="21"/>
                      <w:highlight w:val="none"/>
                    </w:rPr>
                  </w:pPr>
                </w:p>
              </w:tc>
              <w:tc>
                <w:tcPr>
                  <w:tcW w:w="1620" w:type="dxa"/>
                  <w:noWrap w:val="0"/>
                  <w:vAlign w:val="top"/>
                </w:tcPr>
                <w:p w14:paraId="58E04F79">
                  <w:pPr>
                    <w:spacing w:line="360" w:lineRule="auto"/>
                    <w:rPr>
                      <w:rFonts w:hint="eastAsia" w:ascii="宋体" w:hAnsi="宋体" w:eastAsia="宋体" w:cs="宋体"/>
                      <w:color w:val="auto"/>
                      <w:szCs w:val="21"/>
                      <w:highlight w:val="none"/>
                    </w:rPr>
                  </w:pPr>
                </w:p>
              </w:tc>
              <w:tc>
                <w:tcPr>
                  <w:tcW w:w="1651" w:type="dxa"/>
                  <w:noWrap w:val="0"/>
                  <w:vAlign w:val="top"/>
                </w:tcPr>
                <w:p w14:paraId="45FA25C8">
                  <w:pPr>
                    <w:spacing w:line="360" w:lineRule="auto"/>
                    <w:rPr>
                      <w:rFonts w:hint="eastAsia" w:ascii="宋体" w:hAnsi="宋体" w:eastAsia="宋体" w:cs="宋体"/>
                      <w:color w:val="auto"/>
                      <w:szCs w:val="21"/>
                      <w:highlight w:val="none"/>
                    </w:rPr>
                  </w:pPr>
                </w:p>
              </w:tc>
            </w:tr>
            <w:tr w14:paraId="4679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ABD1B7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420" w:type="dxa"/>
                  <w:noWrap w:val="0"/>
                  <w:vAlign w:val="top"/>
                </w:tcPr>
                <w:p w14:paraId="5DFAE96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应支付的竣工结算款金额</w:t>
                  </w:r>
                </w:p>
              </w:tc>
              <w:tc>
                <w:tcPr>
                  <w:tcW w:w="1620" w:type="dxa"/>
                  <w:noWrap w:val="0"/>
                  <w:vAlign w:val="top"/>
                </w:tcPr>
                <w:p w14:paraId="2A5F7466">
                  <w:pPr>
                    <w:spacing w:line="360" w:lineRule="auto"/>
                    <w:rPr>
                      <w:rFonts w:hint="eastAsia" w:ascii="宋体" w:hAnsi="宋体" w:eastAsia="宋体" w:cs="宋体"/>
                      <w:color w:val="auto"/>
                      <w:szCs w:val="21"/>
                      <w:highlight w:val="none"/>
                    </w:rPr>
                  </w:pPr>
                </w:p>
              </w:tc>
              <w:tc>
                <w:tcPr>
                  <w:tcW w:w="1620" w:type="dxa"/>
                  <w:noWrap w:val="0"/>
                  <w:vAlign w:val="top"/>
                </w:tcPr>
                <w:p w14:paraId="66E13F10">
                  <w:pPr>
                    <w:spacing w:line="360" w:lineRule="auto"/>
                    <w:rPr>
                      <w:rFonts w:hint="eastAsia" w:ascii="宋体" w:hAnsi="宋体" w:eastAsia="宋体" w:cs="宋体"/>
                      <w:color w:val="auto"/>
                      <w:szCs w:val="21"/>
                      <w:highlight w:val="none"/>
                    </w:rPr>
                  </w:pPr>
                </w:p>
              </w:tc>
              <w:tc>
                <w:tcPr>
                  <w:tcW w:w="1651" w:type="dxa"/>
                  <w:noWrap w:val="0"/>
                  <w:vAlign w:val="top"/>
                </w:tcPr>
                <w:p w14:paraId="4DDEF57C">
                  <w:pPr>
                    <w:spacing w:line="360" w:lineRule="auto"/>
                    <w:rPr>
                      <w:rFonts w:hint="eastAsia" w:ascii="宋体" w:hAnsi="宋体" w:eastAsia="宋体" w:cs="宋体"/>
                      <w:color w:val="auto"/>
                      <w:szCs w:val="21"/>
                      <w:highlight w:val="none"/>
                    </w:rPr>
                  </w:pPr>
                </w:p>
              </w:tc>
            </w:tr>
            <w:tr w14:paraId="406F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170ADE8">
                  <w:pPr>
                    <w:spacing w:line="360" w:lineRule="auto"/>
                    <w:jc w:val="center"/>
                    <w:rPr>
                      <w:rFonts w:hint="eastAsia" w:ascii="宋体" w:hAnsi="宋体" w:eastAsia="宋体" w:cs="宋体"/>
                      <w:color w:val="auto"/>
                      <w:szCs w:val="21"/>
                      <w:highlight w:val="none"/>
                    </w:rPr>
                  </w:pPr>
                </w:p>
              </w:tc>
              <w:tc>
                <w:tcPr>
                  <w:tcW w:w="3420" w:type="dxa"/>
                  <w:noWrap w:val="0"/>
                  <w:vAlign w:val="top"/>
                </w:tcPr>
                <w:p w14:paraId="24FB3E2F">
                  <w:pPr>
                    <w:spacing w:line="360" w:lineRule="auto"/>
                    <w:rPr>
                      <w:rFonts w:hint="eastAsia" w:ascii="宋体" w:hAnsi="宋体" w:eastAsia="宋体" w:cs="宋体"/>
                      <w:color w:val="auto"/>
                      <w:szCs w:val="21"/>
                      <w:highlight w:val="none"/>
                    </w:rPr>
                  </w:pPr>
                </w:p>
              </w:tc>
              <w:tc>
                <w:tcPr>
                  <w:tcW w:w="1620" w:type="dxa"/>
                  <w:noWrap w:val="0"/>
                  <w:vAlign w:val="top"/>
                </w:tcPr>
                <w:p w14:paraId="6647C63F">
                  <w:pPr>
                    <w:spacing w:line="360" w:lineRule="auto"/>
                    <w:rPr>
                      <w:rFonts w:hint="eastAsia" w:ascii="宋体" w:hAnsi="宋体" w:eastAsia="宋体" w:cs="宋体"/>
                      <w:color w:val="auto"/>
                      <w:szCs w:val="21"/>
                      <w:highlight w:val="none"/>
                    </w:rPr>
                  </w:pPr>
                </w:p>
              </w:tc>
              <w:tc>
                <w:tcPr>
                  <w:tcW w:w="1620" w:type="dxa"/>
                  <w:noWrap w:val="0"/>
                  <w:vAlign w:val="top"/>
                </w:tcPr>
                <w:p w14:paraId="575A605C">
                  <w:pPr>
                    <w:spacing w:line="360" w:lineRule="auto"/>
                    <w:rPr>
                      <w:rFonts w:hint="eastAsia" w:ascii="宋体" w:hAnsi="宋体" w:eastAsia="宋体" w:cs="宋体"/>
                      <w:color w:val="auto"/>
                      <w:szCs w:val="21"/>
                      <w:highlight w:val="none"/>
                    </w:rPr>
                  </w:pPr>
                </w:p>
              </w:tc>
              <w:tc>
                <w:tcPr>
                  <w:tcW w:w="1651" w:type="dxa"/>
                  <w:noWrap w:val="0"/>
                  <w:vAlign w:val="top"/>
                </w:tcPr>
                <w:p w14:paraId="09BA0D42">
                  <w:pPr>
                    <w:spacing w:line="360" w:lineRule="auto"/>
                    <w:rPr>
                      <w:rFonts w:hint="eastAsia" w:ascii="宋体" w:hAnsi="宋体" w:eastAsia="宋体" w:cs="宋体"/>
                      <w:color w:val="auto"/>
                      <w:szCs w:val="21"/>
                      <w:highlight w:val="none"/>
                    </w:rPr>
                  </w:pPr>
                </w:p>
              </w:tc>
            </w:tr>
            <w:tr w14:paraId="12AE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E3E2677">
                  <w:pPr>
                    <w:spacing w:line="360" w:lineRule="auto"/>
                    <w:jc w:val="center"/>
                    <w:rPr>
                      <w:rFonts w:hint="eastAsia" w:ascii="宋体" w:hAnsi="宋体" w:eastAsia="宋体" w:cs="宋体"/>
                      <w:color w:val="auto"/>
                      <w:szCs w:val="21"/>
                      <w:highlight w:val="none"/>
                    </w:rPr>
                  </w:pPr>
                </w:p>
              </w:tc>
              <w:tc>
                <w:tcPr>
                  <w:tcW w:w="3420" w:type="dxa"/>
                  <w:noWrap w:val="0"/>
                  <w:vAlign w:val="top"/>
                </w:tcPr>
                <w:p w14:paraId="09458CBC">
                  <w:pPr>
                    <w:spacing w:line="360" w:lineRule="auto"/>
                    <w:rPr>
                      <w:rFonts w:hint="eastAsia" w:ascii="宋体" w:hAnsi="宋体" w:eastAsia="宋体" w:cs="宋体"/>
                      <w:color w:val="auto"/>
                      <w:szCs w:val="21"/>
                      <w:highlight w:val="none"/>
                    </w:rPr>
                  </w:pPr>
                </w:p>
              </w:tc>
              <w:tc>
                <w:tcPr>
                  <w:tcW w:w="1620" w:type="dxa"/>
                  <w:noWrap w:val="0"/>
                  <w:vAlign w:val="top"/>
                </w:tcPr>
                <w:p w14:paraId="751A7466">
                  <w:pPr>
                    <w:spacing w:line="360" w:lineRule="auto"/>
                    <w:rPr>
                      <w:rFonts w:hint="eastAsia" w:ascii="宋体" w:hAnsi="宋体" w:eastAsia="宋体" w:cs="宋体"/>
                      <w:color w:val="auto"/>
                      <w:szCs w:val="21"/>
                      <w:highlight w:val="none"/>
                    </w:rPr>
                  </w:pPr>
                </w:p>
              </w:tc>
              <w:tc>
                <w:tcPr>
                  <w:tcW w:w="1620" w:type="dxa"/>
                  <w:noWrap w:val="0"/>
                  <w:vAlign w:val="top"/>
                </w:tcPr>
                <w:p w14:paraId="5ABD2A94">
                  <w:pPr>
                    <w:spacing w:line="360" w:lineRule="auto"/>
                    <w:rPr>
                      <w:rFonts w:hint="eastAsia" w:ascii="宋体" w:hAnsi="宋体" w:eastAsia="宋体" w:cs="宋体"/>
                      <w:color w:val="auto"/>
                      <w:szCs w:val="21"/>
                      <w:highlight w:val="none"/>
                    </w:rPr>
                  </w:pPr>
                </w:p>
              </w:tc>
              <w:tc>
                <w:tcPr>
                  <w:tcW w:w="1651" w:type="dxa"/>
                  <w:noWrap w:val="0"/>
                  <w:vAlign w:val="top"/>
                </w:tcPr>
                <w:p w14:paraId="2BA6FC75">
                  <w:pPr>
                    <w:spacing w:line="360" w:lineRule="auto"/>
                    <w:rPr>
                      <w:rFonts w:hint="eastAsia" w:ascii="宋体" w:hAnsi="宋体" w:eastAsia="宋体" w:cs="宋体"/>
                      <w:color w:val="auto"/>
                      <w:szCs w:val="21"/>
                      <w:highlight w:val="none"/>
                    </w:rPr>
                  </w:pPr>
                </w:p>
              </w:tc>
            </w:tr>
            <w:tr w14:paraId="1030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FD7E741">
                  <w:pPr>
                    <w:spacing w:line="360" w:lineRule="auto"/>
                    <w:jc w:val="center"/>
                    <w:rPr>
                      <w:rFonts w:hint="eastAsia" w:ascii="宋体" w:hAnsi="宋体" w:eastAsia="宋体" w:cs="宋体"/>
                      <w:color w:val="auto"/>
                      <w:szCs w:val="21"/>
                      <w:highlight w:val="none"/>
                    </w:rPr>
                  </w:pPr>
                </w:p>
              </w:tc>
              <w:tc>
                <w:tcPr>
                  <w:tcW w:w="3420" w:type="dxa"/>
                  <w:noWrap w:val="0"/>
                  <w:vAlign w:val="top"/>
                </w:tcPr>
                <w:p w14:paraId="5C52DFE7">
                  <w:pPr>
                    <w:spacing w:line="360" w:lineRule="auto"/>
                    <w:rPr>
                      <w:rFonts w:hint="eastAsia" w:ascii="宋体" w:hAnsi="宋体" w:eastAsia="宋体" w:cs="宋体"/>
                      <w:color w:val="auto"/>
                      <w:szCs w:val="21"/>
                      <w:highlight w:val="none"/>
                    </w:rPr>
                  </w:pPr>
                </w:p>
              </w:tc>
              <w:tc>
                <w:tcPr>
                  <w:tcW w:w="1620" w:type="dxa"/>
                  <w:noWrap w:val="0"/>
                  <w:vAlign w:val="top"/>
                </w:tcPr>
                <w:p w14:paraId="4A9F48E7">
                  <w:pPr>
                    <w:spacing w:line="360" w:lineRule="auto"/>
                    <w:rPr>
                      <w:rFonts w:hint="eastAsia" w:ascii="宋体" w:hAnsi="宋体" w:eastAsia="宋体" w:cs="宋体"/>
                      <w:color w:val="auto"/>
                      <w:szCs w:val="21"/>
                      <w:highlight w:val="none"/>
                    </w:rPr>
                  </w:pPr>
                </w:p>
              </w:tc>
              <w:tc>
                <w:tcPr>
                  <w:tcW w:w="1620" w:type="dxa"/>
                  <w:noWrap w:val="0"/>
                  <w:vAlign w:val="top"/>
                </w:tcPr>
                <w:p w14:paraId="40FACAA4">
                  <w:pPr>
                    <w:spacing w:line="360" w:lineRule="auto"/>
                    <w:rPr>
                      <w:rFonts w:hint="eastAsia" w:ascii="宋体" w:hAnsi="宋体" w:eastAsia="宋体" w:cs="宋体"/>
                      <w:color w:val="auto"/>
                      <w:szCs w:val="21"/>
                      <w:highlight w:val="none"/>
                    </w:rPr>
                  </w:pPr>
                </w:p>
              </w:tc>
              <w:tc>
                <w:tcPr>
                  <w:tcW w:w="1651" w:type="dxa"/>
                  <w:noWrap w:val="0"/>
                  <w:vAlign w:val="top"/>
                </w:tcPr>
                <w:p w14:paraId="3A98E6D2">
                  <w:pPr>
                    <w:spacing w:line="360" w:lineRule="auto"/>
                    <w:rPr>
                      <w:rFonts w:hint="eastAsia" w:ascii="宋体" w:hAnsi="宋体" w:eastAsia="宋体" w:cs="宋体"/>
                      <w:color w:val="auto"/>
                      <w:szCs w:val="21"/>
                      <w:highlight w:val="none"/>
                    </w:rPr>
                  </w:pPr>
                </w:p>
              </w:tc>
            </w:tr>
            <w:tr w14:paraId="7193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139F652">
                  <w:pPr>
                    <w:spacing w:line="360" w:lineRule="auto"/>
                    <w:jc w:val="center"/>
                    <w:rPr>
                      <w:rFonts w:hint="eastAsia" w:ascii="宋体" w:hAnsi="宋体" w:eastAsia="宋体" w:cs="宋体"/>
                      <w:color w:val="auto"/>
                      <w:szCs w:val="21"/>
                      <w:highlight w:val="none"/>
                    </w:rPr>
                  </w:pPr>
                </w:p>
              </w:tc>
              <w:tc>
                <w:tcPr>
                  <w:tcW w:w="3420" w:type="dxa"/>
                  <w:noWrap w:val="0"/>
                  <w:vAlign w:val="top"/>
                </w:tcPr>
                <w:p w14:paraId="29EB748D">
                  <w:pPr>
                    <w:spacing w:line="360" w:lineRule="auto"/>
                    <w:rPr>
                      <w:rFonts w:hint="eastAsia" w:ascii="宋体" w:hAnsi="宋体" w:eastAsia="宋体" w:cs="宋体"/>
                      <w:color w:val="auto"/>
                      <w:szCs w:val="21"/>
                      <w:highlight w:val="none"/>
                    </w:rPr>
                  </w:pPr>
                </w:p>
              </w:tc>
              <w:tc>
                <w:tcPr>
                  <w:tcW w:w="1620" w:type="dxa"/>
                  <w:noWrap w:val="0"/>
                  <w:vAlign w:val="top"/>
                </w:tcPr>
                <w:p w14:paraId="16C38632">
                  <w:pPr>
                    <w:spacing w:line="360" w:lineRule="auto"/>
                    <w:rPr>
                      <w:rFonts w:hint="eastAsia" w:ascii="宋体" w:hAnsi="宋体" w:eastAsia="宋体" w:cs="宋体"/>
                      <w:color w:val="auto"/>
                      <w:szCs w:val="21"/>
                      <w:highlight w:val="none"/>
                    </w:rPr>
                  </w:pPr>
                </w:p>
              </w:tc>
              <w:tc>
                <w:tcPr>
                  <w:tcW w:w="1620" w:type="dxa"/>
                  <w:noWrap w:val="0"/>
                  <w:vAlign w:val="top"/>
                </w:tcPr>
                <w:p w14:paraId="4DA9A543">
                  <w:pPr>
                    <w:spacing w:line="360" w:lineRule="auto"/>
                    <w:rPr>
                      <w:rFonts w:hint="eastAsia" w:ascii="宋体" w:hAnsi="宋体" w:eastAsia="宋体" w:cs="宋体"/>
                      <w:color w:val="auto"/>
                      <w:szCs w:val="21"/>
                      <w:highlight w:val="none"/>
                    </w:rPr>
                  </w:pPr>
                </w:p>
              </w:tc>
              <w:tc>
                <w:tcPr>
                  <w:tcW w:w="1651" w:type="dxa"/>
                  <w:noWrap w:val="0"/>
                  <w:vAlign w:val="top"/>
                </w:tcPr>
                <w:p w14:paraId="6F004541">
                  <w:pPr>
                    <w:spacing w:line="360" w:lineRule="auto"/>
                    <w:rPr>
                      <w:rFonts w:hint="eastAsia" w:ascii="宋体" w:hAnsi="宋体" w:eastAsia="宋体" w:cs="宋体"/>
                      <w:color w:val="auto"/>
                      <w:szCs w:val="21"/>
                      <w:highlight w:val="none"/>
                    </w:rPr>
                  </w:pPr>
                </w:p>
              </w:tc>
            </w:tr>
          </w:tbl>
          <w:p w14:paraId="4C0AF4E1">
            <w:pPr>
              <w:spacing w:line="360" w:lineRule="auto"/>
              <w:ind w:right="420" w:firstLine="435"/>
              <w:jc w:val="center"/>
              <w:rPr>
                <w:rFonts w:hint="eastAsia" w:ascii="宋体" w:hAnsi="宋体" w:eastAsia="宋体" w:cs="宋体"/>
                <w:color w:val="auto"/>
                <w:szCs w:val="21"/>
                <w:highlight w:val="none"/>
              </w:rPr>
            </w:pPr>
          </w:p>
          <w:p w14:paraId="2C93DD12">
            <w:pPr>
              <w:spacing w:line="360" w:lineRule="auto"/>
              <w:ind w:right="420" w:firstLine="43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承包人（章）             </w:t>
            </w:r>
          </w:p>
          <w:p w14:paraId="4AB70BC4">
            <w:pPr>
              <w:spacing w:line="360" w:lineRule="auto"/>
              <w:ind w:right="42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造价人员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承包人代表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p>
        </w:tc>
      </w:tr>
      <w:tr w14:paraId="7EDA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noWrap w:val="0"/>
            <w:vAlign w:val="top"/>
          </w:tcPr>
          <w:p w14:paraId="5D3CF9F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复核意见：</w:t>
            </w:r>
          </w:p>
          <w:p w14:paraId="1C1DDCA6">
            <w:pPr>
              <w:spacing w:line="360" w:lineRule="auto"/>
              <w:ind w:firstLine="31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□与实际施工情况不相符，修改意见见附件。</w:t>
            </w:r>
          </w:p>
          <w:p w14:paraId="0A85EBEC">
            <w:pPr>
              <w:spacing w:line="360" w:lineRule="auto"/>
              <w:ind w:firstLine="31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□与实际施工情况相符，具体金额由造价工程师复核。</w:t>
            </w:r>
          </w:p>
          <w:p w14:paraId="782688C3">
            <w:pPr>
              <w:spacing w:line="360" w:lineRule="auto"/>
              <w:ind w:firstLine="435"/>
              <w:jc w:val="right"/>
              <w:rPr>
                <w:rFonts w:hint="eastAsia" w:ascii="宋体" w:hAnsi="宋体" w:eastAsia="宋体" w:cs="宋体"/>
                <w:color w:val="auto"/>
                <w:szCs w:val="21"/>
                <w:highlight w:val="none"/>
              </w:rPr>
            </w:pPr>
          </w:p>
          <w:p w14:paraId="7C86F967">
            <w:pPr>
              <w:spacing w:line="360" w:lineRule="auto"/>
              <w:ind w:firstLine="435"/>
              <w:jc w:val="right"/>
              <w:rPr>
                <w:rFonts w:hint="eastAsia" w:ascii="宋体" w:hAnsi="宋体" w:eastAsia="宋体" w:cs="宋体"/>
                <w:color w:val="auto"/>
                <w:szCs w:val="21"/>
                <w:highlight w:val="none"/>
              </w:rPr>
            </w:pPr>
          </w:p>
          <w:p w14:paraId="7BE75148">
            <w:pPr>
              <w:spacing w:line="360" w:lineRule="auto"/>
              <w:ind w:firstLine="43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0B0B2298">
            <w:pPr>
              <w:spacing w:line="360" w:lineRule="auto"/>
              <w:ind w:firstLine="435"/>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监理工程师</w:t>
            </w:r>
            <w:r>
              <w:rPr>
                <w:rFonts w:hint="eastAsia" w:ascii="宋体" w:hAnsi="宋体" w:eastAsia="宋体" w:cs="宋体"/>
                <w:color w:val="auto"/>
                <w:szCs w:val="21"/>
                <w:highlight w:val="none"/>
                <w:u w:val="single"/>
              </w:rPr>
              <w:t xml:space="preserve">           </w:t>
            </w:r>
          </w:p>
          <w:p w14:paraId="4CCAC010">
            <w:pPr>
              <w:spacing w:line="360" w:lineRule="auto"/>
              <w:ind w:firstLine="435"/>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p>
        </w:tc>
        <w:tc>
          <w:tcPr>
            <w:tcW w:w="4620" w:type="dxa"/>
            <w:noWrap w:val="0"/>
            <w:vAlign w:val="top"/>
          </w:tcPr>
          <w:p w14:paraId="7EFE158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复核意见：</w:t>
            </w:r>
          </w:p>
          <w:p w14:paraId="41641C30">
            <w:pPr>
              <w:spacing w:line="360" w:lineRule="auto"/>
              <w:ind w:firstLine="435"/>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你方提出的竣工结算支付申请经复核，竣工结算款总额为(大写)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元，扣除前期支付以及质量保证金后应支付金额为（大写）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21BF2E8A">
            <w:pPr>
              <w:spacing w:line="360" w:lineRule="auto"/>
              <w:ind w:firstLine="43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DE62A8F">
            <w:pPr>
              <w:spacing w:line="360" w:lineRule="auto"/>
              <w:ind w:firstLine="435"/>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造价工程师</w:t>
            </w:r>
            <w:r>
              <w:rPr>
                <w:rFonts w:hint="eastAsia" w:ascii="宋体" w:hAnsi="宋体" w:eastAsia="宋体" w:cs="宋体"/>
                <w:color w:val="auto"/>
                <w:szCs w:val="21"/>
                <w:highlight w:val="none"/>
                <w:u w:val="single"/>
              </w:rPr>
              <w:t xml:space="preserve">           </w:t>
            </w:r>
          </w:p>
          <w:p w14:paraId="377047D8">
            <w:pPr>
              <w:spacing w:line="360" w:lineRule="auto"/>
              <w:ind w:firstLine="435"/>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p>
        </w:tc>
      </w:tr>
      <w:tr w14:paraId="53C7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noWrap w:val="0"/>
            <w:vAlign w:val="top"/>
          </w:tcPr>
          <w:p w14:paraId="0CBCA76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审核意见：</w:t>
            </w:r>
          </w:p>
          <w:p w14:paraId="36A81DAA">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□不同意。</w:t>
            </w:r>
          </w:p>
          <w:p w14:paraId="492926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□同意，支付时间为本表签发后的15天内。</w:t>
            </w:r>
          </w:p>
          <w:p w14:paraId="66D33677">
            <w:pPr>
              <w:wordWrap w:val="0"/>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发包人（章）           </w:t>
            </w:r>
          </w:p>
          <w:p w14:paraId="15F8633A">
            <w:pPr>
              <w:wordWrap w:val="0"/>
              <w:spacing w:line="360" w:lineRule="auto"/>
              <w:ind w:firstLine="420" w:firstLineChars="200"/>
              <w:jc w:val="righ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发包人代表</w:t>
            </w:r>
            <w:r>
              <w:rPr>
                <w:rFonts w:hint="eastAsia" w:ascii="宋体" w:hAnsi="宋体" w:eastAsia="宋体" w:cs="宋体"/>
                <w:color w:val="auto"/>
                <w:szCs w:val="21"/>
                <w:highlight w:val="none"/>
                <w:u w:val="single"/>
              </w:rPr>
              <w:t xml:space="preserve">             </w:t>
            </w:r>
          </w:p>
          <w:p w14:paraId="2E64404A">
            <w:pPr>
              <w:wordWrap w:val="0"/>
              <w:spacing w:line="360" w:lineRule="auto"/>
              <w:ind w:firstLine="420" w:firstLineChars="200"/>
              <w:jc w:val="righ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p>
        </w:tc>
      </w:tr>
    </w:tbl>
    <w:p w14:paraId="428D1CE1">
      <w:pPr>
        <w:spacing w:before="165" w:beforeLines="50" w:line="360" w:lineRule="auto"/>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注：1.在选择栏中的“□”内作标识“√”。 </w:t>
      </w:r>
    </w:p>
    <w:p w14:paraId="1BB13939">
      <w:pPr>
        <w:spacing w:before="165" w:beforeLines="50" w:line="360" w:lineRule="auto"/>
        <w:ind w:left="720" w:hanging="720" w:hangingChars="4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2.本表一式四份，由承包人填报，发包人、监理人、造价咨询人、承包人各存一份。                                                                </w:t>
      </w:r>
    </w:p>
    <w:p w14:paraId="216E8C9D">
      <w:pPr>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附件13：</w:t>
      </w:r>
    </w:p>
    <w:p w14:paraId="676B8214">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最终结算款支付申请（核准）表</w:t>
      </w:r>
    </w:p>
    <w:p w14:paraId="3483B0A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工程名称：                                             编号：</w:t>
      </w:r>
    </w:p>
    <w:tbl>
      <w:tblPr>
        <w:tblStyle w:val="3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9"/>
        <w:gridCol w:w="4533"/>
      </w:tblGrid>
      <w:tr w14:paraId="6A81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240" w:type="dxa"/>
            <w:gridSpan w:val="2"/>
            <w:noWrap w:val="0"/>
            <w:vAlign w:val="top"/>
          </w:tcPr>
          <w:p w14:paraId="4DEEF7B1">
            <w:pPr>
              <w:spacing w:line="360" w:lineRule="auto"/>
              <w:ind w:left="525" w:leftChars="149" w:hanging="212" w:hangingChars="10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（发包人全称）</w:t>
            </w:r>
          </w:p>
          <w:p w14:paraId="2576BB63">
            <w:pPr>
              <w:spacing w:line="360" w:lineRule="auto"/>
              <w:ind w:left="-4" w:leftChars="-2"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期间已完成了缺陷修复工作，根据施工合同的约定，现申请支付最终结清合同款额为(大写)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元，请予核准。</w:t>
            </w:r>
          </w:p>
          <w:tbl>
            <w:tblPr>
              <w:tblStyle w:val="38"/>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420"/>
              <w:gridCol w:w="1620"/>
              <w:gridCol w:w="1620"/>
              <w:gridCol w:w="1651"/>
            </w:tblGrid>
            <w:tr w14:paraId="2114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4DEAB54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420" w:type="dxa"/>
                  <w:noWrap w:val="0"/>
                  <w:vAlign w:val="center"/>
                </w:tcPr>
                <w:p w14:paraId="4D99D4B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p>
              </w:tc>
              <w:tc>
                <w:tcPr>
                  <w:tcW w:w="1620" w:type="dxa"/>
                  <w:noWrap w:val="0"/>
                  <w:vAlign w:val="center"/>
                </w:tcPr>
                <w:p w14:paraId="65DFD29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申请金额（元）</w:t>
                  </w:r>
                </w:p>
              </w:tc>
              <w:tc>
                <w:tcPr>
                  <w:tcW w:w="1620" w:type="dxa"/>
                  <w:noWrap w:val="0"/>
                  <w:vAlign w:val="center"/>
                </w:tcPr>
                <w:p w14:paraId="7A0F3C6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复核金额（元）</w:t>
                  </w:r>
                </w:p>
              </w:tc>
              <w:tc>
                <w:tcPr>
                  <w:tcW w:w="1651" w:type="dxa"/>
                  <w:noWrap w:val="0"/>
                  <w:vAlign w:val="center"/>
                </w:tcPr>
                <w:p w14:paraId="3899B56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77B23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662A7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420" w:type="dxa"/>
                  <w:noWrap w:val="0"/>
                  <w:vAlign w:val="top"/>
                </w:tcPr>
                <w:p w14:paraId="28F4260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已预留的质量保证金</w:t>
                  </w:r>
                </w:p>
              </w:tc>
              <w:tc>
                <w:tcPr>
                  <w:tcW w:w="1620" w:type="dxa"/>
                  <w:noWrap w:val="0"/>
                  <w:vAlign w:val="top"/>
                </w:tcPr>
                <w:p w14:paraId="74C2E2E4">
                  <w:pPr>
                    <w:spacing w:line="360" w:lineRule="auto"/>
                    <w:rPr>
                      <w:rFonts w:hint="eastAsia" w:ascii="宋体" w:hAnsi="宋体" w:eastAsia="宋体" w:cs="宋体"/>
                      <w:color w:val="auto"/>
                      <w:szCs w:val="21"/>
                      <w:highlight w:val="none"/>
                    </w:rPr>
                  </w:pPr>
                </w:p>
              </w:tc>
              <w:tc>
                <w:tcPr>
                  <w:tcW w:w="1620" w:type="dxa"/>
                  <w:noWrap w:val="0"/>
                  <w:vAlign w:val="top"/>
                </w:tcPr>
                <w:p w14:paraId="30649100">
                  <w:pPr>
                    <w:spacing w:line="360" w:lineRule="auto"/>
                    <w:rPr>
                      <w:rFonts w:hint="eastAsia" w:ascii="宋体" w:hAnsi="宋体" w:eastAsia="宋体" w:cs="宋体"/>
                      <w:color w:val="auto"/>
                      <w:szCs w:val="21"/>
                      <w:highlight w:val="none"/>
                    </w:rPr>
                  </w:pPr>
                </w:p>
              </w:tc>
              <w:tc>
                <w:tcPr>
                  <w:tcW w:w="1651" w:type="dxa"/>
                  <w:noWrap w:val="0"/>
                  <w:vAlign w:val="top"/>
                </w:tcPr>
                <w:p w14:paraId="0417B0EC">
                  <w:pPr>
                    <w:spacing w:line="360" w:lineRule="auto"/>
                    <w:rPr>
                      <w:rFonts w:hint="eastAsia" w:ascii="宋体" w:hAnsi="宋体" w:eastAsia="宋体" w:cs="宋体"/>
                      <w:color w:val="auto"/>
                      <w:szCs w:val="21"/>
                      <w:highlight w:val="none"/>
                    </w:rPr>
                  </w:pPr>
                </w:p>
              </w:tc>
            </w:tr>
            <w:tr w14:paraId="7E24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5B175C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420" w:type="dxa"/>
                  <w:noWrap w:val="0"/>
                  <w:vAlign w:val="top"/>
                </w:tcPr>
                <w:p w14:paraId="2D4B984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应增加因发包人原因造成缺陷的修复金额</w:t>
                  </w:r>
                </w:p>
              </w:tc>
              <w:tc>
                <w:tcPr>
                  <w:tcW w:w="1620" w:type="dxa"/>
                  <w:noWrap w:val="0"/>
                  <w:vAlign w:val="top"/>
                </w:tcPr>
                <w:p w14:paraId="58732132">
                  <w:pPr>
                    <w:spacing w:line="360" w:lineRule="auto"/>
                    <w:rPr>
                      <w:rFonts w:hint="eastAsia" w:ascii="宋体" w:hAnsi="宋体" w:eastAsia="宋体" w:cs="宋体"/>
                      <w:color w:val="auto"/>
                      <w:szCs w:val="21"/>
                      <w:highlight w:val="none"/>
                    </w:rPr>
                  </w:pPr>
                </w:p>
              </w:tc>
              <w:tc>
                <w:tcPr>
                  <w:tcW w:w="1620" w:type="dxa"/>
                  <w:noWrap w:val="0"/>
                  <w:vAlign w:val="top"/>
                </w:tcPr>
                <w:p w14:paraId="6158B84E">
                  <w:pPr>
                    <w:spacing w:line="360" w:lineRule="auto"/>
                    <w:rPr>
                      <w:rFonts w:hint="eastAsia" w:ascii="宋体" w:hAnsi="宋体" w:eastAsia="宋体" w:cs="宋体"/>
                      <w:color w:val="auto"/>
                      <w:szCs w:val="21"/>
                      <w:highlight w:val="none"/>
                    </w:rPr>
                  </w:pPr>
                </w:p>
              </w:tc>
              <w:tc>
                <w:tcPr>
                  <w:tcW w:w="1651" w:type="dxa"/>
                  <w:noWrap w:val="0"/>
                  <w:vAlign w:val="top"/>
                </w:tcPr>
                <w:p w14:paraId="3AA8710E">
                  <w:pPr>
                    <w:spacing w:line="360" w:lineRule="auto"/>
                    <w:rPr>
                      <w:rFonts w:hint="eastAsia" w:ascii="宋体" w:hAnsi="宋体" w:eastAsia="宋体" w:cs="宋体"/>
                      <w:color w:val="auto"/>
                      <w:szCs w:val="21"/>
                      <w:highlight w:val="none"/>
                    </w:rPr>
                  </w:pPr>
                </w:p>
              </w:tc>
            </w:tr>
            <w:tr w14:paraId="2C0A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D39210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420" w:type="dxa"/>
                  <w:noWrap w:val="0"/>
                  <w:vAlign w:val="top"/>
                </w:tcPr>
                <w:p w14:paraId="58BA053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应扣减承包人不修复缺陷、发包人组织修复的金额</w:t>
                  </w:r>
                </w:p>
              </w:tc>
              <w:tc>
                <w:tcPr>
                  <w:tcW w:w="1620" w:type="dxa"/>
                  <w:noWrap w:val="0"/>
                  <w:vAlign w:val="top"/>
                </w:tcPr>
                <w:p w14:paraId="4DBF68B7">
                  <w:pPr>
                    <w:spacing w:line="360" w:lineRule="auto"/>
                    <w:rPr>
                      <w:rFonts w:hint="eastAsia" w:ascii="宋体" w:hAnsi="宋体" w:eastAsia="宋体" w:cs="宋体"/>
                      <w:color w:val="auto"/>
                      <w:szCs w:val="21"/>
                      <w:highlight w:val="none"/>
                    </w:rPr>
                  </w:pPr>
                </w:p>
              </w:tc>
              <w:tc>
                <w:tcPr>
                  <w:tcW w:w="1620" w:type="dxa"/>
                  <w:noWrap w:val="0"/>
                  <w:vAlign w:val="top"/>
                </w:tcPr>
                <w:p w14:paraId="20FF8102">
                  <w:pPr>
                    <w:spacing w:line="360" w:lineRule="auto"/>
                    <w:rPr>
                      <w:rFonts w:hint="eastAsia" w:ascii="宋体" w:hAnsi="宋体" w:eastAsia="宋体" w:cs="宋体"/>
                      <w:color w:val="auto"/>
                      <w:szCs w:val="21"/>
                      <w:highlight w:val="none"/>
                    </w:rPr>
                  </w:pPr>
                </w:p>
              </w:tc>
              <w:tc>
                <w:tcPr>
                  <w:tcW w:w="1651" w:type="dxa"/>
                  <w:noWrap w:val="0"/>
                  <w:vAlign w:val="top"/>
                </w:tcPr>
                <w:p w14:paraId="523D3224">
                  <w:pPr>
                    <w:spacing w:line="360" w:lineRule="auto"/>
                    <w:rPr>
                      <w:rFonts w:hint="eastAsia" w:ascii="宋体" w:hAnsi="宋体" w:eastAsia="宋体" w:cs="宋体"/>
                      <w:color w:val="auto"/>
                      <w:szCs w:val="21"/>
                      <w:highlight w:val="none"/>
                    </w:rPr>
                  </w:pPr>
                </w:p>
              </w:tc>
            </w:tr>
            <w:tr w14:paraId="4500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0ACCC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420" w:type="dxa"/>
                  <w:noWrap w:val="0"/>
                  <w:vAlign w:val="top"/>
                </w:tcPr>
                <w:p w14:paraId="5A459CA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最终应支付的合同价款</w:t>
                  </w:r>
                </w:p>
              </w:tc>
              <w:tc>
                <w:tcPr>
                  <w:tcW w:w="1620" w:type="dxa"/>
                  <w:noWrap w:val="0"/>
                  <w:vAlign w:val="top"/>
                </w:tcPr>
                <w:p w14:paraId="5F91B0B3">
                  <w:pPr>
                    <w:spacing w:line="360" w:lineRule="auto"/>
                    <w:rPr>
                      <w:rFonts w:hint="eastAsia" w:ascii="宋体" w:hAnsi="宋体" w:eastAsia="宋体" w:cs="宋体"/>
                      <w:color w:val="auto"/>
                      <w:szCs w:val="21"/>
                      <w:highlight w:val="none"/>
                    </w:rPr>
                  </w:pPr>
                </w:p>
              </w:tc>
              <w:tc>
                <w:tcPr>
                  <w:tcW w:w="1620" w:type="dxa"/>
                  <w:noWrap w:val="0"/>
                  <w:vAlign w:val="top"/>
                </w:tcPr>
                <w:p w14:paraId="1C701C57">
                  <w:pPr>
                    <w:spacing w:line="360" w:lineRule="auto"/>
                    <w:rPr>
                      <w:rFonts w:hint="eastAsia" w:ascii="宋体" w:hAnsi="宋体" w:eastAsia="宋体" w:cs="宋体"/>
                      <w:color w:val="auto"/>
                      <w:szCs w:val="21"/>
                      <w:highlight w:val="none"/>
                    </w:rPr>
                  </w:pPr>
                </w:p>
              </w:tc>
              <w:tc>
                <w:tcPr>
                  <w:tcW w:w="1651" w:type="dxa"/>
                  <w:noWrap w:val="0"/>
                  <w:vAlign w:val="top"/>
                </w:tcPr>
                <w:p w14:paraId="6358C904">
                  <w:pPr>
                    <w:spacing w:line="360" w:lineRule="auto"/>
                    <w:rPr>
                      <w:rFonts w:hint="eastAsia" w:ascii="宋体" w:hAnsi="宋体" w:eastAsia="宋体" w:cs="宋体"/>
                      <w:color w:val="auto"/>
                      <w:szCs w:val="21"/>
                      <w:highlight w:val="none"/>
                    </w:rPr>
                  </w:pPr>
                </w:p>
              </w:tc>
            </w:tr>
            <w:tr w14:paraId="216C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C7A9276">
                  <w:pPr>
                    <w:spacing w:line="360" w:lineRule="auto"/>
                    <w:jc w:val="center"/>
                    <w:rPr>
                      <w:rFonts w:hint="eastAsia" w:ascii="宋体" w:hAnsi="宋体" w:eastAsia="宋体" w:cs="宋体"/>
                      <w:color w:val="auto"/>
                      <w:szCs w:val="21"/>
                      <w:highlight w:val="none"/>
                    </w:rPr>
                  </w:pPr>
                </w:p>
              </w:tc>
              <w:tc>
                <w:tcPr>
                  <w:tcW w:w="3420" w:type="dxa"/>
                  <w:noWrap w:val="0"/>
                  <w:vAlign w:val="top"/>
                </w:tcPr>
                <w:p w14:paraId="7C9DF229">
                  <w:pPr>
                    <w:spacing w:line="360" w:lineRule="auto"/>
                    <w:rPr>
                      <w:rFonts w:hint="eastAsia" w:ascii="宋体" w:hAnsi="宋体" w:eastAsia="宋体" w:cs="宋体"/>
                      <w:color w:val="auto"/>
                      <w:szCs w:val="21"/>
                      <w:highlight w:val="none"/>
                    </w:rPr>
                  </w:pPr>
                </w:p>
              </w:tc>
              <w:tc>
                <w:tcPr>
                  <w:tcW w:w="1620" w:type="dxa"/>
                  <w:noWrap w:val="0"/>
                  <w:vAlign w:val="top"/>
                </w:tcPr>
                <w:p w14:paraId="78A8E60E">
                  <w:pPr>
                    <w:spacing w:line="360" w:lineRule="auto"/>
                    <w:rPr>
                      <w:rFonts w:hint="eastAsia" w:ascii="宋体" w:hAnsi="宋体" w:eastAsia="宋体" w:cs="宋体"/>
                      <w:color w:val="auto"/>
                      <w:szCs w:val="21"/>
                      <w:highlight w:val="none"/>
                    </w:rPr>
                  </w:pPr>
                </w:p>
              </w:tc>
              <w:tc>
                <w:tcPr>
                  <w:tcW w:w="1620" w:type="dxa"/>
                  <w:noWrap w:val="0"/>
                  <w:vAlign w:val="top"/>
                </w:tcPr>
                <w:p w14:paraId="355643AB">
                  <w:pPr>
                    <w:spacing w:line="360" w:lineRule="auto"/>
                    <w:rPr>
                      <w:rFonts w:hint="eastAsia" w:ascii="宋体" w:hAnsi="宋体" w:eastAsia="宋体" w:cs="宋体"/>
                      <w:color w:val="auto"/>
                      <w:szCs w:val="21"/>
                      <w:highlight w:val="none"/>
                    </w:rPr>
                  </w:pPr>
                </w:p>
              </w:tc>
              <w:tc>
                <w:tcPr>
                  <w:tcW w:w="1651" w:type="dxa"/>
                  <w:noWrap w:val="0"/>
                  <w:vAlign w:val="top"/>
                </w:tcPr>
                <w:p w14:paraId="2C5B1512">
                  <w:pPr>
                    <w:spacing w:line="360" w:lineRule="auto"/>
                    <w:rPr>
                      <w:rFonts w:hint="eastAsia" w:ascii="宋体" w:hAnsi="宋体" w:eastAsia="宋体" w:cs="宋体"/>
                      <w:color w:val="auto"/>
                      <w:szCs w:val="21"/>
                      <w:highlight w:val="none"/>
                    </w:rPr>
                  </w:pPr>
                </w:p>
              </w:tc>
            </w:tr>
            <w:tr w14:paraId="13CB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09F5726">
                  <w:pPr>
                    <w:spacing w:line="360" w:lineRule="auto"/>
                    <w:jc w:val="center"/>
                    <w:rPr>
                      <w:rFonts w:hint="eastAsia" w:ascii="宋体" w:hAnsi="宋体" w:eastAsia="宋体" w:cs="宋体"/>
                      <w:color w:val="auto"/>
                      <w:szCs w:val="21"/>
                      <w:highlight w:val="none"/>
                    </w:rPr>
                  </w:pPr>
                </w:p>
              </w:tc>
              <w:tc>
                <w:tcPr>
                  <w:tcW w:w="3420" w:type="dxa"/>
                  <w:noWrap w:val="0"/>
                  <w:vAlign w:val="top"/>
                </w:tcPr>
                <w:p w14:paraId="2E201DDA">
                  <w:pPr>
                    <w:spacing w:line="360" w:lineRule="auto"/>
                    <w:rPr>
                      <w:rFonts w:hint="eastAsia" w:ascii="宋体" w:hAnsi="宋体" w:eastAsia="宋体" w:cs="宋体"/>
                      <w:color w:val="auto"/>
                      <w:szCs w:val="21"/>
                      <w:highlight w:val="none"/>
                    </w:rPr>
                  </w:pPr>
                </w:p>
              </w:tc>
              <w:tc>
                <w:tcPr>
                  <w:tcW w:w="1620" w:type="dxa"/>
                  <w:noWrap w:val="0"/>
                  <w:vAlign w:val="top"/>
                </w:tcPr>
                <w:p w14:paraId="68DEBAFE">
                  <w:pPr>
                    <w:spacing w:line="360" w:lineRule="auto"/>
                    <w:rPr>
                      <w:rFonts w:hint="eastAsia" w:ascii="宋体" w:hAnsi="宋体" w:eastAsia="宋体" w:cs="宋体"/>
                      <w:color w:val="auto"/>
                      <w:szCs w:val="21"/>
                      <w:highlight w:val="none"/>
                    </w:rPr>
                  </w:pPr>
                </w:p>
              </w:tc>
              <w:tc>
                <w:tcPr>
                  <w:tcW w:w="1620" w:type="dxa"/>
                  <w:noWrap w:val="0"/>
                  <w:vAlign w:val="top"/>
                </w:tcPr>
                <w:p w14:paraId="79B395D3">
                  <w:pPr>
                    <w:spacing w:line="360" w:lineRule="auto"/>
                    <w:rPr>
                      <w:rFonts w:hint="eastAsia" w:ascii="宋体" w:hAnsi="宋体" w:eastAsia="宋体" w:cs="宋体"/>
                      <w:color w:val="auto"/>
                      <w:szCs w:val="21"/>
                      <w:highlight w:val="none"/>
                    </w:rPr>
                  </w:pPr>
                </w:p>
              </w:tc>
              <w:tc>
                <w:tcPr>
                  <w:tcW w:w="1651" w:type="dxa"/>
                  <w:noWrap w:val="0"/>
                  <w:vAlign w:val="top"/>
                </w:tcPr>
                <w:p w14:paraId="5C8FE22D">
                  <w:pPr>
                    <w:spacing w:line="360" w:lineRule="auto"/>
                    <w:rPr>
                      <w:rFonts w:hint="eastAsia" w:ascii="宋体" w:hAnsi="宋体" w:eastAsia="宋体" w:cs="宋体"/>
                      <w:color w:val="auto"/>
                      <w:szCs w:val="21"/>
                      <w:highlight w:val="none"/>
                    </w:rPr>
                  </w:pPr>
                </w:p>
              </w:tc>
            </w:tr>
            <w:tr w14:paraId="7860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5940041">
                  <w:pPr>
                    <w:spacing w:line="360" w:lineRule="auto"/>
                    <w:jc w:val="center"/>
                    <w:rPr>
                      <w:rFonts w:hint="eastAsia" w:ascii="宋体" w:hAnsi="宋体" w:eastAsia="宋体" w:cs="宋体"/>
                      <w:color w:val="auto"/>
                      <w:szCs w:val="21"/>
                      <w:highlight w:val="none"/>
                    </w:rPr>
                  </w:pPr>
                </w:p>
              </w:tc>
              <w:tc>
                <w:tcPr>
                  <w:tcW w:w="3420" w:type="dxa"/>
                  <w:noWrap w:val="0"/>
                  <w:vAlign w:val="top"/>
                </w:tcPr>
                <w:p w14:paraId="3262A16B">
                  <w:pPr>
                    <w:spacing w:line="360" w:lineRule="auto"/>
                    <w:rPr>
                      <w:rFonts w:hint="eastAsia" w:ascii="宋体" w:hAnsi="宋体" w:eastAsia="宋体" w:cs="宋体"/>
                      <w:color w:val="auto"/>
                      <w:szCs w:val="21"/>
                      <w:highlight w:val="none"/>
                    </w:rPr>
                  </w:pPr>
                </w:p>
              </w:tc>
              <w:tc>
                <w:tcPr>
                  <w:tcW w:w="1620" w:type="dxa"/>
                  <w:noWrap w:val="0"/>
                  <w:vAlign w:val="top"/>
                </w:tcPr>
                <w:p w14:paraId="156979A2">
                  <w:pPr>
                    <w:spacing w:line="360" w:lineRule="auto"/>
                    <w:rPr>
                      <w:rFonts w:hint="eastAsia" w:ascii="宋体" w:hAnsi="宋体" w:eastAsia="宋体" w:cs="宋体"/>
                      <w:color w:val="auto"/>
                      <w:szCs w:val="21"/>
                      <w:highlight w:val="none"/>
                    </w:rPr>
                  </w:pPr>
                </w:p>
              </w:tc>
              <w:tc>
                <w:tcPr>
                  <w:tcW w:w="1620" w:type="dxa"/>
                  <w:noWrap w:val="0"/>
                  <w:vAlign w:val="top"/>
                </w:tcPr>
                <w:p w14:paraId="48A68C65">
                  <w:pPr>
                    <w:spacing w:line="360" w:lineRule="auto"/>
                    <w:rPr>
                      <w:rFonts w:hint="eastAsia" w:ascii="宋体" w:hAnsi="宋体" w:eastAsia="宋体" w:cs="宋体"/>
                      <w:color w:val="auto"/>
                      <w:szCs w:val="21"/>
                      <w:highlight w:val="none"/>
                    </w:rPr>
                  </w:pPr>
                </w:p>
              </w:tc>
              <w:tc>
                <w:tcPr>
                  <w:tcW w:w="1651" w:type="dxa"/>
                  <w:noWrap w:val="0"/>
                  <w:vAlign w:val="top"/>
                </w:tcPr>
                <w:p w14:paraId="669E9FD6">
                  <w:pPr>
                    <w:spacing w:line="360" w:lineRule="auto"/>
                    <w:rPr>
                      <w:rFonts w:hint="eastAsia" w:ascii="宋体" w:hAnsi="宋体" w:eastAsia="宋体" w:cs="宋体"/>
                      <w:color w:val="auto"/>
                      <w:szCs w:val="21"/>
                      <w:highlight w:val="none"/>
                    </w:rPr>
                  </w:pPr>
                </w:p>
              </w:tc>
            </w:tr>
            <w:tr w14:paraId="32EB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49632BF">
                  <w:pPr>
                    <w:spacing w:line="360" w:lineRule="auto"/>
                    <w:jc w:val="center"/>
                    <w:rPr>
                      <w:rFonts w:hint="eastAsia" w:ascii="宋体" w:hAnsi="宋体" w:eastAsia="宋体" w:cs="宋体"/>
                      <w:color w:val="auto"/>
                      <w:szCs w:val="21"/>
                      <w:highlight w:val="none"/>
                    </w:rPr>
                  </w:pPr>
                </w:p>
              </w:tc>
              <w:tc>
                <w:tcPr>
                  <w:tcW w:w="3420" w:type="dxa"/>
                  <w:noWrap w:val="0"/>
                  <w:vAlign w:val="top"/>
                </w:tcPr>
                <w:p w14:paraId="366CC925">
                  <w:pPr>
                    <w:spacing w:line="360" w:lineRule="auto"/>
                    <w:rPr>
                      <w:rFonts w:hint="eastAsia" w:ascii="宋体" w:hAnsi="宋体" w:eastAsia="宋体" w:cs="宋体"/>
                      <w:color w:val="auto"/>
                      <w:szCs w:val="21"/>
                      <w:highlight w:val="none"/>
                    </w:rPr>
                  </w:pPr>
                </w:p>
              </w:tc>
              <w:tc>
                <w:tcPr>
                  <w:tcW w:w="1620" w:type="dxa"/>
                  <w:noWrap w:val="0"/>
                  <w:vAlign w:val="top"/>
                </w:tcPr>
                <w:p w14:paraId="67D28C19">
                  <w:pPr>
                    <w:spacing w:line="360" w:lineRule="auto"/>
                    <w:rPr>
                      <w:rFonts w:hint="eastAsia" w:ascii="宋体" w:hAnsi="宋体" w:eastAsia="宋体" w:cs="宋体"/>
                      <w:color w:val="auto"/>
                      <w:szCs w:val="21"/>
                      <w:highlight w:val="none"/>
                    </w:rPr>
                  </w:pPr>
                </w:p>
              </w:tc>
              <w:tc>
                <w:tcPr>
                  <w:tcW w:w="1620" w:type="dxa"/>
                  <w:noWrap w:val="0"/>
                  <w:vAlign w:val="top"/>
                </w:tcPr>
                <w:p w14:paraId="319F0DC5">
                  <w:pPr>
                    <w:spacing w:line="360" w:lineRule="auto"/>
                    <w:rPr>
                      <w:rFonts w:hint="eastAsia" w:ascii="宋体" w:hAnsi="宋体" w:eastAsia="宋体" w:cs="宋体"/>
                      <w:color w:val="auto"/>
                      <w:szCs w:val="21"/>
                      <w:highlight w:val="none"/>
                    </w:rPr>
                  </w:pPr>
                </w:p>
              </w:tc>
              <w:tc>
                <w:tcPr>
                  <w:tcW w:w="1651" w:type="dxa"/>
                  <w:noWrap w:val="0"/>
                  <w:vAlign w:val="top"/>
                </w:tcPr>
                <w:p w14:paraId="052D0A9E">
                  <w:pPr>
                    <w:spacing w:line="360" w:lineRule="auto"/>
                    <w:rPr>
                      <w:rFonts w:hint="eastAsia" w:ascii="宋体" w:hAnsi="宋体" w:eastAsia="宋体" w:cs="宋体"/>
                      <w:color w:val="auto"/>
                      <w:szCs w:val="21"/>
                      <w:highlight w:val="none"/>
                    </w:rPr>
                  </w:pPr>
                </w:p>
              </w:tc>
            </w:tr>
          </w:tbl>
          <w:p w14:paraId="23E84D6E">
            <w:pPr>
              <w:spacing w:line="360" w:lineRule="auto"/>
              <w:ind w:right="420" w:firstLine="43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承包人（章）             </w:t>
            </w:r>
          </w:p>
          <w:p w14:paraId="69E181C1">
            <w:pPr>
              <w:spacing w:line="360" w:lineRule="auto"/>
              <w:ind w:right="42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造价人员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承包人代表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p>
        </w:tc>
      </w:tr>
      <w:tr w14:paraId="46BA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noWrap w:val="0"/>
            <w:vAlign w:val="top"/>
          </w:tcPr>
          <w:p w14:paraId="601B938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复核意见：</w:t>
            </w:r>
          </w:p>
          <w:p w14:paraId="0BAEB204">
            <w:pPr>
              <w:spacing w:line="360" w:lineRule="auto"/>
              <w:ind w:firstLine="31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□与实际施工情况不相符，修改意见见附件。</w:t>
            </w:r>
          </w:p>
          <w:p w14:paraId="7909F5C9">
            <w:pPr>
              <w:spacing w:line="360" w:lineRule="auto"/>
              <w:ind w:firstLine="31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□与实际施工情况相符，具体金额由造价工程师复核。</w:t>
            </w:r>
          </w:p>
          <w:p w14:paraId="32DDA666">
            <w:pPr>
              <w:spacing w:line="360" w:lineRule="auto"/>
              <w:ind w:firstLine="435"/>
              <w:jc w:val="right"/>
              <w:rPr>
                <w:rFonts w:hint="eastAsia" w:ascii="宋体" w:hAnsi="宋体" w:eastAsia="宋体" w:cs="宋体"/>
                <w:color w:val="auto"/>
                <w:szCs w:val="21"/>
                <w:highlight w:val="none"/>
              </w:rPr>
            </w:pPr>
          </w:p>
          <w:p w14:paraId="2C70DE73">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6D763018">
            <w:pPr>
              <w:spacing w:line="360" w:lineRule="auto"/>
              <w:ind w:firstLine="435"/>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监理工程师</w:t>
            </w:r>
            <w:r>
              <w:rPr>
                <w:rFonts w:hint="eastAsia" w:ascii="宋体" w:hAnsi="宋体" w:eastAsia="宋体" w:cs="宋体"/>
                <w:color w:val="auto"/>
                <w:szCs w:val="21"/>
                <w:highlight w:val="none"/>
                <w:u w:val="single"/>
              </w:rPr>
              <w:t xml:space="preserve">           </w:t>
            </w:r>
          </w:p>
          <w:p w14:paraId="63DD5106">
            <w:pPr>
              <w:spacing w:line="360" w:lineRule="auto"/>
              <w:ind w:firstLine="435"/>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p>
        </w:tc>
        <w:tc>
          <w:tcPr>
            <w:tcW w:w="4620" w:type="dxa"/>
            <w:noWrap w:val="0"/>
            <w:vAlign w:val="top"/>
          </w:tcPr>
          <w:p w14:paraId="2D06394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复核意见：</w:t>
            </w:r>
          </w:p>
          <w:p w14:paraId="0B24BF4A">
            <w:pPr>
              <w:spacing w:line="360" w:lineRule="auto"/>
              <w:ind w:firstLine="435"/>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你方提出的支付申请经复核，最终应支付金额为（大写）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元，（小写）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46870A4A">
            <w:pPr>
              <w:spacing w:line="360" w:lineRule="auto"/>
              <w:ind w:firstLine="43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F9BDDD7">
            <w:pPr>
              <w:spacing w:line="360" w:lineRule="auto"/>
              <w:jc w:val="both"/>
              <w:rPr>
                <w:rFonts w:hint="eastAsia" w:ascii="宋体" w:hAnsi="宋体" w:eastAsia="宋体" w:cs="宋体"/>
                <w:color w:val="auto"/>
                <w:szCs w:val="21"/>
                <w:highlight w:val="none"/>
              </w:rPr>
            </w:pPr>
          </w:p>
          <w:p w14:paraId="17D52E7C">
            <w:pPr>
              <w:spacing w:line="360" w:lineRule="auto"/>
              <w:ind w:firstLine="435"/>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造价工程师</w:t>
            </w:r>
            <w:r>
              <w:rPr>
                <w:rFonts w:hint="eastAsia" w:ascii="宋体" w:hAnsi="宋体" w:eastAsia="宋体" w:cs="宋体"/>
                <w:color w:val="auto"/>
                <w:szCs w:val="21"/>
                <w:highlight w:val="none"/>
                <w:u w:val="single"/>
              </w:rPr>
              <w:t xml:space="preserve">           </w:t>
            </w:r>
          </w:p>
          <w:p w14:paraId="1D624AF7">
            <w:pPr>
              <w:spacing w:line="360" w:lineRule="auto"/>
              <w:ind w:firstLine="435"/>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p>
        </w:tc>
      </w:tr>
      <w:tr w14:paraId="67B6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noWrap w:val="0"/>
            <w:vAlign w:val="top"/>
          </w:tcPr>
          <w:p w14:paraId="3002C61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审核意见：</w:t>
            </w:r>
          </w:p>
          <w:p w14:paraId="316A5FB8">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□不同意。</w:t>
            </w:r>
          </w:p>
          <w:p w14:paraId="479ABB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□同意，支付时间为本表签发后的15天内。</w:t>
            </w:r>
          </w:p>
          <w:p w14:paraId="1899BEED">
            <w:pPr>
              <w:wordWrap w:val="0"/>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发包人（章）           </w:t>
            </w:r>
          </w:p>
          <w:p w14:paraId="73EA0960">
            <w:pPr>
              <w:wordWrap w:val="0"/>
              <w:spacing w:line="360" w:lineRule="auto"/>
              <w:ind w:firstLine="420" w:firstLineChars="200"/>
              <w:jc w:val="righ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发包人代表</w:t>
            </w:r>
            <w:r>
              <w:rPr>
                <w:rFonts w:hint="eastAsia" w:ascii="宋体" w:hAnsi="宋体" w:eastAsia="宋体" w:cs="宋体"/>
                <w:color w:val="auto"/>
                <w:szCs w:val="21"/>
                <w:highlight w:val="none"/>
                <w:u w:val="single"/>
              </w:rPr>
              <w:t xml:space="preserve">             </w:t>
            </w:r>
          </w:p>
          <w:p w14:paraId="238A4AE7">
            <w:pPr>
              <w:wordWrap w:val="0"/>
              <w:spacing w:line="360" w:lineRule="auto"/>
              <w:ind w:firstLine="420" w:firstLineChars="200"/>
              <w:jc w:val="righ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p>
        </w:tc>
      </w:tr>
    </w:tbl>
    <w:p w14:paraId="30D7191D">
      <w:pPr>
        <w:spacing w:before="165" w:beforeLines="50" w:line="360" w:lineRule="auto"/>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注：1.在选择栏中的“□”内作标识“√”。 如监理人已退场，监理工程师栏可空缺。</w:t>
      </w:r>
    </w:p>
    <w:p w14:paraId="4B1F426C">
      <w:pPr>
        <w:spacing w:before="165" w:beforeLines="50" w:line="360" w:lineRule="auto"/>
        <w:ind w:left="720" w:hanging="720" w:hangingChars="4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2.本表一式四份，由承包人填报，发包人、监理人、造价咨询人、承包人各存一份。</w:t>
      </w:r>
    </w:p>
    <w:p w14:paraId="64699957">
      <w:pPr>
        <w:spacing w:before="165" w:beforeLines="50" w:line="360" w:lineRule="auto"/>
        <w:ind w:left="1200" w:hanging="1200" w:hangingChars="4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附件14：</w:t>
      </w:r>
    </w:p>
    <w:p w14:paraId="4FDCF257">
      <w:pPr>
        <w:spacing w:line="360" w:lineRule="auto"/>
        <w:ind w:firstLine="720" w:firstLineChars="200"/>
        <w:jc w:val="center"/>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总价合同进度款支付分解表</w:t>
      </w:r>
    </w:p>
    <w:p w14:paraId="5DF23CEA">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工程名称：</w:t>
      </w:r>
    </w:p>
    <w:tbl>
      <w:tblPr>
        <w:tblStyle w:val="3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3119"/>
        <w:gridCol w:w="675"/>
        <w:gridCol w:w="2268"/>
        <w:gridCol w:w="1276"/>
      </w:tblGrid>
      <w:tr w14:paraId="7DE3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529EF2F7">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进度款期次</w:t>
            </w:r>
          </w:p>
        </w:tc>
        <w:tc>
          <w:tcPr>
            <w:tcW w:w="3794" w:type="dxa"/>
            <w:gridSpan w:val="2"/>
            <w:noWrap w:val="0"/>
            <w:vAlign w:val="top"/>
          </w:tcPr>
          <w:p w14:paraId="58FB3496">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形象进度</w:t>
            </w:r>
          </w:p>
        </w:tc>
        <w:tc>
          <w:tcPr>
            <w:tcW w:w="2268" w:type="dxa"/>
            <w:noWrap w:val="0"/>
            <w:vAlign w:val="top"/>
          </w:tcPr>
          <w:p w14:paraId="5FA9FFC4">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进度款付款金额（元）</w:t>
            </w:r>
          </w:p>
        </w:tc>
        <w:tc>
          <w:tcPr>
            <w:tcW w:w="1276" w:type="dxa"/>
            <w:noWrap w:val="0"/>
            <w:vAlign w:val="top"/>
          </w:tcPr>
          <w:p w14:paraId="17E3EE11">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3D64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0117659F">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第一期</w:t>
            </w:r>
          </w:p>
        </w:tc>
        <w:tc>
          <w:tcPr>
            <w:tcW w:w="3794" w:type="dxa"/>
            <w:gridSpan w:val="2"/>
            <w:noWrap w:val="0"/>
            <w:vAlign w:val="top"/>
          </w:tcPr>
          <w:p w14:paraId="545D9F47">
            <w:pPr>
              <w:spacing w:line="360" w:lineRule="auto"/>
              <w:jc w:val="center"/>
              <w:rPr>
                <w:rFonts w:hint="eastAsia" w:ascii="宋体" w:hAnsi="宋体" w:eastAsia="宋体" w:cs="宋体"/>
                <w:color w:val="auto"/>
                <w:kern w:val="0"/>
                <w:szCs w:val="21"/>
                <w:highlight w:val="none"/>
              </w:rPr>
            </w:pPr>
          </w:p>
        </w:tc>
        <w:tc>
          <w:tcPr>
            <w:tcW w:w="2268" w:type="dxa"/>
            <w:noWrap w:val="0"/>
            <w:vAlign w:val="top"/>
          </w:tcPr>
          <w:p w14:paraId="09A94800">
            <w:pPr>
              <w:spacing w:line="360" w:lineRule="auto"/>
              <w:jc w:val="center"/>
              <w:rPr>
                <w:rFonts w:hint="eastAsia" w:ascii="宋体" w:hAnsi="宋体" w:eastAsia="宋体" w:cs="宋体"/>
                <w:color w:val="auto"/>
                <w:kern w:val="0"/>
                <w:szCs w:val="21"/>
                <w:highlight w:val="none"/>
              </w:rPr>
            </w:pPr>
          </w:p>
        </w:tc>
        <w:tc>
          <w:tcPr>
            <w:tcW w:w="1276" w:type="dxa"/>
            <w:noWrap w:val="0"/>
            <w:vAlign w:val="top"/>
          </w:tcPr>
          <w:p w14:paraId="4776CED5">
            <w:pPr>
              <w:spacing w:line="360" w:lineRule="auto"/>
              <w:jc w:val="center"/>
              <w:rPr>
                <w:rFonts w:hint="eastAsia" w:ascii="宋体" w:hAnsi="宋体" w:eastAsia="宋体" w:cs="宋体"/>
                <w:color w:val="auto"/>
                <w:kern w:val="0"/>
                <w:szCs w:val="21"/>
                <w:highlight w:val="none"/>
              </w:rPr>
            </w:pPr>
          </w:p>
        </w:tc>
      </w:tr>
      <w:tr w14:paraId="410D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4071B1A5">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第二期</w:t>
            </w:r>
          </w:p>
        </w:tc>
        <w:tc>
          <w:tcPr>
            <w:tcW w:w="3794" w:type="dxa"/>
            <w:gridSpan w:val="2"/>
            <w:noWrap w:val="0"/>
            <w:vAlign w:val="top"/>
          </w:tcPr>
          <w:p w14:paraId="2F9BCBC4">
            <w:pPr>
              <w:spacing w:line="360" w:lineRule="auto"/>
              <w:jc w:val="center"/>
              <w:rPr>
                <w:rFonts w:hint="eastAsia" w:ascii="宋体" w:hAnsi="宋体" w:eastAsia="宋体" w:cs="宋体"/>
                <w:color w:val="auto"/>
                <w:kern w:val="0"/>
                <w:szCs w:val="21"/>
                <w:highlight w:val="none"/>
              </w:rPr>
            </w:pPr>
          </w:p>
        </w:tc>
        <w:tc>
          <w:tcPr>
            <w:tcW w:w="2268" w:type="dxa"/>
            <w:noWrap w:val="0"/>
            <w:vAlign w:val="top"/>
          </w:tcPr>
          <w:p w14:paraId="7B32339F">
            <w:pPr>
              <w:spacing w:line="360" w:lineRule="auto"/>
              <w:jc w:val="center"/>
              <w:rPr>
                <w:rFonts w:hint="eastAsia" w:ascii="宋体" w:hAnsi="宋体" w:eastAsia="宋体" w:cs="宋体"/>
                <w:color w:val="auto"/>
                <w:kern w:val="0"/>
                <w:szCs w:val="21"/>
                <w:highlight w:val="none"/>
              </w:rPr>
            </w:pPr>
          </w:p>
        </w:tc>
        <w:tc>
          <w:tcPr>
            <w:tcW w:w="1276" w:type="dxa"/>
            <w:noWrap w:val="0"/>
            <w:vAlign w:val="top"/>
          </w:tcPr>
          <w:p w14:paraId="1DAF8C2C">
            <w:pPr>
              <w:spacing w:line="360" w:lineRule="auto"/>
              <w:jc w:val="center"/>
              <w:rPr>
                <w:rFonts w:hint="eastAsia" w:ascii="宋体" w:hAnsi="宋体" w:eastAsia="宋体" w:cs="宋体"/>
                <w:color w:val="auto"/>
                <w:kern w:val="0"/>
                <w:szCs w:val="21"/>
                <w:highlight w:val="none"/>
              </w:rPr>
            </w:pPr>
          </w:p>
        </w:tc>
      </w:tr>
      <w:tr w14:paraId="0E01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02CA470D">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第三期</w:t>
            </w:r>
          </w:p>
        </w:tc>
        <w:tc>
          <w:tcPr>
            <w:tcW w:w="3794" w:type="dxa"/>
            <w:gridSpan w:val="2"/>
            <w:noWrap w:val="0"/>
            <w:vAlign w:val="top"/>
          </w:tcPr>
          <w:p w14:paraId="0EFAC7DD">
            <w:pPr>
              <w:spacing w:line="360" w:lineRule="auto"/>
              <w:jc w:val="center"/>
              <w:rPr>
                <w:rFonts w:hint="eastAsia" w:ascii="宋体" w:hAnsi="宋体" w:eastAsia="宋体" w:cs="宋体"/>
                <w:color w:val="auto"/>
                <w:kern w:val="0"/>
                <w:szCs w:val="21"/>
                <w:highlight w:val="none"/>
              </w:rPr>
            </w:pPr>
          </w:p>
        </w:tc>
        <w:tc>
          <w:tcPr>
            <w:tcW w:w="2268" w:type="dxa"/>
            <w:noWrap w:val="0"/>
            <w:vAlign w:val="top"/>
          </w:tcPr>
          <w:p w14:paraId="15FF2BF6">
            <w:pPr>
              <w:spacing w:line="360" w:lineRule="auto"/>
              <w:jc w:val="center"/>
              <w:rPr>
                <w:rFonts w:hint="eastAsia" w:ascii="宋体" w:hAnsi="宋体" w:eastAsia="宋体" w:cs="宋体"/>
                <w:color w:val="auto"/>
                <w:kern w:val="0"/>
                <w:szCs w:val="21"/>
                <w:highlight w:val="none"/>
              </w:rPr>
            </w:pPr>
          </w:p>
        </w:tc>
        <w:tc>
          <w:tcPr>
            <w:tcW w:w="1276" w:type="dxa"/>
            <w:noWrap w:val="0"/>
            <w:vAlign w:val="top"/>
          </w:tcPr>
          <w:p w14:paraId="06417330">
            <w:pPr>
              <w:spacing w:line="360" w:lineRule="auto"/>
              <w:jc w:val="center"/>
              <w:rPr>
                <w:rFonts w:hint="eastAsia" w:ascii="宋体" w:hAnsi="宋体" w:eastAsia="宋体" w:cs="宋体"/>
                <w:color w:val="auto"/>
                <w:kern w:val="0"/>
                <w:szCs w:val="21"/>
                <w:highlight w:val="none"/>
              </w:rPr>
            </w:pPr>
          </w:p>
        </w:tc>
      </w:tr>
      <w:tr w14:paraId="661A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56FE99AC">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3794" w:type="dxa"/>
            <w:gridSpan w:val="2"/>
            <w:noWrap w:val="0"/>
            <w:vAlign w:val="top"/>
          </w:tcPr>
          <w:p w14:paraId="16C68DA3">
            <w:pPr>
              <w:spacing w:line="360" w:lineRule="auto"/>
              <w:jc w:val="center"/>
              <w:rPr>
                <w:rFonts w:hint="eastAsia" w:ascii="宋体" w:hAnsi="宋体" w:eastAsia="宋体" w:cs="宋体"/>
                <w:color w:val="auto"/>
                <w:kern w:val="0"/>
                <w:szCs w:val="21"/>
                <w:highlight w:val="none"/>
              </w:rPr>
            </w:pPr>
          </w:p>
        </w:tc>
        <w:tc>
          <w:tcPr>
            <w:tcW w:w="2268" w:type="dxa"/>
            <w:noWrap w:val="0"/>
            <w:vAlign w:val="top"/>
          </w:tcPr>
          <w:p w14:paraId="5261B941">
            <w:pPr>
              <w:spacing w:line="360" w:lineRule="auto"/>
              <w:jc w:val="center"/>
              <w:rPr>
                <w:rFonts w:hint="eastAsia" w:ascii="宋体" w:hAnsi="宋体" w:eastAsia="宋体" w:cs="宋体"/>
                <w:color w:val="auto"/>
                <w:kern w:val="0"/>
                <w:szCs w:val="21"/>
                <w:highlight w:val="none"/>
              </w:rPr>
            </w:pPr>
          </w:p>
        </w:tc>
        <w:tc>
          <w:tcPr>
            <w:tcW w:w="1276" w:type="dxa"/>
            <w:noWrap w:val="0"/>
            <w:vAlign w:val="top"/>
          </w:tcPr>
          <w:p w14:paraId="018053DA">
            <w:pPr>
              <w:spacing w:line="360" w:lineRule="auto"/>
              <w:jc w:val="center"/>
              <w:rPr>
                <w:rFonts w:hint="eastAsia" w:ascii="宋体" w:hAnsi="宋体" w:eastAsia="宋体" w:cs="宋体"/>
                <w:color w:val="auto"/>
                <w:kern w:val="0"/>
                <w:szCs w:val="21"/>
                <w:highlight w:val="none"/>
              </w:rPr>
            </w:pPr>
          </w:p>
        </w:tc>
      </w:tr>
      <w:tr w14:paraId="778E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4536" w:type="dxa"/>
            <w:gridSpan w:val="2"/>
            <w:noWrap w:val="0"/>
            <w:vAlign w:val="top"/>
          </w:tcPr>
          <w:p w14:paraId="4B308E9D">
            <w:pPr>
              <w:spacing w:line="360" w:lineRule="auto"/>
              <w:ind w:firstLine="435"/>
              <w:jc w:val="right"/>
              <w:rPr>
                <w:rFonts w:hint="eastAsia" w:ascii="宋体" w:hAnsi="宋体" w:eastAsia="宋体" w:cs="宋体"/>
                <w:color w:val="auto"/>
                <w:szCs w:val="21"/>
                <w:highlight w:val="none"/>
              </w:rPr>
            </w:pPr>
          </w:p>
          <w:p w14:paraId="5F531CEB">
            <w:pPr>
              <w:spacing w:line="360" w:lineRule="auto"/>
              <w:ind w:firstLine="43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发包人代表签字：</w:t>
            </w:r>
          </w:p>
          <w:p w14:paraId="3453D043">
            <w:pPr>
              <w:spacing w:line="360" w:lineRule="auto"/>
              <w:ind w:firstLine="435"/>
              <w:jc w:val="center"/>
              <w:rPr>
                <w:rFonts w:hint="eastAsia" w:ascii="宋体" w:hAnsi="宋体" w:eastAsia="宋体" w:cs="宋体"/>
                <w:color w:val="auto"/>
                <w:szCs w:val="21"/>
                <w:highlight w:val="none"/>
              </w:rPr>
            </w:pPr>
          </w:p>
          <w:p w14:paraId="28578BF9">
            <w:pPr>
              <w:spacing w:line="360" w:lineRule="auto"/>
              <w:ind w:firstLine="43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发包人（盖公章）</w:t>
            </w:r>
          </w:p>
          <w:p w14:paraId="51208CD4">
            <w:pPr>
              <w:spacing w:line="360" w:lineRule="auto"/>
              <w:ind w:firstLine="435"/>
              <w:jc w:val="center"/>
              <w:rPr>
                <w:rFonts w:hint="eastAsia" w:ascii="宋体" w:hAnsi="宋体" w:eastAsia="宋体" w:cs="宋体"/>
                <w:color w:val="auto"/>
                <w:szCs w:val="21"/>
                <w:highlight w:val="none"/>
              </w:rPr>
            </w:pPr>
          </w:p>
          <w:p w14:paraId="28388708">
            <w:pPr>
              <w:spacing w:line="360" w:lineRule="auto"/>
              <w:ind w:firstLine="435"/>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日      期       </w:t>
            </w:r>
          </w:p>
        </w:tc>
        <w:tc>
          <w:tcPr>
            <w:tcW w:w="4219" w:type="dxa"/>
            <w:gridSpan w:val="3"/>
            <w:noWrap w:val="0"/>
            <w:vAlign w:val="top"/>
          </w:tcPr>
          <w:p w14:paraId="05D69C23">
            <w:pPr>
              <w:spacing w:line="360" w:lineRule="auto"/>
              <w:ind w:firstLine="435"/>
              <w:jc w:val="center"/>
              <w:rPr>
                <w:rFonts w:hint="eastAsia" w:ascii="宋体" w:hAnsi="宋体" w:eastAsia="宋体" w:cs="宋体"/>
                <w:color w:val="auto"/>
                <w:szCs w:val="21"/>
                <w:highlight w:val="none"/>
              </w:rPr>
            </w:pPr>
          </w:p>
          <w:p w14:paraId="518CAF18">
            <w:pPr>
              <w:spacing w:line="360" w:lineRule="auto"/>
              <w:ind w:firstLine="43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承包人代表签字：</w:t>
            </w:r>
          </w:p>
          <w:p w14:paraId="70F17E7D">
            <w:pPr>
              <w:spacing w:line="360" w:lineRule="auto"/>
              <w:ind w:firstLine="435"/>
              <w:jc w:val="center"/>
              <w:rPr>
                <w:rFonts w:hint="eastAsia" w:ascii="宋体" w:hAnsi="宋体" w:eastAsia="宋体" w:cs="宋体"/>
                <w:color w:val="auto"/>
                <w:szCs w:val="21"/>
                <w:highlight w:val="none"/>
              </w:rPr>
            </w:pPr>
          </w:p>
          <w:p w14:paraId="050FE115">
            <w:pPr>
              <w:spacing w:line="360" w:lineRule="auto"/>
              <w:ind w:firstLine="43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承包人（盖公章）</w:t>
            </w:r>
          </w:p>
          <w:p w14:paraId="385CD257">
            <w:pPr>
              <w:spacing w:line="360" w:lineRule="auto"/>
              <w:ind w:firstLine="435"/>
              <w:jc w:val="center"/>
              <w:rPr>
                <w:rFonts w:hint="eastAsia" w:ascii="宋体" w:hAnsi="宋体" w:eastAsia="宋体" w:cs="宋体"/>
                <w:color w:val="auto"/>
                <w:szCs w:val="21"/>
                <w:highlight w:val="none"/>
              </w:rPr>
            </w:pPr>
          </w:p>
          <w:p w14:paraId="2687C1B6">
            <w:pPr>
              <w:spacing w:line="360" w:lineRule="auto"/>
              <w:ind w:firstLine="435"/>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p>
        </w:tc>
      </w:tr>
    </w:tbl>
    <w:p w14:paraId="29B1B6C6">
      <w:pPr>
        <w:spacing w:line="360" w:lineRule="auto"/>
        <w:rPr>
          <w:rFonts w:hint="eastAsia" w:ascii="宋体" w:hAnsi="宋体" w:eastAsia="宋体" w:cs="宋体"/>
          <w:color w:val="auto"/>
          <w:szCs w:val="21"/>
          <w:highlight w:val="none"/>
        </w:rPr>
      </w:pPr>
    </w:p>
    <w:p w14:paraId="20E83784">
      <w:pPr>
        <w:spacing w:line="360" w:lineRule="auto"/>
        <w:rPr>
          <w:rFonts w:hint="eastAsia" w:ascii="宋体" w:hAnsi="宋体" w:eastAsia="宋体" w:cs="宋体"/>
          <w:color w:val="auto"/>
          <w:szCs w:val="21"/>
          <w:highlight w:val="none"/>
        </w:rPr>
      </w:pPr>
    </w:p>
    <w:p w14:paraId="4F70B0DB">
      <w:pPr>
        <w:spacing w:line="360" w:lineRule="auto"/>
        <w:rPr>
          <w:rFonts w:hint="eastAsia" w:ascii="宋体" w:hAnsi="宋体" w:eastAsia="宋体" w:cs="宋体"/>
          <w:color w:val="auto"/>
          <w:highlight w:val="none"/>
        </w:rPr>
      </w:pPr>
    </w:p>
    <w:p w14:paraId="4E489D98">
      <w:pPr>
        <w:spacing w:after="120" w:line="360" w:lineRule="auto"/>
        <w:rPr>
          <w:rFonts w:hint="eastAsia" w:ascii="宋体" w:hAnsi="宋体" w:eastAsia="宋体" w:cs="宋体"/>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sz w:val="30"/>
          <w:szCs w:val="30"/>
          <w:highlight w:val="none"/>
        </w:rPr>
        <w:t>附件15：</w:t>
      </w:r>
    </w:p>
    <w:p w14:paraId="7903A2E4">
      <w:pPr>
        <w:spacing w:line="360" w:lineRule="auto"/>
        <w:ind w:firstLine="482" w:firstLineChars="20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施工安全生产责任书</w:t>
      </w:r>
    </w:p>
    <w:p w14:paraId="2159CDC3">
      <w:pPr>
        <w:spacing w:line="360" w:lineRule="auto"/>
        <w:ind w:firstLine="480" w:firstLineChars="200"/>
        <w:jc w:val="left"/>
        <w:rPr>
          <w:rFonts w:hint="eastAsia" w:ascii="宋体" w:hAnsi="宋体" w:eastAsia="宋体" w:cs="宋体"/>
          <w:color w:val="auto"/>
          <w:kern w:val="0"/>
          <w:sz w:val="24"/>
          <w:highlight w:val="none"/>
        </w:rPr>
      </w:pPr>
    </w:p>
    <w:p w14:paraId="3369D196">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发包人（全称）：</w:t>
      </w:r>
      <w:r>
        <w:rPr>
          <w:rFonts w:hint="eastAsia" w:ascii="宋体" w:hAnsi="宋体" w:cs="宋体"/>
          <w:color w:val="auto"/>
          <w:kern w:val="0"/>
          <w:sz w:val="24"/>
          <w:highlight w:val="none"/>
          <w:lang w:eastAsia="zh-CN"/>
        </w:rPr>
        <w:t>广西壮族自治区人民医院</w:t>
      </w:r>
      <w:r>
        <w:rPr>
          <w:rFonts w:hint="eastAsia" w:ascii="宋体" w:hAnsi="宋体" w:eastAsia="宋体" w:cs="宋体"/>
          <w:color w:val="auto"/>
          <w:kern w:val="0"/>
          <w:sz w:val="24"/>
          <w:highlight w:val="none"/>
        </w:rPr>
        <w:t>（以下简称发包人）</w:t>
      </w:r>
    </w:p>
    <w:p w14:paraId="647EEA53">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承包人（全称）：（以下简称承包人）                            </w:t>
      </w:r>
    </w:p>
    <w:p w14:paraId="7F3E47F5">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根据发包人、承包人双方的约定，承包人承建发包人工程施工任务，经协商一致双方签订施工安全生产责任书。</w:t>
      </w:r>
    </w:p>
    <w:p w14:paraId="1C95A6A8">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在施工准备阶段和施工过程中，发包人承包人都应贯彻执行《中华人民共和国建筑法》、《中华人民共和国安全生产法》等国家法律法规，以及有关建筑施工安全和文明施工，现场管理方面的法律、法规及行业安全操作、规范、标准，并确定履行法、法规所赋予双方各自的安全职责。以确保建筑工程施工始终在安全文明的前提下进行。现经发包人承包人商定，进一步确认，同意就施工过程中的安全责任事宜明确如下，并就有关安全管理事项制定以下协议内容，以供双方共同遵守。</w:t>
      </w:r>
    </w:p>
    <w:p w14:paraId="50B80117">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一、承包人进场后应遵守国家和南宁市对安全及文明施工的有关文件规定，包括行业安全操作规程、规范及标准，以及发包人规定的各项规章制度和管理规定。</w:t>
      </w:r>
    </w:p>
    <w:p w14:paraId="209554F1">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在承包人将工程移交给发包人之前，承包人对施工现场的安全文明施工与环保事项负全责，凡在施工现场内（含生产现场和生活区）因承包人原因造成的、使工程本身及现场内外的相邻工程、材料、本工程不涉及的原有建筑（含装修装饰）及设施设备、人员等遭受损失或伤亡的各类事故（包括但不限于高空坠落，物体打击，机械事故，触电土方坍塌事故，管线折断、破裂、泄漏事故，失火，失盗，刑事案件、治安案件，食物中毒，疫情，职业危害，交通事故等），全部责任和因此发生的修复与赔偿费用由承包人独自承担（即使在对外法律关系上人民法院判决发包人承担责任，但在甲乙双方间，由承包人全部承担，发包人在承担责任后可以向承包人追偿）。其他人对前述事故的发生负有责任的，承包人可在修复工程或对受损方进行赔偿后，依法向责任人追偿。</w:t>
      </w:r>
    </w:p>
    <w:p w14:paraId="367991DF">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施工前，承包人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4EB89532">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承包人项目经理为安全生产第一责任人。全面负责施工现场的安全管理，承包人必须指定专人负责现场的安全技术管理工作，安全管理人员认真履行职责，组织力量实施现场安全监督、跟踪管理、并不得擅自离开现场。对可能发生的问题及时采取措施予以控制，发挥违章指挥、违章操作的行为要及时指出、坚决制止。</w:t>
      </w:r>
    </w:p>
    <w:p w14:paraId="67183345">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五、承包人须严格按照相关法律、法规和操作规程、规范及标准进行施工，并做到：</w:t>
      </w:r>
    </w:p>
    <w:p w14:paraId="44854A4C">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1、土方作业应根据基坑、基槽等和开挖深度、土质类别选择开挖方案，明确边坡或采取相应护坡支撑和护堤桩以防塌方。边坡周围施加静载（土堆等）或动载（泵车浇筑等）应符合相应安全规定。</w:t>
      </w:r>
    </w:p>
    <w:p w14:paraId="2064C08B">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2、据发包人提供的资料对施工现场及其影响的区域内地下的障碍物清理或采取相应的措施，对周围道路管线采取保护措施。</w:t>
      </w:r>
    </w:p>
    <w:p w14:paraId="2D48D60F">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施工作业前需对机械、设备、仪器、仪表、工具器材等进行检查，确认完好无误后方可使用。电气设备、电源线路必须绝缘良好，不得与金属物浸水位置（导电物品）搭接捆绑在一起，各种临时电源线，绝缘皮要防止摩擦破损和被重物埋压。电动机、配电箱应按规定安装防护设置、漏电保护器及接地、接零和设备专一电闸等有效控制。当临时停电或停工休息时必须拉闸、上锁。</w:t>
      </w:r>
    </w:p>
    <w:p w14:paraId="66E62D8B">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在施工中动用明火（如进行电气焊作业）或高处作业等必须实行《动火证》审批制度和安全防护措施，现场（含生活区）的消防设备、器材按有关规定配置，对易燃易爆的危险品运输、储存、保管要符合安全规定要求。</w:t>
      </w:r>
    </w:p>
    <w:p w14:paraId="4ABBFBEA">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督促施工人员做好下班后清理检查工作，对作业区域存在的危险因素（如管道沟、槽，管道井及高低压线路、变电、配电设施）要采取防护措施，设置防护围栏，设置警示标识（含晚间设置警示灯）。要严加防范、重点监控。在管道井下或密闭容器作业应严守操作规程并注意通风、照明和保持通讯联络，并有两个以上人员作业，以防因缺氧造成的事故。</w:t>
      </w:r>
    </w:p>
    <w:p w14:paraId="408E1EB2">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6、实施挖土作业和拆除工程中发现管道、电缆及其它埋设物应及时报告，不得擅自处理。</w:t>
      </w:r>
    </w:p>
    <w:p w14:paraId="70423A88">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7、按规范要求及现场实际情况布置现场消防通道、消防栓、灭火器、消防水龙带、消防专职安全员。</w:t>
      </w:r>
    </w:p>
    <w:p w14:paraId="2EB6ED92">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8、施工现场及手术室区域严禁吸烟，若发现施工现场有烟头或吸烟现象，将对承包人处罚500元/次。</w:t>
      </w:r>
    </w:p>
    <w:p w14:paraId="65F070E1">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六、承包人应按规定要求制定劳保技术措施，保证操作人员劳保用品和用工规范要求。</w:t>
      </w:r>
    </w:p>
    <w:p w14:paraId="154ADD4B">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承包人应按施工现场安全文明和环保、环卫的有关规定设置宿舍、食堂、饮用水及其他卫生设施。对施工现场的环境（如现场废水、尘雾、噪声、振动、坠落物等）进行有效地控制，为防止职业危害提供良好的作业环境。</w:t>
      </w:r>
    </w:p>
    <w:p w14:paraId="5891BC74">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八、关心职工及外地施工队伍的生活，及时了解思想动态，最大可能满足他们的合理要求，帮助他们克服工作、生活上的困难，确保其思想稳定生产安全。</w:t>
      </w:r>
    </w:p>
    <w:p w14:paraId="774EF8CF">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九、保证责任区内符合安全、环保、环卫要求，做到：不起尘无遗洒、进出车辆保洁，路面有人清扫，落实门前三包。</w:t>
      </w:r>
    </w:p>
    <w:p w14:paraId="49C666ED">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十、发包人、监理人有权对承包人施工全过程的安全及履行本协议的情况进行进行监督，对各种不安全因素、隐患和违约行为有权提出整改意见。承包人应立即按照发包人、监理人的整改意见在指定的期限内完成整改，对当时难以解决的问题应采取临时可靠措施加以控制。承包人未按本协议约定履行义务或有其他违反安全生产法律法规、标准规范及发包人的安全生产管理规定的行为、现象，且未在指定的期限内整改完毕或者整改后仍然达不到发包人、监理人要求的，经发包人或监理单位指出仍不按要求落实整改的，发包人有权视严重程度处0.5～1万元/次的违约金，该违约金发包人可从应支付给承包人的任何款项中直接扣除，承包人对此无异议。</w:t>
      </w:r>
    </w:p>
    <w:p w14:paraId="6F4E6D80">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十一、施工安全生产责任书由发包人、承包人在工程开工前共同签署，在双方法定代表人或委托代理人签字并盖章后生效，作为施工合同附件，其有效期限至保修期满。本施工安全生产责任书如与施工合同约定有冲突的，以本责任书的约定为准，未涉及的事项，仍然按施工合同的约定执行。</w:t>
      </w:r>
    </w:p>
    <w:p w14:paraId="6433710B">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（以下无正文，为施工安全生产责任书的签署页）</w:t>
      </w:r>
    </w:p>
    <w:tbl>
      <w:tblPr>
        <w:tblStyle w:val="38"/>
        <w:tblpPr w:leftFromText="180" w:rightFromText="180" w:vertAnchor="text" w:horzAnchor="page" w:tblpX="1784" w:tblpY="198"/>
        <w:tblOverlap w:val="never"/>
        <w:tblW w:w="8550" w:type="dxa"/>
        <w:tblInd w:w="0" w:type="dxa"/>
        <w:tblLayout w:type="fixed"/>
        <w:tblCellMar>
          <w:top w:w="0" w:type="dxa"/>
          <w:left w:w="0" w:type="dxa"/>
          <w:bottom w:w="0" w:type="dxa"/>
          <w:right w:w="0" w:type="dxa"/>
        </w:tblCellMar>
      </w:tblPr>
      <w:tblGrid>
        <w:gridCol w:w="4275"/>
        <w:gridCol w:w="4275"/>
      </w:tblGrid>
      <w:tr w14:paraId="14844E89">
        <w:trPr>
          <w:trHeight w:val="500" w:hRule="atLeast"/>
        </w:trPr>
        <w:tc>
          <w:tcPr>
            <w:tcW w:w="4275" w:type="dxa"/>
            <w:tcBorders>
              <w:top w:val="nil"/>
              <w:left w:val="nil"/>
              <w:bottom w:val="nil"/>
              <w:right w:val="nil"/>
            </w:tcBorders>
            <w:noWrap w:val="0"/>
            <w:tcMar>
              <w:top w:w="15" w:type="dxa"/>
              <w:left w:w="15" w:type="dxa"/>
              <w:right w:w="15" w:type="dxa"/>
            </w:tcMar>
            <w:vAlign w:val="center"/>
          </w:tcPr>
          <w:p w14:paraId="0BE4EEB9">
            <w:pPr>
              <w:widowControl/>
              <w:spacing w:line="360" w:lineRule="auto"/>
              <w:jc w:val="left"/>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t>发包人（公章）：</w:t>
            </w:r>
            <w:r>
              <w:rPr>
                <w:rFonts w:hint="eastAsia" w:ascii="宋体" w:hAnsi="宋体" w:cs="宋体"/>
                <w:color w:val="auto"/>
                <w:kern w:val="0"/>
                <w:sz w:val="24"/>
                <w:highlight w:val="none"/>
                <w:lang w:eastAsia="zh-CN" w:bidi="ar"/>
              </w:rPr>
              <w:t>广西壮族自治区人民医院</w:t>
            </w:r>
          </w:p>
        </w:tc>
        <w:tc>
          <w:tcPr>
            <w:tcW w:w="4275" w:type="dxa"/>
            <w:tcBorders>
              <w:top w:val="nil"/>
              <w:left w:val="nil"/>
              <w:bottom w:val="nil"/>
              <w:right w:val="nil"/>
            </w:tcBorders>
            <w:noWrap w:val="0"/>
            <w:tcMar>
              <w:top w:w="15" w:type="dxa"/>
              <w:left w:w="15" w:type="dxa"/>
              <w:right w:w="15" w:type="dxa"/>
            </w:tcMar>
            <w:vAlign w:val="top"/>
          </w:tcPr>
          <w:p w14:paraId="0B314946">
            <w:pPr>
              <w:widowControl/>
              <w:spacing w:line="360" w:lineRule="auto"/>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承包人（公章）：</w:t>
            </w:r>
          </w:p>
        </w:tc>
      </w:tr>
      <w:tr w14:paraId="72A66CFC">
        <w:tblPrEx>
          <w:tblCellMar>
            <w:top w:w="0" w:type="dxa"/>
            <w:left w:w="0" w:type="dxa"/>
            <w:bottom w:w="0" w:type="dxa"/>
            <w:right w:w="0" w:type="dxa"/>
          </w:tblCellMar>
        </w:tblPrEx>
        <w:trPr>
          <w:trHeight w:val="500" w:hRule="atLeast"/>
        </w:trPr>
        <w:tc>
          <w:tcPr>
            <w:tcW w:w="4275" w:type="dxa"/>
            <w:tcBorders>
              <w:top w:val="nil"/>
              <w:left w:val="nil"/>
              <w:bottom w:val="nil"/>
              <w:right w:val="nil"/>
            </w:tcBorders>
            <w:noWrap w:val="0"/>
            <w:tcMar>
              <w:top w:w="15" w:type="dxa"/>
              <w:left w:w="15" w:type="dxa"/>
              <w:right w:w="15" w:type="dxa"/>
            </w:tcMar>
            <w:vAlign w:val="center"/>
          </w:tcPr>
          <w:p w14:paraId="712F54CE">
            <w:pPr>
              <w:widowControl/>
              <w:spacing w:line="360" w:lineRule="auto"/>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4275" w:type="dxa"/>
            <w:tcBorders>
              <w:top w:val="nil"/>
              <w:left w:val="nil"/>
              <w:bottom w:val="nil"/>
              <w:right w:val="nil"/>
            </w:tcBorders>
            <w:noWrap w:val="0"/>
            <w:tcMar>
              <w:top w:w="15" w:type="dxa"/>
              <w:left w:w="15" w:type="dxa"/>
              <w:right w:w="15" w:type="dxa"/>
            </w:tcMar>
            <w:vAlign w:val="top"/>
          </w:tcPr>
          <w:p w14:paraId="31B246D0">
            <w:pPr>
              <w:widowControl/>
              <w:spacing w:line="360" w:lineRule="auto"/>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r>
      <w:tr w14:paraId="717811CA">
        <w:tblPrEx>
          <w:tblCellMar>
            <w:top w:w="0" w:type="dxa"/>
            <w:left w:w="0" w:type="dxa"/>
            <w:bottom w:w="0" w:type="dxa"/>
            <w:right w:w="0" w:type="dxa"/>
          </w:tblCellMar>
        </w:tblPrEx>
        <w:trPr>
          <w:trHeight w:val="500" w:hRule="atLeast"/>
        </w:trPr>
        <w:tc>
          <w:tcPr>
            <w:tcW w:w="4275" w:type="dxa"/>
            <w:tcBorders>
              <w:top w:val="nil"/>
              <w:left w:val="nil"/>
              <w:bottom w:val="nil"/>
              <w:right w:val="nil"/>
            </w:tcBorders>
            <w:noWrap w:val="0"/>
            <w:tcMar>
              <w:top w:w="15" w:type="dxa"/>
              <w:left w:w="15" w:type="dxa"/>
              <w:right w:w="15" w:type="dxa"/>
            </w:tcMar>
            <w:vAlign w:val="center"/>
          </w:tcPr>
          <w:p w14:paraId="3022BA7D">
            <w:pPr>
              <w:widowControl/>
              <w:spacing w:line="360" w:lineRule="auto"/>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或委托代理人（签字）：</w:t>
            </w:r>
            <w:r>
              <w:rPr>
                <w:rFonts w:hint="eastAsia" w:ascii="宋体" w:hAnsi="宋体" w:eastAsia="宋体" w:cs="宋体"/>
                <w:color w:val="auto"/>
                <w:sz w:val="24"/>
                <w:highlight w:val="none"/>
                <w:u w:val="single"/>
              </w:rPr>
              <w:t xml:space="preserve">      </w:t>
            </w:r>
          </w:p>
        </w:tc>
        <w:tc>
          <w:tcPr>
            <w:tcW w:w="4275" w:type="dxa"/>
            <w:tcBorders>
              <w:top w:val="nil"/>
              <w:left w:val="nil"/>
              <w:bottom w:val="nil"/>
              <w:right w:val="nil"/>
            </w:tcBorders>
            <w:noWrap w:val="0"/>
            <w:tcMar>
              <w:top w:w="15" w:type="dxa"/>
              <w:left w:w="15" w:type="dxa"/>
              <w:right w:w="15" w:type="dxa"/>
            </w:tcMar>
            <w:vAlign w:val="top"/>
          </w:tcPr>
          <w:p w14:paraId="3A2B0DDE">
            <w:pPr>
              <w:widowControl/>
              <w:spacing w:line="360" w:lineRule="auto"/>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或委托代理人（签字）：</w:t>
            </w:r>
          </w:p>
        </w:tc>
      </w:tr>
    </w:tbl>
    <w:p w14:paraId="0EF2B857">
      <w:pPr>
        <w:spacing w:line="360" w:lineRule="auto"/>
        <w:ind w:firstLine="640" w:firstLineChars="200"/>
        <w:rPr>
          <w:rFonts w:hint="eastAsia" w:ascii="宋体" w:hAnsi="宋体" w:eastAsia="宋体" w:cs="宋体"/>
          <w:color w:val="auto"/>
          <w:sz w:val="32"/>
          <w:szCs w:val="32"/>
          <w:highlight w:val="none"/>
        </w:rPr>
      </w:pPr>
    </w:p>
    <w:p w14:paraId="779BBE5E">
      <w:pPr>
        <w:spacing w:line="360" w:lineRule="auto"/>
        <w:ind w:firstLine="640" w:firstLineChars="200"/>
        <w:rPr>
          <w:rFonts w:hint="eastAsia" w:ascii="宋体" w:hAnsi="宋体" w:eastAsia="宋体" w:cs="宋体"/>
          <w:color w:val="auto"/>
          <w:sz w:val="32"/>
          <w:szCs w:val="32"/>
          <w:highlight w:val="none"/>
        </w:rPr>
      </w:pPr>
    </w:p>
    <w:p w14:paraId="7565C729">
      <w:pPr>
        <w:spacing w:line="360" w:lineRule="auto"/>
        <w:ind w:firstLine="640" w:firstLineChars="200"/>
        <w:rPr>
          <w:rFonts w:hint="eastAsia" w:ascii="宋体" w:hAnsi="宋体" w:eastAsia="宋体" w:cs="宋体"/>
          <w:color w:val="auto"/>
          <w:sz w:val="32"/>
          <w:szCs w:val="32"/>
          <w:highlight w:val="none"/>
        </w:rPr>
      </w:pPr>
    </w:p>
    <w:p w14:paraId="669027F9">
      <w:pPr>
        <w:spacing w:after="120" w:line="360" w:lineRule="auto"/>
        <w:rPr>
          <w:rFonts w:hint="eastAsia" w:ascii="宋体" w:hAnsi="宋体" w:eastAsia="宋体" w:cs="宋体"/>
          <w:color w:val="auto"/>
          <w:sz w:val="30"/>
          <w:szCs w:val="30"/>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30"/>
          <w:szCs w:val="30"/>
          <w:highlight w:val="none"/>
        </w:rPr>
        <w:t>附件16：</w:t>
      </w:r>
    </w:p>
    <w:p w14:paraId="3A3999B9">
      <w:pPr>
        <w:spacing w:line="360" w:lineRule="auto"/>
        <w:ind w:firstLine="482" w:firstLineChars="20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廉洁协议</w:t>
      </w:r>
    </w:p>
    <w:p w14:paraId="1C996CB1">
      <w:pPr>
        <w:spacing w:line="360" w:lineRule="auto"/>
        <w:ind w:firstLine="482" w:firstLineChars="200"/>
        <w:jc w:val="center"/>
        <w:rPr>
          <w:rFonts w:hint="eastAsia" w:ascii="宋体" w:hAnsi="宋体" w:eastAsia="宋体" w:cs="宋体"/>
          <w:b/>
          <w:bCs/>
          <w:color w:val="auto"/>
          <w:kern w:val="0"/>
          <w:sz w:val="24"/>
          <w:highlight w:val="none"/>
        </w:rPr>
      </w:pPr>
    </w:p>
    <w:p w14:paraId="373FB691">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发包人（全称）：</w:t>
      </w:r>
      <w:r>
        <w:rPr>
          <w:rFonts w:hint="eastAsia" w:ascii="宋体" w:hAnsi="宋体" w:cs="宋体"/>
          <w:color w:val="auto"/>
          <w:kern w:val="0"/>
          <w:sz w:val="24"/>
          <w:highlight w:val="none"/>
          <w:lang w:eastAsia="zh-CN"/>
        </w:rPr>
        <w:t>广西壮族自治区人民医院</w:t>
      </w:r>
      <w:r>
        <w:rPr>
          <w:rFonts w:hint="eastAsia" w:ascii="宋体" w:hAnsi="宋体" w:eastAsia="宋体" w:cs="宋体"/>
          <w:color w:val="auto"/>
          <w:kern w:val="0"/>
          <w:sz w:val="24"/>
          <w:highlight w:val="none"/>
        </w:rPr>
        <w:t>（以下简称发包人）</w:t>
      </w:r>
    </w:p>
    <w:p w14:paraId="4D77384F">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承包人（全称）：（以下简称承包人）</w:t>
      </w:r>
    </w:p>
    <w:p w14:paraId="5DC8C09D">
      <w:pPr>
        <w:spacing w:line="360" w:lineRule="auto"/>
        <w:ind w:firstLine="480" w:firstLineChars="200"/>
        <w:jc w:val="left"/>
        <w:rPr>
          <w:rFonts w:hint="eastAsia" w:ascii="宋体" w:hAnsi="宋体" w:eastAsia="宋体" w:cs="宋体"/>
          <w:color w:val="auto"/>
          <w:kern w:val="0"/>
          <w:sz w:val="24"/>
          <w:highlight w:val="none"/>
        </w:rPr>
      </w:pPr>
    </w:p>
    <w:p w14:paraId="7605B8DD">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为了在工程建设中保持廉洁自律的工作作风，防止各种不正当行为的发生，根据国家和自治区有关工程承发包和廉政建设的各项规定以及自治区关于《建设工程承发包双方签订廉洁协议的暂行规定》，特立如下协议：</w:t>
      </w:r>
    </w:p>
    <w:p w14:paraId="4B78404C">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甲乙双方应当共同自觉遵守国家和自治区关于党风廉政建设和各项规定和关于建设工程承发包的各项规定。</w:t>
      </w:r>
    </w:p>
    <w:p w14:paraId="1FA91E3F">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一、甲乙双方应当共同自觉遵守国家和自治区关于党风廉政建设的各项规定和关于建设工程承发包的各项规定。</w:t>
      </w:r>
    </w:p>
    <w:p w14:paraId="1960488C">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二、发包人及其工作人员应做到：</w:t>
      </w:r>
    </w:p>
    <w:p w14:paraId="17A4C9C3">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（一）发包人工作人员（含家属、子女、下同）不得以任何形式向承包人索要赞助和收受回扣等好处费。</w:t>
      </w:r>
    </w:p>
    <w:p w14:paraId="28E8AD41">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发包人工作人员应当保持与承包人的正常业务交往，不得接受承包人的礼金、有价证券和贵重物品，不得向承包人索要（或接受）通讯工具、交通工具家电及高档办公用品，不得在承包人报销任何应由单位或个人支付的费用。</w:t>
      </w:r>
    </w:p>
    <w:p w14:paraId="37CA622D">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（三）发包人工作人员不得参加可能影响公正招待公务的宴请和高消费的娱乐活动。</w:t>
      </w:r>
    </w:p>
    <w:p w14:paraId="74EFE9C9">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（四）发包人工作人员不得要求或者接受承包人为其住房装修、婚丧嫁娶、家属和子女的工作安排，以及出国、出境提供方便。</w:t>
      </w:r>
    </w:p>
    <w:p w14:paraId="23D730A5">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（五）发包人工作人员不得向承包人介绍家属或亲友从事与发包人工作有关的材料设备供应、工程分包等经济活动。</w:t>
      </w:r>
    </w:p>
    <w:p w14:paraId="61FED0C5">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三、承包人及其工作人员应做到：</w:t>
      </w:r>
    </w:p>
    <w:p w14:paraId="2650E5B7">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（一）承包人应当通过正常途径开展相关业务工作，不得为获取某些不正当利益而向发包人工作人员（含家属、子女、下同）赠送礼金、有价证券和贵重物品等。</w:t>
      </w:r>
    </w:p>
    <w:p w14:paraId="3802729E">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（二）承包人工作人员不得为谋取私利擅自与发包人工作人员就工程承包、工程费用、材料设备供应、工程量变动、工程验收、工程质量问题处理等进行私下商谈或者达成默契。</w:t>
      </w:r>
    </w:p>
    <w:p w14:paraId="4CE8E3D3">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（三）承包人不得以洽谈业务、签订经济合同为借口，邀请发包人工作人员外出旅游或进入营业性高档娱乐场所。</w:t>
      </w:r>
    </w:p>
    <w:p w14:paraId="41C980D0">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（四）承包人不得为发包人单位和个人购置或者提供通讯工具、交通工具、家电、高档办公用品等物品。</w:t>
      </w:r>
    </w:p>
    <w:p w14:paraId="2EEAFD76">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四、承包人如发现发包人及其工作人员有违反上述协议者，应当向发包人领导或者发包人上级单位举报，发包人不得找任何借口对承包人进行报复或刁难、延误工作。</w:t>
      </w:r>
    </w:p>
    <w:p w14:paraId="0E9C929E">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五、发包人发现承包人有违反本协议或者采取不正当的手段贿赂发包人工作人员，发包人应向承包人上级领导或有关部门举报，由此给发包人单位造成的损失均由承包人承担。</w:t>
      </w:r>
    </w:p>
    <w:p w14:paraId="5303D339">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六、本廉洁协议作为工程承发包合同的附件，经协议双方签署后立即生效。</w:t>
      </w:r>
    </w:p>
    <w:p w14:paraId="3411AD27">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（以下无正文，为廉洁协议的签署页）</w:t>
      </w:r>
    </w:p>
    <w:tbl>
      <w:tblPr>
        <w:tblStyle w:val="38"/>
        <w:tblpPr w:leftFromText="180" w:rightFromText="180" w:vertAnchor="text" w:horzAnchor="page" w:tblpX="1784" w:tblpY="198"/>
        <w:tblOverlap w:val="never"/>
        <w:tblW w:w="0" w:type="auto"/>
        <w:tblInd w:w="0" w:type="dxa"/>
        <w:tblLayout w:type="fixed"/>
        <w:tblCellMar>
          <w:top w:w="0" w:type="dxa"/>
          <w:left w:w="0" w:type="dxa"/>
          <w:bottom w:w="0" w:type="dxa"/>
          <w:right w:w="0" w:type="dxa"/>
        </w:tblCellMar>
      </w:tblPr>
      <w:tblGrid>
        <w:gridCol w:w="4275"/>
        <w:gridCol w:w="4275"/>
      </w:tblGrid>
      <w:tr w14:paraId="25D458F3">
        <w:tblPrEx>
          <w:tblCellMar>
            <w:top w:w="0" w:type="dxa"/>
            <w:left w:w="0" w:type="dxa"/>
            <w:bottom w:w="0" w:type="dxa"/>
            <w:right w:w="0" w:type="dxa"/>
          </w:tblCellMar>
        </w:tblPrEx>
        <w:trPr>
          <w:trHeight w:val="500" w:hRule="atLeast"/>
        </w:trPr>
        <w:tc>
          <w:tcPr>
            <w:tcW w:w="4275" w:type="dxa"/>
            <w:tcBorders>
              <w:top w:val="nil"/>
              <w:left w:val="nil"/>
              <w:bottom w:val="nil"/>
              <w:right w:val="nil"/>
            </w:tcBorders>
            <w:noWrap w:val="0"/>
            <w:tcMar>
              <w:top w:w="15" w:type="dxa"/>
              <w:left w:w="15" w:type="dxa"/>
              <w:right w:w="15" w:type="dxa"/>
            </w:tcMar>
            <w:vAlign w:val="center"/>
          </w:tcPr>
          <w:p w14:paraId="6DF824E7">
            <w:pPr>
              <w:widowControl/>
              <w:spacing w:line="360" w:lineRule="auto"/>
              <w:jc w:val="left"/>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t>发包人（公章）：</w:t>
            </w:r>
            <w:r>
              <w:rPr>
                <w:rFonts w:hint="eastAsia" w:ascii="宋体" w:hAnsi="宋体" w:cs="宋体"/>
                <w:color w:val="auto"/>
                <w:kern w:val="0"/>
                <w:sz w:val="24"/>
                <w:highlight w:val="none"/>
                <w:lang w:eastAsia="zh-CN" w:bidi="ar"/>
              </w:rPr>
              <w:t>广西壮族自治区人民医院</w:t>
            </w:r>
          </w:p>
        </w:tc>
        <w:tc>
          <w:tcPr>
            <w:tcW w:w="4275" w:type="dxa"/>
            <w:tcBorders>
              <w:top w:val="nil"/>
              <w:left w:val="nil"/>
              <w:bottom w:val="nil"/>
              <w:right w:val="nil"/>
            </w:tcBorders>
            <w:noWrap w:val="0"/>
            <w:tcMar>
              <w:top w:w="15" w:type="dxa"/>
              <w:left w:w="15" w:type="dxa"/>
              <w:right w:w="15" w:type="dxa"/>
            </w:tcMar>
            <w:vAlign w:val="top"/>
          </w:tcPr>
          <w:p w14:paraId="44AE761E">
            <w:pPr>
              <w:widowControl/>
              <w:spacing w:line="360" w:lineRule="auto"/>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承包人（公章）：</w:t>
            </w:r>
          </w:p>
        </w:tc>
      </w:tr>
      <w:tr w14:paraId="35CD11C1">
        <w:tblPrEx>
          <w:tblCellMar>
            <w:top w:w="0" w:type="dxa"/>
            <w:left w:w="0" w:type="dxa"/>
            <w:bottom w:w="0" w:type="dxa"/>
            <w:right w:w="0" w:type="dxa"/>
          </w:tblCellMar>
        </w:tblPrEx>
        <w:trPr>
          <w:trHeight w:val="500" w:hRule="atLeast"/>
        </w:trPr>
        <w:tc>
          <w:tcPr>
            <w:tcW w:w="4275" w:type="dxa"/>
            <w:tcBorders>
              <w:top w:val="nil"/>
              <w:left w:val="nil"/>
              <w:bottom w:val="nil"/>
              <w:right w:val="nil"/>
            </w:tcBorders>
            <w:noWrap w:val="0"/>
            <w:tcMar>
              <w:top w:w="15" w:type="dxa"/>
              <w:left w:w="15" w:type="dxa"/>
              <w:right w:w="15" w:type="dxa"/>
            </w:tcMar>
            <w:vAlign w:val="center"/>
          </w:tcPr>
          <w:p w14:paraId="2CCEAC8E">
            <w:pPr>
              <w:spacing w:line="360" w:lineRule="auto"/>
              <w:rPr>
                <w:rFonts w:hint="eastAsia" w:ascii="宋体" w:hAnsi="宋体" w:eastAsia="宋体" w:cs="宋体"/>
                <w:color w:val="auto"/>
                <w:sz w:val="24"/>
                <w:highlight w:val="none"/>
              </w:rPr>
            </w:pPr>
          </w:p>
        </w:tc>
        <w:tc>
          <w:tcPr>
            <w:tcW w:w="4275" w:type="dxa"/>
            <w:tcBorders>
              <w:top w:val="nil"/>
              <w:left w:val="nil"/>
              <w:bottom w:val="nil"/>
              <w:right w:val="nil"/>
            </w:tcBorders>
            <w:noWrap w:val="0"/>
            <w:tcMar>
              <w:top w:w="15" w:type="dxa"/>
              <w:left w:w="15" w:type="dxa"/>
              <w:right w:w="15" w:type="dxa"/>
            </w:tcMar>
            <w:vAlign w:val="top"/>
          </w:tcPr>
          <w:p w14:paraId="4BF2C2E1">
            <w:pPr>
              <w:spacing w:line="360" w:lineRule="auto"/>
              <w:rPr>
                <w:rFonts w:hint="eastAsia" w:ascii="宋体" w:hAnsi="宋体" w:eastAsia="宋体" w:cs="宋体"/>
                <w:color w:val="auto"/>
                <w:sz w:val="24"/>
                <w:highlight w:val="none"/>
              </w:rPr>
            </w:pPr>
          </w:p>
        </w:tc>
      </w:tr>
      <w:tr w14:paraId="46C15438">
        <w:tblPrEx>
          <w:tblCellMar>
            <w:top w:w="0" w:type="dxa"/>
            <w:left w:w="0" w:type="dxa"/>
            <w:bottom w:w="0" w:type="dxa"/>
            <w:right w:w="0" w:type="dxa"/>
          </w:tblCellMar>
        </w:tblPrEx>
        <w:trPr>
          <w:trHeight w:val="500" w:hRule="atLeast"/>
        </w:trPr>
        <w:tc>
          <w:tcPr>
            <w:tcW w:w="4275" w:type="dxa"/>
            <w:tcBorders>
              <w:top w:val="nil"/>
              <w:left w:val="nil"/>
              <w:bottom w:val="nil"/>
              <w:right w:val="nil"/>
            </w:tcBorders>
            <w:noWrap w:val="0"/>
            <w:tcMar>
              <w:top w:w="15" w:type="dxa"/>
              <w:left w:w="15" w:type="dxa"/>
              <w:right w:w="15" w:type="dxa"/>
            </w:tcMar>
            <w:vAlign w:val="center"/>
          </w:tcPr>
          <w:p w14:paraId="19FCE9F9">
            <w:pPr>
              <w:widowControl/>
              <w:spacing w:line="360" w:lineRule="auto"/>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p>
        </w:tc>
        <w:tc>
          <w:tcPr>
            <w:tcW w:w="4275" w:type="dxa"/>
            <w:tcBorders>
              <w:top w:val="nil"/>
              <w:left w:val="nil"/>
              <w:bottom w:val="nil"/>
              <w:right w:val="nil"/>
            </w:tcBorders>
            <w:noWrap w:val="0"/>
            <w:tcMar>
              <w:top w:w="15" w:type="dxa"/>
              <w:left w:w="15" w:type="dxa"/>
              <w:right w:w="15" w:type="dxa"/>
            </w:tcMar>
            <w:vAlign w:val="top"/>
          </w:tcPr>
          <w:p w14:paraId="05534845">
            <w:pPr>
              <w:widowControl/>
              <w:spacing w:line="360" w:lineRule="auto"/>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p>
        </w:tc>
      </w:tr>
    </w:tbl>
    <w:p w14:paraId="02F1697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E05A49E">
      <w:pPr>
        <w:pStyle w:val="2"/>
        <w:spacing w:line="360" w:lineRule="auto"/>
        <w:jc w:val="center"/>
        <w:rPr>
          <w:rFonts w:hint="eastAsia" w:ascii="宋体" w:hAnsi="宋体" w:eastAsia="宋体" w:cs="宋体"/>
          <w:color w:val="auto"/>
          <w:highlight w:val="none"/>
        </w:rPr>
        <w:sectPr>
          <w:pgSz w:w="11906" w:h="16838"/>
          <w:pgMar w:top="1440" w:right="1080" w:bottom="1440" w:left="1080" w:header="851" w:footer="992" w:gutter="0"/>
          <w:cols w:space="425" w:num="1"/>
          <w:docGrid w:type="lines" w:linePitch="312" w:charSpace="0"/>
        </w:sectPr>
      </w:pPr>
      <w:bookmarkStart w:id="1289" w:name="_Toc9741"/>
    </w:p>
    <w:p w14:paraId="3DE82C44">
      <w:pPr>
        <w:spacing w:after="120" w:line="360" w:lineRule="auto"/>
        <w:rPr>
          <w:rFonts w:hint="eastAsia" w:ascii="宋体" w:hAnsi="宋体" w:eastAsia="宋体" w:cs="宋体"/>
          <w:color w:val="auto"/>
          <w:kern w:val="0"/>
          <w:sz w:val="24"/>
          <w:highlight w:val="none"/>
        </w:rPr>
      </w:pPr>
      <w:r>
        <w:rPr>
          <w:rFonts w:hint="eastAsia" w:ascii="宋体" w:hAnsi="宋体" w:eastAsia="宋体" w:cs="宋体"/>
          <w:color w:val="auto"/>
          <w:sz w:val="30"/>
          <w:szCs w:val="30"/>
          <w:highlight w:val="none"/>
        </w:rPr>
        <w:t>附件17：自治区人民医院新建及改造项目消防安全管理二十条措施实施方案</w:t>
      </w:r>
    </w:p>
    <w:p w14:paraId="1A6FCCA7">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自治区人民医院新建及改造项目消防安全管理二十条措施实施方案</w:t>
      </w:r>
    </w:p>
    <w:p w14:paraId="36DD8708">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为贯彻落实党中央、国务院、自治区党委政府、自治区卫生健康委关于火灾防范的批示和指示精神。根据院党委关于加强我院消防安全工作的工作布署，为进一步加强我院建筑工地消防安全工作，特制定《自治区人民医院新建及改造项目消防安全管理二十条措施实施方案》。</w:t>
      </w:r>
    </w:p>
    <w:p w14:paraId="45F9AEA5">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目的</w:t>
      </w:r>
    </w:p>
    <w:p w14:paraId="079EEB79">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为全面落实医院党委对安全生产的工作部署，确保新建及改造项目的消防安全，规范施工，预防火灾事故的发生。</w:t>
      </w:r>
    </w:p>
    <w:p w14:paraId="150249E0">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参与部门</w:t>
      </w:r>
    </w:p>
    <w:p w14:paraId="64F2BED9">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基建科、总务科、保卫科、施工方、施工监理单位</w:t>
      </w:r>
    </w:p>
    <w:p w14:paraId="2DD91321">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三、基本内容（二十条）</w:t>
      </w:r>
    </w:p>
    <w:p w14:paraId="787C5133">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1.开工前，由施工单位负责对所有进场施工的工人做入场安全教育和消防培训将教育培训记录整理归档，建立安全台账，并提交监理方或管理部门。（责任部门：监理方或管理部门）</w:t>
      </w:r>
    </w:p>
    <w:p w14:paraId="75860775">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2.施工单位每个月将工人的安全教育记录上报管理部门存档，作为施工单位申报工程进度款的附件，经业主代表确认后方能进行工程进度款的支付。（责任部门：管理部门）</w:t>
      </w:r>
    </w:p>
    <w:p w14:paraId="1CA93595">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3.在施工合同中必须有明确本项目的消防安全责任人，并将消防安全责任人名字、照片、电话在施工现场公示上墙，由责任人组织和落实项目的消防安全管理工作。（责任部门：施工方、施工管理部门）</w:t>
      </w:r>
    </w:p>
    <w:p w14:paraId="5E81F817">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4.特种作业人员（包括焊工、电工、架子工、起重工等）必须持证上岗，证件复印件留存管理科室，特种作业人员名字、照片、电话公示上墙。（责任部门：施工方、施工管理部门）</w:t>
      </w:r>
    </w:p>
    <w:p w14:paraId="0B903EE6">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5.严禁机械设备带病或超负荷运转，机械设备开机前，操作人员应认真检查设备状态、安全保护装置良好。（责任部门：施工方、施工管理部门）</w:t>
      </w:r>
    </w:p>
    <w:p w14:paraId="12ABF373">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6.施工现场的临时用电须采用二级漏电保护系统，实行一机一闸一箱一漏制。（责任部门：施工方、总务科电工班负责落实检查，合格后方可接电）</w:t>
      </w:r>
    </w:p>
    <w:p w14:paraId="606E6D8D">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7.严禁使用破皮、老化、断裂的电线电缆，配电线路要做好绝缘防护。（责任部门：施工管理部门监管、总务科电工班负责落实检查，定期巡查，并做好巡查记录）</w:t>
      </w:r>
    </w:p>
    <w:p w14:paraId="4659FCD6">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消防器材的配置数量及位置须满足国家标准规范要求，灭火器的压力须处于绿色区域，由施工单位每天安排专人进行巡查并填写记录。（责任部门：施工管理部门监管，保卫科负责落实定期巡查，并做好巡查记录）</w:t>
      </w:r>
    </w:p>
    <w:p w14:paraId="2F543ED2">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9.现场使用的装修材料、临时措施用料须选用难燃或不燃级别的材料。（责任部门：由监理单位，若无监理单位由管理部门负责落实）</w:t>
      </w:r>
    </w:p>
    <w:p w14:paraId="45A00740">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10.监理单位须严格按照设计图纸要求和消防安全管理要求对进场材料进行验收，否则将对监理单位进行处罚。（责任部门：监理单位、施工管理部门）</w:t>
      </w:r>
    </w:p>
    <w:p w14:paraId="544B4520">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施工垃圾和废弃物须遵循医院的管理要求，在室外空旷的地方集中堆放管理、定期清理，严禁堆放在楼梯间、消防应急疏散通道，不符合要求的及时进行清理和疏通。（责任部门：施工管理部门监管，保卫科负责落实定期巡查，并做好巡查记录）</w:t>
      </w:r>
    </w:p>
    <w:p w14:paraId="241085B7">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12.施工、监理、勘察、设计合同须明确各单位的消防安全管理责任。(责任部门：施工方、施工管理部门)</w:t>
      </w:r>
    </w:p>
    <w:p w14:paraId="67A98FAD">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13.施工、监理、勘察、设计合同的院内会签流程应增加保卫科的审核签字栏，强化医院对改造项目的消防安全管控。(责任部门：由管理部门负责落实，保卫科审签)</w:t>
      </w:r>
    </w:p>
    <w:p w14:paraId="295966A5">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14.合同违约条款中须明确消防安全的违约处罚细则，针对消防类违约情况从严从重处罚。(责任部门：施工管理部门、保卫科）</w:t>
      </w:r>
    </w:p>
    <w:p w14:paraId="1F4F9E79">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15.如施工单位因施工需要临时切断改造区域的消防设施设备、安防设备线路，须向保卫科提交书面方案和申请，由保卫科组织现场核查同意后方可办理切断手续。（责任部门：施工管理部门 保卫科）</w:t>
      </w:r>
    </w:p>
    <w:p w14:paraId="38FC4944">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16.施工现场需要动火的，须严格执行动火作业审批制度，由管理科室提出申请，经电工班、消防值班员、保卫科审批后方可动火。（责任部门：施工管理、总务科、保卫科）</w:t>
      </w:r>
    </w:p>
    <w:p w14:paraId="2E8F33E1">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施工单位必须在施工现场入口处公示工程名称、施工时间和消防责任人，并在明显位置将施工机械操作规程、安全警示标志、消防报警电话、医院消控室报警电话张贴上墙。（责任部门：施工单位、施工管理部门）</w:t>
      </w:r>
    </w:p>
    <w:p w14:paraId="49101B4C">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18.每个改造项目由施工单位绘制符合本项目实际情况的消防应急疏散路线图，张贴在工地的入口、出口等明显位置。（责任部门：施工单位、施工管理部门）</w:t>
      </w:r>
    </w:p>
    <w:p w14:paraId="5B663914">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19.施工面积达300平方米以上的，在开工前由施工单位组织火灾事故应急预案演练，将演练方案和演练过程形成书面报告上交施工管理部门，作为首期进度款的支付依据。（责任部门：施工单位、施工管理部门）</w:t>
      </w:r>
    </w:p>
    <w:p w14:paraId="3F34BF13">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20.施工中使用化学易燃物品时应限额领料，禁止交叉作业。</w:t>
      </w:r>
    </w:p>
    <w:p w14:paraId="6BD0ED64">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（责任部门：施工单位、施工管理部门）</w:t>
      </w:r>
    </w:p>
    <w:p w14:paraId="674CD40D">
      <w:pPr>
        <w:spacing w:after="120"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附件18：供应商资质证明（乙方补充）</w:t>
      </w:r>
    </w:p>
    <w:p w14:paraId="25CD72EA">
      <w:pPr>
        <w:tabs>
          <w:tab w:val="center" w:pos="4153"/>
          <w:tab w:val="right" w:pos="8306"/>
        </w:tabs>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51A7F24B">
      <w:pPr>
        <w:spacing w:after="120"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附件19：工程结算审计审核所需资料表</w:t>
      </w:r>
    </w:p>
    <w:tbl>
      <w:tblPr>
        <w:tblStyle w:val="38"/>
        <w:tblpPr w:leftFromText="180" w:rightFromText="180" w:vertAnchor="text" w:horzAnchor="page" w:tblpX="1618" w:tblpY="424"/>
        <w:tblOverlap w:val="never"/>
        <w:tblW w:w="19649" w:type="dxa"/>
        <w:tblInd w:w="0" w:type="dxa"/>
        <w:tblLayout w:type="fixed"/>
        <w:tblCellMar>
          <w:top w:w="0" w:type="dxa"/>
          <w:left w:w="108" w:type="dxa"/>
          <w:bottom w:w="0" w:type="dxa"/>
          <w:right w:w="108" w:type="dxa"/>
        </w:tblCellMar>
      </w:tblPr>
      <w:tblGrid>
        <w:gridCol w:w="2224"/>
        <w:gridCol w:w="6101"/>
        <w:gridCol w:w="508"/>
        <w:gridCol w:w="139"/>
        <w:gridCol w:w="80"/>
        <w:gridCol w:w="1309"/>
        <w:gridCol w:w="236"/>
        <w:gridCol w:w="7427"/>
        <w:gridCol w:w="80"/>
        <w:gridCol w:w="1545"/>
      </w:tblGrid>
      <w:tr w14:paraId="68C1DFED">
        <w:tblPrEx>
          <w:tblCellMar>
            <w:top w:w="0" w:type="dxa"/>
            <w:left w:w="108" w:type="dxa"/>
            <w:bottom w:w="0" w:type="dxa"/>
            <w:right w:w="108" w:type="dxa"/>
          </w:tblCellMar>
        </w:tblPrEx>
        <w:trPr>
          <w:gridAfter w:val="1"/>
          <w:wAfter w:w="1545" w:type="dxa"/>
          <w:trHeight w:val="510" w:hRule="atLeast"/>
        </w:trPr>
        <w:tc>
          <w:tcPr>
            <w:tcW w:w="9052" w:type="dxa"/>
            <w:gridSpan w:val="5"/>
            <w:tcBorders>
              <w:top w:val="nil"/>
              <w:left w:val="nil"/>
              <w:bottom w:val="nil"/>
              <w:right w:val="nil"/>
            </w:tcBorders>
            <w:noWrap/>
            <w:vAlign w:val="bottom"/>
          </w:tcPr>
          <w:p w14:paraId="2D7F4D59">
            <w:pPr>
              <w:widowControl/>
              <w:spacing w:line="360" w:lineRule="auto"/>
              <w:ind w:firstLine="723" w:firstLineChars="300"/>
              <w:textAlignment w:val="bottom"/>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工程结算审计审核所需资料表</w:t>
            </w:r>
          </w:p>
        </w:tc>
        <w:tc>
          <w:tcPr>
            <w:tcW w:w="9052" w:type="dxa"/>
            <w:gridSpan w:val="4"/>
            <w:tcBorders>
              <w:top w:val="nil"/>
              <w:left w:val="nil"/>
              <w:bottom w:val="nil"/>
              <w:right w:val="nil"/>
            </w:tcBorders>
            <w:noWrap/>
            <w:vAlign w:val="bottom"/>
          </w:tcPr>
          <w:p w14:paraId="7BB81CEC">
            <w:pPr>
              <w:widowControl/>
              <w:spacing w:line="360" w:lineRule="auto"/>
              <w:ind w:firstLine="723" w:firstLineChars="300"/>
              <w:textAlignment w:val="bottom"/>
              <w:rPr>
                <w:rFonts w:hint="eastAsia" w:ascii="宋体" w:hAnsi="宋体" w:eastAsia="宋体" w:cs="宋体"/>
                <w:b/>
                <w:bCs/>
                <w:color w:val="auto"/>
                <w:kern w:val="0"/>
                <w:sz w:val="24"/>
                <w:highlight w:val="none"/>
                <w:lang w:bidi="ar"/>
              </w:rPr>
            </w:pPr>
          </w:p>
        </w:tc>
      </w:tr>
      <w:tr w14:paraId="1405E599">
        <w:tblPrEx>
          <w:tblCellMar>
            <w:top w:w="0" w:type="dxa"/>
            <w:left w:w="108" w:type="dxa"/>
            <w:bottom w:w="0" w:type="dxa"/>
            <w:right w:w="108" w:type="dxa"/>
          </w:tblCellMar>
        </w:tblPrEx>
        <w:trPr>
          <w:trHeight w:val="399" w:hRule="atLeast"/>
        </w:trPr>
        <w:tc>
          <w:tcPr>
            <w:tcW w:w="8325" w:type="dxa"/>
            <w:gridSpan w:val="2"/>
            <w:tcBorders>
              <w:top w:val="nil"/>
              <w:left w:val="nil"/>
              <w:bottom w:val="single" w:color="000000" w:sz="4" w:space="0"/>
              <w:right w:val="nil"/>
            </w:tcBorders>
            <w:noWrap w:val="0"/>
            <w:vAlign w:val="bottom"/>
          </w:tcPr>
          <w:p w14:paraId="6EB97C08">
            <w:pPr>
              <w:spacing w:line="360" w:lineRule="auto"/>
              <w:jc w:val="left"/>
              <w:rPr>
                <w:rFonts w:hint="eastAsia" w:ascii="宋体" w:hAnsi="宋体" w:eastAsia="宋体" w:cs="宋体"/>
                <w:b/>
                <w:bCs/>
                <w:color w:val="auto"/>
                <w:sz w:val="24"/>
                <w:highlight w:val="none"/>
              </w:rPr>
            </w:pPr>
          </w:p>
        </w:tc>
        <w:tc>
          <w:tcPr>
            <w:tcW w:w="508" w:type="dxa"/>
            <w:tcBorders>
              <w:top w:val="nil"/>
              <w:left w:val="nil"/>
              <w:bottom w:val="nil"/>
              <w:right w:val="nil"/>
            </w:tcBorders>
            <w:noWrap w:val="0"/>
            <w:vAlign w:val="bottom"/>
          </w:tcPr>
          <w:p w14:paraId="0F8290D3">
            <w:pPr>
              <w:spacing w:line="360" w:lineRule="auto"/>
              <w:rPr>
                <w:rFonts w:hint="eastAsia" w:ascii="宋体" w:hAnsi="宋体" w:eastAsia="宋体" w:cs="宋体"/>
                <w:color w:val="auto"/>
                <w:sz w:val="24"/>
                <w:highlight w:val="none"/>
              </w:rPr>
            </w:pPr>
          </w:p>
        </w:tc>
        <w:tc>
          <w:tcPr>
            <w:tcW w:w="1528" w:type="dxa"/>
            <w:gridSpan w:val="3"/>
            <w:tcBorders>
              <w:top w:val="nil"/>
              <w:left w:val="nil"/>
              <w:bottom w:val="nil"/>
              <w:right w:val="nil"/>
            </w:tcBorders>
            <w:noWrap w:val="0"/>
            <w:vAlign w:val="bottom"/>
          </w:tcPr>
          <w:p w14:paraId="00C7AD88">
            <w:pPr>
              <w:spacing w:line="360" w:lineRule="auto"/>
              <w:rPr>
                <w:rFonts w:hint="eastAsia" w:ascii="宋体" w:hAnsi="宋体" w:eastAsia="宋体" w:cs="宋体"/>
                <w:color w:val="auto"/>
                <w:sz w:val="24"/>
                <w:highlight w:val="none"/>
              </w:rPr>
            </w:pPr>
          </w:p>
        </w:tc>
        <w:tc>
          <w:tcPr>
            <w:tcW w:w="236" w:type="dxa"/>
            <w:tcBorders>
              <w:top w:val="nil"/>
              <w:left w:val="nil"/>
              <w:bottom w:val="nil"/>
              <w:right w:val="nil"/>
            </w:tcBorders>
            <w:noWrap w:val="0"/>
            <w:vAlign w:val="bottom"/>
          </w:tcPr>
          <w:p w14:paraId="32805D23">
            <w:pPr>
              <w:spacing w:line="360" w:lineRule="auto"/>
              <w:rPr>
                <w:rFonts w:hint="eastAsia" w:ascii="宋体" w:hAnsi="宋体" w:eastAsia="宋体" w:cs="宋体"/>
                <w:color w:val="auto"/>
                <w:sz w:val="24"/>
                <w:highlight w:val="none"/>
              </w:rPr>
            </w:pPr>
          </w:p>
        </w:tc>
        <w:tc>
          <w:tcPr>
            <w:tcW w:w="9052" w:type="dxa"/>
            <w:gridSpan w:val="3"/>
            <w:tcBorders>
              <w:top w:val="nil"/>
              <w:left w:val="nil"/>
              <w:bottom w:val="nil"/>
              <w:right w:val="nil"/>
            </w:tcBorders>
            <w:noWrap w:val="0"/>
            <w:vAlign w:val="bottom"/>
          </w:tcPr>
          <w:p w14:paraId="191725D1">
            <w:pPr>
              <w:spacing w:line="360" w:lineRule="auto"/>
              <w:rPr>
                <w:rFonts w:hint="eastAsia" w:ascii="宋体" w:hAnsi="宋体" w:eastAsia="宋体" w:cs="宋体"/>
                <w:color w:val="auto"/>
                <w:sz w:val="24"/>
                <w:highlight w:val="none"/>
              </w:rPr>
            </w:pPr>
          </w:p>
        </w:tc>
      </w:tr>
      <w:tr w14:paraId="1C5E5116">
        <w:tblPrEx>
          <w:tblCellMar>
            <w:top w:w="0" w:type="dxa"/>
            <w:left w:w="108" w:type="dxa"/>
            <w:bottom w:w="0" w:type="dxa"/>
            <w:right w:w="108" w:type="dxa"/>
          </w:tblCellMar>
        </w:tblPrEx>
        <w:trPr>
          <w:gridAfter w:val="2"/>
          <w:wAfter w:w="1625" w:type="dxa"/>
          <w:trHeight w:val="690" w:hRule="atLeast"/>
        </w:trPr>
        <w:tc>
          <w:tcPr>
            <w:tcW w:w="2224" w:type="dxa"/>
            <w:tcBorders>
              <w:top w:val="nil"/>
              <w:left w:val="nil"/>
              <w:bottom w:val="nil"/>
              <w:right w:val="nil"/>
            </w:tcBorders>
            <w:noWrap w:val="0"/>
            <w:vAlign w:val="bottom"/>
          </w:tcPr>
          <w:p w14:paraId="4C520837">
            <w:pPr>
              <w:widowControl/>
              <w:spacing w:line="360" w:lineRule="auto"/>
              <w:jc w:val="center"/>
              <w:textAlignment w:val="bottom"/>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  为了及时完成</w:t>
            </w:r>
          </w:p>
        </w:tc>
        <w:tc>
          <w:tcPr>
            <w:tcW w:w="6101" w:type="dxa"/>
            <w:tcBorders>
              <w:top w:val="nil"/>
              <w:left w:val="nil"/>
              <w:bottom w:val="nil"/>
              <w:right w:val="nil"/>
            </w:tcBorders>
            <w:noWrap w:val="0"/>
            <w:vAlign w:val="bottom"/>
          </w:tcPr>
          <w:p w14:paraId="7DA01528">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bidi="ar"/>
              </w:rPr>
              <w:t xml:space="preserve">               项目的结算审计工作，</w:t>
            </w:r>
          </w:p>
        </w:tc>
        <w:tc>
          <w:tcPr>
            <w:tcW w:w="647" w:type="dxa"/>
            <w:gridSpan w:val="2"/>
            <w:tcBorders>
              <w:top w:val="nil"/>
              <w:left w:val="nil"/>
              <w:bottom w:val="nil"/>
              <w:right w:val="nil"/>
            </w:tcBorders>
            <w:noWrap w:val="0"/>
            <w:vAlign w:val="bottom"/>
          </w:tcPr>
          <w:p w14:paraId="6B675470">
            <w:pPr>
              <w:widowControl/>
              <w:spacing w:line="360" w:lineRule="auto"/>
              <w:textAlignment w:val="bottom"/>
              <w:rPr>
                <w:rFonts w:hint="eastAsia" w:ascii="宋体" w:hAnsi="宋体" w:eastAsia="宋体" w:cs="宋体"/>
                <w:color w:val="auto"/>
                <w:sz w:val="24"/>
                <w:highlight w:val="none"/>
              </w:rPr>
            </w:pPr>
          </w:p>
        </w:tc>
        <w:tc>
          <w:tcPr>
            <w:tcW w:w="9052" w:type="dxa"/>
            <w:gridSpan w:val="4"/>
            <w:tcBorders>
              <w:top w:val="nil"/>
              <w:left w:val="nil"/>
              <w:bottom w:val="nil"/>
              <w:right w:val="nil"/>
            </w:tcBorders>
            <w:noWrap w:val="0"/>
            <w:vAlign w:val="bottom"/>
          </w:tcPr>
          <w:p w14:paraId="30CCEED0">
            <w:pPr>
              <w:widowControl/>
              <w:spacing w:line="360" w:lineRule="auto"/>
              <w:textAlignment w:val="bottom"/>
              <w:rPr>
                <w:rFonts w:hint="eastAsia" w:ascii="宋体" w:hAnsi="宋体" w:eastAsia="宋体" w:cs="宋体"/>
                <w:color w:val="auto"/>
                <w:sz w:val="24"/>
                <w:highlight w:val="none"/>
              </w:rPr>
            </w:pPr>
          </w:p>
        </w:tc>
      </w:tr>
      <w:tr w14:paraId="1A57BF6D">
        <w:tblPrEx>
          <w:tblCellMar>
            <w:top w:w="0" w:type="dxa"/>
            <w:left w:w="108" w:type="dxa"/>
            <w:bottom w:w="0" w:type="dxa"/>
            <w:right w:w="108" w:type="dxa"/>
          </w:tblCellMar>
        </w:tblPrEx>
        <w:trPr>
          <w:gridAfter w:val="1"/>
          <w:wAfter w:w="1545" w:type="dxa"/>
          <w:trHeight w:val="690" w:hRule="atLeast"/>
        </w:trPr>
        <w:tc>
          <w:tcPr>
            <w:tcW w:w="9052" w:type="dxa"/>
            <w:gridSpan w:val="5"/>
            <w:tcBorders>
              <w:top w:val="nil"/>
              <w:left w:val="nil"/>
              <w:bottom w:val="nil"/>
              <w:right w:val="nil"/>
            </w:tcBorders>
            <w:noWrap w:val="0"/>
            <w:vAlign w:val="bottom"/>
          </w:tcPr>
          <w:p w14:paraId="1EFB8AE2">
            <w:pPr>
              <w:widowControl/>
              <w:spacing w:line="360" w:lineRule="auto"/>
              <w:jc w:val="left"/>
              <w:textAlignment w:val="bottom"/>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保证审计质量，请贵单位于    年   月   日之前提供以下资料：</w:t>
            </w:r>
          </w:p>
        </w:tc>
        <w:tc>
          <w:tcPr>
            <w:tcW w:w="9052" w:type="dxa"/>
            <w:gridSpan w:val="4"/>
            <w:tcBorders>
              <w:top w:val="nil"/>
              <w:left w:val="nil"/>
              <w:bottom w:val="nil"/>
              <w:right w:val="nil"/>
            </w:tcBorders>
            <w:noWrap w:val="0"/>
            <w:vAlign w:val="bottom"/>
          </w:tcPr>
          <w:p w14:paraId="06BDFA9C">
            <w:pPr>
              <w:widowControl/>
              <w:spacing w:line="360" w:lineRule="auto"/>
              <w:jc w:val="left"/>
              <w:textAlignment w:val="bottom"/>
              <w:rPr>
                <w:rFonts w:hint="eastAsia" w:ascii="宋体" w:hAnsi="宋体" w:eastAsia="宋体" w:cs="宋体"/>
                <w:color w:val="auto"/>
                <w:kern w:val="0"/>
                <w:sz w:val="24"/>
                <w:highlight w:val="none"/>
                <w:lang w:bidi="ar"/>
              </w:rPr>
            </w:pPr>
          </w:p>
        </w:tc>
      </w:tr>
      <w:tr w14:paraId="421D91D4">
        <w:tblPrEx>
          <w:tblCellMar>
            <w:top w:w="0" w:type="dxa"/>
            <w:left w:w="108" w:type="dxa"/>
            <w:bottom w:w="0" w:type="dxa"/>
            <w:right w:w="108" w:type="dxa"/>
          </w:tblCellMar>
        </w:tblPrEx>
        <w:trPr>
          <w:gridAfter w:val="1"/>
          <w:wAfter w:w="1545" w:type="dxa"/>
          <w:trHeight w:val="499" w:hRule="atLeast"/>
        </w:trPr>
        <w:tc>
          <w:tcPr>
            <w:tcW w:w="9052" w:type="dxa"/>
            <w:gridSpan w:val="5"/>
            <w:tcBorders>
              <w:top w:val="nil"/>
              <w:left w:val="nil"/>
              <w:bottom w:val="nil"/>
              <w:right w:val="nil"/>
            </w:tcBorders>
            <w:noWrap/>
            <w:vAlign w:val="bottom"/>
          </w:tcPr>
          <w:p w14:paraId="07277AD6">
            <w:pPr>
              <w:widowControl/>
              <w:spacing w:line="360" w:lineRule="auto"/>
              <w:jc w:val="left"/>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1.施工合同协议书（含中标预算书纸质版、博奥版）；</w:t>
            </w:r>
          </w:p>
        </w:tc>
        <w:tc>
          <w:tcPr>
            <w:tcW w:w="9052" w:type="dxa"/>
            <w:gridSpan w:val="4"/>
            <w:tcBorders>
              <w:top w:val="nil"/>
              <w:left w:val="nil"/>
              <w:bottom w:val="nil"/>
              <w:right w:val="nil"/>
            </w:tcBorders>
            <w:noWrap/>
            <w:vAlign w:val="bottom"/>
          </w:tcPr>
          <w:p w14:paraId="140884AE">
            <w:pPr>
              <w:widowControl/>
              <w:spacing w:line="360" w:lineRule="auto"/>
              <w:jc w:val="left"/>
              <w:textAlignment w:val="bottom"/>
              <w:rPr>
                <w:rFonts w:hint="eastAsia" w:ascii="宋体" w:hAnsi="宋体" w:eastAsia="宋体" w:cs="宋体"/>
                <w:color w:val="auto"/>
                <w:sz w:val="24"/>
                <w:highlight w:val="none"/>
                <w:lang w:bidi="ar"/>
              </w:rPr>
            </w:pPr>
          </w:p>
        </w:tc>
      </w:tr>
      <w:tr w14:paraId="5F4C1761">
        <w:tblPrEx>
          <w:tblCellMar>
            <w:top w:w="0" w:type="dxa"/>
            <w:left w:w="108" w:type="dxa"/>
            <w:bottom w:w="0" w:type="dxa"/>
            <w:right w:w="108" w:type="dxa"/>
          </w:tblCellMar>
        </w:tblPrEx>
        <w:trPr>
          <w:gridAfter w:val="1"/>
          <w:wAfter w:w="1545" w:type="dxa"/>
          <w:trHeight w:val="499" w:hRule="atLeast"/>
        </w:trPr>
        <w:tc>
          <w:tcPr>
            <w:tcW w:w="9052" w:type="dxa"/>
            <w:gridSpan w:val="5"/>
            <w:tcBorders>
              <w:top w:val="nil"/>
              <w:left w:val="nil"/>
              <w:bottom w:val="nil"/>
              <w:right w:val="nil"/>
            </w:tcBorders>
            <w:noWrap/>
            <w:vAlign w:val="bottom"/>
          </w:tcPr>
          <w:p w14:paraId="2B0DAD84">
            <w:pPr>
              <w:widowControl/>
              <w:spacing w:line="360" w:lineRule="auto"/>
              <w:jc w:val="left"/>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2.招投标文件、招标施工图、竣工图（须盖竣工图章并附电子版）；</w:t>
            </w:r>
          </w:p>
        </w:tc>
        <w:tc>
          <w:tcPr>
            <w:tcW w:w="9052" w:type="dxa"/>
            <w:gridSpan w:val="4"/>
            <w:tcBorders>
              <w:top w:val="nil"/>
              <w:left w:val="nil"/>
              <w:bottom w:val="nil"/>
              <w:right w:val="nil"/>
            </w:tcBorders>
            <w:noWrap/>
            <w:vAlign w:val="bottom"/>
          </w:tcPr>
          <w:p w14:paraId="58D2BF44">
            <w:pPr>
              <w:widowControl/>
              <w:spacing w:line="360" w:lineRule="auto"/>
              <w:jc w:val="left"/>
              <w:textAlignment w:val="bottom"/>
              <w:rPr>
                <w:rFonts w:hint="eastAsia" w:ascii="宋体" w:hAnsi="宋体" w:eastAsia="宋体" w:cs="宋体"/>
                <w:color w:val="auto"/>
                <w:sz w:val="24"/>
                <w:highlight w:val="none"/>
                <w:lang w:bidi="ar"/>
              </w:rPr>
            </w:pPr>
          </w:p>
        </w:tc>
      </w:tr>
      <w:tr w14:paraId="7182E828">
        <w:tblPrEx>
          <w:tblCellMar>
            <w:top w:w="0" w:type="dxa"/>
            <w:left w:w="108" w:type="dxa"/>
            <w:bottom w:w="0" w:type="dxa"/>
            <w:right w:w="108" w:type="dxa"/>
          </w:tblCellMar>
        </w:tblPrEx>
        <w:trPr>
          <w:gridAfter w:val="1"/>
          <w:wAfter w:w="1545" w:type="dxa"/>
          <w:trHeight w:val="499" w:hRule="atLeast"/>
        </w:trPr>
        <w:tc>
          <w:tcPr>
            <w:tcW w:w="9052" w:type="dxa"/>
            <w:gridSpan w:val="5"/>
            <w:tcBorders>
              <w:top w:val="nil"/>
              <w:left w:val="nil"/>
              <w:bottom w:val="nil"/>
              <w:right w:val="nil"/>
            </w:tcBorders>
            <w:noWrap/>
            <w:vAlign w:val="bottom"/>
          </w:tcPr>
          <w:p w14:paraId="4533018B">
            <w:pPr>
              <w:widowControl/>
              <w:spacing w:line="360" w:lineRule="auto"/>
              <w:jc w:val="left"/>
              <w:textAlignment w:val="bottom"/>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3.工程结算书（须承包方盖章、发包方、监理签字确认并附电子版）；</w:t>
            </w:r>
          </w:p>
        </w:tc>
        <w:tc>
          <w:tcPr>
            <w:tcW w:w="9052" w:type="dxa"/>
            <w:gridSpan w:val="4"/>
            <w:tcBorders>
              <w:top w:val="nil"/>
              <w:left w:val="nil"/>
              <w:bottom w:val="nil"/>
              <w:right w:val="nil"/>
            </w:tcBorders>
            <w:noWrap/>
            <w:vAlign w:val="bottom"/>
          </w:tcPr>
          <w:p w14:paraId="4864BA4B">
            <w:pPr>
              <w:widowControl/>
              <w:spacing w:line="360" w:lineRule="auto"/>
              <w:ind w:left="-29" w:leftChars="-95" w:hanging="170" w:hangingChars="71"/>
              <w:jc w:val="left"/>
              <w:textAlignment w:val="bottom"/>
              <w:rPr>
                <w:rFonts w:hint="eastAsia" w:ascii="宋体" w:hAnsi="宋体" w:eastAsia="宋体" w:cs="宋体"/>
                <w:color w:val="auto"/>
                <w:kern w:val="0"/>
                <w:sz w:val="24"/>
                <w:highlight w:val="none"/>
                <w:lang w:bidi="ar"/>
              </w:rPr>
            </w:pPr>
          </w:p>
        </w:tc>
      </w:tr>
      <w:tr w14:paraId="0E8691F4">
        <w:tblPrEx>
          <w:tblCellMar>
            <w:top w:w="0" w:type="dxa"/>
            <w:left w:w="108" w:type="dxa"/>
            <w:bottom w:w="0" w:type="dxa"/>
            <w:right w:w="108" w:type="dxa"/>
          </w:tblCellMar>
        </w:tblPrEx>
        <w:trPr>
          <w:gridAfter w:val="1"/>
          <w:wAfter w:w="1545" w:type="dxa"/>
          <w:trHeight w:val="499" w:hRule="atLeast"/>
        </w:trPr>
        <w:tc>
          <w:tcPr>
            <w:tcW w:w="9052" w:type="dxa"/>
            <w:gridSpan w:val="5"/>
            <w:tcBorders>
              <w:top w:val="nil"/>
              <w:left w:val="nil"/>
              <w:bottom w:val="nil"/>
              <w:right w:val="nil"/>
            </w:tcBorders>
            <w:noWrap/>
            <w:vAlign w:val="bottom"/>
          </w:tcPr>
          <w:p w14:paraId="0A20712F">
            <w:pPr>
              <w:widowControl/>
              <w:spacing w:line="360" w:lineRule="auto"/>
              <w:jc w:val="left"/>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4.工程量计算式（附电子版）</w:t>
            </w:r>
          </w:p>
        </w:tc>
        <w:tc>
          <w:tcPr>
            <w:tcW w:w="9052" w:type="dxa"/>
            <w:gridSpan w:val="4"/>
            <w:tcBorders>
              <w:top w:val="nil"/>
              <w:left w:val="nil"/>
              <w:bottom w:val="nil"/>
              <w:right w:val="nil"/>
            </w:tcBorders>
            <w:noWrap/>
            <w:vAlign w:val="bottom"/>
          </w:tcPr>
          <w:p w14:paraId="27FC343A">
            <w:pPr>
              <w:widowControl/>
              <w:spacing w:line="360" w:lineRule="auto"/>
              <w:jc w:val="left"/>
              <w:textAlignment w:val="bottom"/>
              <w:rPr>
                <w:rFonts w:hint="eastAsia" w:ascii="宋体" w:hAnsi="宋体" w:eastAsia="宋体" w:cs="宋体"/>
                <w:color w:val="auto"/>
                <w:sz w:val="24"/>
                <w:highlight w:val="none"/>
                <w:lang w:bidi="ar"/>
              </w:rPr>
            </w:pPr>
          </w:p>
        </w:tc>
      </w:tr>
      <w:tr w14:paraId="4E6F7DFF">
        <w:tblPrEx>
          <w:tblCellMar>
            <w:top w:w="0" w:type="dxa"/>
            <w:left w:w="108" w:type="dxa"/>
            <w:bottom w:w="0" w:type="dxa"/>
            <w:right w:w="108" w:type="dxa"/>
          </w:tblCellMar>
        </w:tblPrEx>
        <w:trPr>
          <w:gridAfter w:val="1"/>
          <w:wAfter w:w="1545" w:type="dxa"/>
          <w:trHeight w:val="499" w:hRule="atLeast"/>
        </w:trPr>
        <w:tc>
          <w:tcPr>
            <w:tcW w:w="9052" w:type="dxa"/>
            <w:gridSpan w:val="5"/>
            <w:tcBorders>
              <w:top w:val="nil"/>
              <w:left w:val="nil"/>
              <w:bottom w:val="nil"/>
              <w:right w:val="nil"/>
            </w:tcBorders>
            <w:noWrap/>
            <w:vAlign w:val="bottom"/>
          </w:tcPr>
          <w:p w14:paraId="57279324">
            <w:pPr>
              <w:widowControl/>
              <w:spacing w:line="360" w:lineRule="auto"/>
              <w:jc w:val="left"/>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5.设计变更通知单及变更洽谈记录；</w:t>
            </w:r>
          </w:p>
        </w:tc>
        <w:tc>
          <w:tcPr>
            <w:tcW w:w="9052" w:type="dxa"/>
            <w:gridSpan w:val="4"/>
            <w:tcBorders>
              <w:top w:val="nil"/>
              <w:left w:val="nil"/>
              <w:bottom w:val="nil"/>
              <w:right w:val="nil"/>
            </w:tcBorders>
            <w:noWrap/>
            <w:vAlign w:val="bottom"/>
          </w:tcPr>
          <w:p w14:paraId="5B6FE744">
            <w:pPr>
              <w:widowControl/>
              <w:spacing w:line="360" w:lineRule="auto"/>
              <w:jc w:val="left"/>
              <w:textAlignment w:val="bottom"/>
              <w:rPr>
                <w:rFonts w:hint="eastAsia" w:ascii="宋体" w:hAnsi="宋体" w:eastAsia="宋体" w:cs="宋体"/>
                <w:color w:val="auto"/>
                <w:sz w:val="24"/>
                <w:highlight w:val="none"/>
                <w:lang w:bidi="ar"/>
              </w:rPr>
            </w:pPr>
          </w:p>
        </w:tc>
      </w:tr>
      <w:tr w14:paraId="6B47A5E3">
        <w:tblPrEx>
          <w:tblCellMar>
            <w:top w:w="0" w:type="dxa"/>
            <w:left w:w="108" w:type="dxa"/>
            <w:bottom w:w="0" w:type="dxa"/>
            <w:right w:w="108" w:type="dxa"/>
          </w:tblCellMar>
        </w:tblPrEx>
        <w:trPr>
          <w:gridAfter w:val="1"/>
          <w:wAfter w:w="1545" w:type="dxa"/>
          <w:trHeight w:val="499" w:hRule="atLeast"/>
        </w:trPr>
        <w:tc>
          <w:tcPr>
            <w:tcW w:w="9052" w:type="dxa"/>
            <w:gridSpan w:val="5"/>
            <w:tcBorders>
              <w:top w:val="nil"/>
              <w:left w:val="nil"/>
              <w:bottom w:val="nil"/>
              <w:right w:val="nil"/>
            </w:tcBorders>
            <w:noWrap/>
            <w:vAlign w:val="bottom"/>
          </w:tcPr>
          <w:p w14:paraId="11A19F14">
            <w:pPr>
              <w:widowControl/>
              <w:spacing w:line="360" w:lineRule="auto"/>
              <w:jc w:val="left"/>
              <w:textAlignment w:val="bottom"/>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6.设计变更图纸(须设计院、发包方签字确认）；</w:t>
            </w:r>
          </w:p>
        </w:tc>
        <w:tc>
          <w:tcPr>
            <w:tcW w:w="9052" w:type="dxa"/>
            <w:gridSpan w:val="4"/>
            <w:tcBorders>
              <w:top w:val="nil"/>
              <w:left w:val="nil"/>
              <w:bottom w:val="nil"/>
              <w:right w:val="nil"/>
            </w:tcBorders>
            <w:noWrap/>
            <w:vAlign w:val="bottom"/>
          </w:tcPr>
          <w:p w14:paraId="29512530">
            <w:pPr>
              <w:widowControl/>
              <w:spacing w:line="360" w:lineRule="auto"/>
              <w:jc w:val="left"/>
              <w:textAlignment w:val="bottom"/>
              <w:rPr>
                <w:rFonts w:hint="eastAsia" w:ascii="宋体" w:hAnsi="宋体" w:eastAsia="宋体" w:cs="宋体"/>
                <w:color w:val="auto"/>
                <w:kern w:val="0"/>
                <w:sz w:val="24"/>
                <w:highlight w:val="none"/>
                <w:lang w:bidi="ar"/>
              </w:rPr>
            </w:pPr>
          </w:p>
        </w:tc>
      </w:tr>
      <w:tr w14:paraId="6AE06ACD">
        <w:tblPrEx>
          <w:tblCellMar>
            <w:top w:w="0" w:type="dxa"/>
            <w:left w:w="108" w:type="dxa"/>
            <w:bottom w:w="0" w:type="dxa"/>
            <w:right w:w="108" w:type="dxa"/>
          </w:tblCellMar>
        </w:tblPrEx>
        <w:trPr>
          <w:gridAfter w:val="1"/>
          <w:wAfter w:w="1545" w:type="dxa"/>
          <w:trHeight w:val="499" w:hRule="atLeast"/>
        </w:trPr>
        <w:tc>
          <w:tcPr>
            <w:tcW w:w="9052" w:type="dxa"/>
            <w:gridSpan w:val="5"/>
            <w:tcBorders>
              <w:top w:val="nil"/>
              <w:left w:val="nil"/>
              <w:bottom w:val="nil"/>
              <w:right w:val="nil"/>
            </w:tcBorders>
            <w:noWrap/>
            <w:vAlign w:val="bottom"/>
          </w:tcPr>
          <w:p w14:paraId="5F6AFD51">
            <w:pPr>
              <w:widowControl/>
              <w:spacing w:line="360" w:lineRule="auto"/>
              <w:jc w:val="left"/>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7.工作联系函、现场签证单及工程量核定单；</w:t>
            </w:r>
          </w:p>
        </w:tc>
        <w:tc>
          <w:tcPr>
            <w:tcW w:w="9052" w:type="dxa"/>
            <w:gridSpan w:val="4"/>
            <w:tcBorders>
              <w:top w:val="nil"/>
              <w:left w:val="nil"/>
              <w:bottom w:val="nil"/>
              <w:right w:val="nil"/>
            </w:tcBorders>
            <w:noWrap/>
            <w:vAlign w:val="bottom"/>
          </w:tcPr>
          <w:p w14:paraId="18343846">
            <w:pPr>
              <w:widowControl/>
              <w:spacing w:line="360" w:lineRule="auto"/>
              <w:jc w:val="left"/>
              <w:textAlignment w:val="bottom"/>
              <w:rPr>
                <w:rFonts w:hint="eastAsia" w:ascii="宋体" w:hAnsi="宋体" w:eastAsia="宋体" w:cs="宋体"/>
                <w:color w:val="auto"/>
                <w:sz w:val="24"/>
                <w:highlight w:val="none"/>
                <w:lang w:bidi="ar"/>
              </w:rPr>
            </w:pPr>
          </w:p>
        </w:tc>
      </w:tr>
      <w:tr w14:paraId="7FCF5FCD">
        <w:tblPrEx>
          <w:tblCellMar>
            <w:top w:w="0" w:type="dxa"/>
            <w:left w:w="108" w:type="dxa"/>
            <w:bottom w:w="0" w:type="dxa"/>
            <w:right w:w="108" w:type="dxa"/>
          </w:tblCellMar>
        </w:tblPrEx>
        <w:trPr>
          <w:gridAfter w:val="1"/>
          <w:wAfter w:w="1545" w:type="dxa"/>
          <w:trHeight w:val="499" w:hRule="atLeast"/>
        </w:trPr>
        <w:tc>
          <w:tcPr>
            <w:tcW w:w="9052" w:type="dxa"/>
            <w:gridSpan w:val="5"/>
            <w:tcBorders>
              <w:top w:val="nil"/>
              <w:left w:val="nil"/>
              <w:bottom w:val="nil"/>
              <w:right w:val="nil"/>
            </w:tcBorders>
            <w:noWrap/>
            <w:vAlign w:val="bottom"/>
          </w:tcPr>
          <w:p w14:paraId="1B92A2B7">
            <w:pPr>
              <w:widowControl/>
              <w:spacing w:line="360" w:lineRule="auto"/>
              <w:jc w:val="left"/>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8.变更后采用的主要材料价格信息；</w:t>
            </w:r>
          </w:p>
        </w:tc>
        <w:tc>
          <w:tcPr>
            <w:tcW w:w="9052" w:type="dxa"/>
            <w:gridSpan w:val="4"/>
            <w:tcBorders>
              <w:top w:val="nil"/>
              <w:left w:val="nil"/>
              <w:bottom w:val="nil"/>
              <w:right w:val="nil"/>
            </w:tcBorders>
            <w:noWrap/>
            <w:vAlign w:val="bottom"/>
          </w:tcPr>
          <w:p w14:paraId="441778BD">
            <w:pPr>
              <w:widowControl/>
              <w:spacing w:line="360" w:lineRule="auto"/>
              <w:jc w:val="left"/>
              <w:textAlignment w:val="bottom"/>
              <w:rPr>
                <w:rFonts w:hint="eastAsia" w:ascii="宋体" w:hAnsi="宋体" w:eastAsia="宋体" w:cs="宋体"/>
                <w:color w:val="auto"/>
                <w:sz w:val="24"/>
                <w:highlight w:val="none"/>
                <w:lang w:bidi="ar"/>
              </w:rPr>
            </w:pPr>
          </w:p>
        </w:tc>
      </w:tr>
      <w:tr w14:paraId="465798B3">
        <w:tblPrEx>
          <w:tblCellMar>
            <w:top w:w="0" w:type="dxa"/>
            <w:left w:w="108" w:type="dxa"/>
            <w:bottom w:w="0" w:type="dxa"/>
            <w:right w:w="108" w:type="dxa"/>
          </w:tblCellMar>
        </w:tblPrEx>
        <w:trPr>
          <w:gridAfter w:val="1"/>
          <w:wAfter w:w="1545" w:type="dxa"/>
          <w:trHeight w:val="499" w:hRule="atLeast"/>
        </w:trPr>
        <w:tc>
          <w:tcPr>
            <w:tcW w:w="9052" w:type="dxa"/>
            <w:gridSpan w:val="5"/>
            <w:tcBorders>
              <w:top w:val="nil"/>
              <w:left w:val="nil"/>
              <w:bottom w:val="nil"/>
              <w:right w:val="nil"/>
            </w:tcBorders>
            <w:noWrap/>
            <w:vAlign w:val="bottom"/>
          </w:tcPr>
          <w:p w14:paraId="0AE940C1">
            <w:pPr>
              <w:widowControl/>
              <w:spacing w:line="360" w:lineRule="auto"/>
              <w:jc w:val="left"/>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9.技术资料和技术设备说明书；</w:t>
            </w:r>
          </w:p>
        </w:tc>
        <w:tc>
          <w:tcPr>
            <w:tcW w:w="9052" w:type="dxa"/>
            <w:gridSpan w:val="4"/>
            <w:tcBorders>
              <w:top w:val="nil"/>
              <w:left w:val="nil"/>
              <w:bottom w:val="nil"/>
              <w:right w:val="nil"/>
            </w:tcBorders>
            <w:noWrap/>
            <w:vAlign w:val="bottom"/>
          </w:tcPr>
          <w:p w14:paraId="7FD7BB6B">
            <w:pPr>
              <w:widowControl/>
              <w:spacing w:line="360" w:lineRule="auto"/>
              <w:jc w:val="left"/>
              <w:textAlignment w:val="bottom"/>
              <w:rPr>
                <w:rFonts w:hint="eastAsia" w:ascii="宋体" w:hAnsi="宋体" w:eastAsia="宋体" w:cs="宋体"/>
                <w:color w:val="auto"/>
                <w:sz w:val="24"/>
                <w:highlight w:val="none"/>
                <w:lang w:bidi="ar"/>
              </w:rPr>
            </w:pPr>
          </w:p>
        </w:tc>
      </w:tr>
      <w:tr w14:paraId="743E91A1">
        <w:tblPrEx>
          <w:tblCellMar>
            <w:top w:w="0" w:type="dxa"/>
            <w:left w:w="108" w:type="dxa"/>
            <w:bottom w:w="0" w:type="dxa"/>
            <w:right w:w="108" w:type="dxa"/>
          </w:tblCellMar>
        </w:tblPrEx>
        <w:trPr>
          <w:gridAfter w:val="1"/>
          <w:wAfter w:w="1545" w:type="dxa"/>
          <w:trHeight w:val="499" w:hRule="atLeast"/>
        </w:trPr>
        <w:tc>
          <w:tcPr>
            <w:tcW w:w="9052" w:type="dxa"/>
            <w:gridSpan w:val="5"/>
            <w:tcBorders>
              <w:top w:val="nil"/>
              <w:left w:val="nil"/>
              <w:bottom w:val="nil"/>
              <w:right w:val="nil"/>
            </w:tcBorders>
            <w:noWrap/>
            <w:vAlign w:val="bottom"/>
          </w:tcPr>
          <w:p w14:paraId="6E317A17">
            <w:pPr>
              <w:widowControl/>
              <w:spacing w:line="360" w:lineRule="auto"/>
              <w:jc w:val="left"/>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10.隐蔽工程记录；</w:t>
            </w:r>
          </w:p>
        </w:tc>
        <w:tc>
          <w:tcPr>
            <w:tcW w:w="9052" w:type="dxa"/>
            <w:gridSpan w:val="4"/>
            <w:tcBorders>
              <w:top w:val="nil"/>
              <w:left w:val="nil"/>
              <w:bottom w:val="nil"/>
              <w:right w:val="nil"/>
            </w:tcBorders>
            <w:noWrap/>
            <w:vAlign w:val="bottom"/>
          </w:tcPr>
          <w:p w14:paraId="52AB730B">
            <w:pPr>
              <w:widowControl/>
              <w:spacing w:line="360" w:lineRule="auto"/>
              <w:jc w:val="left"/>
              <w:textAlignment w:val="bottom"/>
              <w:rPr>
                <w:rFonts w:hint="eastAsia" w:ascii="宋体" w:hAnsi="宋体" w:eastAsia="宋体" w:cs="宋体"/>
                <w:color w:val="auto"/>
                <w:sz w:val="24"/>
                <w:highlight w:val="none"/>
                <w:lang w:bidi="ar"/>
              </w:rPr>
            </w:pPr>
          </w:p>
        </w:tc>
      </w:tr>
      <w:tr w14:paraId="48049B4F">
        <w:tblPrEx>
          <w:tblCellMar>
            <w:top w:w="0" w:type="dxa"/>
            <w:left w:w="108" w:type="dxa"/>
            <w:bottom w:w="0" w:type="dxa"/>
            <w:right w:w="108" w:type="dxa"/>
          </w:tblCellMar>
        </w:tblPrEx>
        <w:trPr>
          <w:gridAfter w:val="1"/>
          <w:wAfter w:w="1545" w:type="dxa"/>
          <w:trHeight w:val="499" w:hRule="atLeast"/>
        </w:trPr>
        <w:tc>
          <w:tcPr>
            <w:tcW w:w="9052" w:type="dxa"/>
            <w:gridSpan w:val="5"/>
            <w:tcBorders>
              <w:top w:val="nil"/>
              <w:left w:val="nil"/>
              <w:bottom w:val="nil"/>
              <w:right w:val="nil"/>
            </w:tcBorders>
            <w:noWrap/>
            <w:vAlign w:val="bottom"/>
          </w:tcPr>
          <w:p w14:paraId="62AC151C">
            <w:pPr>
              <w:widowControl/>
              <w:spacing w:line="360" w:lineRule="auto"/>
              <w:jc w:val="left"/>
              <w:textAlignment w:val="bottom"/>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11. 经监理（发包方）批准的开工报告、工期延误联系单；</w:t>
            </w:r>
          </w:p>
        </w:tc>
        <w:tc>
          <w:tcPr>
            <w:tcW w:w="9052" w:type="dxa"/>
            <w:gridSpan w:val="4"/>
            <w:tcBorders>
              <w:top w:val="nil"/>
              <w:left w:val="nil"/>
              <w:bottom w:val="nil"/>
              <w:right w:val="nil"/>
            </w:tcBorders>
            <w:noWrap/>
            <w:vAlign w:val="bottom"/>
          </w:tcPr>
          <w:p w14:paraId="317B07FD">
            <w:pPr>
              <w:widowControl/>
              <w:spacing w:line="360" w:lineRule="auto"/>
              <w:jc w:val="left"/>
              <w:textAlignment w:val="bottom"/>
              <w:rPr>
                <w:rFonts w:hint="eastAsia" w:ascii="宋体" w:hAnsi="宋体" w:eastAsia="宋体" w:cs="宋体"/>
                <w:color w:val="auto"/>
                <w:kern w:val="0"/>
                <w:sz w:val="24"/>
                <w:highlight w:val="none"/>
                <w:lang w:bidi="ar"/>
              </w:rPr>
            </w:pPr>
          </w:p>
        </w:tc>
      </w:tr>
      <w:tr w14:paraId="20AC2519">
        <w:tblPrEx>
          <w:tblCellMar>
            <w:top w:w="0" w:type="dxa"/>
            <w:left w:w="108" w:type="dxa"/>
            <w:bottom w:w="0" w:type="dxa"/>
            <w:right w:w="108" w:type="dxa"/>
          </w:tblCellMar>
        </w:tblPrEx>
        <w:trPr>
          <w:gridAfter w:val="1"/>
          <w:wAfter w:w="1545" w:type="dxa"/>
          <w:trHeight w:val="499" w:hRule="atLeast"/>
        </w:trPr>
        <w:tc>
          <w:tcPr>
            <w:tcW w:w="9052" w:type="dxa"/>
            <w:gridSpan w:val="5"/>
            <w:tcBorders>
              <w:top w:val="nil"/>
              <w:left w:val="nil"/>
              <w:bottom w:val="nil"/>
              <w:right w:val="nil"/>
            </w:tcBorders>
            <w:noWrap/>
            <w:vAlign w:val="bottom"/>
          </w:tcPr>
          <w:p w14:paraId="3B71DE93">
            <w:pPr>
              <w:widowControl/>
              <w:spacing w:line="360" w:lineRule="auto"/>
              <w:jc w:val="left"/>
              <w:textAlignment w:val="bottom"/>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12. 院内组织工程竣工验收资料（附发包方、监理签字）；</w:t>
            </w:r>
          </w:p>
        </w:tc>
        <w:tc>
          <w:tcPr>
            <w:tcW w:w="9052" w:type="dxa"/>
            <w:gridSpan w:val="4"/>
            <w:tcBorders>
              <w:top w:val="nil"/>
              <w:left w:val="nil"/>
              <w:bottom w:val="nil"/>
              <w:right w:val="nil"/>
            </w:tcBorders>
            <w:noWrap/>
            <w:vAlign w:val="bottom"/>
          </w:tcPr>
          <w:p w14:paraId="2CCE55EB">
            <w:pPr>
              <w:widowControl/>
              <w:spacing w:line="360" w:lineRule="auto"/>
              <w:jc w:val="left"/>
              <w:textAlignment w:val="bottom"/>
              <w:rPr>
                <w:rFonts w:hint="eastAsia" w:ascii="宋体" w:hAnsi="宋体" w:eastAsia="宋体" w:cs="宋体"/>
                <w:color w:val="auto"/>
                <w:kern w:val="0"/>
                <w:sz w:val="24"/>
                <w:highlight w:val="none"/>
                <w:lang w:bidi="ar"/>
              </w:rPr>
            </w:pPr>
          </w:p>
        </w:tc>
      </w:tr>
      <w:tr w14:paraId="3AF1963F">
        <w:tblPrEx>
          <w:tblCellMar>
            <w:top w:w="0" w:type="dxa"/>
            <w:left w:w="108" w:type="dxa"/>
            <w:bottom w:w="0" w:type="dxa"/>
            <w:right w:w="108" w:type="dxa"/>
          </w:tblCellMar>
        </w:tblPrEx>
        <w:trPr>
          <w:gridAfter w:val="1"/>
          <w:wAfter w:w="1545" w:type="dxa"/>
          <w:trHeight w:val="499" w:hRule="atLeast"/>
        </w:trPr>
        <w:tc>
          <w:tcPr>
            <w:tcW w:w="9052" w:type="dxa"/>
            <w:gridSpan w:val="5"/>
            <w:tcBorders>
              <w:top w:val="nil"/>
              <w:left w:val="nil"/>
              <w:bottom w:val="nil"/>
              <w:right w:val="nil"/>
            </w:tcBorders>
            <w:noWrap/>
            <w:vAlign w:val="bottom"/>
          </w:tcPr>
          <w:p w14:paraId="52E4FD82">
            <w:pPr>
              <w:widowControl/>
              <w:spacing w:line="360" w:lineRule="auto"/>
              <w:jc w:val="left"/>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13.报送资料清单（移交清单）。</w:t>
            </w:r>
          </w:p>
        </w:tc>
        <w:tc>
          <w:tcPr>
            <w:tcW w:w="9052" w:type="dxa"/>
            <w:gridSpan w:val="4"/>
            <w:tcBorders>
              <w:top w:val="nil"/>
              <w:left w:val="nil"/>
              <w:bottom w:val="nil"/>
              <w:right w:val="nil"/>
            </w:tcBorders>
            <w:noWrap/>
            <w:vAlign w:val="bottom"/>
          </w:tcPr>
          <w:p w14:paraId="1F3398FE">
            <w:pPr>
              <w:widowControl/>
              <w:spacing w:line="360" w:lineRule="auto"/>
              <w:jc w:val="left"/>
              <w:textAlignment w:val="bottom"/>
              <w:rPr>
                <w:rFonts w:hint="eastAsia" w:ascii="宋体" w:hAnsi="宋体" w:eastAsia="宋体" w:cs="宋体"/>
                <w:color w:val="auto"/>
                <w:sz w:val="24"/>
                <w:highlight w:val="none"/>
                <w:lang w:bidi="ar"/>
              </w:rPr>
            </w:pPr>
          </w:p>
        </w:tc>
      </w:tr>
      <w:tr w14:paraId="55EE1E37">
        <w:tblPrEx>
          <w:tblCellMar>
            <w:top w:w="0" w:type="dxa"/>
            <w:left w:w="108" w:type="dxa"/>
            <w:bottom w:w="0" w:type="dxa"/>
            <w:right w:w="108" w:type="dxa"/>
          </w:tblCellMar>
        </w:tblPrEx>
        <w:trPr>
          <w:gridAfter w:val="1"/>
          <w:wAfter w:w="1545" w:type="dxa"/>
          <w:trHeight w:val="499" w:hRule="atLeast"/>
        </w:trPr>
        <w:tc>
          <w:tcPr>
            <w:tcW w:w="9052" w:type="dxa"/>
            <w:gridSpan w:val="5"/>
            <w:tcBorders>
              <w:top w:val="nil"/>
              <w:left w:val="nil"/>
              <w:bottom w:val="nil"/>
              <w:right w:val="nil"/>
            </w:tcBorders>
            <w:noWrap/>
            <w:vAlign w:val="bottom"/>
          </w:tcPr>
          <w:p w14:paraId="1EAB23CA">
            <w:pPr>
              <w:widowControl/>
              <w:spacing w:line="360" w:lineRule="auto"/>
              <w:jc w:val="left"/>
              <w:textAlignment w:val="bottom"/>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bidi="ar"/>
              </w:rPr>
              <w:t>14.承诺书</w:t>
            </w:r>
          </w:p>
        </w:tc>
        <w:tc>
          <w:tcPr>
            <w:tcW w:w="9052" w:type="dxa"/>
            <w:gridSpan w:val="4"/>
            <w:tcBorders>
              <w:top w:val="nil"/>
              <w:left w:val="nil"/>
              <w:bottom w:val="nil"/>
              <w:right w:val="nil"/>
            </w:tcBorders>
            <w:noWrap/>
            <w:vAlign w:val="bottom"/>
          </w:tcPr>
          <w:p w14:paraId="01F0B566">
            <w:pPr>
              <w:widowControl/>
              <w:spacing w:line="360" w:lineRule="auto"/>
              <w:jc w:val="left"/>
              <w:textAlignment w:val="bottom"/>
              <w:rPr>
                <w:rFonts w:hint="eastAsia" w:ascii="宋体" w:hAnsi="宋体" w:eastAsia="宋体" w:cs="宋体"/>
                <w:color w:val="auto"/>
                <w:sz w:val="24"/>
                <w:highlight w:val="none"/>
                <w:lang w:bidi="ar"/>
              </w:rPr>
            </w:pPr>
          </w:p>
        </w:tc>
      </w:tr>
      <w:tr w14:paraId="1A6735F9">
        <w:tblPrEx>
          <w:tblCellMar>
            <w:top w:w="0" w:type="dxa"/>
            <w:left w:w="108" w:type="dxa"/>
            <w:bottom w:w="0" w:type="dxa"/>
            <w:right w:w="108" w:type="dxa"/>
          </w:tblCellMar>
        </w:tblPrEx>
        <w:trPr>
          <w:gridAfter w:val="1"/>
          <w:wAfter w:w="1545" w:type="dxa"/>
          <w:trHeight w:val="499" w:hRule="atLeast"/>
        </w:trPr>
        <w:tc>
          <w:tcPr>
            <w:tcW w:w="9052" w:type="dxa"/>
            <w:gridSpan w:val="5"/>
            <w:tcBorders>
              <w:top w:val="nil"/>
              <w:left w:val="nil"/>
              <w:bottom w:val="nil"/>
              <w:right w:val="nil"/>
            </w:tcBorders>
            <w:noWrap/>
            <w:vAlign w:val="bottom"/>
          </w:tcPr>
          <w:p w14:paraId="67038374">
            <w:pPr>
              <w:widowControl/>
              <w:spacing w:line="360" w:lineRule="auto"/>
              <w:jc w:val="left"/>
              <w:textAlignment w:val="bottom"/>
              <w:rPr>
                <w:rFonts w:hint="eastAsia" w:ascii="宋体" w:hAnsi="宋体" w:eastAsia="宋体" w:cs="宋体"/>
                <w:color w:val="auto"/>
                <w:kern w:val="0"/>
                <w:sz w:val="24"/>
                <w:highlight w:val="none"/>
                <w:lang w:bidi="ar"/>
              </w:rPr>
            </w:pPr>
            <w:r>
              <w:rPr>
                <w:rFonts w:hint="eastAsia" w:ascii="宋体" w:hAnsi="宋体" w:eastAsia="宋体" w:cs="宋体"/>
                <w:b/>
                <w:bCs/>
                <w:color w:val="auto"/>
                <w:sz w:val="24"/>
                <w:highlight w:val="none"/>
                <w:lang w:bidi="ar"/>
              </w:rPr>
              <w:t>备注：</w:t>
            </w:r>
            <w:r>
              <w:rPr>
                <w:rFonts w:hint="eastAsia" w:ascii="宋体" w:hAnsi="宋体" w:eastAsia="宋体" w:cs="宋体"/>
                <w:b/>
                <w:bCs/>
                <w:color w:val="auto"/>
                <w:sz w:val="24"/>
                <w:highlight w:val="none"/>
                <w:lang w:bidi="ar"/>
              </w:rPr>
              <w:br w:type="textWrapping"/>
            </w:r>
            <w:r>
              <w:rPr>
                <w:rFonts w:hint="eastAsia" w:ascii="宋体" w:hAnsi="宋体" w:eastAsia="宋体" w:cs="宋体"/>
                <w:b/>
                <w:bCs/>
                <w:color w:val="auto"/>
                <w:sz w:val="24"/>
                <w:highlight w:val="none"/>
                <w:lang w:bidi="ar"/>
              </w:rPr>
              <w:t>1、以上资料一式两份；送审前电子版发至邮箱核查后才接收纸质版资料。</w:t>
            </w:r>
            <w:r>
              <w:rPr>
                <w:rFonts w:hint="eastAsia" w:ascii="宋体" w:hAnsi="宋体" w:eastAsia="宋体" w:cs="宋体"/>
                <w:b/>
                <w:bCs/>
                <w:color w:val="auto"/>
                <w:sz w:val="24"/>
                <w:highlight w:val="none"/>
                <w:lang w:bidi="ar"/>
              </w:rPr>
              <w:br w:type="textWrapping"/>
            </w:r>
            <w:r>
              <w:rPr>
                <w:rFonts w:hint="eastAsia" w:ascii="宋体" w:hAnsi="宋体" w:eastAsia="宋体" w:cs="宋体"/>
                <w:b/>
                <w:bCs/>
                <w:color w:val="auto"/>
                <w:sz w:val="24"/>
                <w:highlight w:val="none"/>
                <w:lang w:bidi="ar"/>
              </w:rPr>
              <w:t>2、电子版请发至邮箱gxyysjk@163.com,邮件名请标注工程名称及送审类型（预算/结算），邮件名未标注清楚视为送审无效！</w:t>
            </w:r>
            <w:r>
              <w:rPr>
                <w:rFonts w:hint="eastAsia" w:ascii="宋体" w:hAnsi="宋体" w:eastAsia="宋体" w:cs="宋体"/>
                <w:b/>
                <w:bCs/>
                <w:color w:val="auto"/>
                <w:sz w:val="24"/>
                <w:highlight w:val="none"/>
                <w:lang w:bidi="ar"/>
              </w:rPr>
              <w:br w:type="textWrapping"/>
            </w:r>
            <w:r>
              <w:rPr>
                <w:rFonts w:hint="eastAsia" w:ascii="宋体" w:hAnsi="宋体" w:eastAsia="宋体" w:cs="宋体"/>
                <w:b/>
                <w:bCs/>
                <w:color w:val="auto"/>
                <w:sz w:val="24"/>
                <w:highlight w:val="none"/>
                <w:lang w:bidi="ar"/>
              </w:rPr>
              <w:t>3、若电子资料内存过大，请拷贝到两个U盘或者光盘随纸质版资料送审。</w:t>
            </w:r>
            <w:r>
              <w:rPr>
                <w:rFonts w:hint="eastAsia" w:ascii="宋体" w:hAnsi="宋体" w:eastAsia="宋体" w:cs="宋体"/>
                <w:b/>
                <w:bCs/>
                <w:color w:val="auto"/>
                <w:sz w:val="24"/>
                <w:highlight w:val="none"/>
                <w:lang w:bidi="ar"/>
              </w:rPr>
              <w:br w:type="textWrapping"/>
            </w:r>
            <w:r>
              <w:rPr>
                <w:rFonts w:hint="eastAsia" w:ascii="宋体" w:hAnsi="宋体" w:eastAsia="宋体" w:cs="宋体"/>
                <w:b/>
                <w:bCs/>
                <w:color w:val="auto"/>
                <w:sz w:val="24"/>
                <w:highlight w:val="none"/>
                <w:lang w:bidi="ar"/>
              </w:rPr>
              <w:t>4、接收纸质版资料时若无电子版资料视为无效送审。</w:t>
            </w:r>
          </w:p>
          <w:tbl>
            <w:tblPr>
              <w:tblStyle w:val="38"/>
              <w:tblW w:w="8517" w:type="dxa"/>
              <w:tblInd w:w="0" w:type="dxa"/>
              <w:tblLayout w:type="fixed"/>
              <w:tblCellMar>
                <w:top w:w="0" w:type="dxa"/>
                <w:left w:w="108" w:type="dxa"/>
                <w:bottom w:w="0" w:type="dxa"/>
                <w:right w:w="108" w:type="dxa"/>
              </w:tblCellMar>
            </w:tblPr>
            <w:tblGrid>
              <w:gridCol w:w="2315"/>
              <w:gridCol w:w="849"/>
              <w:gridCol w:w="849"/>
              <w:gridCol w:w="849"/>
              <w:gridCol w:w="850"/>
              <w:gridCol w:w="850"/>
              <w:gridCol w:w="851"/>
              <w:gridCol w:w="851"/>
              <w:gridCol w:w="253"/>
            </w:tblGrid>
            <w:tr w14:paraId="43366F15">
              <w:tblPrEx>
                <w:tblCellMar>
                  <w:top w:w="0" w:type="dxa"/>
                  <w:left w:w="108" w:type="dxa"/>
                  <w:bottom w:w="0" w:type="dxa"/>
                  <w:right w:w="108" w:type="dxa"/>
                </w:tblCellMar>
              </w:tblPrEx>
              <w:trPr>
                <w:trHeight w:val="659" w:hRule="atLeast"/>
              </w:trPr>
              <w:tc>
                <w:tcPr>
                  <w:tcW w:w="8517" w:type="dxa"/>
                  <w:gridSpan w:val="9"/>
                  <w:vMerge w:val="restart"/>
                  <w:tcBorders>
                    <w:top w:val="nil"/>
                    <w:left w:val="nil"/>
                    <w:bottom w:val="nil"/>
                    <w:right w:val="nil"/>
                  </w:tcBorders>
                  <w:noWrap w:val="0"/>
                  <w:vAlign w:val="bottom"/>
                </w:tcPr>
                <w:p w14:paraId="3FE0332F">
                  <w:pPr>
                    <w:widowControl/>
                    <w:spacing w:line="360" w:lineRule="auto"/>
                    <w:jc w:val="center"/>
                    <w:textAlignment w:val="bottom"/>
                    <w:rPr>
                      <w:rFonts w:hint="eastAsia" w:ascii="宋体" w:hAnsi="宋体" w:eastAsia="宋体" w:cs="宋体"/>
                      <w:b/>
                      <w:bCs/>
                      <w:color w:val="auto"/>
                      <w:kern w:val="0"/>
                      <w:sz w:val="24"/>
                      <w:highlight w:val="none"/>
                      <w:lang w:bidi="ar"/>
                    </w:rPr>
                  </w:pPr>
                </w:p>
                <w:p w14:paraId="666EACEA">
                  <w:pPr>
                    <w:widowControl/>
                    <w:spacing w:line="360" w:lineRule="auto"/>
                    <w:jc w:val="center"/>
                    <w:textAlignment w:val="bottom"/>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承   诺   书</w:t>
                  </w:r>
                  <w:r>
                    <w:rPr>
                      <w:rFonts w:hint="eastAsia" w:ascii="宋体" w:hAnsi="宋体" w:eastAsia="宋体" w:cs="宋体"/>
                      <w:b/>
                      <w:bCs/>
                      <w:color w:val="auto"/>
                      <w:kern w:val="0"/>
                      <w:sz w:val="24"/>
                      <w:highlight w:val="none"/>
                      <w:lang w:bidi="ar"/>
                    </w:rPr>
                    <w:br w:type="textWrapping"/>
                  </w:r>
                  <w:r>
                    <w:rPr>
                      <w:rFonts w:hint="eastAsia" w:ascii="宋体" w:hAnsi="宋体" w:eastAsia="宋体" w:cs="宋体"/>
                      <w:b/>
                      <w:bCs/>
                      <w:color w:val="auto"/>
                      <w:kern w:val="0"/>
                      <w:sz w:val="24"/>
                      <w:highlight w:val="none"/>
                      <w:lang w:bidi="ar"/>
                    </w:rPr>
                    <w:t>（部门项目支出预算/概预算/招标控制价/竣工结算）</w:t>
                  </w:r>
                </w:p>
              </w:tc>
            </w:tr>
            <w:tr w14:paraId="77F527E4">
              <w:tblPrEx>
                <w:tblCellMar>
                  <w:top w:w="0" w:type="dxa"/>
                  <w:left w:w="108" w:type="dxa"/>
                  <w:bottom w:w="0" w:type="dxa"/>
                  <w:right w:w="108" w:type="dxa"/>
                </w:tblCellMar>
              </w:tblPrEx>
              <w:trPr>
                <w:trHeight w:val="711" w:hRule="atLeast"/>
              </w:trPr>
              <w:tc>
                <w:tcPr>
                  <w:tcW w:w="8517" w:type="dxa"/>
                  <w:gridSpan w:val="9"/>
                  <w:vMerge w:val="continue"/>
                  <w:tcBorders>
                    <w:top w:val="nil"/>
                    <w:left w:val="nil"/>
                    <w:bottom w:val="nil"/>
                    <w:right w:val="nil"/>
                  </w:tcBorders>
                  <w:noWrap w:val="0"/>
                  <w:vAlign w:val="bottom"/>
                </w:tcPr>
                <w:p w14:paraId="2957459B">
                  <w:pPr>
                    <w:spacing w:line="360" w:lineRule="auto"/>
                    <w:jc w:val="center"/>
                    <w:rPr>
                      <w:rFonts w:hint="eastAsia" w:ascii="宋体" w:hAnsi="宋体" w:eastAsia="宋体" w:cs="宋体"/>
                      <w:b/>
                      <w:bCs/>
                      <w:color w:val="auto"/>
                      <w:sz w:val="24"/>
                      <w:highlight w:val="none"/>
                    </w:rPr>
                  </w:pPr>
                </w:p>
              </w:tc>
            </w:tr>
            <w:tr w14:paraId="2CC7B92C">
              <w:tblPrEx>
                <w:tblCellMar>
                  <w:top w:w="0" w:type="dxa"/>
                  <w:left w:w="108" w:type="dxa"/>
                  <w:bottom w:w="0" w:type="dxa"/>
                  <w:right w:w="108" w:type="dxa"/>
                </w:tblCellMar>
              </w:tblPrEx>
              <w:trPr>
                <w:trHeight w:val="342" w:hRule="atLeast"/>
              </w:trPr>
              <w:tc>
                <w:tcPr>
                  <w:tcW w:w="2315" w:type="dxa"/>
                  <w:tcBorders>
                    <w:top w:val="nil"/>
                    <w:left w:val="nil"/>
                    <w:bottom w:val="nil"/>
                    <w:right w:val="nil"/>
                  </w:tcBorders>
                  <w:noWrap/>
                  <w:vAlign w:val="bottom"/>
                </w:tcPr>
                <w:p w14:paraId="1C722EA7">
                  <w:pPr>
                    <w:spacing w:line="360" w:lineRule="auto"/>
                    <w:rPr>
                      <w:rFonts w:hint="eastAsia" w:ascii="宋体" w:hAnsi="宋体" w:eastAsia="宋体" w:cs="宋体"/>
                      <w:color w:val="auto"/>
                      <w:sz w:val="24"/>
                      <w:highlight w:val="none"/>
                    </w:rPr>
                  </w:pPr>
                </w:p>
              </w:tc>
              <w:tc>
                <w:tcPr>
                  <w:tcW w:w="849" w:type="dxa"/>
                  <w:tcBorders>
                    <w:top w:val="nil"/>
                    <w:left w:val="nil"/>
                    <w:bottom w:val="nil"/>
                    <w:right w:val="nil"/>
                  </w:tcBorders>
                  <w:noWrap/>
                  <w:vAlign w:val="bottom"/>
                </w:tcPr>
                <w:p w14:paraId="4F0C0FFB">
                  <w:pPr>
                    <w:spacing w:line="360" w:lineRule="auto"/>
                    <w:rPr>
                      <w:rFonts w:hint="eastAsia" w:ascii="宋体" w:hAnsi="宋体" w:eastAsia="宋体" w:cs="宋体"/>
                      <w:color w:val="auto"/>
                      <w:sz w:val="24"/>
                      <w:highlight w:val="none"/>
                    </w:rPr>
                  </w:pPr>
                </w:p>
              </w:tc>
              <w:tc>
                <w:tcPr>
                  <w:tcW w:w="849" w:type="dxa"/>
                  <w:tcBorders>
                    <w:top w:val="nil"/>
                    <w:left w:val="nil"/>
                    <w:bottom w:val="nil"/>
                    <w:right w:val="nil"/>
                  </w:tcBorders>
                  <w:noWrap/>
                  <w:vAlign w:val="bottom"/>
                </w:tcPr>
                <w:p w14:paraId="60625F52">
                  <w:pPr>
                    <w:spacing w:line="360" w:lineRule="auto"/>
                    <w:rPr>
                      <w:rFonts w:hint="eastAsia" w:ascii="宋体" w:hAnsi="宋体" w:eastAsia="宋体" w:cs="宋体"/>
                      <w:color w:val="auto"/>
                      <w:sz w:val="24"/>
                      <w:highlight w:val="none"/>
                    </w:rPr>
                  </w:pPr>
                </w:p>
              </w:tc>
              <w:tc>
                <w:tcPr>
                  <w:tcW w:w="849" w:type="dxa"/>
                  <w:tcBorders>
                    <w:top w:val="nil"/>
                    <w:left w:val="nil"/>
                    <w:bottom w:val="nil"/>
                    <w:right w:val="nil"/>
                  </w:tcBorders>
                  <w:noWrap/>
                  <w:vAlign w:val="bottom"/>
                </w:tcPr>
                <w:p w14:paraId="24EAB261">
                  <w:pPr>
                    <w:spacing w:line="360" w:lineRule="auto"/>
                    <w:rPr>
                      <w:rFonts w:hint="eastAsia" w:ascii="宋体" w:hAnsi="宋体" w:eastAsia="宋体" w:cs="宋体"/>
                      <w:color w:val="auto"/>
                      <w:sz w:val="24"/>
                      <w:highlight w:val="none"/>
                    </w:rPr>
                  </w:pPr>
                </w:p>
              </w:tc>
              <w:tc>
                <w:tcPr>
                  <w:tcW w:w="850" w:type="dxa"/>
                  <w:tcBorders>
                    <w:top w:val="nil"/>
                    <w:left w:val="nil"/>
                    <w:bottom w:val="nil"/>
                    <w:right w:val="nil"/>
                  </w:tcBorders>
                  <w:noWrap/>
                  <w:vAlign w:val="bottom"/>
                </w:tcPr>
                <w:p w14:paraId="17E37844">
                  <w:pPr>
                    <w:spacing w:line="360" w:lineRule="auto"/>
                    <w:rPr>
                      <w:rFonts w:hint="eastAsia" w:ascii="宋体" w:hAnsi="宋体" w:eastAsia="宋体" w:cs="宋体"/>
                      <w:color w:val="auto"/>
                      <w:sz w:val="24"/>
                      <w:highlight w:val="none"/>
                    </w:rPr>
                  </w:pPr>
                </w:p>
              </w:tc>
              <w:tc>
                <w:tcPr>
                  <w:tcW w:w="850" w:type="dxa"/>
                  <w:tcBorders>
                    <w:top w:val="nil"/>
                    <w:left w:val="nil"/>
                    <w:bottom w:val="nil"/>
                    <w:right w:val="nil"/>
                  </w:tcBorders>
                  <w:noWrap/>
                  <w:vAlign w:val="bottom"/>
                </w:tcPr>
                <w:p w14:paraId="6BA854C9">
                  <w:pPr>
                    <w:spacing w:line="360" w:lineRule="auto"/>
                    <w:rPr>
                      <w:rFonts w:hint="eastAsia" w:ascii="宋体" w:hAnsi="宋体" w:eastAsia="宋体" w:cs="宋体"/>
                      <w:color w:val="auto"/>
                      <w:sz w:val="24"/>
                      <w:highlight w:val="none"/>
                    </w:rPr>
                  </w:pPr>
                </w:p>
              </w:tc>
              <w:tc>
                <w:tcPr>
                  <w:tcW w:w="851" w:type="dxa"/>
                  <w:tcBorders>
                    <w:top w:val="nil"/>
                    <w:left w:val="nil"/>
                    <w:bottom w:val="nil"/>
                    <w:right w:val="nil"/>
                  </w:tcBorders>
                  <w:noWrap/>
                  <w:vAlign w:val="bottom"/>
                </w:tcPr>
                <w:p w14:paraId="619B2FE9">
                  <w:pPr>
                    <w:spacing w:line="360" w:lineRule="auto"/>
                    <w:rPr>
                      <w:rFonts w:hint="eastAsia" w:ascii="宋体" w:hAnsi="宋体" w:eastAsia="宋体" w:cs="宋体"/>
                      <w:color w:val="auto"/>
                      <w:sz w:val="24"/>
                      <w:highlight w:val="none"/>
                    </w:rPr>
                  </w:pPr>
                </w:p>
              </w:tc>
              <w:tc>
                <w:tcPr>
                  <w:tcW w:w="851" w:type="dxa"/>
                  <w:tcBorders>
                    <w:top w:val="nil"/>
                    <w:left w:val="nil"/>
                    <w:bottom w:val="nil"/>
                    <w:right w:val="nil"/>
                  </w:tcBorders>
                  <w:noWrap/>
                  <w:vAlign w:val="bottom"/>
                </w:tcPr>
                <w:p w14:paraId="4C248894">
                  <w:pPr>
                    <w:spacing w:line="360" w:lineRule="auto"/>
                    <w:rPr>
                      <w:rFonts w:hint="eastAsia" w:ascii="宋体" w:hAnsi="宋体" w:eastAsia="宋体" w:cs="宋体"/>
                      <w:color w:val="auto"/>
                      <w:sz w:val="24"/>
                      <w:highlight w:val="none"/>
                    </w:rPr>
                  </w:pPr>
                </w:p>
              </w:tc>
              <w:tc>
                <w:tcPr>
                  <w:tcW w:w="253" w:type="dxa"/>
                  <w:tcBorders>
                    <w:top w:val="nil"/>
                    <w:left w:val="nil"/>
                    <w:bottom w:val="nil"/>
                    <w:right w:val="nil"/>
                  </w:tcBorders>
                  <w:noWrap/>
                  <w:vAlign w:val="bottom"/>
                </w:tcPr>
                <w:p w14:paraId="26D8DF8C">
                  <w:pPr>
                    <w:spacing w:line="360" w:lineRule="auto"/>
                    <w:rPr>
                      <w:rFonts w:hint="eastAsia" w:ascii="宋体" w:hAnsi="宋体" w:eastAsia="宋体" w:cs="宋体"/>
                      <w:color w:val="auto"/>
                      <w:sz w:val="24"/>
                      <w:highlight w:val="none"/>
                    </w:rPr>
                  </w:pPr>
                </w:p>
              </w:tc>
            </w:tr>
            <w:tr w14:paraId="0ABFEC88">
              <w:tblPrEx>
                <w:tblCellMar>
                  <w:top w:w="0" w:type="dxa"/>
                  <w:left w:w="108" w:type="dxa"/>
                  <w:bottom w:w="0" w:type="dxa"/>
                  <w:right w:w="108" w:type="dxa"/>
                </w:tblCellMar>
              </w:tblPrEx>
              <w:trPr>
                <w:trHeight w:val="685" w:hRule="atLeast"/>
              </w:trPr>
              <w:tc>
                <w:tcPr>
                  <w:tcW w:w="2315" w:type="dxa"/>
                  <w:tcBorders>
                    <w:top w:val="nil"/>
                    <w:left w:val="nil"/>
                    <w:bottom w:val="nil"/>
                    <w:right w:val="nil"/>
                  </w:tcBorders>
                  <w:noWrap/>
                  <w:vAlign w:val="bottom"/>
                </w:tcPr>
                <w:p w14:paraId="171C52C5">
                  <w:pPr>
                    <w:widowControl/>
                    <w:spacing w:line="360" w:lineRule="auto"/>
                    <w:jc w:val="left"/>
                    <w:textAlignment w:val="bottom"/>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审计科：</w:t>
                  </w:r>
                </w:p>
              </w:tc>
              <w:tc>
                <w:tcPr>
                  <w:tcW w:w="849" w:type="dxa"/>
                  <w:tcBorders>
                    <w:top w:val="nil"/>
                    <w:left w:val="nil"/>
                    <w:bottom w:val="nil"/>
                    <w:right w:val="nil"/>
                  </w:tcBorders>
                  <w:noWrap/>
                  <w:vAlign w:val="bottom"/>
                </w:tcPr>
                <w:p w14:paraId="132BDD1C">
                  <w:pPr>
                    <w:spacing w:line="360" w:lineRule="auto"/>
                    <w:rPr>
                      <w:rFonts w:hint="eastAsia" w:ascii="宋体" w:hAnsi="宋体" w:eastAsia="宋体" w:cs="宋体"/>
                      <w:color w:val="auto"/>
                      <w:sz w:val="24"/>
                      <w:highlight w:val="none"/>
                    </w:rPr>
                  </w:pPr>
                </w:p>
              </w:tc>
              <w:tc>
                <w:tcPr>
                  <w:tcW w:w="849" w:type="dxa"/>
                  <w:tcBorders>
                    <w:top w:val="nil"/>
                    <w:left w:val="nil"/>
                    <w:bottom w:val="nil"/>
                    <w:right w:val="nil"/>
                  </w:tcBorders>
                  <w:noWrap/>
                  <w:vAlign w:val="bottom"/>
                </w:tcPr>
                <w:p w14:paraId="7D958D58">
                  <w:pPr>
                    <w:spacing w:line="360" w:lineRule="auto"/>
                    <w:rPr>
                      <w:rFonts w:hint="eastAsia" w:ascii="宋体" w:hAnsi="宋体" w:eastAsia="宋体" w:cs="宋体"/>
                      <w:color w:val="auto"/>
                      <w:sz w:val="24"/>
                      <w:highlight w:val="none"/>
                    </w:rPr>
                  </w:pPr>
                </w:p>
              </w:tc>
              <w:tc>
                <w:tcPr>
                  <w:tcW w:w="849" w:type="dxa"/>
                  <w:tcBorders>
                    <w:top w:val="nil"/>
                    <w:left w:val="nil"/>
                    <w:bottom w:val="nil"/>
                    <w:right w:val="nil"/>
                  </w:tcBorders>
                  <w:noWrap/>
                  <w:vAlign w:val="bottom"/>
                </w:tcPr>
                <w:p w14:paraId="4D3FCF58">
                  <w:pPr>
                    <w:spacing w:line="360" w:lineRule="auto"/>
                    <w:rPr>
                      <w:rFonts w:hint="eastAsia" w:ascii="宋体" w:hAnsi="宋体" w:eastAsia="宋体" w:cs="宋体"/>
                      <w:color w:val="auto"/>
                      <w:sz w:val="24"/>
                      <w:highlight w:val="none"/>
                    </w:rPr>
                  </w:pPr>
                </w:p>
              </w:tc>
              <w:tc>
                <w:tcPr>
                  <w:tcW w:w="850" w:type="dxa"/>
                  <w:tcBorders>
                    <w:top w:val="nil"/>
                    <w:left w:val="nil"/>
                    <w:bottom w:val="nil"/>
                    <w:right w:val="nil"/>
                  </w:tcBorders>
                  <w:noWrap/>
                  <w:vAlign w:val="bottom"/>
                </w:tcPr>
                <w:p w14:paraId="3A0E6A56">
                  <w:pPr>
                    <w:spacing w:line="360" w:lineRule="auto"/>
                    <w:rPr>
                      <w:rFonts w:hint="eastAsia" w:ascii="宋体" w:hAnsi="宋体" w:eastAsia="宋体" w:cs="宋体"/>
                      <w:color w:val="auto"/>
                      <w:sz w:val="24"/>
                      <w:highlight w:val="none"/>
                    </w:rPr>
                  </w:pPr>
                </w:p>
              </w:tc>
              <w:tc>
                <w:tcPr>
                  <w:tcW w:w="850" w:type="dxa"/>
                  <w:tcBorders>
                    <w:top w:val="nil"/>
                    <w:left w:val="nil"/>
                    <w:bottom w:val="nil"/>
                    <w:right w:val="nil"/>
                  </w:tcBorders>
                  <w:noWrap/>
                  <w:vAlign w:val="bottom"/>
                </w:tcPr>
                <w:p w14:paraId="6920DFE2">
                  <w:pPr>
                    <w:spacing w:line="360" w:lineRule="auto"/>
                    <w:rPr>
                      <w:rFonts w:hint="eastAsia" w:ascii="宋体" w:hAnsi="宋体" w:eastAsia="宋体" w:cs="宋体"/>
                      <w:color w:val="auto"/>
                      <w:sz w:val="24"/>
                      <w:highlight w:val="none"/>
                    </w:rPr>
                  </w:pPr>
                </w:p>
              </w:tc>
              <w:tc>
                <w:tcPr>
                  <w:tcW w:w="851" w:type="dxa"/>
                  <w:tcBorders>
                    <w:top w:val="nil"/>
                    <w:left w:val="nil"/>
                    <w:bottom w:val="nil"/>
                    <w:right w:val="nil"/>
                  </w:tcBorders>
                  <w:noWrap/>
                  <w:vAlign w:val="bottom"/>
                </w:tcPr>
                <w:p w14:paraId="37C3362C">
                  <w:pPr>
                    <w:spacing w:line="360" w:lineRule="auto"/>
                    <w:rPr>
                      <w:rFonts w:hint="eastAsia" w:ascii="宋体" w:hAnsi="宋体" w:eastAsia="宋体" w:cs="宋体"/>
                      <w:color w:val="auto"/>
                      <w:sz w:val="24"/>
                      <w:highlight w:val="none"/>
                    </w:rPr>
                  </w:pPr>
                </w:p>
              </w:tc>
              <w:tc>
                <w:tcPr>
                  <w:tcW w:w="851" w:type="dxa"/>
                  <w:tcBorders>
                    <w:top w:val="nil"/>
                    <w:left w:val="nil"/>
                    <w:bottom w:val="nil"/>
                    <w:right w:val="nil"/>
                  </w:tcBorders>
                  <w:noWrap/>
                  <w:vAlign w:val="bottom"/>
                </w:tcPr>
                <w:p w14:paraId="0524C528">
                  <w:pPr>
                    <w:spacing w:line="360" w:lineRule="auto"/>
                    <w:rPr>
                      <w:rFonts w:hint="eastAsia" w:ascii="宋体" w:hAnsi="宋体" w:eastAsia="宋体" w:cs="宋体"/>
                      <w:color w:val="auto"/>
                      <w:sz w:val="24"/>
                      <w:highlight w:val="none"/>
                    </w:rPr>
                  </w:pPr>
                </w:p>
              </w:tc>
              <w:tc>
                <w:tcPr>
                  <w:tcW w:w="253" w:type="dxa"/>
                  <w:tcBorders>
                    <w:top w:val="nil"/>
                    <w:left w:val="nil"/>
                    <w:bottom w:val="nil"/>
                    <w:right w:val="nil"/>
                  </w:tcBorders>
                  <w:noWrap/>
                  <w:vAlign w:val="bottom"/>
                </w:tcPr>
                <w:p w14:paraId="1478F4F4">
                  <w:pPr>
                    <w:spacing w:line="360" w:lineRule="auto"/>
                    <w:rPr>
                      <w:rFonts w:hint="eastAsia" w:ascii="宋体" w:hAnsi="宋体" w:eastAsia="宋体" w:cs="宋体"/>
                      <w:color w:val="auto"/>
                      <w:sz w:val="24"/>
                      <w:highlight w:val="none"/>
                    </w:rPr>
                  </w:pPr>
                </w:p>
              </w:tc>
            </w:tr>
            <w:tr w14:paraId="5208AC55">
              <w:tblPrEx>
                <w:tblCellMar>
                  <w:top w:w="0" w:type="dxa"/>
                  <w:left w:w="108" w:type="dxa"/>
                  <w:bottom w:w="0" w:type="dxa"/>
                  <w:right w:w="108" w:type="dxa"/>
                </w:tblCellMar>
              </w:tblPrEx>
              <w:trPr>
                <w:trHeight w:val="659" w:hRule="atLeast"/>
              </w:trPr>
              <w:tc>
                <w:tcPr>
                  <w:tcW w:w="8517" w:type="dxa"/>
                  <w:gridSpan w:val="9"/>
                  <w:vMerge w:val="restart"/>
                  <w:tcBorders>
                    <w:top w:val="nil"/>
                    <w:left w:val="nil"/>
                    <w:bottom w:val="nil"/>
                    <w:right w:val="nil"/>
                  </w:tcBorders>
                  <w:noWrap w:val="0"/>
                  <w:vAlign w:val="top"/>
                </w:tcPr>
                <w:p w14:paraId="4551E1A0">
                  <w:pPr>
                    <w:widowControl/>
                    <w:spacing w:line="360" w:lineRule="auto"/>
                    <w:ind w:right="569" w:rightChars="271"/>
                    <w:jc w:val="left"/>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我科室申请评审____________________________________________项目，已对提供资料的要求充分知悉，现郑重承诺如下：</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一、项目资料已完整提供，评审过程中不再提出补充或变更资料的要求。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二、项目资料是真实的、准确的、合规的，不存在前后矛盾、虚假、隐匿等情形。</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三、我科室将积极配合评审工作并委派专人负责，并在通知要求的时间内完成核对、意见反馈、评审结果确认等工作，逾期视为同意评审结果。</w:t>
                  </w:r>
                </w:p>
              </w:tc>
            </w:tr>
            <w:tr w14:paraId="4D7C034D">
              <w:tblPrEx>
                <w:tblCellMar>
                  <w:top w:w="0" w:type="dxa"/>
                  <w:left w:w="108" w:type="dxa"/>
                  <w:bottom w:w="0" w:type="dxa"/>
                  <w:right w:w="108" w:type="dxa"/>
                </w:tblCellMar>
              </w:tblPrEx>
              <w:trPr>
                <w:trHeight w:val="659" w:hRule="atLeast"/>
              </w:trPr>
              <w:tc>
                <w:tcPr>
                  <w:tcW w:w="8517" w:type="dxa"/>
                  <w:gridSpan w:val="9"/>
                  <w:vMerge w:val="continue"/>
                  <w:tcBorders>
                    <w:top w:val="nil"/>
                    <w:left w:val="nil"/>
                    <w:bottom w:val="nil"/>
                    <w:right w:val="nil"/>
                  </w:tcBorders>
                  <w:noWrap w:val="0"/>
                  <w:vAlign w:val="top"/>
                </w:tcPr>
                <w:p w14:paraId="10D422B6">
                  <w:pPr>
                    <w:spacing w:line="360" w:lineRule="auto"/>
                    <w:jc w:val="left"/>
                    <w:rPr>
                      <w:rFonts w:hint="eastAsia" w:ascii="宋体" w:hAnsi="宋体" w:eastAsia="宋体" w:cs="宋体"/>
                      <w:color w:val="auto"/>
                      <w:sz w:val="24"/>
                      <w:highlight w:val="none"/>
                    </w:rPr>
                  </w:pPr>
                </w:p>
              </w:tc>
            </w:tr>
            <w:tr w14:paraId="042A07E0">
              <w:tblPrEx>
                <w:tblCellMar>
                  <w:top w:w="0" w:type="dxa"/>
                  <w:left w:w="108" w:type="dxa"/>
                  <w:bottom w:w="0" w:type="dxa"/>
                  <w:right w:w="108" w:type="dxa"/>
                </w:tblCellMar>
              </w:tblPrEx>
              <w:trPr>
                <w:trHeight w:val="659" w:hRule="atLeast"/>
              </w:trPr>
              <w:tc>
                <w:tcPr>
                  <w:tcW w:w="8517" w:type="dxa"/>
                  <w:gridSpan w:val="9"/>
                  <w:vMerge w:val="continue"/>
                  <w:tcBorders>
                    <w:top w:val="nil"/>
                    <w:left w:val="nil"/>
                    <w:bottom w:val="nil"/>
                    <w:right w:val="nil"/>
                  </w:tcBorders>
                  <w:noWrap w:val="0"/>
                  <w:vAlign w:val="top"/>
                </w:tcPr>
                <w:p w14:paraId="750BF70F">
                  <w:pPr>
                    <w:spacing w:line="360" w:lineRule="auto"/>
                    <w:jc w:val="left"/>
                    <w:rPr>
                      <w:rFonts w:hint="eastAsia" w:ascii="宋体" w:hAnsi="宋体" w:eastAsia="宋体" w:cs="宋体"/>
                      <w:color w:val="auto"/>
                      <w:sz w:val="24"/>
                      <w:highlight w:val="none"/>
                    </w:rPr>
                  </w:pPr>
                </w:p>
              </w:tc>
            </w:tr>
            <w:tr w14:paraId="53864BF3">
              <w:tblPrEx>
                <w:tblCellMar>
                  <w:top w:w="0" w:type="dxa"/>
                  <w:left w:w="108" w:type="dxa"/>
                  <w:bottom w:w="0" w:type="dxa"/>
                  <w:right w:w="108" w:type="dxa"/>
                </w:tblCellMar>
              </w:tblPrEx>
              <w:trPr>
                <w:trHeight w:val="659" w:hRule="atLeast"/>
              </w:trPr>
              <w:tc>
                <w:tcPr>
                  <w:tcW w:w="8517" w:type="dxa"/>
                  <w:gridSpan w:val="9"/>
                  <w:vMerge w:val="continue"/>
                  <w:tcBorders>
                    <w:top w:val="nil"/>
                    <w:left w:val="nil"/>
                    <w:bottom w:val="nil"/>
                    <w:right w:val="nil"/>
                  </w:tcBorders>
                  <w:noWrap w:val="0"/>
                  <w:vAlign w:val="top"/>
                </w:tcPr>
                <w:p w14:paraId="6299E30E">
                  <w:pPr>
                    <w:spacing w:line="360" w:lineRule="auto"/>
                    <w:jc w:val="left"/>
                    <w:rPr>
                      <w:rFonts w:hint="eastAsia" w:ascii="宋体" w:hAnsi="宋体" w:eastAsia="宋体" w:cs="宋体"/>
                      <w:color w:val="auto"/>
                      <w:sz w:val="24"/>
                      <w:highlight w:val="none"/>
                    </w:rPr>
                  </w:pPr>
                </w:p>
              </w:tc>
            </w:tr>
            <w:tr w14:paraId="39AAD35B">
              <w:tblPrEx>
                <w:tblCellMar>
                  <w:top w:w="0" w:type="dxa"/>
                  <w:left w:w="108" w:type="dxa"/>
                  <w:bottom w:w="0" w:type="dxa"/>
                  <w:right w:w="108" w:type="dxa"/>
                </w:tblCellMar>
              </w:tblPrEx>
              <w:trPr>
                <w:trHeight w:val="659" w:hRule="atLeast"/>
              </w:trPr>
              <w:tc>
                <w:tcPr>
                  <w:tcW w:w="8517" w:type="dxa"/>
                  <w:gridSpan w:val="9"/>
                  <w:vMerge w:val="continue"/>
                  <w:tcBorders>
                    <w:top w:val="nil"/>
                    <w:left w:val="nil"/>
                    <w:bottom w:val="nil"/>
                    <w:right w:val="nil"/>
                  </w:tcBorders>
                  <w:noWrap w:val="0"/>
                  <w:vAlign w:val="top"/>
                </w:tcPr>
                <w:p w14:paraId="2E6C94AB">
                  <w:pPr>
                    <w:spacing w:line="360" w:lineRule="auto"/>
                    <w:jc w:val="left"/>
                    <w:rPr>
                      <w:rFonts w:hint="eastAsia" w:ascii="宋体" w:hAnsi="宋体" w:eastAsia="宋体" w:cs="宋体"/>
                      <w:color w:val="auto"/>
                      <w:sz w:val="24"/>
                      <w:highlight w:val="none"/>
                    </w:rPr>
                  </w:pPr>
                </w:p>
              </w:tc>
            </w:tr>
            <w:tr w14:paraId="0D590B26">
              <w:tblPrEx>
                <w:tblCellMar>
                  <w:top w:w="0" w:type="dxa"/>
                  <w:left w:w="108" w:type="dxa"/>
                  <w:bottom w:w="0" w:type="dxa"/>
                  <w:right w:w="108" w:type="dxa"/>
                </w:tblCellMar>
              </w:tblPrEx>
              <w:trPr>
                <w:trHeight w:val="659" w:hRule="atLeast"/>
              </w:trPr>
              <w:tc>
                <w:tcPr>
                  <w:tcW w:w="8517" w:type="dxa"/>
                  <w:gridSpan w:val="9"/>
                  <w:vMerge w:val="continue"/>
                  <w:tcBorders>
                    <w:top w:val="nil"/>
                    <w:left w:val="nil"/>
                    <w:bottom w:val="nil"/>
                    <w:right w:val="nil"/>
                  </w:tcBorders>
                  <w:noWrap w:val="0"/>
                  <w:vAlign w:val="top"/>
                </w:tcPr>
                <w:p w14:paraId="4827851D">
                  <w:pPr>
                    <w:spacing w:line="360" w:lineRule="auto"/>
                    <w:jc w:val="left"/>
                    <w:rPr>
                      <w:rFonts w:hint="eastAsia" w:ascii="宋体" w:hAnsi="宋体" w:eastAsia="宋体" w:cs="宋体"/>
                      <w:color w:val="auto"/>
                      <w:sz w:val="24"/>
                      <w:highlight w:val="none"/>
                    </w:rPr>
                  </w:pPr>
                </w:p>
              </w:tc>
            </w:tr>
            <w:tr w14:paraId="213C37EF">
              <w:tblPrEx>
                <w:tblCellMar>
                  <w:top w:w="0" w:type="dxa"/>
                  <w:left w:w="108" w:type="dxa"/>
                  <w:bottom w:w="0" w:type="dxa"/>
                  <w:right w:w="108" w:type="dxa"/>
                </w:tblCellMar>
              </w:tblPrEx>
              <w:trPr>
                <w:trHeight w:val="659" w:hRule="atLeast"/>
              </w:trPr>
              <w:tc>
                <w:tcPr>
                  <w:tcW w:w="8517" w:type="dxa"/>
                  <w:gridSpan w:val="9"/>
                  <w:vMerge w:val="continue"/>
                  <w:tcBorders>
                    <w:top w:val="nil"/>
                    <w:left w:val="nil"/>
                    <w:bottom w:val="nil"/>
                    <w:right w:val="nil"/>
                  </w:tcBorders>
                  <w:noWrap w:val="0"/>
                  <w:vAlign w:val="top"/>
                </w:tcPr>
                <w:p w14:paraId="5EA659D2">
                  <w:pPr>
                    <w:spacing w:line="360" w:lineRule="auto"/>
                    <w:jc w:val="left"/>
                    <w:rPr>
                      <w:rFonts w:hint="eastAsia" w:ascii="宋体" w:hAnsi="宋体" w:eastAsia="宋体" w:cs="宋体"/>
                      <w:color w:val="auto"/>
                      <w:sz w:val="24"/>
                      <w:highlight w:val="none"/>
                    </w:rPr>
                  </w:pPr>
                </w:p>
              </w:tc>
            </w:tr>
            <w:tr w14:paraId="4A696307">
              <w:tblPrEx>
                <w:tblCellMar>
                  <w:top w:w="0" w:type="dxa"/>
                  <w:left w:w="108" w:type="dxa"/>
                  <w:bottom w:w="0" w:type="dxa"/>
                  <w:right w:w="108" w:type="dxa"/>
                </w:tblCellMar>
              </w:tblPrEx>
              <w:trPr>
                <w:trHeight w:val="2284" w:hRule="atLeast"/>
              </w:trPr>
              <w:tc>
                <w:tcPr>
                  <w:tcW w:w="8517" w:type="dxa"/>
                  <w:gridSpan w:val="9"/>
                  <w:vMerge w:val="continue"/>
                  <w:tcBorders>
                    <w:top w:val="nil"/>
                    <w:left w:val="nil"/>
                    <w:bottom w:val="nil"/>
                    <w:right w:val="nil"/>
                  </w:tcBorders>
                  <w:noWrap w:val="0"/>
                  <w:vAlign w:val="top"/>
                </w:tcPr>
                <w:p w14:paraId="00461001">
                  <w:pPr>
                    <w:spacing w:line="360" w:lineRule="auto"/>
                    <w:jc w:val="left"/>
                    <w:rPr>
                      <w:rFonts w:hint="eastAsia" w:ascii="宋体" w:hAnsi="宋体" w:eastAsia="宋体" w:cs="宋体"/>
                      <w:color w:val="auto"/>
                      <w:sz w:val="24"/>
                      <w:highlight w:val="none"/>
                    </w:rPr>
                  </w:pPr>
                </w:p>
              </w:tc>
            </w:tr>
            <w:tr w14:paraId="0A53902C">
              <w:tblPrEx>
                <w:tblCellMar>
                  <w:top w:w="0" w:type="dxa"/>
                  <w:left w:w="108" w:type="dxa"/>
                  <w:bottom w:w="0" w:type="dxa"/>
                  <w:right w:w="108" w:type="dxa"/>
                </w:tblCellMar>
              </w:tblPrEx>
              <w:trPr>
                <w:trHeight w:val="1371" w:hRule="atLeast"/>
              </w:trPr>
              <w:tc>
                <w:tcPr>
                  <w:tcW w:w="2315" w:type="dxa"/>
                  <w:tcBorders>
                    <w:top w:val="nil"/>
                    <w:left w:val="nil"/>
                    <w:bottom w:val="nil"/>
                    <w:right w:val="nil"/>
                  </w:tcBorders>
                  <w:noWrap/>
                  <w:vAlign w:val="bottom"/>
                </w:tcPr>
                <w:p w14:paraId="40FB69B2">
                  <w:pPr>
                    <w:widowControl/>
                    <w:spacing w:line="360" w:lineRule="auto"/>
                    <w:jc w:val="left"/>
                    <w:textAlignment w:val="bottom"/>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施工单位负责人签字：</w:t>
                  </w:r>
                </w:p>
              </w:tc>
              <w:tc>
                <w:tcPr>
                  <w:tcW w:w="849" w:type="dxa"/>
                  <w:tcBorders>
                    <w:top w:val="nil"/>
                    <w:left w:val="nil"/>
                    <w:bottom w:val="nil"/>
                    <w:right w:val="nil"/>
                  </w:tcBorders>
                  <w:noWrap/>
                  <w:vAlign w:val="bottom"/>
                </w:tcPr>
                <w:p w14:paraId="5033C60A">
                  <w:pPr>
                    <w:spacing w:line="360" w:lineRule="auto"/>
                    <w:rPr>
                      <w:rFonts w:hint="eastAsia" w:ascii="宋体" w:hAnsi="宋体" w:eastAsia="宋体" w:cs="宋体"/>
                      <w:color w:val="auto"/>
                      <w:sz w:val="24"/>
                      <w:highlight w:val="none"/>
                    </w:rPr>
                  </w:pPr>
                </w:p>
              </w:tc>
              <w:tc>
                <w:tcPr>
                  <w:tcW w:w="849" w:type="dxa"/>
                  <w:tcBorders>
                    <w:top w:val="nil"/>
                    <w:left w:val="nil"/>
                    <w:bottom w:val="nil"/>
                    <w:right w:val="nil"/>
                  </w:tcBorders>
                  <w:noWrap/>
                  <w:vAlign w:val="bottom"/>
                </w:tcPr>
                <w:p w14:paraId="5C82BF08">
                  <w:pPr>
                    <w:spacing w:line="360" w:lineRule="auto"/>
                    <w:rPr>
                      <w:rFonts w:hint="eastAsia" w:ascii="宋体" w:hAnsi="宋体" w:eastAsia="宋体" w:cs="宋体"/>
                      <w:color w:val="auto"/>
                      <w:sz w:val="24"/>
                      <w:highlight w:val="none"/>
                    </w:rPr>
                  </w:pPr>
                </w:p>
              </w:tc>
              <w:tc>
                <w:tcPr>
                  <w:tcW w:w="849" w:type="dxa"/>
                  <w:tcBorders>
                    <w:top w:val="nil"/>
                    <w:left w:val="nil"/>
                    <w:bottom w:val="nil"/>
                    <w:right w:val="nil"/>
                  </w:tcBorders>
                  <w:noWrap/>
                  <w:vAlign w:val="bottom"/>
                </w:tcPr>
                <w:p w14:paraId="3B7AEFC2">
                  <w:pPr>
                    <w:spacing w:line="360" w:lineRule="auto"/>
                    <w:rPr>
                      <w:rFonts w:hint="eastAsia" w:ascii="宋体" w:hAnsi="宋体" w:eastAsia="宋体" w:cs="宋体"/>
                      <w:color w:val="auto"/>
                      <w:sz w:val="24"/>
                      <w:highlight w:val="none"/>
                    </w:rPr>
                  </w:pPr>
                </w:p>
              </w:tc>
              <w:tc>
                <w:tcPr>
                  <w:tcW w:w="850" w:type="dxa"/>
                  <w:tcBorders>
                    <w:top w:val="nil"/>
                    <w:left w:val="nil"/>
                    <w:bottom w:val="nil"/>
                    <w:right w:val="nil"/>
                  </w:tcBorders>
                  <w:noWrap/>
                  <w:vAlign w:val="bottom"/>
                </w:tcPr>
                <w:p w14:paraId="422BF5DD">
                  <w:pPr>
                    <w:spacing w:line="360" w:lineRule="auto"/>
                    <w:rPr>
                      <w:rFonts w:hint="eastAsia" w:ascii="宋体" w:hAnsi="宋体" w:eastAsia="宋体" w:cs="宋体"/>
                      <w:color w:val="auto"/>
                      <w:sz w:val="24"/>
                      <w:highlight w:val="none"/>
                    </w:rPr>
                  </w:pPr>
                </w:p>
              </w:tc>
              <w:tc>
                <w:tcPr>
                  <w:tcW w:w="850" w:type="dxa"/>
                  <w:tcBorders>
                    <w:top w:val="nil"/>
                    <w:left w:val="nil"/>
                    <w:bottom w:val="nil"/>
                    <w:right w:val="nil"/>
                  </w:tcBorders>
                  <w:noWrap/>
                  <w:vAlign w:val="bottom"/>
                </w:tcPr>
                <w:p w14:paraId="17B1F0B8">
                  <w:pPr>
                    <w:spacing w:line="360" w:lineRule="auto"/>
                    <w:rPr>
                      <w:rFonts w:hint="eastAsia" w:ascii="宋体" w:hAnsi="宋体" w:eastAsia="宋体" w:cs="宋体"/>
                      <w:color w:val="auto"/>
                      <w:sz w:val="24"/>
                      <w:highlight w:val="none"/>
                    </w:rPr>
                  </w:pPr>
                </w:p>
              </w:tc>
              <w:tc>
                <w:tcPr>
                  <w:tcW w:w="1955" w:type="dxa"/>
                  <w:gridSpan w:val="3"/>
                  <w:vMerge w:val="restart"/>
                  <w:tcBorders>
                    <w:top w:val="nil"/>
                    <w:left w:val="nil"/>
                    <w:bottom w:val="nil"/>
                    <w:right w:val="nil"/>
                  </w:tcBorders>
                  <w:noWrap w:val="0"/>
                  <w:vAlign w:val="center"/>
                </w:tcPr>
                <w:p w14:paraId="252F7B86">
                  <w:pPr>
                    <w:widowControl/>
                    <w:spacing w:line="360" w:lineRule="auto"/>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经办人：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科室负责人：                           日    期：</w:t>
                  </w:r>
                </w:p>
              </w:tc>
            </w:tr>
            <w:tr w14:paraId="5E25C5CE">
              <w:tblPrEx>
                <w:tblCellMar>
                  <w:top w:w="0" w:type="dxa"/>
                  <w:left w:w="108" w:type="dxa"/>
                  <w:bottom w:w="0" w:type="dxa"/>
                  <w:right w:w="108" w:type="dxa"/>
                </w:tblCellMar>
              </w:tblPrEx>
              <w:trPr>
                <w:trHeight w:val="1371" w:hRule="atLeast"/>
              </w:trPr>
              <w:tc>
                <w:tcPr>
                  <w:tcW w:w="2315" w:type="dxa"/>
                  <w:tcBorders>
                    <w:top w:val="nil"/>
                    <w:left w:val="nil"/>
                    <w:bottom w:val="nil"/>
                    <w:right w:val="nil"/>
                  </w:tcBorders>
                  <w:noWrap/>
                  <w:vAlign w:val="bottom"/>
                </w:tcPr>
                <w:p w14:paraId="474756FB">
                  <w:pPr>
                    <w:widowControl/>
                    <w:spacing w:line="360" w:lineRule="auto"/>
                    <w:jc w:val="left"/>
                    <w:textAlignment w:val="bottom"/>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监理单位负责人签：</w:t>
                  </w:r>
                </w:p>
              </w:tc>
              <w:tc>
                <w:tcPr>
                  <w:tcW w:w="849" w:type="dxa"/>
                  <w:tcBorders>
                    <w:top w:val="nil"/>
                    <w:left w:val="nil"/>
                    <w:bottom w:val="nil"/>
                    <w:right w:val="nil"/>
                  </w:tcBorders>
                  <w:noWrap/>
                  <w:vAlign w:val="bottom"/>
                </w:tcPr>
                <w:p w14:paraId="64333F15">
                  <w:pPr>
                    <w:spacing w:line="360" w:lineRule="auto"/>
                    <w:rPr>
                      <w:rFonts w:hint="eastAsia" w:ascii="宋体" w:hAnsi="宋体" w:eastAsia="宋体" w:cs="宋体"/>
                      <w:color w:val="auto"/>
                      <w:sz w:val="24"/>
                      <w:highlight w:val="none"/>
                    </w:rPr>
                  </w:pPr>
                </w:p>
              </w:tc>
              <w:tc>
                <w:tcPr>
                  <w:tcW w:w="849" w:type="dxa"/>
                  <w:tcBorders>
                    <w:top w:val="nil"/>
                    <w:left w:val="nil"/>
                    <w:bottom w:val="nil"/>
                    <w:right w:val="nil"/>
                  </w:tcBorders>
                  <w:noWrap/>
                  <w:vAlign w:val="bottom"/>
                </w:tcPr>
                <w:p w14:paraId="6BFC4D93">
                  <w:pPr>
                    <w:spacing w:line="360" w:lineRule="auto"/>
                    <w:rPr>
                      <w:rFonts w:hint="eastAsia" w:ascii="宋体" w:hAnsi="宋体" w:eastAsia="宋体" w:cs="宋体"/>
                      <w:color w:val="auto"/>
                      <w:sz w:val="24"/>
                      <w:highlight w:val="none"/>
                    </w:rPr>
                  </w:pPr>
                </w:p>
              </w:tc>
              <w:tc>
                <w:tcPr>
                  <w:tcW w:w="849" w:type="dxa"/>
                  <w:tcBorders>
                    <w:top w:val="nil"/>
                    <w:left w:val="nil"/>
                    <w:bottom w:val="nil"/>
                    <w:right w:val="nil"/>
                  </w:tcBorders>
                  <w:noWrap/>
                  <w:vAlign w:val="bottom"/>
                </w:tcPr>
                <w:p w14:paraId="0A5A9E2B">
                  <w:pPr>
                    <w:spacing w:line="360" w:lineRule="auto"/>
                    <w:rPr>
                      <w:rFonts w:hint="eastAsia" w:ascii="宋体" w:hAnsi="宋体" w:eastAsia="宋体" w:cs="宋体"/>
                      <w:color w:val="auto"/>
                      <w:sz w:val="24"/>
                      <w:highlight w:val="none"/>
                    </w:rPr>
                  </w:pPr>
                </w:p>
              </w:tc>
              <w:tc>
                <w:tcPr>
                  <w:tcW w:w="850" w:type="dxa"/>
                  <w:tcBorders>
                    <w:top w:val="nil"/>
                    <w:left w:val="nil"/>
                    <w:bottom w:val="nil"/>
                    <w:right w:val="nil"/>
                  </w:tcBorders>
                  <w:noWrap/>
                  <w:vAlign w:val="bottom"/>
                </w:tcPr>
                <w:p w14:paraId="7C1F43C8">
                  <w:pPr>
                    <w:spacing w:line="360" w:lineRule="auto"/>
                    <w:rPr>
                      <w:rFonts w:hint="eastAsia" w:ascii="宋体" w:hAnsi="宋体" w:eastAsia="宋体" w:cs="宋体"/>
                      <w:color w:val="auto"/>
                      <w:sz w:val="24"/>
                      <w:highlight w:val="none"/>
                    </w:rPr>
                  </w:pPr>
                </w:p>
              </w:tc>
              <w:tc>
                <w:tcPr>
                  <w:tcW w:w="850" w:type="dxa"/>
                  <w:tcBorders>
                    <w:top w:val="nil"/>
                    <w:left w:val="nil"/>
                    <w:bottom w:val="nil"/>
                    <w:right w:val="nil"/>
                  </w:tcBorders>
                  <w:noWrap/>
                  <w:vAlign w:val="bottom"/>
                </w:tcPr>
                <w:p w14:paraId="2D9FEAC5">
                  <w:pPr>
                    <w:spacing w:line="360" w:lineRule="auto"/>
                    <w:rPr>
                      <w:rFonts w:hint="eastAsia" w:ascii="宋体" w:hAnsi="宋体" w:eastAsia="宋体" w:cs="宋体"/>
                      <w:color w:val="auto"/>
                      <w:sz w:val="24"/>
                      <w:highlight w:val="none"/>
                    </w:rPr>
                  </w:pPr>
                </w:p>
              </w:tc>
              <w:tc>
                <w:tcPr>
                  <w:tcW w:w="1955" w:type="dxa"/>
                  <w:gridSpan w:val="3"/>
                  <w:vMerge w:val="continue"/>
                  <w:tcBorders>
                    <w:top w:val="nil"/>
                    <w:left w:val="nil"/>
                    <w:bottom w:val="nil"/>
                    <w:right w:val="nil"/>
                  </w:tcBorders>
                  <w:noWrap w:val="0"/>
                  <w:vAlign w:val="center"/>
                </w:tcPr>
                <w:p w14:paraId="52D28FFE">
                  <w:pPr>
                    <w:spacing w:line="360" w:lineRule="auto"/>
                    <w:jc w:val="left"/>
                    <w:rPr>
                      <w:rFonts w:hint="eastAsia" w:ascii="宋体" w:hAnsi="宋体" w:eastAsia="宋体" w:cs="宋体"/>
                      <w:color w:val="auto"/>
                      <w:sz w:val="24"/>
                      <w:highlight w:val="none"/>
                    </w:rPr>
                  </w:pPr>
                </w:p>
              </w:tc>
            </w:tr>
          </w:tbl>
          <w:p w14:paraId="45BD4447">
            <w:pPr>
              <w:widowControl/>
              <w:spacing w:line="360" w:lineRule="auto"/>
              <w:ind w:firstLine="600"/>
              <w:jc w:val="left"/>
              <w:textAlignment w:val="bottom"/>
              <w:rPr>
                <w:rFonts w:hint="eastAsia" w:ascii="宋体" w:hAnsi="宋体" w:eastAsia="宋体" w:cs="宋体"/>
                <w:b/>
                <w:bCs/>
                <w:color w:val="auto"/>
                <w:sz w:val="24"/>
                <w:highlight w:val="none"/>
                <w:lang w:bidi="ar"/>
              </w:rPr>
            </w:pPr>
          </w:p>
        </w:tc>
        <w:tc>
          <w:tcPr>
            <w:tcW w:w="9052" w:type="dxa"/>
            <w:gridSpan w:val="4"/>
            <w:tcBorders>
              <w:top w:val="nil"/>
              <w:left w:val="nil"/>
              <w:bottom w:val="nil"/>
              <w:right w:val="nil"/>
            </w:tcBorders>
            <w:noWrap/>
            <w:vAlign w:val="bottom"/>
          </w:tcPr>
          <w:p w14:paraId="31F0B8D0">
            <w:pPr>
              <w:widowControl/>
              <w:spacing w:line="360" w:lineRule="auto"/>
              <w:ind w:firstLine="600"/>
              <w:jc w:val="left"/>
              <w:textAlignment w:val="bottom"/>
              <w:rPr>
                <w:rFonts w:hint="eastAsia" w:ascii="宋体" w:hAnsi="宋体" w:eastAsia="宋体" w:cs="宋体"/>
                <w:b/>
                <w:bCs/>
                <w:color w:val="auto"/>
                <w:sz w:val="24"/>
                <w:highlight w:val="none"/>
                <w:lang w:bidi="ar"/>
              </w:rPr>
            </w:pPr>
          </w:p>
        </w:tc>
      </w:tr>
    </w:tbl>
    <w:p w14:paraId="322717FD">
      <w:pPr>
        <w:spacing w:after="12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sz w:val="30"/>
          <w:szCs w:val="30"/>
          <w:highlight w:val="none"/>
        </w:rPr>
        <w:t>附件20：建筑类工程档案接收内容及排列顺序（2023年版）</w:t>
      </w:r>
    </w:p>
    <w:p w14:paraId="72053E9A">
      <w:pPr>
        <w:widowControl/>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一、工程准备阶段文件</w:t>
      </w:r>
    </w:p>
    <w:p w14:paraId="211CAF2E">
      <w:pPr>
        <w:widowControl/>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(一)立项文件</w:t>
      </w:r>
    </w:p>
    <w:p w14:paraId="45F10E86">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1.项目立项批复文件及项目登记备案证</w:t>
      </w:r>
    </w:p>
    <w:p w14:paraId="039ECCED">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2.可行性研究报告批复文件及可行性研究报告</w:t>
      </w:r>
    </w:p>
    <w:p w14:paraId="1B4E89E3">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3.专家论证意见、项目评估文件</w:t>
      </w:r>
    </w:p>
    <w:p w14:paraId="4B7CF30F">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4.有关立项的会议纪要、领导批示</w:t>
      </w:r>
    </w:p>
    <w:p w14:paraId="4062A722">
      <w:pPr>
        <w:widowControl/>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*政策性项目或财政投资项目提供1-4项，其他项目需提供有关立项的批复文件或登记备案等证明文件。</w:t>
      </w:r>
    </w:p>
    <w:p w14:paraId="24F0FB07">
      <w:pPr>
        <w:widowControl/>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(二)建设用地、拆迁文件</w:t>
      </w:r>
    </w:p>
    <w:p w14:paraId="150EA102">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1.建设用地批准书或土地使用证明文件及其附件（复印件）</w:t>
      </w:r>
    </w:p>
    <w:p w14:paraId="54056DC8">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2.建设用地规划许可证及其附件（复印件）</w:t>
      </w:r>
    </w:p>
    <w:p w14:paraId="52BE22DA">
      <w:pPr>
        <w:widowControl/>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（三）勘察、设计文件</w:t>
      </w:r>
    </w:p>
    <w:p w14:paraId="2D0CA8F2">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1.工程地质勘察报告</w:t>
      </w:r>
    </w:p>
    <w:p w14:paraId="283D98C4">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2.人防、消防、环保（按实际）、防雷（按实际）等主管部门（对设计方案）审查意见</w:t>
      </w:r>
    </w:p>
    <w:p w14:paraId="0C5C34D5">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3.施工图设计文件审查意见</w:t>
      </w:r>
    </w:p>
    <w:p w14:paraId="75626EFB">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4.节能设计文件（含计算书）</w:t>
      </w:r>
    </w:p>
    <w:p w14:paraId="79DC4FD7">
      <w:pPr>
        <w:widowControl/>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（四）招投标文件</w:t>
      </w:r>
    </w:p>
    <w:p w14:paraId="70F4B116">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1.工程合同：勘察、设计、施工、监理合同（含代建、分包合同/协议）</w:t>
      </w:r>
    </w:p>
    <w:p w14:paraId="27CF2C47">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2.中标通知书、发承包审核通知书</w:t>
      </w:r>
    </w:p>
    <w:p w14:paraId="731ECDA2">
      <w:pPr>
        <w:widowControl/>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（五）开工审批文件</w:t>
      </w:r>
    </w:p>
    <w:p w14:paraId="444FBC06">
      <w:pPr>
        <w:widowControl/>
        <w:spacing w:line="360" w:lineRule="auto"/>
        <w:ind w:left="120" w:hanging="120" w:hanging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1.建设工程规划许可证及其附件、附图（复印件）、方案文本（2019年后办理规划许可项目需要提交）</w:t>
      </w:r>
    </w:p>
    <w:p w14:paraId="318B3F6B">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2.已批准的规划总平图（复印件）</w:t>
      </w:r>
    </w:p>
    <w:p w14:paraId="40DE9C4E">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3.建设工程施工许可证（复印件）</w:t>
      </w:r>
    </w:p>
    <w:p w14:paraId="03653F7F">
      <w:pPr>
        <w:widowControl/>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（六）工程建设基本信息</w:t>
      </w:r>
    </w:p>
    <w:p w14:paraId="0A34F778">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1.工程概况信息表</w:t>
      </w:r>
    </w:p>
    <w:p w14:paraId="26438DBD">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2.建设单位工程项目负责人及现场管理人员名册及签字样式</w:t>
      </w:r>
    </w:p>
    <w:p w14:paraId="1F7D3A7C">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3.监理单位工程项目总监及监理人员名册及签字样式</w:t>
      </w:r>
    </w:p>
    <w:p w14:paraId="15939CE5">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4.施工单位工程项目经理及质量管理人员名册及签字样式</w:t>
      </w:r>
    </w:p>
    <w:p w14:paraId="78B38798">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5.参建五方项目负责人质量终身责任信息档案（建设、勘察、设计、监理、施工单位项目负责人工程质量终身责任授权书、承诺书/信息变更表）</w:t>
      </w:r>
    </w:p>
    <w:p w14:paraId="7F4000F4">
      <w:pPr>
        <w:widowControl/>
        <w:spacing w:line="360" w:lineRule="auto"/>
        <w:ind w:firstLine="240" w:firstLineChars="100"/>
        <w:rPr>
          <w:rFonts w:hint="eastAsia" w:ascii="宋体" w:hAnsi="宋体" w:eastAsia="宋体" w:cs="宋体"/>
          <w:color w:val="auto"/>
          <w:sz w:val="24"/>
          <w:highlight w:val="none"/>
        </w:rPr>
      </w:pPr>
    </w:p>
    <w:p w14:paraId="223F9973">
      <w:pPr>
        <w:widowControl/>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二、监理文件</w:t>
      </w:r>
    </w:p>
    <w:p w14:paraId="40DCBCFA">
      <w:pPr>
        <w:widowControl/>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（一）监理管理文件</w:t>
      </w:r>
    </w:p>
    <w:p w14:paraId="7A7544FA">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1.监理规划</w:t>
      </w:r>
    </w:p>
    <w:p w14:paraId="0375AA5E">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2.监理实施细则</w:t>
      </w:r>
    </w:p>
    <w:p w14:paraId="6FB74C67">
      <w:pPr>
        <w:widowControl/>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3.监理工作总结</w:t>
      </w:r>
    </w:p>
    <w:p w14:paraId="5ACF2429">
      <w:pPr>
        <w:widowControl/>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（二）质量控制文件</w:t>
      </w:r>
    </w:p>
    <w:p w14:paraId="0E7C9096">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质量事故报告及处理资料</w:t>
      </w:r>
    </w:p>
    <w:p w14:paraId="50625493">
      <w:pPr>
        <w:widowControl/>
        <w:spacing w:line="360" w:lineRule="auto"/>
        <w:ind w:firstLine="240" w:firstLineChars="100"/>
        <w:rPr>
          <w:rFonts w:hint="eastAsia" w:ascii="宋体" w:hAnsi="宋体" w:eastAsia="宋体" w:cs="宋体"/>
          <w:color w:val="auto"/>
          <w:kern w:val="0"/>
          <w:sz w:val="24"/>
          <w:highlight w:val="none"/>
        </w:rPr>
      </w:pPr>
    </w:p>
    <w:p w14:paraId="06CD4116">
      <w:pPr>
        <w:widowControl/>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三、施工文件</w:t>
      </w:r>
    </w:p>
    <w:p w14:paraId="723E0731">
      <w:pPr>
        <w:widowControl/>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（一）施工管理文件</w:t>
      </w:r>
    </w:p>
    <w:p w14:paraId="1B5BA055">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1.建设单位质量事故勘查记录</w:t>
      </w:r>
    </w:p>
    <w:p w14:paraId="24CA50E4">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2.建设工程质量事故报告书</w:t>
      </w:r>
    </w:p>
    <w:p w14:paraId="7FAF1D5F">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3.施工合同审查表（按实际）</w:t>
      </w:r>
    </w:p>
    <w:p w14:paraId="5D320CCA">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4.施工现场质量管理检查记录表</w:t>
      </w:r>
    </w:p>
    <w:p w14:paraId="137646C8">
      <w:pPr>
        <w:widowControl/>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（二）施工技术文件</w:t>
      </w:r>
    </w:p>
    <w:p w14:paraId="2169CA74">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1.图纸会审记录(附签到表)</w:t>
      </w:r>
    </w:p>
    <w:p w14:paraId="285B3DC8">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2.设计变更通知单(含汇总表)</w:t>
      </w:r>
    </w:p>
    <w:p w14:paraId="0014E62F">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3.技术核定文件（工程洽商记录、工程联系单）</w:t>
      </w:r>
    </w:p>
    <w:p w14:paraId="712BB991">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4.施工组织设计及重要施工方案（含报审表）</w:t>
      </w:r>
    </w:p>
    <w:p w14:paraId="1E713A42">
      <w:pPr>
        <w:widowControl/>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（三）进度控制文件</w:t>
      </w:r>
    </w:p>
    <w:p w14:paraId="57085CE7">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1.工程开工报审表、开工令</w:t>
      </w:r>
    </w:p>
    <w:p w14:paraId="055C97EC">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2.工程复工报审表、复工申请</w:t>
      </w:r>
    </w:p>
    <w:p w14:paraId="75624E11">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3.工程延期报审表、延期申请</w:t>
      </w:r>
    </w:p>
    <w:p w14:paraId="75275DC6">
      <w:pPr>
        <w:widowControl/>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（四）施工物资进场复试报告（</w:t>
      </w:r>
      <w:r>
        <w:rPr>
          <w:rFonts w:hint="eastAsia" w:ascii="宋体" w:hAnsi="宋体" w:eastAsia="宋体" w:cs="宋体"/>
          <w:b/>
          <w:bCs/>
          <w:color w:val="auto"/>
          <w:sz w:val="24"/>
          <w:highlight w:val="none"/>
        </w:rPr>
        <w:t>含汇总表</w:t>
      </w:r>
      <w:r>
        <w:rPr>
          <w:rFonts w:hint="eastAsia" w:ascii="宋体" w:hAnsi="宋体" w:eastAsia="宋体" w:cs="宋体"/>
          <w:b/>
          <w:bCs/>
          <w:color w:val="auto"/>
          <w:kern w:val="0"/>
          <w:sz w:val="24"/>
          <w:highlight w:val="none"/>
        </w:rPr>
        <w:t>）</w:t>
      </w:r>
    </w:p>
    <w:p w14:paraId="0C5553B6">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1.钢材试验报告</w:t>
      </w:r>
    </w:p>
    <w:p w14:paraId="354FD061">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2.水泥试验报告</w:t>
      </w:r>
    </w:p>
    <w:p w14:paraId="0EA35380">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3.砂试验报告</w:t>
      </w:r>
    </w:p>
    <w:p w14:paraId="66E233CB">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4.碎（卵）石试验报告</w:t>
      </w:r>
    </w:p>
    <w:p w14:paraId="1AF07EAC">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5.外加剂试验报告</w:t>
      </w:r>
    </w:p>
    <w:p w14:paraId="20ADB08D">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6.砖（砌块）试验报告</w:t>
      </w:r>
    </w:p>
    <w:p w14:paraId="1D4E6021">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7.预应力筋复试报告</w:t>
      </w:r>
    </w:p>
    <w:p w14:paraId="48E34F53">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8.预应力锚具、夹具和连接器复试报告</w:t>
      </w:r>
    </w:p>
    <w:p w14:paraId="2E2970CF">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9.钢结构用钢材复试报告</w:t>
      </w:r>
    </w:p>
    <w:p w14:paraId="293F843F">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10.钢结构用防火涂料复试报告</w:t>
      </w:r>
    </w:p>
    <w:p w14:paraId="23AE9BE2">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11.钢结构用焊接材料复试报告</w:t>
      </w:r>
    </w:p>
    <w:p w14:paraId="6727B6D1">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12.钢结构用高强度大六角头螺栓连接副复试报告</w:t>
      </w:r>
    </w:p>
    <w:p w14:paraId="465E33D3">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13.钢结构用扭剪型高强螺栓连接副复试报告</w:t>
      </w:r>
    </w:p>
    <w:p w14:paraId="43CC285B">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14.幕墙用铝塑板、石材、玻璃、结构胶复试报告</w:t>
      </w:r>
    </w:p>
    <w:p w14:paraId="305E2715">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15.散热器、供暖系统保温材料、通风与空调工程绝热材料、风机盘管机组、低压配电系统电缆的见证取样复试报告</w:t>
      </w:r>
    </w:p>
    <w:p w14:paraId="0595DCCF">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16.节能工程材料进场复试报告</w:t>
      </w:r>
    </w:p>
    <w:p w14:paraId="7EB25F90">
      <w:pPr>
        <w:widowControl/>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（五）施工试验记录及检测文件</w:t>
      </w:r>
    </w:p>
    <w:p w14:paraId="19433827">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1.地基承载力检验报告</w:t>
      </w:r>
    </w:p>
    <w:p w14:paraId="1ED62725">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2.桩基检测报告</w:t>
      </w:r>
    </w:p>
    <w:p w14:paraId="4FC69260">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3.土工击实试验报告（含汇总表）</w:t>
      </w:r>
    </w:p>
    <w:p w14:paraId="78E8C46A">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4.回填土试验报告（含汇总表）</w:t>
      </w:r>
    </w:p>
    <w:p w14:paraId="408E3658">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5.砂浆抗压强度试验报告（含汇总表、评定记录）</w:t>
      </w:r>
    </w:p>
    <w:p w14:paraId="5CECBFF1">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6.混凝土抗压强度试验报告（含汇总表、评定记录）</w:t>
      </w:r>
    </w:p>
    <w:p w14:paraId="22E9889D">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7.混凝土抗渗性能检测报告（含汇总表（按实际））</w:t>
      </w:r>
    </w:p>
    <w:p w14:paraId="57AD132A">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8.硅酮结构胶相容性和剥离粘结性试验报告</w:t>
      </w:r>
    </w:p>
    <w:p w14:paraId="12277510">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9.后置埋件的现场拉拔检测报告</w:t>
      </w:r>
    </w:p>
    <w:p w14:paraId="4382FE11">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10.幕墙的风压变形性能、气密性能、水密性能检测报告</w:t>
      </w:r>
    </w:p>
    <w:p w14:paraId="680CD555">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11.主要构件变形的检测报告和检查记录</w:t>
      </w:r>
    </w:p>
    <w:p w14:paraId="34860023">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12.《钢结构工程施工质量验收规范》强制性检查记录及证明文件（主体结构均为钢结构项目的须提交）</w:t>
      </w:r>
    </w:p>
    <w:p w14:paraId="4C5A2595">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13.工程质量检测文件（综合检测、钢筋保护层厚度及楼板厚度、植筋拉拔、沉降观测报告、防雷检测等）</w:t>
      </w:r>
    </w:p>
    <w:p w14:paraId="7A9D91BD">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14.节能性能检测报告</w:t>
      </w:r>
    </w:p>
    <w:p w14:paraId="1BD762A2">
      <w:pPr>
        <w:widowControl/>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15.水质检测报告、室内环境空气质量检测报告</w:t>
      </w:r>
    </w:p>
    <w:p w14:paraId="67BCDAFD">
      <w:pPr>
        <w:widowControl/>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（六）施工记录文件</w:t>
      </w:r>
    </w:p>
    <w:p w14:paraId="4466B153">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1.隐蔽工程检查验收记录（按分部排序）</w:t>
      </w:r>
    </w:p>
    <w:p w14:paraId="383A89A9">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2.工程定位测量记录</w:t>
      </w:r>
    </w:p>
    <w:p w14:paraId="72119677">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3.桩位测量放线图、桩竣工平面图及桩顶标高图</w:t>
      </w:r>
    </w:p>
    <w:p w14:paraId="0757A6C9">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4.基槽验线记录</w:t>
      </w:r>
    </w:p>
    <w:p w14:paraId="70DCE373">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5.沉降观测记录</w:t>
      </w:r>
    </w:p>
    <w:p w14:paraId="0FC3830E">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6.地基验槽记录</w:t>
      </w:r>
    </w:p>
    <w:p w14:paraId="7967F7B9">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7.地基钎探记录</w:t>
      </w:r>
    </w:p>
    <w:p w14:paraId="15BCB6D4">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8.大型构件吊装记录</w:t>
      </w:r>
    </w:p>
    <w:p w14:paraId="789AD83C">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9.预应力筋张拉记录</w:t>
      </w:r>
    </w:p>
    <w:p w14:paraId="54EF3BA6">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10.有粘结预应力结构灌浆记录</w:t>
      </w:r>
    </w:p>
    <w:p w14:paraId="37C6F063">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11.网架（索膜）施工记录</w:t>
      </w:r>
    </w:p>
    <w:p w14:paraId="01D930C5">
      <w:pPr>
        <w:widowControl/>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（七）施工质量验收文件</w:t>
      </w:r>
    </w:p>
    <w:p w14:paraId="7B428486">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1.分部、子分部、分项工程质量验收记录</w:t>
      </w:r>
    </w:p>
    <w:p w14:paraId="0E95E580">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2.分部、子分部工程质量验收报告</w:t>
      </w:r>
    </w:p>
    <w:p w14:paraId="381A5E0D">
      <w:pPr>
        <w:widowControl/>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（八）施工验收文件</w:t>
      </w:r>
    </w:p>
    <w:p w14:paraId="08275DEF">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1.单位（子单位）工程质量竣工验收记录</w:t>
      </w:r>
    </w:p>
    <w:p w14:paraId="69C0394A">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2.单位（子单位）工程质量控制资料核查记录</w:t>
      </w:r>
    </w:p>
    <w:p w14:paraId="7C4CB35A">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3.单位（子单位）工程安全和功能检验资料核查及主要功能抽查记录</w:t>
      </w:r>
    </w:p>
    <w:p w14:paraId="2F96B9A4">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4.单位（子单位）工程观感质量检查记录</w:t>
      </w:r>
    </w:p>
    <w:p w14:paraId="4B86A4D5">
      <w:pPr>
        <w:widowControl/>
        <w:spacing w:line="360" w:lineRule="auto"/>
        <w:ind w:firstLine="120" w:firstLineChars="50"/>
        <w:rPr>
          <w:rFonts w:hint="eastAsia" w:ascii="宋体" w:hAnsi="宋体" w:eastAsia="宋体" w:cs="宋体"/>
          <w:b/>
          <w:bCs/>
          <w:color w:val="auto"/>
          <w:kern w:val="0"/>
          <w:sz w:val="24"/>
          <w:highlight w:val="none"/>
        </w:rPr>
      </w:pPr>
    </w:p>
    <w:p w14:paraId="2EA811F7">
      <w:pPr>
        <w:widowControl/>
        <w:spacing w:line="360" w:lineRule="auto"/>
        <w:ind w:firstLine="120" w:firstLineChars="5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四、竣工图</w:t>
      </w:r>
    </w:p>
    <w:p w14:paraId="035EA5F1">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1.建筑竣工图</w:t>
      </w:r>
    </w:p>
    <w:p w14:paraId="3689D974">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2.结构竣工图</w:t>
      </w:r>
    </w:p>
    <w:p w14:paraId="1B4D9A63">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3.建筑给水排水及供暖竣工图</w:t>
      </w:r>
    </w:p>
    <w:p w14:paraId="4665ED81">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4.建筑电气竣工图</w:t>
      </w:r>
    </w:p>
    <w:p w14:paraId="2FFB6C5D">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5.钢结构竣工图</w:t>
      </w:r>
    </w:p>
    <w:p w14:paraId="52FC4D55">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6.幕墙竣工图</w:t>
      </w:r>
    </w:p>
    <w:p w14:paraId="7CF89AB7">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7.智能建筑竣工图</w:t>
      </w:r>
    </w:p>
    <w:p w14:paraId="37454A90">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8.通风与空调竣工图</w:t>
      </w:r>
    </w:p>
    <w:p w14:paraId="148D756F">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9.室外工程竣工图（大门、围墙、小品、连廊、亭台等附属建筑）</w:t>
      </w:r>
    </w:p>
    <w:p w14:paraId="53F65810">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10.规划红线内的室外给水、排水、供热、供电、照明管线等竣工图</w:t>
      </w:r>
    </w:p>
    <w:p w14:paraId="7F43A2EA">
      <w:pPr>
        <w:widowControl/>
        <w:spacing w:line="360" w:lineRule="auto"/>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11.基坑支护工程竣工图</w:t>
      </w:r>
    </w:p>
    <w:p w14:paraId="5D3CEC81">
      <w:pPr>
        <w:widowControl/>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五、工程竣工验收文件</w:t>
      </w:r>
    </w:p>
    <w:p w14:paraId="22F466E4">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1.勘察单位勘察文件及实施情况检查报告</w:t>
      </w:r>
    </w:p>
    <w:p w14:paraId="647E6C11">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2.设计单位设计文件及实施情况检查报告</w:t>
      </w:r>
    </w:p>
    <w:p w14:paraId="11D9AA7F">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3.施工单位工程竣工报告</w:t>
      </w:r>
    </w:p>
    <w:p w14:paraId="66A01EDD">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4.监理单位工程质量评价报告</w:t>
      </w:r>
    </w:p>
    <w:p w14:paraId="2D8026C1">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5.工程竣工验收报告</w:t>
      </w:r>
    </w:p>
    <w:p w14:paraId="4CDF58B2">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6.建设工程质量竣工验收意见</w:t>
      </w:r>
    </w:p>
    <w:p w14:paraId="24716A67">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7.工程竣工验收会议纪要(附签到表)</w:t>
      </w:r>
    </w:p>
    <w:p w14:paraId="7DB7F87D">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8.专家组竣工验收意见（按实际）</w:t>
      </w:r>
    </w:p>
    <w:p w14:paraId="0A9B7819">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9.规划核实证明文件及竣工红线图、不动产实核证明文件（含附表内容楼盘信息表、核实信息表、实核报告等）——按实际，复印件</w:t>
      </w:r>
    </w:p>
    <w:p w14:paraId="5455BBB7">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10.消防、环保（按实际）、人防、防雷（按实际）等部门出具的认可文件或准许使用文件</w:t>
      </w:r>
    </w:p>
    <w:p w14:paraId="446E72F5">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11.特种设备使用登记证（复印件）</w:t>
      </w:r>
    </w:p>
    <w:p w14:paraId="6246DCDD">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12.房屋建筑工程质量保修书</w:t>
      </w:r>
    </w:p>
    <w:p w14:paraId="0E364BE3">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13.住宅质量保证书、住宅使用说明书（按实际）</w:t>
      </w:r>
    </w:p>
    <w:p w14:paraId="78C802F6">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14.建设工程竣工验收备案表或竣工联合验收意见书</w:t>
      </w:r>
    </w:p>
    <w:p w14:paraId="10D19E2D">
      <w:pPr>
        <w:widowControl/>
        <w:spacing w:line="360" w:lineRule="auto"/>
        <w:rPr>
          <w:rFonts w:hint="eastAsia" w:ascii="宋体" w:hAnsi="宋体" w:eastAsia="宋体" w:cs="宋体"/>
          <w:color w:val="auto"/>
          <w:sz w:val="24"/>
          <w:highlight w:val="none"/>
        </w:rPr>
      </w:pPr>
    </w:p>
    <w:p w14:paraId="67056AFC">
      <w:pPr>
        <w:widowControl/>
        <w:spacing w:line="360" w:lineRule="auto"/>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六、工程声像资料</w:t>
      </w:r>
      <w:r>
        <w:rPr>
          <w:rFonts w:hint="eastAsia" w:ascii="宋体" w:hAnsi="宋体" w:eastAsia="宋体" w:cs="宋体"/>
          <w:color w:val="auto"/>
          <w:sz w:val="24"/>
          <w:highlight w:val="none"/>
        </w:rPr>
        <w:t>（声像科：2531409）</w:t>
      </w:r>
    </w:p>
    <w:p w14:paraId="63F250E0">
      <w:pPr>
        <w:widowControl/>
        <w:spacing w:line="360" w:lineRule="auto"/>
        <w:rPr>
          <w:rFonts w:hint="eastAsia" w:ascii="宋体" w:hAnsi="宋体" w:eastAsia="宋体" w:cs="宋体"/>
          <w:color w:val="auto"/>
          <w:sz w:val="24"/>
          <w:highlight w:val="none"/>
        </w:rPr>
      </w:pPr>
    </w:p>
    <w:p w14:paraId="74BC9914">
      <w:pPr>
        <w:widowControl/>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七、工程电子档案（与纸质档案同步）</w:t>
      </w:r>
    </w:p>
    <w:p w14:paraId="6B762D7C">
      <w:pPr>
        <w:widowControl/>
        <w:spacing w:line="360" w:lineRule="auto"/>
        <w:rPr>
          <w:rFonts w:hint="eastAsia" w:ascii="宋体" w:hAnsi="宋体" w:eastAsia="宋体" w:cs="宋体"/>
          <w:color w:val="auto"/>
          <w:sz w:val="24"/>
          <w:highlight w:val="none"/>
        </w:rPr>
      </w:pPr>
    </w:p>
    <w:p w14:paraId="01C25FFE">
      <w:pPr>
        <w:widowControl/>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val="zh-CN"/>
        </w:rPr>
        <w:t>注：1.未注明复印件的一律要求原件；2.移交的复印件均要建设单位盖公章及建设单位经办人签字(提交复印件的要原样复印，不能缩印，复印件不能写“再复印无效”）；3.使用项目章需提供项目章授权文件，使用个人签名章需提供个人声明及单位认可文件。</w:t>
      </w:r>
    </w:p>
    <w:p w14:paraId="7E25A704">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受理部门：南宁市城市建设档案馆业务指导科</w:t>
      </w:r>
    </w:p>
    <w:p w14:paraId="4E13F88C">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联系电话：0771-2531407</w:t>
      </w:r>
    </w:p>
    <w:p w14:paraId="1FA273D9">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联系地址：南宁市桂花路6号（一楼大厅）</w:t>
      </w:r>
    </w:p>
    <w:p w14:paraId="3373E019">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资料下载：</w:t>
      </w:r>
      <w:r>
        <w:rPr>
          <w:rFonts w:hint="eastAsia" w:ascii="宋体" w:hAnsi="宋体" w:eastAsia="宋体" w:cs="宋体"/>
          <w:color w:val="auto"/>
          <w:sz w:val="24"/>
          <w:highlight w:val="none"/>
          <w:u w:val="single"/>
        </w:rPr>
        <w:fldChar w:fldCharType="begin"/>
      </w:r>
      <w:r>
        <w:rPr>
          <w:rFonts w:hint="eastAsia" w:ascii="宋体" w:hAnsi="宋体" w:eastAsia="宋体" w:cs="宋体"/>
          <w:color w:val="auto"/>
          <w:sz w:val="24"/>
          <w:highlight w:val="none"/>
          <w:u w:val="single"/>
        </w:rPr>
        <w:instrText xml:space="preserve"> HYPERLINK "http://www.nncjda.org.cn"</w:instrText>
      </w:r>
      <w:r>
        <w:rPr>
          <w:rFonts w:hint="eastAsia" w:ascii="宋体" w:hAnsi="宋体" w:eastAsia="宋体" w:cs="宋体"/>
          <w:color w:val="auto"/>
          <w:sz w:val="24"/>
          <w:highlight w:val="none"/>
          <w:u w:val="single"/>
        </w:rPr>
        <w:fldChar w:fldCharType="separate"/>
      </w:r>
      <w:r>
        <w:rPr>
          <w:rFonts w:hint="eastAsia" w:ascii="宋体" w:hAnsi="宋体" w:eastAsia="宋体" w:cs="宋体"/>
          <w:color w:val="auto"/>
          <w:sz w:val="24"/>
          <w:highlight w:val="none"/>
          <w:u w:val="single"/>
        </w:rPr>
        <w:t>www.nncjda.org.cn</w:t>
      </w:r>
      <w:r>
        <w:rPr>
          <w:rFonts w:hint="eastAsia" w:ascii="宋体" w:hAnsi="宋体" w:eastAsia="宋体" w:cs="宋体"/>
          <w:color w:val="auto"/>
          <w:sz w:val="24"/>
          <w:highlight w:val="none"/>
          <w:u w:val="single"/>
        </w:rPr>
        <w:fldChar w:fldCharType="end"/>
      </w:r>
      <w:r>
        <w:rPr>
          <w:rFonts w:hint="eastAsia" w:ascii="宋体" w:hAnsi="宋体" w:eastAsia="宋体" w:cs="宋体"/>
          <w:color w:val="auto"/>
          <w:sz w:val="24"/>
          <w:highlight w:val="none"/>
        </w:rPr>
        <w:t>（附件下载）</w:t>
      </w:r>
    </w:p>
    <w:p w14:paraId="297069E6">
      <w:pPr>
        <w:spacing w:line="360" w:lineRule="auto"/>
        <w:jc w:val="left"/>
        <w:rPr>
          <w:rFonts w:hint="eastAsia" w:ascii="宋体" w:hAnsi="宋体" w:eastAsia="宋体" w:cs="宋体"/>
          <w:b/>
          <w:bCs/>
          <w:color w:val="auto"/>
          <w:sz w:val="24"/>
          <w:highlight w:val="none"/>
        </w:rPr>
      </w:pPr>
    </w:p>
    <w:p w14:paraId="68F7BE9E">
      <w:pPr>
        <w:spacing w:line="360" w:lineRule="auto"/>
        <w:jc w:val="left"/>
        <w:rPr>
          <w:rFonts w:hint="eastAsia" w:ascii="宋体" w:hAnsi="宋体" w:eastAsia="宋体" w:cs="宋体"/>
          <w:b/>
          <w:bCs/>
          <w:color w:val="auto"/>
          <w:sz w:val="24"/>
          <w:highlight w:val="none"/>
        </w:rPr>
      </w:pPr>
    </w:p>
    <w:p w14:paraId="5B07C487">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color w:val="auto"/>
          <w:sz w:val="30"/>
          <w:szCs w:val="30"/>
          <w:highlight w:val="none"/>
        </w:rPr>
        <w:t>附件21：承包人需移交发包人综合档案室的竣工资料明细清单（工程电子档案与纸质档案同步）</w:t>
      </w:r>
    </w:p>
    <w:p w14:paraId="042BE5AC">
      <w:pPr>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drawing>
          <wp:inline distT="0" distB="0" distL="114300" distR="114300">
            <wp:extent cx="5269865" cy="2580640"/>
            <wp:effectExtent l="0" t="0" r="6985" b="10160"/>
            <wp:docPr id="6" name="图片 1" descr="承包人移交竣工资料的明细要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承包人移交竣工资料的明细要求"/>
                    <pic:cNvPicPr>
                      <a:picLocks noChangeAspect="1"/>
                    </pic:cNvPicPr>
                  </pic:nvPicPr>
                  <pic:blipFill>
                    <a:blip r:embed="rId10"/>
                    <a:stretch>
                      <a:fillRect/>
                    </a:stretch>
                  </pic:blipFill>
                  <pic:spPr>
                    <a:xfrm>
                      <a:off x="0" y="0"/>
                      <a:ext cx="5269865" cy="2580640"/>
                    </a:xfrm>
                    <a:prstGeom prst="rect">
                      <a:avLst/>
                    </a:prstGeom>
                    <a:noFill/>
                    <a:ln>
                      <a:noFill/>
                    </a:ln>
                  </pic:spPr>
                </pic:pic>
              </a:graphicData>
            </a:graphic>
          </wp:inline>
        </w:drawing>
      </w:r>
    </w:p>
    <w:p w14:paraId="4EB78445">
      <w:pPr>
        <w:spacing w:line="360" w:lineRule="auto"/>
        <w:jc w:val="left"/>
        <w:rPr>
          <w:rFonts w:hint="eastAsia" w:ascii="宋体" w:hAnsi="宋体" w:eastAsia="宋体" w:cs="宋体"/>
          <w:color w:val="auto"/>
          <w:kern w:val="0"/>
          <w:sz w:val="24"/>
          <w:highlight w:val="none"/>
        </w:rPr>
      </w:pPr>
    </w:p>
    <w:p w14:paraId="6E9E2CD2">
      <w:pPr>
        <w:spacing w:line="360" w:lineRule="auto"/>
        <w:jc w:val="left"/>
        <w:rPr>
          <w:rFonts w:hint="eastAsia" w:ascii="宋体" w:hAnsi="宋体" w:eastAsia="宋体" w:cs="宋体"/>
          <w:color w:val="auto"/>
          <w:kern w:val="0"/>
          <w:sz w:val="24"/>
          <w:highlight w:val="none"/>
        </w:rPr>
      </w:pPr>
    </w:p>
    <w:p w14:paraId="251AA830">
      <w:pPr>
        <w:spacing w:line="360" w:lineRule="auto"/>
        <w:jc w:val="left"/>
        <w:rPr>
          <w:rFonts w:hint="eastAsia" w:ascii="宋体" w:hAnsi="宋体" w:eastAsia="宋体" w:cs="宋体"/>
          <w:color w:val="auto"/>
          <w:kern w:val="0"/>
          <w:sz w:val="24"/>
          <w:highlight w:val="none"/>
        </w:rPr>
      </w:pPr>
    </w:p>
    <w:p w14:paraId="67E6043F">
      <w:pPr>
        <w:spacing w:line="360" w:lineRule="auto"/>
        <w:jc w:val="left"/>
        <w:rPr>
          <w:rFonts w:hint="eastAsia" w:ascii="宋体" w:hAnsi="宋体" w:eastAsia="宋体" w:cs="宋体"/>
          <w:color w:val="auto"/>
          <w:kern w:val="0"/>
          <w:sz w:val="24"/>
          <w:highlight w:val="none"/>
        </w:rPr>
      </w:pPr>
    </w:p>
    <w:p w14:paraId="1BA0BE81">
      <w:pPr>
        <w:spacing w:line="360" w:lineRule="auto"/>
        <w:jc w:val="left"/>
        <w:rPr>
          <w:rFonts w:hint="eastAsia" w:ascii="宋体" w:hAnsi="宋体" w:eastAsia="宋体" w:cs="宋体"/>
          <w:color w:val="auto"/>
          <w:kern w:val="0"/>
          <w:sz w:val="24"/>
          <w:highlight w:val="none"/>
        </w:rPr>
      </w:pPr>
    </w:p>
    <w:p w14:paraId="6EF93D72">
      <w:pPr>
        <w:spacing w:line="360" w:lineRule="auto"/>
        <w:jc w:val="left"/>
        <w:rPr>
          <w:rFonts w:hint="eastAsia" w:ascii="宋体" w:hAnsi="宋体" w:eastAsia="宋体" w:cs="宋体"/>
          <w:color w:val="auto"/>
          <w:kern w:val="0"/>
          <w:sz w:val="24"/>
          <w:highlight w:val="none"/>
        </w:rPr>
      </w:pPr>
    </w:p>
    <w:p w14:paraId="6B0E21C8">
      <w:pPr>
        <w:spacing w:line="360" w:lineRule="auto"/>
        <w:jc w:val="left"/>
        <w:rPr>
          <w:rFonts w:hint="eastAsia" w:ascii="宋体" w:hAnsi="宋体" w:eastAsia="宋体" w:cs="宋体"/>
          <w:color w:val="auto"/>
          <w:kern w:val="0"/>
          <w:sz w:val="24"/>
          <w:highlight w:val="none"/>
        </w:rPr>
      </w:pPr>
    </w:p>
    <w:p w14:paraId="2600252E">
      <w:pPr>
        <w:spacing w:line="360" w:lineRule="auto"/>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附件22：中标工程量清单（纸质版需承包人盖章确认）</w:t>
      </w:r>
    </w:p>
    <w:p w14:paraId="5DE6C5FA">
      <w:pPr>
        <w:pStyle w:val="2"/>
        <w:spacing w:line="360" w:lineRule="auto"/>
        <w:jc w:val="center"/>
        <w:rPr>
          <w:rFonts w:hint="eastAsia" w:ascii="宋体" w:hAnsi="宋体" w:eastAsia="宋体" w:cs="宋体"/>
          <w:color w:val="auto"/>
          <w:highlight w:val="none"/>
        </w:rPr>
        <w:sectPr>
          <w:pgSz w:w="11906" w:h="16838"/>
          <w:pgMar w:top="1440" w:right="1080" w:bottom="1440" w:left="1080" w:header="851" w:footer="992" w:gutter="0"/>
          <w:cols w:space="425" w:num="1"/>
          <w:docGrid w:type="lines" w:linePitch="312" w:charSpace="0"/>
        </w:sectPr>
      </w:pPr>
    </w:p>
    <w:p w14:paraId="0C2BDA22">
      <w:pPr>
        <w:pStyle w:val="2"/>
        <w:jc w:val="center"/>
        <w:rPr>
          <w:color w:val="auto"/>
          <w:highlight w:val="none"/>
        </w:rPr>
      </w:pPr>
      <w:r>
        <w:rPr>
          <w:rFonts w:hint="eastAsia"/>
          <w:color w:val="auto"/>
          <w:highlight w:val="none"/>
        </w:rPr>
        <w:t>第七章  质疑、投诉材料格式</w:t>
      </w:r>
      <w:bookmarkEnd w:id="1289"/>
    </w:p>
    <w:p w14:paraId="27A6E819">
      <w:pPr>
        <w:spacing w:line="360" w:lineRule="auto"/>
        <w:jc w:val="center"/>
        <w:rPr>
          <w:rFonts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7A1C2F72">
      <w:pPr>
        <w:pStyle w:val="21"/>
        <w:snapToGrid w:val="0"/>
        <w:spacing w:line="360" w:lineRule="auto"/>
        <w:ind w:firstLine="482" w:firstLineChars="200"/>
        <w:rPr>
          <w:rFonts w:hAnsi="宋体"/>
          <w:b/>
          <w:bCs/>
          <w:color w:val="auto"/>
          <w:highlight w:val="none"/>
        </w:rPr>
      </w:pPr>
      <w:r>
        <w:rPr>
          <w:rFonts w:hint="eastAsia" w:hAnsi="宋体"/>
          <w:b/>
          <w:bCs/>
          <w:color w:val="auto"/>
          <w:highlight w:val="none"/>
        </w:rPr>
        <w:t>一、质疑供应商基本信息：</w:t>
      </w:r>
    </w:p>
    <w:p w14:paraId="7EB5B179">
      <w:pPr>
        <w:pStyle w:val="21"/>
        <w:snapToGrid w:val="0"/>
        <w:spacing w:line="360" w:lineRule="auto"/>
        <w:ind w:firstLine="480" w:firstLineChars="200"/>
        <w:rPr>
          <w:rFonts w:hAnsi="宋体"/>
          <w:bCs/>
          <w:color w:val="auto"/>
          <w:highlight w:val="none"/>
          <w:u w:val="single"/>
        </w:rPr>
      </w:pPr>
      <w:r>
        <w:rPr>
          <w:rFonts w:hint="eastAsia" w:hAnsi="宋体"/>
          <w:bCs/>
          <w:color w:val="auto"/>
          <w:highlight w:val="none"/>
        </w:rPr>
        <w:t>质疑供应商：</w:t>
      </w:r>
      <w:r>
        <w:rPr>
          <w:rFonts w:hint="eastAsia" w:hAnsi="宋体"/>
          <w:bCs/>
          <w:color w:val="auto"/>
          <w:highlight w:val="none"/>
          <w:u w:val="single"/>
        </w:rPr>
        <w:t xml:space="preserve">                                       </w:t>
      </w:r>
      <w:r>
        <w:rPr>
          <w:rFonts w:hint="eastAsia" w:hAnsi="宋体"/>
          <w:bCs/>
          <w:color w:val="auto"/>
          <w:highlight w:val="none"/>
        </w:rPr>
        <w:t xml:space="preserve">                 </w:t>
      </w:r>
    </w:p>
    <w:p w14:paraId="6A699A87">
      <w:pPr>
        <w:pStyle w:val="21"/>
        <w:snapToGrid w:val="0"/>
        <w:spacing w:line="360" w:lineRule="auto"/>
        <w:ind w:firstLine="480" w:firstLineChars="200"/>
        <w:rPr>
          <w:rFonts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r>
        <w:rPr>
          <w:rFonts w:hint="eastAsia" w:hAnsi="宋体"/>
          <w:bCs/>
          <w:color w:val="auto"/>
          <w:highlight w:val="none"/>
        </w:rPr>
        <w:t xml:space="preserve">                 </w:t>
      </w:r>
    </w:p>
    <w:p w14:paraId="678DB3C4">
      <w:pPr>
        <w:pStyle w:val="21"/>
        <w:snapToGrid w:val="0"/>
        <w:spacing w:line="360" w:lineRule="auto"/>
        <w:ind w:firstLine="480" w:firstLineChars="200"/>
        <w:rPr>
          <w:rFonts w:hAnsi="宋体"/>
          <w:bCs/>
          <w:color w:val="auto"/>
          <w:highlight w:val="none"/>
        </w:rPr>
      </w:pPr>
      <w:r>
        <w:rPr>
          <w:rFonts w:hAnsi="宋体"/>
          <w:bCs/>
          <w:color w:val="auto"/>
          <w:highlight w:val="none"/>
        </w:rPr>
        <w:t>联系人</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632956B3">
      <w:pPr>
        <w:pStyle w:val="21"/>
        <w:snapToGrid w:val="0"/>
        <w:spacing w:line="360" w:lineRule="auto"/>
        <w:ind w:firstLine="480" w:firstLineChars="200"/>
        <w:rPr>
          <w:rFonts w:hAnsi="宋体"/>
          <w:bCs/>
          <w:color w:val="auto"/>
          <w:highlight w:val="none"/>
        </w:rPr>
      </w:pPr>
      <w:r>
        <w:rPr>
          <w:rFonts w:hint="eastAsia" w:hAnsi="宋体"/>
          <w:bCs/>
          <w:color w:val="auto"/>
          <w:highlight w:val="none"/>
        </w:rPr>
        <w:t>授权代表：</w:t>
      </w:r>
      <w:r>
        <w:rPr>
          <w:rFonts w:hint="eastAsia" w:hAnsi="宋体"/>
          <w:bCs/>
          <w:color w:val="auto"/>
          <w:highlight w:val="none"/>
          <w:u w:val="single"/>
        </w:rPr>
        <w:t xml:space="preserve">                      </w:t>
      </w:r>
    </w:p>
    <w:p w14:paraId="535FC441">
      <w:pPr>
        <w:pStyle w:val="21"/>
        <w:snapToGrid w:val="0"/>
        <w:spacing w:line="360" w:lineRule="auto"/>
        <w:ind w:firstLine="480" w:firstLineChars="200"/>
        <w:rPr>
          <w:rFonts w:hAnsi="宋体"/>
          <w:bCs/>
          <w:color w:val="auto"/>
          <w:highlight w:val="none"/>
          <w:u w:val="single"/>
        </w:rPr>
      </w:pP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6B5B3793">
      <w:pPr>
        <w:pStyle w:val="21"/>
        <w:snapToGrid w:val="0"/>
        <w:spacing w:line="360" w:lineRule="auto"/>
        <w:ind w:firstLine="480" w:firstLineChars="200"/>
        <w:rPr>
          <w:rFonts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r>
        <w:rPr>
          <w:rFonts w:hint="eastAsia" w:hAnsi="宋体"/>
          <w:bCs/>
          <w:color w:val="auto"/>
          <w:highlight w:val="none"/>
        </w:rPr>
        <w:t xml:space="preserve">     </w:t>
      </w:r>
    </w:p>
    <w:p w14:paraId="1727D5AF">
      <w:pPr>
        <w:pStyle w:val="21"/>
        <w:snapToGrid w:val="0"/>
        <w:spacing w:line="360" w:lineRule="auto"/>
        <w:ind w:firstLine="482" w:firstLineChars="200"/>
        <w:rPr>
          <w:rFonts w:hAnsi="宋体"/>
          <w:b/>
          <w:bCs/>
          <w:color w:val="auto"/>
          <w:highlight w:val="none"/>
        </w:rPr>
      </w:pPr>
      <w:r>
        <w:rPr>
          <w:rFonts w:hint="eastAsia" w:hAnsi="宋体"/>
          <w:b/>
          <w:bCs/>
          <w:color w:val="auto"/>
          <w:highlight w:val="none"/>
        </w:rPr>
        <w:t>二、质疑项目基本情况：</w:t>
      </w:r>
    </w:p>
    <w:p w14:paraId="78909A71">
      <w:pPr>
        <w:pStyle w:val="21"/>
        <w:spacing w:line="360" w:lineRule="auto"/>
        <w:ind w:left="25" w:leftChars="12" w:firstLine="472" w:firstLineChars="197"/>
        <w:rPr>
          <w:rFonts w:hAnsi="宋体"/>
          <w:color w:val="auto"/>
          <w:highlight w:val="none"/>
        </w:rPr>
      </w:pPr>
      <w:r>
        <w:rPr>
          <w:rFonts w:hint="eastAsia" w:hAnsi="宋体"/>
          <w:bCs/>
          <w:color w:val="auto"/>
          <w:highlight w:val="none"/>
        </w:rPr>
        <w:t>质疑</w:t>
      </w:r>
      <w:r>
        <w:rPr>
          <w:rFonts w:hint="eastAsia" w:hAnsi="宋体"/>
          <w:color w:val="auto"/>
          <w:highlight w:val="none"/>
        </w:rPr>
        <w:t>项目的名称：</w:t>
      </w:r>
      <w:r>
        <w:rPr>
          <w:rFonts w:hint="eastAsia" w:hAnsi="宋体"/>
          <w:bCs/>
          <w:color w:val="auto"/>
          <w:highlight w:val="none"/>
          <w:u w:val="single"/>
        </w:rPr>
        <w:t xml:space="preserve">                                     </w:t>
      </w:r>
    </w:p>
    <w:p w14:paraId="1FFE5FD5">
      <w:pPr>
        <w:pStyle w:val="21"/>
        <w:spacing w:line="360" w:lineRule="auto"/>
        <w:ind w:left="25" w:leftChars="12" w:firstLine="472" w:firstLineChars="197"/>
        <w:rPr>
          <w:rFonts w:hAnsi="宋体"/>
          <w:color w:val="auto"/>
          <w:highlight w:val="none"/>
        </w:rPr>
      </w:pPr>
      <w:r>
        <w:rPr>
          <w:rFonts w:hint="eastAsia" w:hAnsi="宋体"/>
          <w:bCs/>
          <w:color w:val="auto"/>
          <w:highlight w:val="none"/>
        </w:rPr>
        <w:t>质疑</w:t>
      </w:r>
      <w:r>
        <w:rPr>
          <w:rFonts w:hint="eastAsia" w:hAnsi="宋体"/>
          <w:color w:val="auto"/>
          <w:highlight w:val="none"/>
        </w:rPr>
        <w:t>项目的编号：</w:t>
      </w:r>
      <w:r>
        <w:rPr>
          <w:rFonts w:hint="eastAsia" w:hAnsi="宋体"/>
          <w:bCs/>
          <w:color w:val="auto"/>
          <w:highlight w:val="none"/>
          <w:u w:val="single"/>
        </w:rPr>
        <w:t xml:space="preserve">                                     </w:t>
      </w:r>
    </w:p>
    <w:p w14:paraId="3EE981FB">
      <w:pPr>
        <w:pStyle w:val="21"/>
        <w:spacing w:line="360" w:lineRule="auto"/>
        <w:ind w:left="25" w:leftChars="12" w:firstLine="472" w:firstLineChars="197"/>
        <w:rPr>
          <w:rFonts w:hAnsi="宋体"/>
          <w:color w:val="auto"/>
          <w:highlight w:val="none"/>
        </w:rPr>
      </w:pPr>
      <w:r>
        <w:rPr>
          <w:rFonts w:hint="eastAsia" w:hAnsi="宋体"/>
          <w:color w:val="auto"/>
          <w:highlight w:val="none"/>
        </w:rPr>
        <w:t>采购人名称：</w:t>
      </w:r>
      <w:r>
        <w:rPr>
          <w:rFonts w:hint="eastAsia" w:hAnsi="宋体"/>
          <w:bCs/>
          <w:color w:val="auto"/>
          <w:highlight w:val="none"/>
          <w:u w:val="single"/>
        </w:rPr>
        <w:t xml:space="preserve">                                         </w:t>
      </w:r>
    </w:p>
    <w:p w14:paraId="526CB079">
      <w:pPr>
        <w:pStyle w:val="21"/>
        <w:spacing w:line="360" w:lineRule="auto"/>
        <w:ind w:left="25" w:leftChars="12" w:firstLine="472" w:firstLineChars="197"/>
        <w:rPr>
          <w:rFonts w:hAnsi="宋体"/>
          <w:color w:val="auto"/>
          <w:highlight w:val="none"/>
        </w:rPr>
      </w:pPr>
      <w:r>
        <w:rPr>
          <w:rFonts w:hint="eastAsia" w:hAnsi="宋体"/>
          <w:color w:val="auto"/>
          <w:highlight w:val="none"/>
        </w:rPr>
        <w:t>质疑事项：</w:t>
      </w:r>
    </w:p>
    <w:p w14:paraId="3873ECD5">
      <w:pPr>
        <w:pStyle w:val="21"/>
        <w:spacing w:line="360" w:lineRule="auto"/>
        <w:ind w:left="25" w:leftChars="12" w:firstLine="352" w:firstLineChars="147"/>
        <w:rPr>
          <w:rFonts w:hAnsi="宋体"/>
          <w:color w:val="auto"/>
          <w:highlight w:val="none"/>
        </w:rPr>
      </w:pPr>
      <w:r>
        <w:rPr>
          <w:rFonts w:hint="eastAsia" w:hAnsi="宋体"/>
          <w:color w:val="auto"/>
          <w:highlight w:val="none"/>
        </w:rPr>
        <w:t>□采购文件   采购文件获取日期：</w:t>
      </w:r>
      <w:r>
        <w:rPr>
          <w:rFonts w:hint="eastAsia" w:hAnsi="宋体"/>
          <w:bCs/>
          <w:color w:val="auto"/>
          <w:highlight w:val="none"/>
          <w:u w:val="single"/>
        </w:rPr>
        <w:t xml:space="preserve">                                   </w:t>
      </w:r>
    </w:p>
    <w:p w14:paraId="019A5B72">
      <w:pPr>
        <w:pStyle w:val="21"/>
        <w:spacing w:line="360" w:lineRule="auto"/>
        <w:ind w:left="25" w:leftChars="12" w:firstLine="352" w:firstLineChars="147"/>
        <w:rPr>
          <w:rFonts w:hAnsi="宋体"/>
          <w:color w:val="auto"/>
          <w:highlight w:val="none"/>
        </w:rPr>
      </w:pPr>
      <w:r>
        <w:rPr>
          <w:rFonts w:hint="eastAsia" w:hAnsi="宋体"/>
          <w:color w:val="auto"/>
          <w:highlight w:val="none"/>
        </w:rPr>
        <w:t xml:space="preserve">□采购过程   </w:t>
      </w:r>
    </w:p>
    <w:p w14:paraId="0BAF88A2">
      <w:pPr>
        <w:pStyle w:val="21"/>
        <w:spacing w:line="360" w:lineRule="auto"/>
        <w:ind w:left="25" w:leftChars="12" w:firstLine="352" w:firstLineChars="147"/>
        <w:rPr>
          <w:rFonts w:hAnsi="宋体"/>
          <w:bCs/>
          <w:color w:val="auto"/>
          <w:highlight w:val="none"/>
          <w:u w:val="single"/>
        </w:rPr>
      </w:pPr>
      <w:r>
        <w:rPr>
          <w:rFonts w:hint="eastAsia" w:hAnsi="宋体"/>
          <w:color w:val="auto"/>
          <w:highlight w:val="none"/>
        </w:rPr>
        <w:t xml:space="preserve">□成交结果   </w:t>
      </w:r>
    </w:p>
    <w:p w14:paraId="548E1A78">
      <w:pPr>
        <w:pStyle w:val="21"/>
        <w:spacing w:line="360" w:lineRule="auto"/>
        <w:ind w:left="25" w:leftChars="12" w:firstLine="472" w:firstLineChars="196"/>
        <w:rPr>
          <w:rFonts w:hAnsi="宋体"/>
          <w:b/>
          <w:color w:val="auto"/>
          <w:highlight w:val="none"/>
        </w:rPr>
      </w:pPr>
      <w:r>
        <w:rPr>
          <w:rFonts w:hint="eastAsia" w:hAnsi="宋体"/>
          <w:b/>
          <w:color w:val="auto"/>
          <w:highlight w:val="none"/>
        </w:rPr>
        <w:t>三、质疑事项具体内容</w:t>
      </w:r>
    </w:p>
    <w:p w14:paraId="5468EE38">
      <w:pPr>
        <w:pStyle w:val="21"/>
        <w:spacing w:line="360" w:lineRule="auto"/>
        <w:ind w:left="25" w:leftChars="12" w:firstLine="472" w:firstLineChars="197"/>
        <w:rPr>
          <w:rFonts w:hAnsi="宋体"/>
          <w:color w:val="auto"/>
          <w:highlight w:val="none"/>
        </w:rPr>
      </w:pPr>
      <w:r>
        <w:rPr>
          <w:rFonts w:hint="eastAsia" w:hAnsi="宋体"/>
          <w:color w:val="auto"/>
          <w:highlight w:val="none"/>
        </w:rPr>
        <w:t>质疑事项1：</w:t>
      </w:r>
      <w:r>
        <w:rPr>
          <w:rFonts w:hint="eastAsia" w:hAnsi="宋体"/>
          <w:bCs/>
          <w:color w:val="auto"/>
          <w:highlight w:val="none"/>
          <w:u w:val="single"/>
        </w:rPr>
        <w:t xml:space="preserve">                                                                    </w:t>
      </w:r>
    </w:p>
    <w:p w14:paraId="37D6F682">
      <w:pPr>
        <w:pStyle w:val="21"/>
        <w:spacing w:line="360" w:lineRule="auto"/>
        <w:ind w:left="25" w:leftChars="12" w:firstLine="472" w:firstLineChars="197"/>
        <w:rPr>
          <w:rFonts w:hAnsi="宋体"/>
          <w:color w:val="auto"/>
          <w:highlight w:val="none"/>
        </w:rPr>
      </w:pPr>
      <w:r>
        <w:rPr>
          <w:rFonts w:hint="eastAsia" w:hAnsi="宋体"/>
          <w:color w:val="auto"/>
          <w:highlight w:val="none"/>
        </w:rPr>
        <w:t>事实依据：</w:t>
      </w:r>
      <w:r>
        <w:rPr>
          <w:rFonts w:hint="eastAsia" w:hAnsi="宋体"/>
          <w:bCs/>
          <w:color w:val="auto"/>
          <w:highlight w:val="none"/>
          <w:u w:val="single"/>
        </w:rPr>
        <w:t xml:space="preserve">                                                                      </w:t>
      </w:r>
    </w:p>
    <w:p w14:paraId="429CEB80">
      <w:pPr>
        <w:pStyle w:val="21"/>
        <w:spacing w:line="360" w:lineRule="auto"/>
        <w:ind w:left="25" w:leftChars="12" w:firstLine="472" w:firstLineChars="197"/>
        <w:rPr>
          <w:rFonts w:hAnsi="宋体"/>
          <w:color w:val="auto"/>
          <w:highlight w:val="none"/>
        </w:rPr>
      </w:pPr>
      <w:r>
        <w:rPr>
          <w:rFonts w:hint="eastAsia" w:hAnsi="宋体"/>
          <w:color w:val="auto"/>
          <w:highlight w:val="none"/>
        </w:rPr>
        <w:t>法律依据：</w:t>
      </w:r>
      <w:r>
        <w:rPr>
          <w:rFonts w:hint="eastAsia" w:hAnsi="宋体"/>
          <w:color w:val="auto"/>
          <w:highlight w:val="none"/>
          <w:u w:val="single"/>
        </w:rPr>
        <w:t xml:space="preserve">                                                        </w:t>
      </w:r>
      <w:r>
        <w:rPr>
          <w:rFonts w:hint="eastAsia" w:hAnsi="宋体"/>
          <w:bCs/>
          <w:color w:val="auto"/>
          <w:highlight w:val="none"/>
          <w:u w:val="single"/>
        </w:rPr>
        <w:t xml:space="preserve">               </w:t>
      </w:r>
    </w:p>
    <w:p w14:paraId="1B19FDC4">
      <w:pPr>
        <w:pStyle w:val="21"/>
        <w:spacing w:line="360" w:lineRule="auto"/>
        <w:ind w:left="25" w:leftChars="12" w:firstLine="472" w:firstLineChars="197"/>
        <w:rPr>
          <w:rFonts w:hAnsi="宋体"/>
          <w:color w:val="auto"/>
          <w:highlight w:val="none"/>
        </w:rPr>
      </w:pPr>
      <w:r>
        <w:rPr>
          <w:rFonts w:hint="eastAsia" w:hAnsi="宋体"/>
          <w:color w:val="auto"/>
          <w:highlight w:val="none"/>
        </w:rPr>
        <w:t>质疑事项2</w:t>
      </w:r>
    </w:p>
    <w:p w14:paraId="65E77AD7">
      <w:pPr>
        <w:pStyle w:val="21"/>
        <w:spacing w:line="360" w:lineRule="auto"/>
        <w:ind w:left="25" w:leftChars="12" w:firstLine="472" w:firstLineChars="197"/>
        <w:rPr>
          <w:rFonts w:hAnsi="宋体"/>
          <w:color w:val="auto"/>
          <w:highlight w:val="none"/>
        </w:rPr>
      </w:pPr>
      <w:r>
        <w:rPr>
          <w:rFonts w:hAnsi="宋体"/>
          <w:color w:val="auto"/>
          <w:highlight w:val="none"/>
        </w:rPr>
        <w:t>……</w:t>
      </w:r>
    </w:p>
    <w:p w14:paraId="2DFE9F21">
      <w:pPr>
        <w:pStyle w:val="21"/>
        <w:spacing w:line="360" w:lineRule="auto"/>
        <w:ind w:left="25" w:leftChars="12" w:firstLine="472" w:firstLineChars="197"/>
        <w:rPr>
          <w:rFonts w:hAnsi="宋体"/>
          <w:color w:val="auto"/>
          <w:highlight w:val="none"/>
        </w:rPr>
      </w:pPr>
      <w:r>
        <w:rPr>
          <w:rFonts w:hint="eastAsia" w:hAnsi="宋体"/>
          <w:color w:val="auto"/>
          <w:highlight w:val="none"/>
        </w:rPr>
        <w:t>四、与质疑事项相关的质疑请求：</w:t>
      </w:r>
    </w:p>
    <w:p w14:paraId="4513A868">
      <w:pPr>
        <w:pStyle w:val="21"/>
        <w:spacing w:line="360" w:lineRule="auto"/>
        <w:ind w:left="25" w:leftChars="12" w:firstLine="472" w:firstLineChars="197"/>
        <w:rPr>
          <w:rFonts w:hAnsi="宋体"/>
          <w:color w:val="auto"/>
          <w:highlight w:val="none"/>
        </w:rPr>
      </w:pPr>
      <w:r>
        <w:rPr>
          <w:rFonts w:hint="eastAsia" w:hAnsi="宋体"/>
          <w:color w:val="auto"/>
          <w:highlight w:val="none"/>
        </w:rPr>
        <w:t>请求：</w:t>
      </w:r>
      <w:r>
        <w:rPr>
          <w:rFonts w:hint="eastAsia" w:hAnsi="宋体"/>
          <w:bCs/>
          <w:color w:val="auto"/>
          <w:highlight w:val="none"/>
          <w:u w:val="single"/>
        </w:rPr>
        <w:t xml:space="preserve">                                                                </w:t>
      </w:r>
    </w:p>
    <w:p w14:paraId="2E8E80E9">
      <w:pPr>
        <w:pStyle w:val="21"/>
        <w:spacing w:line="360" w:lineRule="auto"/>
        <w:ind w:left="25" w:leftChars="12" w:firstLine="352" w:firstLineChars="147"/>
        <w:rPr>
          <w:rFonts w:hAnsi="宋体"/>
          <w:color w:val="auto"/>
          <w:highlight w:val="none"/>
        </w:rPr>
      </w:pPr>
    </w:p>
    <w:p w14:paraId="6CD2FB5C">
      <w:pPr>
        <w:pStyle w:val="21"/>
        <w:spacing w:line="360" w:lineRule="auto"/>
        <w:ind w:left="25" w:leftChars="12" w:firstLine="472" w:firstLineChars="197"/>
        <w:rPr>
          <w:rFonts w:hAnsi="宋体"/>
          <w:color w:val="auto"/>
          <w:highlight w:val="none"/>
        </w:rPr>
      </w:pPr>
      <w:r>
        <w:rPr>
          <w:rFonts w:hint="eastAsia" w:hAnsi="宋体"/>
          <w:color w:val="auto"/>
          <w:highlight w:val="none"/>
        </w:rPr>
        <w:t>签字（签章）：                                       公章：</w:t>
      </w:r>
    </w:p>
    <w:p w14:paraId="2E8FB6B4">
      <w:pPr>
        <w:pStyle w:val="21"/>
        <w:spacing w:line="360" w:lineRule="auto"/>
        <w:ind w:left="25" w:leftChars="12" w:firstLine="352" w:firstLineChars="147"/>
        <w:rPr>
          <w:rFonts w:hAnsi="宋体"/>
          <w:color w:val="auto"/>
          <w:highlight w:val="none"/>
        </w:rPr>
      </w:pPr>
    </w:p>
    <w:p w14:paraId="6A7927BE">
      <w:pPr>
        <w:pStyle w:val="21"/>
        <w:spacing w:line="360" w:lineRule="auto"/>
        <w:ind w:left="25" w:leftChars="12" w:firstLine="472" w:firstLineChars="197"/>
        <w:rPr>
          <w:rFonts w:hAnsi="宋体"/>
          <w:color w:val="auto"/>
          <w:highlight w:val="none"/>
        </w:rPr>
      </w:pPr>
      <w:r>
        <w:rPr>
          <w:rFonts w:hint="eastAsia" w:hAnsi="宋体"/>
          <w:color w:val="auto"/>
          <w:highlight w:val="none"/>
        </w:rPr>
        <w:t>日期：</w:t>
      </w:r>
    </w:p>
    <w:p w14:paraId="5EC1089D">
      <w:pPr>
        <w:pStyle w:val="21"/>
        <w:snapToGrid w:val="0"/>
        <w:spacing w:line="360" w:lineRule="auto"/>
        <w:rPr>
          <w:rFonts w:hAnsi="宋体"/>
          <w:b/>
          <w:color w:val="auto"/>
          <w:highlight w:val="none"/>
        </w:rPr>
      </w:pPr>
    </w:p>
    <w:p w14:paraId="05C37D64">
      <w:pPr>
        <w:pStyle w:val="21"/>
        <w:snapToGrid w:val="0"/>
        <w:spacing w:line="360" w:lineRule="auto"/>
        <w:rPr>
          <w:rFonts w:hAnsi="宋体"/>
          <w:b/>
          <w:color w:val="auto"/>
          <w:highlight w:val="none"/>
        </w:rPr>
      </w:pPr>
    </w:p>
    <w:p w14:paraId="7ACEAA2E">
      <w:pPr>
        <w:pStyle w:val="21"/>
        <w:snapToGrid w:val="0"/>
        <w:spacing w:line="360" w:lineRule="auto"/>
        <w:rPr>
          <w:rFonts w:hAnsi="宋体"/>
          <w:b/>
          <w:color w:val="auto"/>
          <w:highlight w:val="none"/>
        </w:rPr>
      </w:pPr>
      <w:r>
        <w:rPr>
          <w:rFonts w:hint="eastAsia" w:hAnsi="宋体"/>
          <w:b/>
          <w:color w:val="auto"/>
          <w:highlight w:val="none"/>
        </w:rPr>
        <w:t>说明：</w:t>
      </w:r>
    </w:p>
    <w:p w14:paraId="5ED03DA4">
      <w:pPr>
        <w:pStyle w:val="21"/>
        <w:spacing w:line="360" w:lineRule="auto"/>
        <w:ind w:left="25" w:leftChars="12" w:firstLine="354" w:firstLineChars="147"/>
        <w:rPr>
          <w:rFonts w:hAnsi="宋体"/>
          <w:b/>
          <w:bCs/>
          <w:color w:val="auto"/>
          <w:highlight w:val="none"/>
        </w:rPr>
      </w:pPr>
      <w:r>
        <w:rPr>
          <w:rFonts w:hint="eastAsia" w:hAnsi="宋体"/>
          <w:b/>
          <w:color w:val="auto"/>
          <w:highlight w:val="none"/>
        </w:rPr>
        <w:t>1.供应商提出质疑时，应提交质疑函和必要的证明材料</w:t>
      </w:r>
      <w:r>
        <w:rPr>
          <w:rFonts w:hint="eastAsia" w:hAnsi="宋体"/>
          <w:b/>
          <w:bCs/>
          <w:color w:val="auto"/>
          <w:highlight w:val="none"/>
        </w:rPr>
        <w:t>。</w:t>
      </w:r>
    </w:p>
    <w:p w14:paraId="4BD6C409">
      <w:pPr>
        <w:pStyle w:val="21"/>
        <w:spacing w:line="360" w:lineRule="auto"/>
        <w:ind w:left="25" w:leftChars="12" w:firstLine="354" w:firstLineChars="147"/>
        <w:rPr>
          <w:rFonts w:hAnsi="宋体"/>
          <w:b/>
          <w:color w:val="auto"/>
          <w:highlight w:val="none"/>
        </w:rPr>
      </w:pPr>
      <w:r>
        <w:rPr>
          <w:rFonts w:hint="eastAsia" w:hAnsi="宋体"/>
          <w:b/>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ADBF976">
      <w:pPr>
        <w:pStyle w:val="21"/>
        <w:spacing w:line="360" w:lineRule="auto"/>
        <w:ind w:left="25" w:leftChars="12" w:firstLine="354" w:firstLineChars="147"/>
        <w:rPr>
          <w:rFonts w:hAnsi="宋体"/>
          <w:b/>
          <w:color w:val="auto"/>
          <w:highlight w:val="none"/>
        </w:rPr>
      </w:pPr>
      <w:r>
        <w:rPr>
          <w:rFonts w:hint="eastAsia" w:hAnsi="宋体"/>
          <w:b/>
          <w:color w:val="auto"/>
          <w:highlight w:val="none"/>
        </w:rPr>
        <w:t>3.质疑函的质疑事项应具体、明确，并有必要的事实依据和法律依据。</w:t>
      </w:r>
    </w:p>
    <w:p w14:paraId="15C18D99">
      <w:pPr>
        <w:pStyle w:val="21"/>
        <w:spacing w:line="360" w:lineRule="auto"/>
        <w:ind w:left="25" w:leftChars="12" w:firstLine="354" w:firstLineChars="147"/>
        <w:rPr>
          <w:rFonts w:hAnsi="宋体"/>
          <w:b/>
          <w:color w:val="auto"/>
          <w:highlight w:val="none"/>
        </w:rPr>
      </w:pPr>
      <w:r>
        <w:rPr>
          <w:rFonts w:hint="eastAsia" w:hAnsi="宋体"/>
          <w:b/>
          <w:color w:val="auto"/>
          <w:highlight w:val="none"/>
        </w:rPr>
        <w:t>4.质疑函的质疑请求应与质疑事项相关。</w:t>
      </w:r>
    </w:p>
    <w:p w14:paraId="7CBB64C8">
      <w:pPr>
        <w:pStyle w:val="21"/>
        <w:spacing w:line="360" w:lineRule="auto"/>
        <w:ind w:left="25" w:leftChars="12" w:firstLine="354" w:firstLineChars="147"/>
        <w:rPr>
          <w:rFonts w:hAnsi="宋体"/>
          <w:b/>
          <w:color w:val="auto"/>
          <w:highlight w:val="none"/>
        </w:rPr>
      </w:pPr>
      <w:r>
        <w:rPr>
          <w:rFonts w:hint="eastAsia" w:hAnsi="宋体"/>
          <w:b/>
          <w:color w:val="auto"/>
          <w:highlight w:val="none"/>
        </w:rPr>
        <w:t>5.质疑供应商为法人或者其他组织的，质疑函应由法定代表人、主要负责人，或者其授权代表签字或者盖章，并加盖公章。</w:t>
      </w:r>
    </w:p>
    <w:p w14:paraId="33D6D78E">
      <w:pPr>
        <w:pStyle w:val="21"/>
        <w:snapToGrid w:val="0"/>
        <w:rPr>
          <w:b/>
          <w:color w:val="auto"/>
          <w:highlight w:val="none"/>
        </w:rPr>
      </w:pPr>
    </w:p>
    <w:p w14:paraId="66139D07">
      <w:pPr>
        <w:spacing w:line="460" w:lineRule="exact"/>
        <w:jc w:val="center"/>
        <w:rPr>
          <w:rFonts w:eastAsia="隶书"/>
          <w:color w:val="auto"/>
          <w:sz w:val="44"/>
          <w:highlight w:val="none"/>
        </w:rPr>
      </w:pPr>
      <w:r>
        <w:rPr>
          <w:rFonts w:eastAsia="隶书"/>
          <w:color w:val="auto"/>
          <w:sz w:val="44"/>
          <w:highlight w:val="none"/>
        </w:rPr>
        <w:br w:type="page"/>
      </w:r>
    </w:p>
    <w:p w14:paraId="2D15F86B">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583C4549">
      <w:pPr>
        <w:pStyle w:val="21"/>
        <w:snapToGrid w:val="0"/>
        <w:spacing w:line="360" w:lineRule="auto"/>
        <w:ind w:firstLine="482" w:firstLineChars="200"/>
        <w:rPr>
          <w:rFonts w:hAnsi="宋体"/>
          <w:b/>
          <w:bCs/>
          <w:color w:val="auto"/>
          <w:highlight w:val="none"/>
        </w:rPr>
      </w:pPr>
      <w:r>
        <w:rPr>
          <w:rFonts w:hint="eastAsia" w:hAnsi="宋体"/>
          <w:b/>
          <w:bCs/>
          <w:color w:val="auto"/>
          <w:highlight w:val="none"/>
        </w:rPr>
        <w:t>一、投诉相关主体基本情况：</w:t>
      </w:r>
    </w:p>
    <w:p w14:paraId="75064D36">
      <w:pPr>
        <w:pStyle w:val="21"/>
        <w:snapToGrid w:val="0"/>
        <w:spacing w:line="360" w:lineRule="auto"/>
        <w:ind w:firstLine="480" w:firstLineChars="200"/>
        <w:rPr>
          <w:rFonts w:hAnsi="宋体"/>
          <w:bCs/>
          <w:color w:val="auto"/>
          <w:highlight w:val="none"/>
          <w:u w:val="single"/>
        </w:rPr>
      </w:pPr>
      <w:r>
        <w:rPr>
          <w:rFonts w:hint="eastAsia" w:hAnsi="宋体"/>
          <w:bCs/>
          <w:color w:val="auto"/>
          <w:highlight w:val="none"/>
        </w:rPr>
        <w:t>供应商：</w:t>
      </w:r>
      <w:r>
        <w:rPr>
          <w:rFonts w:hint="eastAsia" w:hAnsi="宋体"/>
          <w:bCs/>
          <w:color w:val="auto"/>
          <w:highlight w:val="none"/>
          <w:u w:val="single"/>
        </w:rPr>
        <w:t xml:space="preserve">                                                                        </w:t>
      </w:r>
      <w:r>
        <w:rPr>
          <w:rFonts w:hint="eastAsia" w:hAnsi="宋体"/>
          <w:bCs/>
          <w:color w:val="auto"/>
          <w:highlight w:val="none"/>
        </w:rPr>
        <w:t xml:space="preserve">                 </w:t>
      </w:r>
    </w:p>
    <w:p w14:paraId="3C5C526F">
      <w:pPr>
        <w:pStyle w:val="21"/>
        <w:snapToGrid w:val="0"/>
        <w:spacing w:line="360" w:lineRule="auto"/>
        <w:ind w:firstLine="480" w:firstLineChars="200"/>
        <w:rPr>
          <w:rFonts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r>
        <w:rPr>
          <w:rFonts w:hint="eastAsia" w:hAnsi="宋体"/>
          <w:bCs/>
          <w:color w:val="auto"/>
          <w:highlight w:val="none"/>
        </w:rPr>
        <w:t xml:space="preserve">                 </w:t>
      </w:r>
    </w:p>
    <w:p w14:paraId="2EBA84A2">
      <w:pPr>
        <w:pStyle w:val="21"/>
        <w:snapToGrid w:val="0"/>
        <w:spacing w:line="360" w:lineRule="auto"/>
        <w:ind w:firstLine="480" w:firstLineChars="200"/>
        <w:rPr>
          <w:rFonts w:hAnsi="宋体"/>
          <w:bCs/>
          <w:color w:val="auto"/>
          <w:highlight w:val="none"/>
          <w:u w:val="single"/>
        </w:rPr>
      </w:pPr>
      <w:r>
        <w:rPr>
          <w:rFonts w:hint="eastAsia" w:hAnsi="宋体"/>
          <w:bCs/>
          <w:color w:val="auto"/>
          <w:highlight w:val="none"/>
        </w:rPr>
        <w:t>法定代表人/主要负责人：</w:t>
      </w:r>
      <w:r>
        <w:rPr>
          <w:rFonts w:hint="eastAsia" w:hAnsi="宋体"/>
          <w:bCs/>
          <w:color w:val="auto"/>
          <w:highlight w:val="none"/>
          <w:u w:val="single"/>
        </w:rPr>
        <w:t xml:space="preserve">                                                         </w:t>
      </w:r>
    </w:p>
    <w:p w14:paraId="36F3EF9B">
      <w:pPr>
        <w:pStyle w:val="21"/>
        <w:snapToGrid w:val="0"/>
        <w:spacing w:line="360" w:lineRule="auto"/>
        <w:ind w:firstLine="480" w:firstLineChars="200"/>
        <w:rPr>
          <w:rFonts w:hAnsi="宋体"/>
          <w:bCs/>
          <w:color w:val="auto"/>
          <w:highlight w:val="none"/>
        </w:rPr>
      </w:pP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1A4013A7">
      <w:pPr>
        <w:pStyle w:val="21"/>
        <w:snapToGrid w:val="0"/>
        <w:spacing w:line="360" w:lineRule="auto"/>
        <w:ind w:firstLine="480" w:firstLineChars="200"/>
        <w:rPr>
          <w:rFonts w:hAnsi="宋体"/>
          <w:bCs/>
          <w:color w:val="auto"/>
          <w:highlight w:val="none"/>
          <w:u w:val="single"/>
        </w:rPr>
      </w:pPr>
      <w:r>
        <w:rPr>
          <w:rFonts w:hint="eastAsia" w:hAnsi="宋体"/>
          <w:bCs/>
          <w:color w:val="auto"/>
          <w:highlight w:val="none"/>
        </w:rPr>
        <w:t>授权代表：</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342804CB">
      <w:pPr>
        <w:pStyle w:val="21"/>
        <w:snapToGrid w:val="0"/>
        <w:spacing w:line="360" w:lineRule="auto"/>
        <w:ind w:firstLine="480" w:firstLineChars="200"/>
        <w:rPr>
          <w:rFonts w:hAnsi="宋体"/>
          <w:bCs/>
          <w:color w:val="auto"/>
          <w:highlight w:val="none"/>
          <w:u w:val="singl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p>
    <w:p w14:paraId="318509D8">
      <w:pPr>
        <w:pStyle w:val="21"/>
        <w:snapToGrid w:val="0"/>
        <w:spacing w:line="360" w:lineRule="auto"/>
        <w:ind w:firstLine="480" w:firstLineChars="200"/>
        <w:rPr>
          <w:rFonts w:hAnsi="宋体"/>
          <w:bCs/>
          <w:color w:val="auto"/>
          <w:highlight w:val="none"/>
        </w:rPr>
      </w:pP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r>
        <w:rPr>
          <w:rFonts w:hint="eastAsia" w:hAnsi="宋体"/>
          <w:bCs/>
          <w:color w:val="auto"/>
          <w:highlight w:val="none"/>
        </w:rPr>
        <w:t xml:space="preserve">   </w:t>
      </w:r>
    </w:p>
    <w:p w14:paraId="1B2CDB5C">
      <w:pPr>
        <w:pStyle w:val="21"/>
        <w:snapToGrid w:val="0"/>
        <w:spacing w:line="360" w:lineRule="auto"/>
        <w:ind w:firstLine="480" w:firstLineChars="200"/>
        <w:rPr>
          <w:rFonts w:hAnsi="宋体"/>
          <w:bCs/>
          <w:color w:val="auto"/>
          <w:highlight w:val="none"/>
        </w:rPr>
      </w:pPr>
      <w:r>
        <w:rPr>
          <w:rFonts w:hint="eastAsia" w:hAnsi="宋体"/>
          <w:bCs/>
          <w:color w:val="auto"/>
          <w:highlight w:val="none"/>
        </w:rPr>
        <w:t>被投诉人1：</w:t>
      </w:r>
    </w:p>
    <w:p w14:paraId="7C7D5506">
      <w:pPr>
        <w:pStyle w:val="21"/>
        <w:snapToGrid w:val="0"/>
        <w:spacing w:line="360" w:lineRule="auto"/>
        <w:ind w:firstLine="480" w:firstLineChars="200"/>
        <w:rPr>
          <w:rFonts w:hAnsi="宋体"/>
          <w:bCs/>
          <w:color w:val="auto"/>
          <w:highlight w:val="none"/>
          <w:u w:val="single"/>
        </w:rPr>
      </w:pPr>
      <w:r>
        <w:rPr>
          <w:rFonts w:hint="eastAsia" w:hAnsi="宋体"/>
          <w:bCs/>
          <w:color w:val="auto"/>
          <w:highlight w:val="none"/>
        </w:rPr>
        <w:t>地址：</w:t>
      </w:r>
      <w:r>
        <w:rPr>
          <w:rFonts w:hint="eastAsia" w:hAnsi="宋体"/>
          <w:bCs/>
          <w:color w:val="auto"/>
          <w:highlight w:val="none"/>
          <w:u w:val="single"/>
        </w:rPr>
        <w:t xml:space="preserve">                                                            </w:t>
      </w:r>
    </w:p>
    <w:p w14:paraId="7731C903">
      <w:pPr>
        <w:pStyle w:val="21"/>
        <w:snapToGrid w:val="0"/>
        <w:spacing w:line="360" w:lineRule="auto"/>
        <w:ind w:firstLine="480" w:firstLineChars="200"/>
        <w:rPr>
          <w:rFonts w:hAnsi="宋体"/>
          <w:bCs/>
          <w:color w:val="auto"/>
          <w:highlight w:val="none"/>
        </w:rPr>
      </w:pP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r>
        <w:rPr>
          <w:rFonts w:hint="eastAsia" w:hAnsi="宋体"/>
          <w:bCs/>
          <w:color w:val="auto"/>
          <w:highlight w:val="none"/>
        </w:rPr>
        <w:t xml:space="preserve">  </w:t>
      </w:r>
    </w:p>
    <w:p w14:paraId="66A704FF">
      <w:pPr>
        <w:pStyle w:val="21"/>
        <w:snapToGrid w:val="0"/>
        <w:spacing w:line="360" w:lineRule="auto"/>
        <w:ind w:firstLine="480" w:firstLineChars="200"/>
        <w:rPr>
          <w:rFonts w:hAnsi="宋体"/>
          <w:bCs/>
          <w:color w:val="auto"/>
          <w:highlight w:val="none"/>
          <w:u w:val="singl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563119A7">
      <w:pPr>
        <w:pStyle w:val="21"/>
        <w:snapToGrid w:val="0"/>
        <w:spacing w:line="360" w:lineRule="auto"/>
        <w:ind w:firstLine="480" w:firstLineChars="200"/>
        <w:rPr>
          <w:rFonts w:hAnsi="宋体"/>
          <w:bCs/>
          <w:color w:val="auto"/>
          <w:highlight w:val="none"/>
        </w:rPr>
      </w:pPr>
      <w:r>
        <w:rPr>
          <w:rFonts w:hint="eastAsia" w:hAnsi="宋体"/>
          <w:bCs/>
          <w:color w:val="auto"/>
          <w:highlight w:val="none"/>
        </w:rPr>
        <w:t>被投诉人2：</w:t>
      </w:r>
    </w:p>
    <w:p w14:paraId="1E60D79F">
      <w:pPr>
        <w:pStyle w:val="21"/>
        <w:snapToGrid w:val="0"/>
        <w:spacing w:line="360" w:lineRule="auto"/>
        <w:ind w:firstLine="480" w:firstLineChars="200"/>
        <w:rPr>
          <w:rFonts w:hAnsi="宋体"/>
          <w:bCs/>
          <w:color w:val="auto"/>
          <w:highlight w:val="none"/>
        </w:rPr>
      </w:pPr>
      <w:r>
        <w:rPr>
          <w:rFonts w:hAnsi="宋体"/>
          <w:bCs/>
          <w:color w:val="auto"/>
          <w:highlight w:val="none"/>
        </w:rPr>
        <w:t>……</w:t>
      </w:r>
    </w:p>
    <w:p w14:paraId="031AB3DA">
      <w:pPr>
        <w:pStyle w:val="21"/>
        <w:snapToGrid w:val="0"/>
        <w:spacing w:line="360" w:lineRule="auto"/>
        <w:ind w:firstLine="480" w:firstLineChars="200"/>
        <w:rPr>
          <w:rFonts w:hAnsi="宋体"/>
          <w:bCs/>
          <w:color w:val="auto"/>
          <w:highlight w:val="none"/>
          <w:u w:val="single"/>
        </w:rPr>
      </w:pPr>
      <w:r>
        <w:rPr>
          <w:rFonts w:hint="eastAsia" w:hAnsi="宋体"/>
          <w:bCs/>
          <w:color w:val="auto"/>
          <w:highlight w:val="none"/>
        </w:rPr>
        <w:t>相关供应商：</w:t>
      </w:r>
      <w:r>
        <w:rPr>
          <w:rFonts w:hint="eastAsia" w:hAnsi="宋体"/>
          <w:bCs/>
          <w:color w:val="auto"/>
          <w:highlight w:val="none"/>
          <w:u w:val="single"/>
        </w:rPr>
        <w:t xml:space="preserve">                                                                       </w:t>
      </w:r>
    </w:p>
    <w:p w14:paraId="22FC8CA5">
      <w:pPr>
        <w:pStyle w:val="21"/>
        <w:snapToGrid w:val="0"/>
        <w:spacing w:line="360" w:lineRule="auto"/>
        <w:ind w:firstLine="480" w:firstLineChars="200"/>
        <w:rPr>
          <w:rFonts w:hAnsi="宋体"/>
          <w:bCs/>
          <w:color w:val="auto"/>
          <w:highlight w:val="none"/>
          <w:u w:val="singl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16ADD5AC">
      <w:pPr>
        <w:pStyle w:val="21"/>
        <w:snapToGrid w:val="0"/>
        <w:spacing w:line="360" w:lineRule="auto"/>
        <w:ind w:firstLine="480" w:firstLineChars="200"/>
        <w:rPr>
          <w:rFonts w:hAnsi="宋体"/>
          <w:bCs/>
          <w:color w:val="auto"/>
          <w:highlight w:val="non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r>
        <w:rPr>
          <w:rFonts w:hint="eastAsia" w:hAnsi="宋体"/>
          <w:bCs/>
          <w:color w:val="auto"/>
          <w:highlight w:val="none"/>
        </w:rPr>
        <w:t xml:space="preserve">                </w:t>
      </w:r>
    </w:p>
    <w:p w14:paraId="244B83AE">
      <w:pPr>
        <w:pStyle w:val="21"/>
        <w:snapToGrid w:val="0"/>
        <w:spacing w:line="360" w:lineRule="auto"/>
        <w:ind w:firstLine="482" w:firstLineChars="200"/>
        <w:rPr>
          <w:rFonts w:hAnsi="宋体"/>
          <w:b/>
          <w:bCs/>
          <w:color w:val="auto"/>
          <w:highlight w:val="none"/>
        </w:rPr>
      </w:pPr>
      <w:r>
        <w:rPr>
          <w:rFonts w:hint="eastAsia" w:hAnsi="宋体"/>
          <w:b/>
          <w:bCs/>
          <w:color w:val="auto"/>
          <w:highlight w:val="none"/>
        </w:rPr>
        <w:t>二、投诉项目基本情况：</w:t>
      </w:r>
    </w:p>
    <w:p w14:paraId="71E6A2FC">
      <w:pPr>
        <w:pStyle w:val="21"/>
        <w:spacing w:line="360" w:lineRule="auto"/>
        <w:ind w:left="25" w:leftChars="12" w:firstLine="472" w:firstLineChars="197"/>
        <w:rPr>
          <w:rFonts w:hAnsi="宋体"/>
          <w:color w:val="auto"/>
          <w:highlight w:val="none"/>
        </w:rPr>
      </w:pPr>
      <w:r>
        <w:rPr>
          <w:rFonts w:hint="eastAsia" w:hAnsi="宋体"/>
          <w:bCs/>
          <w:color w:val="auto"/>
          <w:highlight w:val="none"/>
        </w:rPr>
        <w:t>采购</w:t>
      </w:r>
      <w:r>
        <w:rPr>
          <w:rFonts w:hint="eastAsia" w:hAnsi="宋体"/>
          <w:color w:val="auto"/>
          <w:highlight w:val="none"/>
        </w:rPr>
        <w:t>项目的名称：</w:t>
      </w:r>
      <w:r>
        <w:rPr>
          <w:rFonts w:hint="eastAsia" w:hAnsi="宋体"/>
          <w:bCs/>
          <w:color w:val="auto"/>
          <w:highlight w:val="none"/>
          <w:u w:val="single"/>
        </w:rPr>
        <w:t xml:space="preserve">                                                                   </w:t>
      </w:r>
    </w:p>
    <w:p w14:paraId="5B2D53A3">
      <w:pPr>
        <w:pStyle w:val="21"/>
        <w:spacing w:line="360" w:lineRule="auto"/>
        <w:ind w:left="25" w:leftChars="12" w:firstLine="472" w:firstLineChars="197"/>
        <w:rPr>
          <w:rFonts w:hAnsi="宋体"/>
          <w:color w:val="auto"/>
          <w:highlight w:val="none"/>
        </w:rPr>
      </w:pPr>
      <w:r>
        <w:rPr>
          <w:rFonts w:hint="eastAsia" w:hAnsi="宋体"/>
          <w:bCs/>
          <w:color w:val="auto"/>
          <w:highlight w:val="none"/>
        </w:rPr>
        <w:t>采购</w:t>
      </w:r>
      <w:r>
        <w:rPr>
          <w:rFonts w:hint="eastAsia" w:hAnsi="宋体"/>
          <w:color w:val="auto"/>
          <w:highlight w:val="none"/>
        </w:rPr>
        <w:t>项目的编号：</w:t>
      </w:r>
      <w:r>
        <w:rPr>
          <w:rFonts w:hint="eastAsia" w:hAnsi="宋体"/>
          <w:bCs/>
          <w:color w:val="auto"/>
          <w:highlight w:val="none"/>
          <w:u w:val="single"/>
        </w:rPr>
        <w:t xml:space="preserve">                                          </w:t>
      </w:r>
    </w:p>
    <w:p w14:paraId="78C1F52A">
      <w:pPr>
        <w:pStyle w:val="21"/>
        <w:spacing w:line="360" w:lineRule="auto"/>
        <w:ind w:left="25" w:leftChars="12" w:firstLine="472" w:firstLineChars="197"/>
        <w:rPr>
          <w:rFonts w:hAnsi="宋体"/>
          <w:bCs/>
          <w:color w:val="auto"/>
          <w:highlight w:val="none"/>
          <w:u w:val="single"/>
        </w:rPr>
      </w:pPr>
      <w:r>
        <w:rPr>
          <w:rFonts w:hint="eastAsia" w:hAnsi="宋体"/>
          <w:color w:val="auto"/>
          <w:highlight w:val="none"/>
        </w:rPr>
        <w:t>采购人名称：</w:t>
      </w:r>
      <w:r>
        <w:rPr>
          <w:rFonts w:hint="eastAsia" w:hAnsi="宋体"/>
          <w:bCs/>
          <w:color w:val="auto"/>
          <w:highlight w:val="none"/>
          <w:u w:val="single"/>
        </w:rPr>
        <w:t xml:space="preserve">                                                                        </w:t>
      </w:r>
    </w:p>
    <w:p w14:paraId="6122127B">
      <w:pPr>
        <w:pStyle w:val="21"/>
        <w:spacing w:line="360" w:lineRule="auto"/>
        <w:ind w:left="25" w:leftChars="12" w:firstLine="472" w:firstLineChars="197"/>
        <w:rPr>
          <w:rFonts w:hAnsi="宋体"/>
          <w:bCs/>
          <w:color w:val="auto"/>
          <w:highlight w:val="none"/>
          <w:u w:val="single"/>
        </w:rPr>
      </w:pPr>
      <w:r>
        <w:rPr>
          <w:rFonts w:hint="eastAsia" w:hAnsi="宋体"/>
          <w:color w:val="auto"/>
          <w:highlight w:val="none"/>
        </w:rPr>
        <w:t>代理机构名称：</w:t>
      </w:r>
      <w:r>
        <w:rPr>
          <w:rFonts w:hint="eastAsia" w:hAnsi="宋体"/>
          <w:bCs/>
          <w:color w:val="auto"/>
          <w:highlight w:val="none"/>
          <w:u w:val="single"/>
        </w:rPr>
        <w:t xml:space="preserve">                                                                      </w:t>
      </w:r>
    </w:p>
    <w:p w14:paraId="608480E6">
      <w:pPr>
        <w:pStyle w:val="21"/>
        <w:spacing w:line="360" w:lineRule="auto"/>
        <w:ind w:left="25" w:leftChars="12" w:firstLine="472" w:firstLineChars="197"/>
        <w:rPr>
          <w:rFonts w:hAnsi="宋体"/>
          <w:bCs/>
          <w:color w:val="auto"/>
          <w:highlight w:val="none"/>
          <w:u w:val="single"/>
        </w:rPr>
      </w:pPr>
      <w:r>
        <w:rPr>
          <w:rFonts w:hint="eastAsia" w:hAnsi="宋体"/>
          <w:bCs/>
          <w:color w:val="auto"/>
          <w:highlight w:val="none"/>
        </w:rPr>
        <w:t>采购文件公告：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656DB880">
      <w:pPr>
        <w:pStyle w:val="21"/>
        <w:spacing w:line="360" w:lineRule="auto"/>
        <w:ind w:left="25" w:leftChars="12" w:firstLine="472" w:firstLineChars="197"/>
        <w:rPr>
          <w:rFonts w:hAnsi="宋体"/>
          <w:b/>
          <w:color w:val="auto"/>
          <w:highlight w:val="none"/>
        </w:rPr>
      </w:pPr>
      <w:r>
        <w:rPr>
          <w:rFonts w:hint="eastAsia" w:hAnsi="宋体"/>
          <w:bCs/>
          <w:color w:val="auto"/>
          <w:highlight w:val="none"/>
        </w:rPr>
        <w:t>采购结果公告：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75C15EE3">
      <w:pPr>
        <w:pStyle w:val="21"/>
        <w:spacing w:line="360" w:lineRule="auto"/>
        <w:ind w:left="25" w:leftChars="12" w:firstLine="472" w:firstLineChars="196"/>
        <w:rPr>
          <w:rFonts w:hAnsi="宋体"/>
          <w:b/>
          <w:color w:val="auto"/>
          <w:highlight w:val="none"/>
        </w:rPr>
      </w:pPr>
      <w:r>
        <w:rPr>
          <w:rFonts w:hint="eastAsia" w:hAnsi="宋体"/>
          <w:b/>
          <w:color w:val="auto"/>
          <w:highlight w:val="none"/>
        </w:rPr>
        <w:t>三、质疑基本情况</w:t>
      </w:r>
    </w:p>
    <w:p w14:paraId="5927A870">
      <w:pPr>
        <w:pStyle w:val="21"/>
        <w:spacing w:line="360" w:lineRule="auto"/>
        <w:ind w:left="25" w:leftChars="12" w:firstLine="480" w:firstLineChars="200"/>
        <w:rPr>
          <w:rFonts w:hAnsi="宋体"/>
          <w:color w:val="auto"/>
          <w:highlight w:val="none"/>
        </w:rPr>
      </w:pPr>
      <w:r>
        <w:rPr>
          <w:rFonts w:hint="eastAsia" w:hAnsi="宋体"/>
          <w:color w:val="auto"/>
          <w:highlight w:val="none"/>
        </w:rPr>
        <w:t>投诉人于</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日，向</w:t>
      </w:r>
      <w:r>
        <w:rPr>
          <w:rFonts w:hint="eastAsia" w:hAnsi="宋体"/>
          <w:color w:val="auto"/>
          <w:highlight w:val="none"/>
          <w:u w:val="single"/>
        </w:rPr>
        <w:t xml:space="preserve">                                </w:t>
      </w:r>
      <w:r>
        <w:rPr>
          <w:rFonts w:hint="eastAsia" w:hAnsi="宋体"/>
          <w:color w:val="auto"/>
          <w:highlight w:val="none"/>
        </w:rPr>
        <w:t>提出质疑，质疑事项为：</w:t>
      </w:r>
    </w:p>
    <w:p w14:paraId="3225663A">
      <w:pPr>
        <w:pStyle w:val="21"/>
        <w:spacing w:line="360" w:lineRule="auto"/>
        <w:ind w:firstLine="241"/>
        <w:rPr>
          <w:rFonts w:hAnsi="宋体"/>
          <w:bCs/>
          <w:color w:val="auto"/>
          <w:highlight w:val="none"/>
          <w:u w:val="single"/>
        </w:rPr>
      </w:pPr>
      <w:r>
        <w:rPr>
          <w:rFonts w:hint="eastAsia" w:hAnsi="宋体"/>
          <w:color w:val="auto"/>
          <w:highlight w:val="none"/>
        </w:rPr>
        <w:t xml:space="preserve">    </w:t>
      </w:r>
      <w:r>
        <w:rPr>
          <w:rFonts w:hint="eastAsia" w:hAnsi="宋体"/>
          <w:bCs/>
          <w:color w:val="auto"/>
          <w:highlight w:val="none"/>
          <w:u w:val="single"/>
        </w:rPr>
        <w:t xml:space="preserve">                                                                                      </w:t>
      </w:r>
    </w:p>
    <w:p w14:paraId="309FAE47">
      <w:pPr>
        <w:pStyle w:val="21"/>
        <w:spacing w:line="360" w:lineRule="auto"/>
        <w:ind w:firstLine="241"/>
        <w:rPr>
          <w:rFonts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2149722C">
      <w:pPr>
        <w:pStyle w:val="21"/>
        <w:spacing w:line="360" w:lineRule="auto"/>
        <w:ind w:firstLine="241"/>
        <w:rPr>
          <w:rFonts w:hAnsi="宋体"/>
          <w:color w:val="auto"/>
          <w:highlight w:val="none"/>
        </w:rPr>
      </w:pPr>
      <w:r>
        <w:rPr>
          <w:rFonts w:hint="eastAsia" w:hAnsi="宋体"/>
          <w:bCs/>
          <w:color w:val="auto"/>
          <w:highlight w:val="none"/>
        </w:rPr>
        <w:t xml:space="preserve">  </w:t>
      </w:r>
      <w:r>
        <w:rPr>
          <w:rFonts w:hint="eastAsia" w:hAnsi="宋体"/>
          <w:bCs/>
          <w:color w:val="auto"/>
          <w:highlight w:val="none"/>
          <w:u w:val="single"/>
        </w:rPr>
        <w:t>采购人/代理机构</w:t>
      </w:r>
      <w:r>
        <w:rPr>
          <w:rFonts w:hint="eastAsia" w:hAnsi="宋体"/>
          <w:bCs/>
          <w:color w:val="auto"/>
          <w:highlight w:val="none"/>
        </w:rPr>
        <w:t>于</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r>
        <w:rPr>
          <w:rFonts w:hint="eastAsia" w:hAnsi="宋体"/>
          <w:bCs/>
          <w:color w:val="auto"/>
          <w:highlight w:val="none"/>
        </w:rPr>
        <w:t xml:space="preserve">就质疑事项作出了答复/没有在法定期限内作出答复。                                                                                             </w:t>
      </w:r>
    </w:p>
    <w:p w14:paraId="7CA2B44E">
      <w:pPr>
        <w:pStyle w:val="21"/>
        <w:spacing w:line="360" w:lineRule="auto"/>
        <w:ind w:left="25" w:leftChars="12" w:firstLine="472" w:firstLineChars="196"/>
        <w:rPr>
          <w:rFonts w:hAnsi="宋体"/>
          <w:b/>
          <w:color w:val="auto"/>
          <w:highlight w:val="none"/>
        </w:rPr>
      </w:pPr>
      <w:r>
        <w:rPr>
          <w:rFonts w:hint="eastAsia" w:hAnsi="宋体"/>
          <w:b/>
          <w:color w:val="auto"/>
          <w:highlight w:val="none"/>
        </w:rPr>
        <w:t>四、投诉事项具体内容</w:t>
      </w:r>
    </w:p>
    <w:p w14:paraId="36689EC3">
      <w:pPr>
        <w:pStyle w:val="21"/>
        <w:spacing w:line="360" w:lineRule="auto"/>
        <w:ind w:left="25" w:leftChars="12" w:firstLine="472" w:firstLineChars="197"/>
        <w:rPr>
          <w:rFonts w:hAnsi="宋体"/>
          <w:bCs/>
          <w:color w:val="auto"/>
          <w:highlight w:val="none"/>
          <w:u w:val="single"/>
        </w:rPr>
      </w:pPr>
      <w:r>
        <w:rPr>
          <w:rFonts w:hint="eastAsia" w:hAnsi="宋体"/>
          <w:color w:val="auto"/>
          <w:highlight w:val="none"/>
        </w:rPr>
        <w:t>投诉事项1：</w:t>
      </w:r>
      <w:r>
        <w:rPr>
          <w:rFonts w:hint="eastAsia" w:hAnsi="宋体"/>
          <w:bCs/>
          <w:color w:val="auto"/>
          <w:highlight w:val="none"/>
          <w:u w:val="single"/>
        </w:rPr>
        <w:t xml:space="preserve">                                                                           </w:t>
      </w:r>
    </w:p>
    <w:p w14:paraId="6070B6F4">
      <w:pPr>
        <w:pStyle w:val="21"/>
        <w:spacing w:line="360" w:lineRule="auto"/>
        <w:ind w:firstLine="480" w:firstLineChars="200"/>
        <w:rPr>
          <w:rFonts w:hAnsi="宋体"/>
          <w:bCs/>
          <w:color w:val="auto"/>
          <w:highlight w:val="none"/>
          <w:u w:val="single"/>
        </w:rPr>
      </w:pPr>
      <w:r>
        <w:rPr>
          <w:rFonts w:hint="eastAsia" w:hAnsi="宋体"/>
          <w:bCs/>
          <w:color w:val="auto"/>
          <w:highlight w:val="none"/>
        </w:rPr>
        <w:t>事实依据：</w:t>
      </w:r>
      <w:r>
        <w:rPr>
          <w:rFonts w:hint="eastAsia" w:hAnsi="宋体"/>
          <w:color w:val="auto"/>
          <w:highlight w:val="none"/>
        </w:rPr>
        <w:t xml:space="preserve"> </w:t>
      </w:r>
      <w:r>
        <w:rPr>
          <w:rFonts w:hint="eastAsia" w:hAnsi="宋体"/>
          <w:bCs/>
          <w:color w:val="auto"/>
          <w:highlight w:val="none"/>
          <w:u w:val="single"/>
        </w:rPr>
        <w:t xml:space="preserve">                                                                                      </w:t>
      </w:r>
    </w:p>
    <w:p w14:paraId="62C673B0">
      <w:pPr>
        <w:pStyle w:val="21"/>
        <w:spacing w:line="360" w:lineRule="auto"/>
        <w:ind w:left="25" w:leftChars="12" w:firstLine="472" w:firstLineChars="197"/>
        <w:rPr>
          <w:rFonts w:hAnsi="宋体"/>
          <w:color w:val="auto"/>
          <w:highlight w:val="none"/>
        </w:rPr>
      </w:pPr>
      <w:r>
        <w:rPr>
          <w:rFonts w:hint="eastAsia" w:hAnsi="宋体"/>
          <w:bCs/>
          <w:color w:val="auto"/>
          <w:highlight w:val="none"/>
          <w:u w:val="single"/>
        </w:rPr>
        <w:t xml:space="preserve">                                                                                        </w:t>
      </w:r>
    </w:p>
    <w:p w14:paraId="2AFE9688">
      <w:pPr>
        <w:pStyle w:val="21"/>
        <w:spacing w:line="360" w:lineRule="auto"/>
        <w:ind w:firstLine="480" w:firstLineChars="200"/>
        <w:rPr>
          <w:rFonts w:hAnsi="宋体"/>
          <w:bCs/>
          <w:color w:val="auto"/>
          <w:highlight w:val="none"/>
          <w:u w:val="single"/>
        </w:rPr>
      </w:pPr>
      <w:r>
        <w:rPr>
          <w:rFonts w:hint="eastAsia" w:hAnsi="宋体"/>
          <w:bCs/>
          <w:color w:val="auto"/>
          <w:highlight w:val="none"/>
        </w:rPr>
        <w:t>法律依据：</w:t>
      </w:r>
      <w:r>
        <w:rPr>
          <w:rFonts w:hint="eastAsia" w:hAnsi="宋体"/>
          <w:color w:val="auto"/>
          <w:highlight w:val="none"/>
        </w:rPr>
        <w:t xml:space="preserve"> </w:t>
      </w:r>
      <w:r>
        <w:rPr>
          <w:rFonts w:hint="eastAsia" w:hAnsi="宋体"/>
          <w:bCs/>
          <w:color w:val="auto"/>
          <w:highlight w:val="none"/>
          <w:u w:val="single"/>
        </w:rPr>
        <w:t xml:space="preserve">                                                                                      </w:t>
      </w:r>
    </w:p>
    <w:p w14:paraId="1F70867D">
      <w:pPr>
        <w:pStyle w:val="21"/>
        <w:spacing w:line="360" w:lineRule="auto"/>
        <w:ind w:left="25" w:leftChars="12" w:firstLine="352" w:firstLineChars="147"/>
        <w:rPr>
          <w:rFonts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4A275FF7">
      <w:pPr>
        <w:pStyle w:val="21"/>
        <w:spacing w:line="360" w:lineRule="auto"/>
        <w:ind w:left="25" w:leftChars="12" w:firstLine="472" w:firstLineChars="197"/>
        <w:rPr>
          <w:rFonts w:hAnsi="宋体"/>
          <w:bCs/>
          <w:color w:val="auto"/>
          <w:highlight w:val="none"/>
        </w:rPr>
      </w:pPr>
      <w:r>
        <w:rPr>
          <w:rFonts w:hint="eastAsia" w:hAnsi="宋体"/>
          <w:color w:val="auto"/>
          <w:highlight w:val="none"/>
        </w:rPr>
        <w:t xml:space="preserve">投诉事项2  </w:t>
      </w:r>
      <w:r>
        <w:rPr>
          <w:rFonts w:hint="eastAsia" w:hAnsi="宋体"/>
          <w:bCs/>
          <w:color w:val="auto"/>
          <w:highlight w:val="none"/>
        </w:rPr>
        <w:t xml:space="preserve">   </w:t>
      </w:r>
    </w:p>
    <w:p w14:paraId="498BE14D">
      <w:pPr>
        <w:pStyle w:val="21"/>
        <w:spacing w:line="360" w:lineRule="auto"/>
        <w:ind w:left="25" w:leftChars="12" w:firstLine="472" w:firstLineChars="197"/>
        <w:rPr>
          <w:rFonts w:hAnsi="宋体"/>
          <w:bCs/>
          <w:color w:val="auto"/>
          <w:highlight w:val="none"/>
        </w:rPr>
      </w:pPr>
      <w:r>
        <w:rPr>
          <w:rFonts w:hAnsi="宋体"/>
          <w:bCs/>
          <w:color w:val="auto"/>
          <w:highlight w:val="none"/>
        </w:rPr>
        <w:t>……</w:t>
      </w:r>
    </w:p>
    <w:p w14:paraId="17F43A8D">
      <w:pPr>
        <w:pStyle w:val="21"/>
        <w:spacing w:line="360" w:lineRule="auto"/>
        <w:ind w:left="25" w:leftChars="12" w:firstLine="472" w:firstLineChars="196"/>
        <w:rPr>
          <w:rFonts w:hAnsi="宋体"/>
          <w:b/>
          <w:color w:val="auto"/>
          <w:highlight w:val="none"/>
        </w:rPr>
      </w:pPr>
      <w:r>
        <w:rPr>
          <w:rFonts w:hint="eastAsia" w:hAnsi="宋体"/>
          <w:b/>
          <w:color w:val="auto"/>
          <w:highlight w:val="none"/>
        </w:rPr>
        <w:t>五、与投诉事项相关的投诉请求：</w:t>
      </w:r>
    </w:p>
    <w:p w14:paraId="7CE5D161">
      <w:pPr>
        <w:pStyle w:val="21"/>
        <w:spacing w:line="360" w:lineRule="auto"/>
        <w:ind w:left="25" w:leftChars="12" w:firstLine="472" w:firstLineChars="197"/>
        <w:rPr>
          <w:rFonts w:hAnsi="宋体"/>
          <w:color w:val="auto"/>
          <w:highlight w:val="none"/>
        </w:rPr>
      </w:pPr>
      <w:r>
        <w:rPr>
          <w:rFonts w:hint="eastAsia" w:hAnsi="宋体"/>
          <w:color w:val="auto"/>
          <w:highlight w:val="none"/>
        </w:rPr>
        <w:t>请求：</w:t>
      </w:r>
      <w:r>
        <w:rPr>
          <w:rFonts w:hint="eastAsia" w:hAnsi="宋体"/>
          <w:bCs/>
          <w:color w:val="auto"/>
          <w:highlight w:val="none"/>
          <w:u w:val="single"/>
        </w:rPr>
        <w:t xml:space="preserve">                                                                                 </w:t>
      </w:r>
    </w:p>
    <w:p w14:paraId="18E7551D">
      <w:pPr>
        <w:pStyle w:val="21"/>
        <w:spacing w:line="360" w:lineRule="auto"/>
        <w:ind w:left="25" w:leftChars="12" w:firstLine="352" w:firstLineChars="147"/>
        <w:rPr>
          <w:rFonts w:hAnsi="宋体"/>
          <w:color w:val="auto"/>
          <w:highlight w:val="none"/>
        </w:rPr>
      </w:pPr>
    </w:p>
    <w:p w14:paraId="11B23A54">
      <w:pPr>
        <w:pStyle w:val="21"/>
        <w:spacing w:line="360" w:lineRule="auto"/>
        <w:ind w:left="25" w:leftChars="12" w:firstLine="472" w:firstLineChars="197"/>
        <w:rPr>
          <w:rFonts w:hAnsi="宋体"/>
          <w:color w:val="auto"/>
          <w:highlight w:val="none"/>
        </w:rPr>
      </w:pPr>
      <w:r>
        <w:rPr>
          <w:rFonts w:hint="eastAsia" w:hAnsi="宋体"/>
          <w:color w:val="auto"/>
          <w:highlight w:val="none"/>
        </w:rPr>
        <w:t>签字（签章）：                                       公章：</w:t>
      </w:r>
    </w:p>
    <w:p w14:paraId="18D5FF90">
      <w:pPr>
        <w:pStyle w:val="21"/>
        <w:spacing w:line="360" w:lineRule="auto"/>
        <w:ind w:left="25" w:leftChars="12" w:firstLine="352" w:firstLineChars="147"/>
        <w:rPr>
          <w:rFonts w:hAnsi="宋体"/>
          <w:color w:val="auto"/>
          <w:highlight w:val="none"/>
        </w:rPr>
      </w:pPr>
    </w:p>
    <w:p w14:paraId="084BCBA6">
      <w:pPr>
        <w:pStyle w:val="21"/>
        <w:spacing w:line="360" w:lineRule="auto"/>
        <w:ind w:left="25" w:leftChars="12" w:firstLine="472" w:firstLineChars="197"/>
        <w:rPr>
          <w:rFonts w:hAnsi="宋体"/>
          <w:color w:val="auto"/>
          <w:highlight w:val="none"/>
        </w:rPr>
      </w:pPr>
      <w:r>
        <w:rPr>
          <w:rFonts w:hint="eastAsia" w:hAnsi="宋体"/>
          <w:color w:val="auto"/>
          <w:highlight w:val="none"/>
        </w:rPr>
        <w:t>日期：</w:t>
      </w:r>
    </w:p>
    <w:p w14:paraId="2D9B9ADD">
      <w:pPr>
        <w:pStyle w:val="21"/>
        <w:spacing w:line="360" w:lineRule="auto"/>
        <w:ind w:left="25" w:leftChars="12" w:firstLine="472" w:firstLineChars="197"/>
        <w:rPr>
          <w:rFonts w:hAnsi="宋体"/>
          <w:b/>
          <w:color w:val="auto"/>
          <w:highlight w:val="none"/>
        </w:rPr>
      </w:pPr>
      <w:r>
        <w:rPr>
          <w:rFonts w:hint="eastAsia" w:hAnsi="宋体"/>
          <w:bCs/>
          <w:color w:val="auto"/>
          <w:highlight w:val="none"/>
        </w:rPr>
        <w:t xml:space="preserve">                                                                                 </w:t>
      </w:r>
    </w:p>
    <w:p w14:paraId="105959F4">
      <w:pPr>
        <w:pStyle w:val="21"/>
        <w:snapToGrid w:val="0"/>
        <w:spacing w:line="360" w:lineRule="auto"/>
        <w:rPr>
          <w:rFonts w:hAnsi="宋体"/>
          <w:b/>
          <w:color w:val="auto"/>
          <w:highlight w:val="none"/>
        </w:rPr>
      </w:pPr>
      <w:r>
        <w:rPr>
          <w:rFonts w:hint="eastAsia" w:hAnsi="宋体"/>
          <w:b/>
          <w:color w:val="auto"/>
          <w:highlight w:val="none"/>
        </w:rPr>
        <w:t>说明：</w:t>
      </w:r>
    </w:p>
    <w:p w14:paraId="76594ACC">
      <w:pPr>
        <w:pStyle w:val="21"/>
        <w:spacing w:line="360" w:lineRule="auto"/>
        <w:ind w:left="25" w:leftChars="12" w:firstLine="354" w:firstLineChars="147"/>
        <w:rPr>
          <w:rFonts w:hAnsi="宋体"/>
          <w:b/>
          <w:bCs/>
          <w:color w:val="auto"/>
          <w:highlight w:val="none"/>
        </w:rPr>
      </w:pPr>
      <w:r>
        <w:rPr>
          <w:rFonts w:hint="eastAsia" w:hAnsi="宋体"/>
          <w:b/>
          <w:color w:val="auto"/>
          <w:highlight w:val="none"/>
        </w:rPr>
        <w:t>1.投诉人提起投诉时，应当提交投诉书和必要的证明材料，并按照被投诉人和与投诉事项有关的供应商数量提供投诉书副本</w:t>
      </w:r>
      <w:r>
        <w:rPr>
          <w:rFonts w:hint="eastAsia" w:hAnsi="宋体"/>
          <w:b/>
          <w:bCs/>
          <w:color w:val="auto"/>
          <w:highlight w:val="none"/>
        </w:rPr>
        <w:t>。</w:t>
      </w:r>
    </w:p>
    <w:p w14:paraId="3FE5EBF7">
      <w:pPr>
        <w:pStyle w:val="21"/>
        <w:spacing w:line="360" w:lineRule="auto"/>
        <w:ind w:left="25" w:leftChars="12" w:firstLine="354" w:firstLineChars="147"/>
        <w:rPr>
          <w:rFonts w:hAnsi="宋体"/>
          <w:b/>
          <w:color w:val="auto"/>
          <w:highlight w:val="none"/>
        </w:rPr>
      </w:pPr>
      <w:r>
        <w:rPr>
          <w:rFonts w:hint="eastAsia" w:hAnsi="宋体"/>
          <w:b/>
          <w:color w:val="auto"/>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0ACA6D3">
      <w:pPr>
        <w:pStyle w:val="21"/>
        <w:spacing w:line="360" w:lineRule="auto"/>
        <w:ind w:left="25" w:leftChars="12" w:firstLine="354" w:firstLineChars="147"/>
        <w:rPr>
          <w:rFonts w:hAnsi="宋体"/>
          <w:b/>
          <w:color w:val="auto"/>
          <w:highlight w:val="none"/>
        </w:rPr>
      </w:pPr>
      <w:r>
        <w:rPr>
          <w:rFonts w:hint="eastAsia" w:hAnsi="宋体"/>
          <w:b/>
          <w:color w:val="auto"/>
          <w:highlight w:val="none"/>
        </w:rPr>
        <w:t>3.投诉书应简要列明质疑事项，质疑函、质疑答复等作为附件材料提供。</w:t>
      </w:r>
    </w:p>
    <w:p w14:paraId="7F851160">
      <w:pPr>
        <w:pStyle w:val="21"/>
        <w:spacing w:line="360" w:lineRule="auto"/>
        <w:ind w:left="25" w:leftChars="12" w:firstLine="354" w:firstLineChars="147"/>
        <w:rPr>
          <w:rFonts w:hAnsi="宋体"/>
          <w:b/>
          <w:color w:val="auto"/>
          <w:highlight w:val="none"/>
        </w:rPr>
      </w:pPr>
      <w:r>
        <w:rPr>
          <w:rFonts w:hint="eastAsia" w:hAnsi="宋体"/>
          <w:b/>
          <w:color w:val="auto"/>
          <w:highlight w:val="none"/>
        </w:rPr>
        <w:t>4.投诉书的投诉事项应具体、明确，并有必要的事实依据和法律依据。</w:t>
      </w:r>
    </w:p>
    <w:p w14:paraId="2A304DEC">
      <w:pPr>
        <w:pStyle w:val="21"/>
        <w:spacing w:line="360" w:lineRule="auto"/>
        <w:ind w:left="25" w:leftChars="12" w:firstLine="354" w:firstLineChars="147"/>
        <w:rPr>
          <w:rFonts w:hAnsi="宋体"/>
          <w:b/>
          <w:color w:val="auto"/>
          <w:highlight w:val="none"/>
        </w:rPr>
      </w:pPr>
      <w:r>
        <w:rPr>
          <w:rFonts w:hint="eastAsia" w:hAnsi="宋体"/>
          <w:b/>
          <w:color w:val="auto"/>
          <w:highlight w:val="none"/>
        </w:rPr>
        <w:t>5.投诉书的投诉请求应与投诉事项相关。</w:t>
      </w:r>
    </w:p>
    <w:p w14:paraId="383C893D">
      <w:pPr>
        <w:spacing w:line="360" w:lineRule="auto"/>
        <w:rPr>
          <w:rFonts w:ascii="宋体" w:hAnsi="宋体"/>
          <w:color w:val="auto"/>
          <w:szCs w:val="21"/>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隶书">
    <w:altName w:val="宋体"/>
    <w:panose1 w:val="0201050906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74E83">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B00C2">
    <w:pPr>
      <w:pStyle w:val="26"/>
      <w:jc w:val="center"/>
    </w:pPr>
    <w:r>
      <w:fldChar w:fldCharType="begin"/>
    </w:r>
    <w:r>
      <w:instrText xml:space="preserve">PAGE   \* MERGEFORMAT</w:instrText>
    </w:r>
    <w:r>
      <w:fldChar w:fldCharType="separate"/>
    </w:r>
    <w:r>
      <w:rPr>
        <w:lang w:val="zh-CN"/>
      </w:rPr>
      <w:t>3</w:t>
    </w:r>
    <w:r>
      <w:rPr>
        <w:lang w:val="zh-CN"/>
      </w:rPr>
      <w:fldChar w:fldCharType="end"/>
    </w:r>
  </w:p>
  <w:p w14:paraId="0B9F9C5F">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103F6">
    <w:pPr>
      <w:pStyle w:val="26"/>
      <w:rPr>
        <w:rFonts w:ascii="宋体" w:hAns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0185BD">
                          <w:pPr>
                            <w:pStyle w:val="26"/>
                          </w:pPr>
                          <w:r>
                            <w:fldChar w:fldCharType="begin"/>
                          </w:r>
                          <w:r>
                            <w:instrText xml:space="preserve"> PAGE  \* MERGEFORMAT </w:instrText>
                          </w:r>
                          <w:r>
                            <w:fldChar w:fldCharType="separate"/>
                          </w:r>
                          <w:r>
                            <w:t>134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00185BD">
                    <w:pPr>
                      <w:pStyle w:val="26"/>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281C4">
    <w:pPr>
      <w:pStyle w:val="26"/>
      <w:jc w:val="center"/>
      <w:rPr>
        <w:rFonts w:ascii="宋体" w:hAnsi="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5E6BF2">
                          <w:pPr>
                            <w:pStyle w:val="26"/>
                          </w:pPr>
                          <w:r>
                            <w:fldChar w:fldCharType="begin"/>
                          </w:r>
                          <w:r>
                            <w:instrText xml:space="preserve"> PAGE  \* MERGEFORMAT </w:instrText>
                          </w:r>
                          <w:r>
                            <w:fldChar w:fldCharType="separate"/>
                          </w:r>
                          <w:r>
                            <w:t>140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C5E6BF2">
                    <w:pPr>
                      <w:pStyle w:val="26"/>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2AC137"/>
    <w:multiLevelType w:val="singleLevel"/>
    <w:tmpl w:val="BB2AC137"/>
    <w:lvl w:ilvl="0" w:tentative="0">
      <w:start w:val="1"/>
      <w:numFmt w:val="decimal"/>
      <w:suff w:val="nothing"/>
      <w:lvlText w:val="（%1）"/>
      <w:lvlJc w:val="left"/>
      <w:pPr>
        <w:ind w:left="-60"/>
      </w:pPr>
    </w:lvl>
  </w:abstractNum>
  <w:abstractNum w:abstractNumId="1">
    <w:nsid w:val="E5B6AD3D"/>
    <w:multiLevelType w:val="singleLevel"/>
    <w:tmpl w:val="E5B6AD3D"/>
    <w:lvl w:ilvl="0" w:tentative="0">
      <w:start w:val="1"/>
      <w:numFmt w:val="decimal"/>
      <w:suff w:val="nothing"/>
      <w:lvlText w:val="%1."/>
      <w:lvlJc w:val="left"/>
      <w:pPr>
        <w:ind w:left="0" w:firstLine="170"/>
      </w:pPr>
      <w:rPr>
        <w:rFonts w:hint="default"/>
      </w:rPr>
    </w:lvl>
  </w:abstractNum>
  <w:abstractNum w:abstractNumId="2">
    <w:nsid w:val="5498E193"/>
    <w:multiLevelType w:val="singleLevel"/>
    <w:tmpl w:val="5498E193"/>
    <w:lvl w:ilvl="0" w:tentative="0">
      <w:start w:val="11"/>
      <w:numFmt w:val="decimal"/>
      <w:suff w:val="space"/>
      <w:lvlText w:val="%1."/>
      <w:lvlJc w:val="left"/>
    </w:lvl>
  </w:abstractNum>
  <w:abstractNum w:abstractNumId="3">
    <w:nsid w:val="7D335EF8"/>
    <w:multiLevelType w:val="singleLevel"/>
    <w:tmpl w:val="7D335EF8"/>
    <w:lvl w:ilvl="0" w:tentative="0">
      <w:start w:val="10"/>
      <w:numFmt w:val="decimal"/>
      <w:suff w:val="nothing"/>
      <w:lvlText w:val="（%1）"/>
      <w:lvlJc w:val="left"/>
      <w:pPr>
        <w:ind w:left="0" w:firstLine="0"/>
      </w:pPr>
    </w:lvl>
  </w:abstractNum>
  <w:abstractNum w:abstractNumId="4">
    <w:nsid w:val="7D335EFA"/>
    <w:multiLevelType w:val="multilevel"/>
    <w:tmpl w:val="7D335EFA"/>
    <w:lvl w:ilvl="0" w:tentative="0">
      <w:start w:val="0"/>
      <w:numFmt w:val="decimal"/>
      <w:lvlText w:val=""/>
      <w:lvlJc w:val="left"/>
      <w:pPr>
        <w:ind w:left="0" w:firstLine="0"/>
      </w:p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5">
    <w:nsid w:val="7D335EFB"/>
    <w:multiLevelType w:val="singleLevel"/>
    <w:tmpl w:val="7D335EFB"/>
    <w:lvl w:ilvl="0" w:tentative="0">
      <w:start w:val="1"/>
      <w:numFmt w:val="decimal"/>
      <w:suff w:val="nothing"/>
      <w:lvlText w:val="（%1）"/>
      <w:lvlJc w:val="left"/>
      <w:pPr>
        <w:ind w:left="0" w:firstLine="0"/>
      </w:pPr>
    </w:lvl>
  </w:abstractNum>
  <w:num w:numId="1">
    <w:abstractNumId w:val="1"/>
  </w:num>
  <w:num w:numId="2">
    <w:abstractNumId w:val="3"/>
    <w:lvlOverride w:ilvl="0">
      <w:startOverride w:val="10"/>
    </w:lvlOverride>
  </w:num>
  <w:num w:numId="3">
    <w:abstractNumId w:val="0"/>
  </w:num>
  <w:num w:numId="4">
    <w:abstractNumId w:val="2"/>
  </w:num>
  <w:num w:numId="5">
    <w:abstractNumId w:val="4"/>
  </w:num>
  <w:num w:numId="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dit="readOnly" w:enforcement="1" w:cryptProviderType="rsaFull" w:cryptAlgorithmClass="hash" w:cryptAlgorithmType="typeAny" w:cryptAlgorithmSid="4" w:cryptSpinCount="0" w:hash="AKXDUGqocFBywc2ajJKwrnjY4gI=" w:salt="8qViko3DRM/G8QlZ0yQ3/g=="/>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636"/>
    <w:rsid w:val="00097B89"/>
    <w:rsid w:val="00334673"/>
    <w:rsid w:val="003A63DB"/>
    <w:rsid w:val="0058278C"/>
    <w:rsid w:val="006070E8"/>
    <w:rsid w:val="00646B00"/>
    <w:rsid w:val="006A5300"/>
    <w:rsid w:val="007C2AA3"/>
    <w:rsid w:val="00800F25"/>
    <w:rsid w:val="00821AE0"/>
    <w:rsid w:val="00836FAA"/>
    <w:rsid w:val="00856154"/>
    <w:rsid w:val="008B7197"/>
    <w:rsid w:val="00965553"/>
    <w:rsid w:val="00982636"/>
    <w:rsid w:val="00997329"/>
    <w:rsid w:val="00A70851"/>
    <w:rsid w:val="00A77248"/>
    <w:rsid w:val="00AC79D8"/>
    <w:rsid w:val="00AE0CD5"/>
    <w:rsid w:val="00B61AEA"/>
    <w:rsid w:val="00C31083"/>
    <w:rsid w:val="00C32AA0"/>
    <w:rsid w:val="00E841CD"/>
    <w:rsid w:val="04854128"/>
    <w:rsid w:val="04D55C22"/>
    <w:rsid w:val="04F95927"/>
    <w:rsid w:val="052D332A"/>
    <w:rsid w:val="055B3360"/>
    <w:rsid w:val="08C75AEE"/>
    <w:rsid w:val="09742E41"/>
    <w:rsid w:val="0982503C"/>
    <w:rsid w:val="0B1B3AA8"/>
    <w:rsid w:val="0C0F0EA7"/>
    <w:rsid w:val="0DE916F2"/>
    <w:rsid w:val="0E0B4A8C"/>
    <w:rsid w:val="106A61FD"/>
    <w:rsid w:val="13040897"/>
    <w:rsid w:val="13840D88"/>
    <w:rsid w:val="149B377D"/>
    <w:rsid w:val="14B71E4C"/>
    <w:rsid w:val="15956051"/>
    <w:rsid w:val="173C2D6C"/>
    <w:rsid w:val="191532B1"/>
    <w:rsid w:val="1960408A"/>
    <w:rsid w:val="19AE7E56"/>
    <w:rsid w:val="1A09162B"/>
    <w:rsid w:val="1B6C7D3E"/>
    <w:rsid w:val="1C074B5F"/>
    <w:rsid w:val="1C5F04C9"/>
    <w:rsid w:val="1C8C513A"/>
    <w:rsid w:val="1CA54113"/>
    <w:rsid w:val="1D734062"/>
    <w:rsid w:val="1E85363C"/>
    <w:rsid w:val="1F4D6B5B"/>
    <w:rsid w:val="1FEB1DE0"/>
    <w:rsid w:val="20C77B4A"/>
    <w:rsid w:val="23002A41"/>
    <w:rsid w:val="243E204B"/>
    <w:rsid w:val="24596E30"/>
    <w:rsid w:val="25DE1BBE"/>
    <w:rsid w:val="2634179D"/>
    <w:rsid w:val="26FD1D30"/>
    <w:rsid w:val="280800B8"/>
    <w:rsid w:val="28E9514E"/>
    <w:rsid w:val="299B1B74"/>
    <w:rsid w:val="2C4E12B2"/>
    <w:rsid w:val="2C5F2E56"/>
    <w:rsid w:val="2D061416"/>
    <w:rsid w:val="2E0E0B44"/>
    <w:rsid w:val="2E3E7C47"/>
    <w:rsid w:val="2F9C1A83"/>
    <w:rsid w:val="2FB56BC7"/>
    <w:rsid w:val="2FD960EE"/>
    <w:rsid w:val="304535E0"/>
    <w:rsid w:val="30610501"/>
    <w:rsid w:val="30C81DC9"/>
    <w:rsid w:val="30D1400B"/>
    <w:rsid w:val="311B7E2B"/>
    <w:rsid w:val="31CD6F8B"/>
    <w:rsid w:val="31F3318F"/>
    <w:rsid w:val="33BA0A5E"/>
    <w:rsid w:val="34B00BC9"/>
    <w:rsid w:val="35300883"/>
    <w:rsid w:val="393173E2"/>
    <w:rsid w:val="393223D3"/>
    <w:rsid w:val="3C025A83"/>
    <w:rsid w:val="3EED6EF7"/>
    <w:rsid w:val="3F2A37AE"/>
    <w:rsid w:val="3FEC17BB"/>
    <w:rsid w:val="402E6197"/>
    <w:rsid w:val="42453F26"/>
    <w:rsid w:val="42EF7B3C"/>
    <w:rsid w:val="446534E5"/>
    <w:rsid w:val="46410F44"/>
    <w:rsid w:val="46440B86"/>
    <w:rsid w:val="4AE02689"/>
    <w:rsid w:val="4BC60D6E"/>
    <w:rsid w:val="4C2630C7"/>
    <w:rsid w:val="4C417F01"/>
    <w:rsid w:val="4D3E004A"/>
    <w:rsid w:val="4FAE57E7"/>
    <w:rsid w:val="50932B61"/>
    <w:rsid w:val="51E11F6A"/>
    <w:rsid w:val="52290C08"/>
    <w:rsid w:val="53317E09"/>
    <w:rsid w:val="53AD47DF"/>
    <w:rsid w:val="55743980"/>
    <w:rsid w:val="574D00A2"/>
    <w:rsid w:val="578817AA"/>
    <w:rsid w:val="57C405C5"/>
    <w:rsid w:val="591A3FB4"/>
    <w:rsid w:val="5A262806"/>
    <w:rsid w:val="5C901A04"/>
    <w:rsid w:val="5CED1C7C"/>
    <w:rsid w:val="5EE65144"/>
    <w:rsid w:val="5F7206A6"/>
    <w:rsid w:val="60B46A9C"/>
    <w:rsid w:val="60B82A30"/>
    <w:rsid w:val="6194796A"/>
    <w:rsid w:val="61F523C2"/>
    <w:rsid w:val="640815D9"/>
    <w:rsid w:val="64ED3B96"/>
    <w:rsid w:val="65CB4FB4"/>
    <w:rsid w:val="668B3CE1"/>
    <w:rsid w:val="679413D5"/>
    <w:rsid w:val="67E204B7"/>
    <w:rsid w:val="685E5C6B"/>
    <w:rsid w:val="68746A68"/>
    <w:rsid w:val="68E7495C"/>
    <w:rsid w:val="69043BDE"/>
    <w:rsid w:val="69857039"/>
    <w:rsid w:val="69C0337A"/>
    <w:rsid w:val="6A0675D0"/>
    <w:rsid w:val="6AB00B71"/>
    <w:rsid w:val="6E1C4D3E"/>
    <w:rsid w:val="700F2DE0"/>
    <w:rsid w:val="72B166D3"/>
    <w:rsid w:val="72D134DE"/>
    <w:rsid w:val="732C4B81"/>
    <w:rsid w:val="7416564C"/>
    <w:rsid w:val="74691C0A"/>
    <w:rsid w:val="762B5088"/>
    <w:rsid w:val="767B20DE"/>
    <w:rsid w:val="77C76BE6"/>
    <w:rsid w:val="77F42131"/>
    <w:rsid w:val="7806291C"/>
    <w:rsid w:val="78533BDC"/>
    <w:rsid w:val="78A23952"/>
    <w:rsid w:val="79CC006A"/>
    <w:rsid w:val="7C577D74"/>
    <w:rsid w:val="7EB704DF"/>
    <w:rsid w:val="7EDE76AE"/>
    <w:rsid w:val="F3FFA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7"/>
    <w:qFormat/>
    <w:uiPriority w:val="9"/>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142"/>
    <w:qFormat/>
    <w:uiPriority w:val="9"/>
    <w:pPr>
      <w:keepNext/>
      <w:keepLines/>
      <w:spacing w:before="260" w:after="260" w:line="416" w:lineRule="auto"/>
      <w:outlineLvl w:val="2"/>
    </w:pPr>
    <w:rPr>
      <w:b/>
      <w:bCs/>
      <w:sz w:val="32"/>
      <w:szCs w:val="32"/>
    </w:rPr>
  </w:style>
  <w:style w:type="paragraph" w:styleId="5">
    <w:name w:val="heading 4"/>
    <w:basedOn w:val="1"/>
    <w:next w:val="1"/>
    <w:link w:val="165"/>
    <w:qFormat/>
    <w:uiPriority w:val="99"/>
    <w:pPr>
      <w:keepNext/>
      <w:keepLines/>
      <w:spacing w:line="360" w:lineRule="auto"/>
      <w:outlineLvl w:val="3"/>
    </w:pPr>
    <w:rPr>
      <w:rFonts w:ascii="Arial" w:hAnsi="Arial" w:cs="Times New Roman"/>
      <w:b/>
      <w:bCs/>
      <w:sz w:val="28"/>
      <w:szCs w:val="28"/>
    </w:rPr>
  </w:style>
  <w:style w:type="paragraph" w:styleId="6">
    <w:name w:val="heading 5"/>
    <w:basedOn w:val="1"/>
    <w:next w:val="1"/>
    <w:link w:val="85"/>
    <w:qFormat/>
    <w:uiPriority w:val="99"/>
    <w:pPr>
      <w:keepNext/>
      <w:keepLines/>
      <w:spacing w:before="280" w:after="290" w:line="376" w:lineRule="auto"/>
      <w:outlineLvl w:val="4"/>
    </w:pPr>
    <w:rPr>
      <w:rFonts w:cs="Times New Roman"/>
      <w:b/>
      <w:bCs/>
      <w:sz w:val="28"/>
      <w:szCs w:val="28"/>
    </w:rPr>
  </w:style>
  <w:style w:type="paragraph" w:styleId="7">
    <w:name w:val="heading 6"/>
    <w:basedOn w:val="1"/>
    <w:next w:val="1"/>
    <w:link w:val="173"/>
    <w:qFormat/>
    <w:uiPriority w:val="9"/>
    <w:pPr>
      <w:keepNext/>
      <w:keepLines/>
      <w:spacing w:before="240" w:after="64" w:line="317" w:lineRule="auto"/>
      <w:outlineLvl w:val="5"/>
    </w:pPr>
    <w:rPr>
      <w:rFonts w:ascii="Cambria" w:hAnsi="Cambria" w:cs="Times New Roman"/>
      <w:b/>
      <w:bCs/>
      <w:kern w:val="0"/>
      <w:sz w:val="24"/>
      <w:szCs w:val="24"/>
      <w:lang w:val="zh-CN"/>
    </w:rPr>
  </w:style>
  <w:style w:type="paragraph" w:styleId="8">
    <w:name w:val="heading 7"/>
    <w:basedOn w:val="1"/>
    <w:next w:val="1"/>
    <w:link w:val="77"/>
    <w:qFormat/>
    <w:uiPriority w:val="9"/>
    <w:pPr>
      <w:keepNext/>
      <w:keepLines/>
      <w:spacing w:before="240" w:after="64" w:line="317" w:lineRule="auto"/>
      <w:outlineLvl w:val="6"/>
    </w:pPr>
    <w:rPr>
      <w:rFonts w:cs="Times New Roman"/>
      <w:b/>
      <w:bCs/>
      <w:kern w:val="0"/>
      <w:sz w:val="24"/>
      <w:szCs w:val="24"/>
      <w:lang w:val="zh-CN"/>
    </w:rPr>
  </w:style>
  <w:style w:type="paragraph" w:styleId="9">
    <w:name w:val="heading 8"/>
    <w:basedOn w:val="1"/>
    <w:next w:val="1"/>
    <w:link w:val="175"/>
    <w:qFormat/>
    <w:uiPriority w:val="9"/>
    <w:pPr>
      <w:keepNext/>
      <w:keepLines/>
      <w:spacing w:before="240" w:after="64" w:line="317" w:lineRule="auto"/>
      <w:outlineLvl w:val="7"/>
    </w:pPr>
    <w:rPr>
      <w:rFonts w:ascii="Cambria" w:hAnsi="Cambria" w:cs="Times New Roman"/>
      <w:kern w:val="0"/>
      <w:sz w:val="24"/>
      <w:szCs w:val="24"/>
      <w:lang w:val="zh-CN"/>
    </w:rPr>
  </w:style>
  <w:style w:type="paragraph" w:styleId="10">
    <w:name w:val="heading 9"/>
    <w:basedOn w:val="1"/>
    <w:next w:val="1"/>
    <w:link w:val="99"/>
    <w:qFormat/>
    <w:uiPriority w:val="9"/>
    <w:pPr>
      <w:keepNext/>
      <w:keepLines/>
      <w:spacing w:before="240" w:after="64" w:line="317" w:lineRule="auto"/>
      <w:outlineLvl w:val="8"/>
    </w:pPr>
    <w:rPr>
      <w:rFonts w:ascii="Cambria" w:hAnsi="Cambria" w:cs="Times New Roman"/>
      <w:kern w:val="0"/>
      <w:sz w:val="20"/>
      <w:lang w:val="zh-CN"/>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cs="Calibri"/>
    </w:rPr>
  </w:style>
  <w:style w:type="paragraph" w:styleId="12">
    <w:name w:val="Normal Indent"/>
    <w:basedOn w:val="1"/>
    <w:qFormat/>
    <w:uiPriority w:val="99"/>
    <w:pPr>
      <w:ind w:firstLine="420"/>
    </w:pPr>
    <w:rPr>
      <w:rFonts w:ascii="Times New Roman" w:hAnsi="Times New Roman" w:cs="Times New Roman"/>
      <w:szCs w:val="20"/>
    </w:rPr>
  </w:style>
  <w:style w:type="paragraph" w:styleId="13">
    <w:name w:val="caption"/>
    <w:basedOn w:val="1"/>
    <w:next w:val="1"/>
    <w:qFormat/>
    <w:uiPriority w:val="99"/>
    <w:rPr>
      <w:rFonts w:ascii="Cambria" w:hAnsi="Cambria" w:eastAsia="黑体" w:cs="Cambria"/>
      <w:sz w:val="20"/>
      <w:szCs w:val="20"/>
    </w:rPr>
  </w:style>
  <w:style w:type="paragraph" w:styleId="14">
    <w:name w:val="Document Map"/>
    <w:basedOn w:val="1"/>
    <w:link w:val="170"/>
    <w:qFormat/>
    <w:uiPriority w:val="99"/>
    <w:pPr>
      <w:shd w:val="clear" w:color="auto" w:fill="000080"/>
    </w:pPr>
    <w:rPr>
      <w:kern w:val="0"/>
      <w:sz w:val="24"/>
      <w:szCs w:val="24"/>
      <w:shd w:val="clear" w:color="auto" w:fill="000080"/>
    </w:rPr>
  </w:style>
  <w:style w:type="paragraph" w:styleId="15">
    <w:name w:val="annotation text"/>
    <w:basedOn w:val="1"/>
    <w:link w:val="51"/>
    <w:qFormat/>
    <w:uiPriority w:val="99"/>
    <w:pPr>
      <w:jc w:val="left"/>
    </w:pPr>
  </w:style>
  <w:style w:type="paragraph" w:styleId="16">
    <w:name w:val="Body Text"/>
    <w:basedOn w:val="1"/>
    <w:link w:val="120"/>
    <w:qFormat/>
    <w:uiPriority w:val="99"/>
    <w:pPr>
      <w:adjustRightInd w:val="0"/>
      <w:spacing w:after="60" w:line="360" w:lineRule="atLeast"/>
      <w:ind w:left="72" w:leftChars="30" w:right="30" w:rightChars="30"/>
      <w:jc w:val="center"/>
      <w:textAlignment w:val="baseline"/>
    </w:pPr>
    <w:rPr>
      <w:kern w:val="0"/>
      <w:sz w:val="22"/>
      <w:szCs w:val="20"/>
    </w:rPr>
  </w:style>
  <w:style w:type="paragraph" w:styleId="17">
    <w:name w:val="Body Text Indent"/>
    <w:basedOn w:val="1"/>
    <w:link w:val="93"/>
    <w:qFormat/>
    <w:uiPriority w:val="99"/>
    <w:pPr>
      <w:spacing w:before="240" w:line="360" w:lineRule="auto"/>
      <w:ind w:firstLine="552" w:firstLineChars="263"/>
    </w:pPr>
    <w:rPr>
      <w:rFonts w:ascii="宋体"/>
      <w:kern w:val="0"/>
      <w:sz w:val="20"/>
      <w:szCs w:val="21"/>
    </w:rPr>
  </w:style>
  <w:style w:type="paragraph" w:styleId="18">
    <w:name w:val="index 4"/>
    <w:basedOn w:val="1"/>
    <w:next w:val="1"/>
    <w:qFormat/>
    <w:uiPriority w:val="99"/>
    <w:pPr>
      <w:ind w:left="600" w:leftChars="600"/>
    </w:pPr>
    <w:rPr>
      <w:rFonts w:cs="Times New Roman"/>
    </w:rPr>
  </w:style>
  <w:style w:type="paragraph" w:styleId="19">
    <w:name w:val="toc 5"/>
    <w:basedOn w:val="1"/>
    <w:next w:val="1"/>
    <w:qFormat/>
    <w:uiPriority w:val="39"/>
    <w:pPr>
      <w:ind w:left="1680" w:leftChars="800"/>
    </w:pPr>
    <w:rPr>
      <w:rFonts w:cs="Calibri"/>
    </w:rPr>
  </w:style>
  <w:style w:type="paragraph" w:styleId="20">
    <w:name w:val="toc 3"/>
    <w:basedOn w:val="1"/>
    <w:next w:val="1"/>
    <w:qFormat/>
    <w:uiPriority w:val="39"/>
    <w:pPr>
      <w:ind w:left="840" w:leftChars="400"/>
    </w:pPr>
  </w:style>
  <w:style w:type="paragraph" w:styleId="21">
    <w:name w:val="Plain Text"/>
    <w:basedOn w:val="1"/>
    <w:next w:val="5"/>
    <w:link w:val="153"/>
    <w:qFormat/>
    <w:uiPriority w:val="0"/>
    <w:rPr>
      <w:rFonts w:ascii="宋体" w:hAnsi="Courier New"/>
      <w:kern w:val="0"/>
      <w:sz w:val="24"/>
      <w:szCs w:val="24"/>
    </w:rPr>
  </w:style>
  <w:style w:type="paragraph" w:styleId="22">
    <w:name w:val="toc 8"/>
    <w:basedOn w:val="1"/>
    <w:next w:val="1"/>
    <w:qFormat/>
    <w:uiPriority w:val="39"/>
    <w:pPr>
      <w:ind w:left="2940" w:leftChars="1400"/>
    </w:pPr>
    <w:rPr>
      <w:rFonts w:cs="Calibri"/>
    </w:rPr>
  </w:style>
  <w:style w:type="paragraph" w:styleId="23">
    <w:name w:val="Date"/>
    <w:basedOn w:val="1"/>
    <w:next w:val="1"/>
    <w:link w:val="101"/>
    <w:qFormat/>
    <w:uiPriority w:val="99"/>
    <w:pPr>
      <w:ind w:left="100" w:leftChars="2500"/>
    </w:pPr>
    <w:rPr>
      <w:kern w:val="0"/>
      <w:sz w:val="24"/>
      <w:szCs w:val="24"/>
    </w:rPr>
  </w:style>
  <w:style w:type="paragraph" w:styleId="24">
    <w:name w:val="Body Text Indent 2"/>
    <w:basedOn w:val="1"/>
    <w:link w:val="133"/>
    <w:qFormat/>
    <w:uiPriority w:val="99"/>
    <w:pPr>
      <w:spacing w:after="120" w:line="480" w:lineRule="auto"/>
      <w:ind w:left="420" w:leftChars="200"/>
    </w:pPr>
    <w:rPr>
      <w:kern w:val="0"/>
      <w:sz w:val="24"/>
      <w:szCs w:val="24"/>
    </w:rPr>
  </w:style>
  <w:style w:type="paragraph" w:styleId="25">
    <w:name w:val="Balloon Text"/>
    <w:basedOn w:val="1"/>
    <w:link w:val="113"/>
    <w:qFormat/>
    <w:uiPriority w:val="99"/>
    <w:rPr>
      <w:sz w:val="18"/>
      <w:szCs w:val="18"/>
    </w:rPr>
  </w:style>
  <w:style w:type="paragraph" w:styleId="26">
    <w:name w:val="footer"/>
    <w:basedOn w:val="1"/>
    <w:link w:val="108"/>
    <w:qFormat/>
    <w:uiPriority w:val="99"/>
    <w:pPr>
      <w:tabs>
        <w:tab w:val="center" w:pos="4153"/>
        <w:tab w:val="right" w:pos="8306"/>
      </w:tabs>
      <w:snapToGrid w:val="0"/>
      <w:jc w:val="left"/>
    </w:pPr>
    <w:rPr>
      <w:sz w:val="18"/>
      <w:szCs w:val="18"/>
    </w:rPr>
  </w:style>
  <w:style w:type="paragraph" w:styleId="27">
    <w:name w:val="header"/>
    <w:basedOn w:val="1"/>
    <w:link w:val="136"/>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toc 4"/>
    <w:basedOn w:val="1"/>
    <w:next w:val="1"/>
    <w:qFormat/>
    <w:uiPriority w:val="39"/>
    <w:pPr>
      <w:ind w:left="1260" w:leftChars="600"/>
    </w:pPr>
    <w:rPr>
      <w:rFonts w:cs="Calibri"/>
    </w:rPr>
  </w:style>
  <w:style w:type="paragraph" w:styleId="30">
    <w:name w:val="Subtitle"/>
    <w:basedOn w:val="1"/>
    <w:next w:val="1"/>
    <w:link w:val="78"/>
    <w:qFormat/>
    <w:uiPriority w:val="11"/>
    <w:pPr>
      <w:spacing w:before="240" w:after="60" w:line="312" w:lineRule="auto"/>
      <w:jc w:val="center"/>
      <w:outlineLvl w:val="1"/>
    </w:pPr>
    <w:rPr>
      <w:rFonts w:ascii="Cambria" w:hAnsi="Cambria" w:cs="Times New Roman"/>
      <w:b/>
      <w:bCs/>
      <w:kern w:val="28"/>
      <w:sz w:val="32"/>
      <w:szCs w:val="32"/>
    </w:rPr>
  </w:style>
  <w:style w:type="paragraph" w:styleId="31">
    <w:name w:val="footnote text"/>
    <w:basedOn w:val="1"/>
    <w:link w:val="125"/>
    <w:qFormat/>
    <w:uiPriority w:val="99"/>
    <w:pPr>
      <w:adjustRightInd w:val="0"/>
      <w:spacing w:line="312" w:lineRule="atLeast"/>
      <w:jc w:val="left"/>
      <w:textAlignment w:val="baseline"/>
    </w:pPr>
    <w:rPr>
      <w:kern w:val="0"/>
      <w:sz w:val="18"/>
      <w:szCs w:val="18"/>
    </w:rPr>
  </w:style>
  <w:style w:type="paragraph" w:styleId="32">
    <w:name w:val="toc 6"/>
    <w:basedOn w:val="1"/>
    <w:next w:val="1"/>
    <w:qFormat/>
    <w:uiPriority w:val="39"/>
    <w:pPr>
      <w:ind w:left="2100" w:leftChars="1000"/>
    </w:pPr>
    <w:rPr>
      <w:rFonts w:cs="Calibri"/>
    </w:rPr>
  </w:style>
  <w:style w:type="paragraph" w:styleId="33">
    <w:name w:val="toc 2"/>
    <w:basedOn w:val="1"/>
    <w:next w:val="1"/>
    <w:qFormat/>
    <w:uiPriority w:val="39"/>
    <w:pPr>
      <w:ind w:left="420" w:leftChars="200"/>
    </w:pPr>
  </w:style>
  <w:style w:type="paragraph" w:styleId="34">
    <w:name w:val="toc 9"/>
    <w:basedOn w:val="1"/>
    <w:next w:val="1"/>
    <w:qFormat/>
    <w:uiPriority w:val="39"/>
    <w:pPr>
      <w:ind w:left="3360" w:leftChars="1600"/>
    </w:pPr>
    <w:rPr>
      <w:rFonts w:cs="Calibri"/>
    </w:rPr>
  </w:style>
  <w:style w:type="paragraph" w:styleId="35">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6">
    <w:name w:val="Title"/>
    <w:basedOn w:val="1"/>
    <w:next w:val="1"/>
    <w:link w:val="76"/>
    <w:qFormat/>
    <w:uiPriority w:val="99"/>
    <w:pPr>
      <w:spacing w:before="240" w:after="60"/>
      <w:jc w:val="center"/>
      <w:outlineLvl w:val="0"/>
    </w:pPr>
    <w:rPr>
      <w:rFonts w:ascii="Cambria" w:hAnsi="Cambria" w:cs="Cambria"/>
      <w:b/>
      <w:bCs/>
      <w:kern w:val="0"/>
      <w:sz w:val="32"/>
      <w:szCs w:val="32"/>
    </w:rPr>
  </w:style>
  <w:style w:type="paragraph" w:styleId="37">
    <w:name w:val="annotation subject"/>
    <w:basedOn w:val="15"/>
    <w:next w:val="15"/>
    <w:link w:val="68"/>
    <w:qFormat/>
    <w:uiPriority w:val="99"/>
    <w:rPr>
      <w:b/>
      <w:bCs/>
    </w:rPr>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bCs/>
    </w:rPr>
  </w:style>
  <w:style w:type="character" w:styleId="42">
    <w:name w:val="page number"/>
    <w:basedOn w:val="40"/>
    <w:qFormat/>
    <w:uiPriority w:val="99"/>
  </w:style>
  <w:style w:type="character" w:styleId="43">
    <w:name w:val="FollowedHyperlink"/>
    <w:qFormat/>
    <w:uiPriority w:val="99"/>
    <w:rPr>
      <w:color w:val="800080"/>
      <w:u w:val="single"/>
    </w:rPr>
  </w:style>
  <w:style w:type="character" w:styleId="44">
    <w:name w:val="Emphasis"/>
    <w:qFormat/>
    <w:uiPriority w:val="99"/>
    <w:rPr>
      <w:i/>
      <w:iCs/>
    </w:rPr>
  </w:style>
  <w:style w:type="character" w:styleId="45">
    <w:name w:val="Hyperlink"/>
    <w:basedOn w:val="40"/>
    <w:qFormat/>
    <w:uiPriority w:val="99"/>
    <w:rPr>
      <w:color w:val="0563C1"/>
      <w:u w:val="single"/>
    </w:rPr>
  </w:style>
  <w:style w:type="character" w:styleId="46">
    <w:name w:val="annotation reference"/>
    <w:basedOn w:val="40"/>
    <w:qFormat/>
    <w:uiPriority w:val="99"/>
    <w:rPr>
      <w:sz w:val="21"/>
      <w:szCs w:val="21"/>
    </w:rPr>
  </w:style>
  <w:style w:type="paragraph" w:customStyle="1" w:styleId="47">
    <w:name w:val="正文首行缩进 21"/>
    <w:basedOn w:val="48"/>
    <w:qFormat/>
    <w:uiPriority w:val="0"/>
    <w:pPr>
      <w:ind w:firstLine="420" w:firstLineChars="200"/>
    </w:pPr>
    <w:rPr>
      <w:rFonts w:ascii="Times New Roman" w:hAnsi="Times New Roman" w:eastAsia="宋体" w:cs="Times New Roman"/>
    </w:rPr>
  </w:style>
  <w:style w:type="paragraph" w:customStyle="1" w:styleId="48">
    <w:name w:val="正文文本缩进1"/>
    <w:basedOn w:val="1"/>
    <w:qFormat/>
    <w:uiPriority w:val="0"/>
    <w:pPr>
      <w:ind w:left="420" w:leftChars="200"/>
    </w:pPr>
    <w:rPr>
      <w:rFonts w:ascii="Times New Roman" w:hAnsi="Times New Roman" w:eastAsia="宋体" w:cs="Calibri"/>
    </w:rPr>
  </w:style>
  <w:style w:type="character" w:customStyle="1" w:styleId="49">
    <w:name w:val="标题 1 字符"/>
    <w:basedOn w:val="40"/>
    <w:link w:val="2"/>
    <w:qFormat/>
    <w:uiPriority w:val="9"/>
    <w:rPr>
      <w:b/>
      <w:bCs/>
      <w:kern w:val="44"/>
      <w:sz w:val="44"/>
      <w:szCs w:val="44"/>
    </w:rPr>
  </w:style>
  <w:style w:type="paragraph" w:customStyle="1" w:styleId="50">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51">
    <w:name w:val="批注文字 字符"/>
    <w:basedOn w:val="40"/>
    <w:link w:val="15"/>
    <w:qFormat/>
    <w:uiPriority w:val="99"/>
  </w:style>
  <w:style w:type="paragraph" w:customStyle="1" w:styleId="52">
    <w:name w:val="列出段落1"/>
    <w:basedOn w:val="1"/>
    <w:qFormat/>
    <w:uiPriority w:val="99"/>
    <w:pPr>
      <w:ind w:firstLine="420" w:firstLineChars="200"/>
    </w:pPr>
    <w:rPr>
      <w:rFonts w:cs="Calibri"/>
    </w:rPr>
  </w:style>
  <w:style w:type="character" w:customStyle="1" w:styleId="53">
    <w:name w:val="标题5 Char Char"/>
    <w:link w:val="54"/>
    <w:qFormat/>
    <w:uiPriority w:val="99"/>
    <w:rPr>
      <w:rFonts w:ascii="Arial" w:hAnsi="Arial" w:cs="Arial"/>
      <w:b/>
      <w:bCs/>
      <w:sz w:val="32"/>
      <w:szCs w:val="32"/>
    </w:rPr>
  </w:style>
  <w:style w:type="paragraph" w:customStyle="1" w:styleId="54">
    <w:name w:val="标题5"/>
    <w:basedOn w:val="4"/>
    <w:link w:val="53"/>
    <w:qFormat/>
    <w:uiPriority w:val="99"/>
    <w:pPr>
      <w:spacing w:line="413" w:lineRule="auto"/>
    </w:pPr>
    <w:rPr>
      <w:rFonts w:ascii="Arial" w:hAnsi="Arial" w:cs="Arial"/>
      <w:kern w:val="0"/>
    </w:rPr>
  </w:style>
  <w:style w:type="paragraph" w:customStyle="1" w:styleId="55">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56">
    <w:name w:val="明显引用1"/>
    <w:basedOn w:val="1"/>
    <w:next w:val="1"/>
    <w:link w:val="104"/>
    <w:qFormat/>
    <w:uiPriority w:val="99"/>
    <w:pPr>
      <w:pBdr>
        <w:bottom w:val="single" w:color="4F81BD" w:sz="4" w:space="4"/>
      </w:pBdr>
      <w:spacing w:before="200" w:after="280"/>
      <w:ind w:left="936" w:right="936"/>
    </w:pPr>
    <w:rPr>
      <w:b/>
      <w:bCs/>
      <w:i/>
      <w:iCs/>
      <w:color w:val="4F81BD"/>
      <w:kern w:val="0"/>
      <w:sz w:val="20"/>
      <w:szCs w:val="20"/>
    </w:rPr>
  </w:style>
  <w:style w:type="paragraph" w:customStyle="1" w:styleId="57">
    <w:name w:val="Char"/>
    <w:basedOn w:val="1"/>
    <w:qFormat/>
    <w:uiPriority w:val="99"/>
    <w:pPr>
      <w:widowControl/>
      <w:spacing w:after="160" w:line="240" w:lineRule="exact"/>
      <w:jc w:val="left"/>
    </w:pPr>
    <w:rPr>
      <w:rFonts w:cs="Times New Roman"/>
    </w:rPr>
  </w:style>
  <w:style w:type="paragraph" w:customStyle="1" w:styleId="58">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59">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60">
    <w:name w:val="2-2ji"/>
    <w:basedOn w:val="3"/>
    <w:qFormat/>
    <w:uiPriority w:val="99"/>
    <w:pPr>
      <w:spacing w:before="0" w:after="0" w:line="360" w:lineRule="auto"/>
      <w:jc w:val="center"/>
    </w:pPr>
    <w:rPr>
      <w:rFonts w:ascii="宋体" w:hAnsi="宋体"/>
      <w:sz w:val="36"/>
      <w:szCs w:val="36"/>
      <w:lang w:val="zh-CN"/>
    </w:rPr>
  </w:style>
  <w:style w:type="character" w:customStyle="1" w:styleId="61">
    <w:name w:val="Char Char9"/>
    <w:qFormat/>
    <w:uiPriority w:val="99"/>
    <w:rPr>
      <w:rFonts w:eastAsia="宋体"/>
      <w:b/>
      <w:bCs/>
      <w:kern w:val="44"/>
      <w:sz w:val="44"/>
      <w:szCs w:val="44"/>
      <w:lang w:val="en-US" w:eastAsia="zh-CN"/>
    </w:rPr>
  </w:style>
  <w:style w:type="character" w:customStyle="1" w:styleId="62">
    <w:name w:val="fontstyle31"/>
    <w:qFormat/>
    <w:uiPriority w:val="0"/>
    <w:rPr>
      <w:rFonts w:hint="eastAsia" w:ascii="黑体" w:hAnsi="黑体" w:eastAsia="黑体"/>
      <w:color w:val="000000"/>
      <w:sz w:val="28"/>
      <w:szCs w:val="28"/>
    </w:rPr>
  </w:style>
  <w:style w:type="character" w:customStyle="1" w:styleId="63">
    <w:name w:val="Document Map Char"/>
    <w:qFormat/>
    <w:uiPriority w:val="99"/>
    <w:rPr>
      <w:rFonts w:eastAsia="宋体"/>
      <w:kern w:val="2"/>
      <w:sz w:val="24"/>
      <w:szCs w:val="24"/>
      <w:lang w:val="en-US" w:eastAsia="zh-CN"/>
    </w:rPr>
  </w:style>
  <w:style w:type="character" w:customStyle="1" w:styleId="64">
    <w:name w:val="批注文字 Char Char"/>
    <w:qFormat/>
    <w:uiPriority w:val="99"/>
    <w:rPr>
      <w:rFonts w:ascii="宋体" w:hAnsi="Times New Roman" w:eastAsia="宋体" w:cs="宋体"/>
      <w:sz w:val="20"/>
      <w:szCs w:val="20"/>
    </w:rPr>
  </w:style>
  <w:style w:type="paragraph" w:customStyle="1" w:styleId="65">
    <w:name w:val="正文_2_0"/>
    <w:qFormat/>
    <w:uiPriority w:val="0"/>
    <w:pPr>
      <w:widowControl w:val="0"/>
      <w:jc w:val="both"/>
    </w:pPr>
    <w:rPr>
      <w:rFonts w:ascii="Calibri" w:hAnsi="Calibri" w:eastAsia="宋体" w:cs="Times New Roman"/>
      <w:kern w:val="2"/>
      <w:sz w:val="21"/>
      <w:szCs w:val="22"/>
      <w:lang w:val="en-US" w:eastAsia="zh-CN" w:bidi="ar-SA"/>
    </w:rPr>
  </w:style>
  <w:style w:type="paragraph" w:styleId="6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列出段落2"/>
    <w:basedOn w:val="1"/>
    <w:qFormat/>
    <w:uiPriority w:val="99"/>
    <w:pPr>
      <w:ind w:firstLine="420" w:firstLineChars="200"/>
    </w:pPr>
    <w:rPr>
      <w:rFonts w:cs="Calibri"/>
    </w:rPr>
  </w:style>
  <w:style w:type="character" w:customStyle="1" w:styleId="68">
    <w:name w:val="批注主题 字符"/>
    <w:basedOn w:val="51"/>
    <w:link w:val="37"/>
    <w:qFormat/>
    <w:uiPriority w:val="99"/>
    <w:rPr>
      <w:b/>
      <w:bCs/>
    </w:rPr>
  </w:style>
  <w:style w:type="paragraph" w:customStyle="1" w:styleId="69">
    <w:name w:val="Char Char Char Char Char Char Char"/>
    <w:basedOn w:val="1"/>
    <w:qFormat/>
    <w:uiPriority w:val="99"/>
    <w:pPr>
      <w:widowControl/>
      <w:spacing w:after="160" w:line="240" w:lineRule="exact"/>
      <w:jc w:val="left"/>
    </w:pPr>
    <w:rPr>
      <w:rFonts w:cs="Times New Roman"/>
    </w:rPr>
  </w:style>
  <w:style w:type="character" w:customStyle="1" w:styleId="70">
    <w:name w:val="纯文本 Char1"/>
    <w:qFormat/>
    <w:uiPriority w:val="99"/>
    <w:rPr>
      <w:rFonts w:ascii="宋体" w:hAnsi="Courier New" w:eastAsia="宋体" w:cs="宋体"/>
      <w:sz w:val="21"/>
      <w:szCs w:val="21"/>
    </w:rPr>
  </w:style>
  <w:style w:type="paragraph" w:customStyle="1" w:styleId="71">
    <w:name w:val="标题4"/>
    <w:basedOn w:val="3"/>
    <w:next w:val="18"/>
    <w:link w:val="128"/>
    <w:qFormat/>
    <w:uiPriority w:val="99"/>
    <w:pPr>
      <w:spacing w:before="60" w:after="60" w:line="413" w:lineRule="auto"/>
    </w:pPr>
    <w:rPr>
      <w:rFonts w:ascii="Arial" w:hAnsi="Arial" w:cs="Arial"/>
      <w:kern w:val="0"/>
    </w:rPr>
  </w:style>
  <w:style w:type="paragraph" w:customStyle="1" w:styleId="72">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73">
    <w:name w:val="Char Char18"/>
    <w:qFormat/>
    <w:uiPriority w:val="99"/>
    <w:rPr>
      <w:rFonts w:ascii="Times New Roman" w:hAnsi="Times New Roman" w:eastAsia="宋体" w:cs="Times New Roman"/>
      <w:b/>
      <w:bCs/>
      <w:sz w:val="28"/>
      <w:szCs w:val="28"/>
    </w:rPr>
  </w:style>
  <w:style w:type="character" w:customStyle="1" w:styleId="74">
    <w:name w:val="正文文本缩进 2 Char1"/>
    <w:basedOn w:val="40"/>
    <w:qFormat/>
    <w:uiPriority w:val="99"/>
    <w:rPr>
      <w:kern w:val="2"/>
      <w:sz w:val="21"/>
      <w:szCs w:val="22"/>
    </w:rPr>
  </w:style>
  <w:style w:type="character" w:customStyle="1" w:styleId="75">
    <w:name w:val="Comment Text Char"/>
    <w:qFormat/>
    <w:uiPriority w:val="99"/>
    <w:rPr>
      <w:sz w:val="24"/>
      <w:szCs w:val="24"/>
    </w:rPr>
  </w:style>
  <w:style w:type="character" w:customStyle="1" w:styleId="76">
    <w:name w:val="标题 字符"/>
    <w:link w:val="36"/>
    <w:qFormat/>
    <w:uiPriority w:val="99"/>
    <w:rPr>
      <w:rFonts w:ascii="Cambria" w:hAnsi="Cambria" w:cs="Cambria"/>
      <w:b/>
      <w:bCs/>
      <w:sz w:val="32"/>
      <w:szCs w:val="32"/>
    </w:rPr>
  </w:style>
  <w:style w:type="character" w:customStyle="1" w:styleId="77">
    <w:name w:val="标题 7 字符"/>
    <w:basedOn w:val="40"/>
    <w:link w:val="8"/>
    <w:qFormat/>
    <w:uiPriority w:val="9"/>
    <w:rPr>
      <w:rFonts w:ascii="Calibri" w:hAnsi="Calibri" w:eastAsia="宋体" w:cs="Times New Roman"/>
      <w:b/>
      <w:bCs/>
      <w:sz w:val="24"/>
      <w:szCs w:val="24"/>
      <w:lang w:val="zh-CN" w:eastAsia="zh-CN"/>
    </w:rPr>
  </w:style>
  <w:style w:type="character" w:customStyle="1" w:styleId="78">
    <w:name w:val="副标题 字符"/>
    <w:link w:val="30"/>
    <w:qFormat/>
    <w:uiPriority w:val="11"/>
    <w:rPr>
      <w:rFonts w:ascii="Cambria" w:hAnsi="Cambria" w:cs="Times New Roman"/>
      <w:b/>
      <w:bCs/>
      <w:kern w:val="28"/>
      <w:sz w:val="32"/>
      <w:szCs w:val="32"/>
    </w:rPr>
  </w:style>
  <w:style w:type="character" w:customStyle="1" w:styleId="79">
    <w:name w:val="fontstyle51"/>
    <w:qFormat/>
    <w:uiPriority w:val="0"/>
    <w:rPr>
      <w:rFonts w:hint="eastAsia" w:ascii="楷体" w:hAnsi="楷体" w:eastAsia="楷体"/>
      <w:color w:val="000000"/>
      <w:sz w:val="22"/>
      <w:szCs w:val="22"/>
    </w:rPr>
  </w:style>
  <w:style w:type="character" w:customStyle="1" w:styleId="80">
    <w:name w:val="日期 Char1"/>
    <w:qFormat/>
    <w:uiPriority w:val="99"/>
    <w:rPr>
      <w:rFonts w:ascii="Times New Roman" w:hAnsi="Times New Roman" w:eastAsia="宋体" w:cs="Times New Roman"/>
      <w:sz w:val="24"/>
      <w:szCs w:val="24"/>
    </w:rPr>
  </w:style>
  <w:style w:type="character" w:customStyle="1" w:styleId="81">
    <w:name w:val="标题 2 Char_0"/>
    <w:link w:val="82"/>
    <w:qFormat/>
    <w:uiPriority w:val="9"/>
    <w:rPr>
      <w:rFonts w:ascii="Arial" w:hAnsi="Arial" w:eastAsia="黑体" w:cs="Times New Roman"/>
      <w:b/>
      <w:kern w:val="2"/>
      <w:sz w:val="32"/>
    </w:rPr>
  </w:style>
  <w:style w:type="paragraph" w:customStyle="1" w:styleId="82">
    <w:name w:val="标题 2_0"/>
    <w:basedOn w:val="83"/>
    <w:next w:val="83"/>
    <w:link w:val="81"/>
    <w:qFormat/>
    <w:uiPriority w:val="9"/>
    <w:pPr>
      <w:keepNext/>
      <w:keepLines/>
      <w:spacing w:before="260" w:after="260" w:line="412" w:lineRule="auto"/>
      <w:outlineLvl w:val="1"/>
    </w:pPr>
    <w:rPr>
      <w:rFonts w:ascii="Arial" w:hAnsi="Arial" w:eastAsia="黑体"/>
      <w:b/>
      <w:sz w:val="32"/>
      <w:szCs w:val="20"/>
    </w:rPr>
  </w:style>
  <w:style w:type="paragraph" w:customStyle="1" w:styleId="83">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1"/>
    <w:basedOn w:val="1"/>
    <w:next w:val="1"/>
    <w:qFormat/>
    <w:uiPriority w:val="99"/>
    <w:rPr>
      <w:rFonts w:cs="Times New Roman"/>
    </w:rPr>
  </w:style>
  <w:style w:type="character" w:customStyle="1" w:styleId="85">
    <w:name w:val="标题 5 字符"/>
    <w:basedOn w:val="40"/>
    <w:link w:val="6"/>
    <w:qFormat/>
    <w:uiPriority w:val="99"/>
    <w:rPr>
      <w:rFonts w:ascii="Calibri" w:hAnsi="Calibri" w:eastAsia="宋体" w:cs="Times New Roman"/>
      <w:b/>
      <w:bCs/>
      <w:kern w:val="2"/>
      <w:sz w:val="28"/>
      <w:szCs w:val="28"/>
    </w:rPr>
  </w:style>
  <w:style w:type="character" w:customStyle="1" w:styleId="86">
    <w:name w:val="fontstyle01"/>
    <w:qFormat/>
    <w:uiPriority w:val="0"/>
    <w:rPr>
      <w:rFonts w:hint="eastAsia" w:ascii="宋体" w:hAnsi="宋体" w:eastAsia="宋体"/>
      <w:color w:val="000000"/>
      <w:sz w:val="22"/>
      <w:szCs w:val="22"/>
    </w:rPr>
  </w:style>
  <w:style w:type="character" w:customStyle="1" w:styleId="87">
    <w:name w:val="Char Char22"/>
    <w:qFormat/>
    <w:uiPriority w:val="99"/>
    <w:rPr>
      <w:rFonts w:ascii="Times New Roman" w:hAnsi="Times New Roman" w:eastAsia="宋体" w:cs="Times New Roman"/>
      <w:b/>
      <w:bCs/>
      <w:kern w:val="44"/>
      <w:sz w:val="44"/>
      <w:szCs w:val="44"/>
    </w:rPr>
  </w:style>
  <w:style w:type="paragraph" w:customStyle="1" w:styleId="88">
    <w:name w:val="表格文字"/>
    <w:basedOn w:val="1"/>
    <w:qFormat/>
    <w:uiPriority w:val="0"/>
    <w:pPr>
      <w:adjustRightInd w:val="0"/>
      <w:spacing w:line="420" w:lineRule="atLeast"/>
      <w:jc w:val="left"/>
    </w:pPr>
    <w:rPr>
      <w:kern w:val="0"/>
    </w:rPr>
  </w:style>
  <w:style w:type="character" w:customStyle="1" w:styleId="89">
    <w:name w:val="Footer Char_f919cd91-eb35-4353-bc59-300dcbba211f"/>
    <w:qFormat/>
    <w:uiPriority w:val="99"/>
    <w:rPr>
      <w:rFonts w:eastAsia="宋体"/>
      <w:kern w:val="2"/>
      <w:sz w:val="18"/>
      <w:szCs w:val="18"/>
      <w:lang w:val="en-US" w:eastAsia="zh-CN"/>
    </w:rPr>
  </w:style>
  <w:style w:type="character" w:customStyle="1" w:styleId="90">
    <w:name w:val="Char Char91"/>
    <w:qFormat/>
    <w:uiPriority w:val="99"/>
    <w:rPr>
      <w:rFonts w:eastAsia="宋体"/>
      <w:b/>
      <w:bCs/>
      <w:kern w:val="44"/>
      <w:sz w:val="44"/>
      <w:szCs w:val="44"/>
      <w:lang w:val="en-US" w:eastAsia="zh-CN"/>
    </w:rPr>
  </w:style>
  <w:style w:type="paragraph" w:customStyle="1" w:styleId="91">
    <w:name w:val="修订1"/>
    <w:qFormat/>
    <w:uiPriority w:val="99"/>
    <w:rPr>
      <w:rFonts w:ascii="Calibri" w:hAnsi="Calibri" w:eastAsia="宋体" w:cs="宋体"/>
      <w:kern w:val="2"/>
      <w:sz w:val="21"/>
      <w:szCs w:val="22"/>
      <w:lang w:val="en-US" w:eastAsia="zh-CN" w:bidi="ar-SA"/>
    </w:rPr>
  </w:style>
  <w:style w:type="character" w:customStyle="1" w:styleId="92">
    <w:name w:val="Body Text Indent Char"/>
    <w:qFormat/>
    <w:uiPriority w:val="99"/>
    <w:rPr>
      <w:rFonts w:ascii="宋体" w:hAnsi="宋体" w:eastAsia="宋体" w:cs="宋体"/>
      <w:kern w:val="2"/>
      <w:sz w:val="21"/>
      <w:szCs w:val="21"/>
      <w:lang w:val="en-US" w:eastAsia="zh-CN"/>
    </w:rPr>
  </w:style>
  <w:style w:type="character" w:customStyle="1" w:styleId="93">
    <w:name w:val="正文文本缩进 字符"/>
    <w:link w:val="17"/>
    <w:qFormat/>
    <w:uiPriority w:val="99"/>
    <w:rPr>
      <w:rFonts w:ascii="宋体" w:eastAsia="宋体" w:cs="宋体"/>
      <w:szCs w:val="21"/>
    </w:rPr>
  </w:style>
  <w:style w:type="character" w:customStyle="1" w:styleId="94">
    <w:name w:val="Char Char24"/>
    <w:qFormat/>
    <w:uiPriority w:val="99"/>
    <w:rPr>
      <w:rFonts w:eastAsia="宋体"/>
      <w:b/>
      <w:bCs/>
      <w:kern w:val="44"/>
      <w:sz w:val="44"/>
      <w:szCs w:val="44"/>
      <w:lang w:val="en-US" w:eastAsia="zh-CN"/>
    </w:rPr>
  </w:style>
  <w:style w:type="character" w:customStyle="1" w:styleId="95">
    <w:name w:val="textcontents"/>
    <w:qFormat/>
    <w:uiPriority w:val="99"/>
  </w:style>
  <w:style w:type="character" w:customStyle="1" w:styleId="96">
    <w:name w:val="明显参考1"/>
    <w:qFormat/>
    <w:uiPriority w:val="99"/>
    <w:rPr>
      <w:b/>
      <w:bCs/>
      <w:smallCaps/>
      <w:color w:val="auto"/>
      <w:spacing w:val="5"/>
      <w:u w:val="single"/>
    </w:rPr>
  </w:style>
  <w:style w:type="character" w:customStyle="1" w:styleId="97">
    <w:name w:val="不明显参考1"/>
    <w:qFormat/>
    <w:uiPriority w:val="99"/>
    <w:rPr>
      <w:smallCaps/>
      <w:color w:val="auto"/>
      <w:u w:val="single"/>
    </w:rPr>
  </w:style>
  <w:style w:type="character" w:customStyle="1" w:styleId="98">
    <w:name w:val="Heading 1 Char_2fdc1ecf-6629-46d8-bd7f-c6c0f8e57834"/>
    <w:qFormat/>
    <w:uiPriority w:val="99"/>
    <w:rPr>
      <w:rFonts w:eastAsia="宋体"/>
      <w:b/>
      <w:bCs/>
      <w:kern w:val="44"/>
      <w:sz w:val="44"/>
      <w:szCs w:val="44"/>
      <w:lang w:val="en-US" w:eastAsia="zh-CN"/>
    </w:rPr>
  </w:style>
  <w:style w:type="character" w:customStyle="1" w:styleId="99">
    <w:name w:val="标题 9 字符"/>
    <w:basedOn w:val="40"/>
    <w:link w:val="10"/>
    <w:qFormat/>
    <w:uiPriority w:val="9"/>
    <w:rPr>
      <w:rFonts w:ascii="Cambria" w:hAnsi="Cambria" w:eastAsia="宋体" w:cs="Times New Roman"/>
      <w:szCs w:val="22"/>
      <w:lang w:val="zh-CN" w:eastAsia="zh-CN"/>
    </w:rPr>
  </w:style>
  <w:style w:type="character" w:customStyle="1" w:styleId="100">
    <w:name w:val="纯文本 Char2"/>
    <w:basedOn w:val="40"/>
    <w:qFormat/>
    <w:uiPriority w:val="0"/>
    <w:rPr>
      <w:rFonts w:ascii="宋体" w:hAnsi="Courier New" w:eastAsia="宋体" w:cs="Courier New"/>
      <w:kern w:val="2"/>
      <w:sz w:val="21"/>
      <w:szCs w:val="21"/>
    </w:rPr>
  </w:style>
  <w:style w:type="character" w:customStyle="1" w:styleId="101">
    <w:name w:val="日期 字符"/>
    <w:link w:val="23"/>
    <w:qFormat/>
    <w:uiPriority w:val="99"/>
    <w:rPr>
      <w:sz w:val="24"/>
      <w:szCs w:val="24"/>
    </w:rPr>
  </w:style>
  <w:style w:type="paragraph" w:customStyle="1" w:styleId="102">
    <w:name w:val="样式 标题 3 + (中文) 黑体 小四 非加粗 段前: 7.8 磅 段后: 0 磅 行距: 固定值 20 磅"/>
    <w:basedOn w:val="4"/>
    <w:qFormat/>
    <w:uiPriority w:val="99"/>
    <w:pPr>
      <w:spacing w:before="0" w:after="0" w:line="400" w:lineRule="exact"/>
    </w:pPr>
    <w:rPr>
      <w:rFonts w:eastAsia="黑体" w:cs="Times New Roman"/>
      <w:b w:val="0"/>
      <w:bCs w:val="0"/>
      <w:lang w:val="zh-CN"/>
    </w:rPr>
  </w:style>
  <w:style w:type="character" w:customStyle="1" w:styleId="103">
    <w:name w:val="Plain Text Char"/>
    <w:qFormat/>
    <w:uiPriority w:val="99"/>
    <w:rPr>
      <w:rFonts w:ascii="宋体" w:hAnsi="Courier New" w:eastAsia="宋体" w:cs="宋体"/>
      <w:sz w:val="24"/>
      <w:szCs w:val="24"/>
    </w:rPr>
  </w:style>
  <w:style w:type="character" w:customStyle="1" w:styleId="104">
    <w:name w:val="明显引用 Char"/>
    <w:link w:val="56"/>
    <w:qFormat/>
    <w:uiPriority w:val="99"/>
    <w:rPr>
      <w:b/>
      <w:bCs/>
      <w:i/>
      <w:iCs/>
      <w:color w:val="4F81BD"/>
    </w:rPr>
  </w:style>
  <w:style w:type="character" w:customStyle="1" w:styleId="105">
    <w:name w:val="批注框文本 Char1"/>
    <w:qFormat/>
    <w:uiPriority w:val="99"/>
    <w:rPr>
      <w:rFonts w:ascii="Times New Roman" w:hAnsi="Times New Roman" w:eastAsia="宋体" w:cs="Times New Roman"/>
      <w:sz w:val="18"/>
      <w:szCs w:val="18"/>
    </w:rPr>
  </w:style>
  <w:style w:type="character" w:customStyle="1" w:styleId="106">
    <w:name w:val="Char Char181"/>
    <w:qFormat/>
    <w:uiPriority w:val="99"/>
    <w:rPr>
      <w:b/>
      <w:bCs/>
      <w:kern w:val="44"/>
      <w:sz w:val="44"/>
      <w:szCs w:val="44"/>
    </w:rPr>
  </w:style>
  <w:style w:type="character" w:customStyle="1" w:styleId="107">
    <w:name w:val="Comment Subject Char"/>
    <w:qFormat/>
    <w:uiPriority w:val="99"/>
    <w:rPr>
      <w:b/>
      <w:bCs/>
      <w:sz w:val="24"/>
      <w:szCs w:val="24"/>
    </w:rPr>
  </w:style>
  <w:style w:type="character" w:customStyle="1" w:styleId="108">
    <w:name w:val="页脚 字符"/>
    <w:basedOn w:val="40"/>
    <w:link w:val="26"/>
    <w:qFormat/>
    <w:uiPriority w:val="99"/>
    <w:rPr>
      <w:sz w:val="18"/>
      <w:szCs w:val="18"/>
    </w:rPr>
  </w:style>
  <w:style w:type="paragraph" w:customStyle="1" w:styleId="109">
    <w:name w:val="标题 3_0"/>
    <w:basedOn w:val="83"/>
    <w:next w:val="83"/>
    <w:link w:val="121"/>
    <w:qFormat/>
    <w:uiPriority w:val="9"/>
    <w:pPr>
      <w:keepNext/>
      <w:keepLines/>
      <w:spacing w:before="260" w:after="260" w:line="416" w:lineRule="auto"/>
      <w:outlineLvl w:val="2"/>
    </w:pPr>
    <w:rPr>
      <w:b/>
      <w:bCs/>
      <w:sz w:val="32"/>
      <w:szCs w:val="32"/>
    </w:rPr>
  </w:style>
  <w:style w:type="paragraph" w:customStyle="1" w:styleId="110">
    <w:name w:val="修订3"/>
    <w:qFormat/>
    <w:uiPriority w:val="99"/>
    <w:rPr>
      <w:rFonts w:ascii="Calibri" w:hAnsi="Calibri" w:eastAsia="宋体" w:cs="宋体"/>
      <w:kern w:val="2"/>
      <w:sz w:val="21"/>
      <w:szCs w:val="22"/>
      <w:lang w:val="en-US" w:eastAsia="zh-CN" w:bidi="ar-SA"/>
    </w:rPr>
  </w:style>
  <w:style w:type="character" w:customStyle="1" w:styleId="111">
    <w:name w:val="正文文本 Char1"/>
    <w:qFormat/>
    <w:uiPriority w:val="99"/>
    <w:rPr>
      <w:kern w:val="2"/>
      <w:sz w:val="22"/>
      <w:szCs w:val="22"/>
    </w:rPr>
  </w:style>
  <w:style w:type="character" w:customStyle="1" w:styleId="112">
    <w:name w:val="fontstyle41"/>
    <w:qFormat/>
    <w:uiPriority w:val="0"/>
    <w:rPr>
      <w:rFonts w:hint="default" w:ascii="Times New Roman" w:hAnsi="Times New Roman" w:cs="Times New Roman"/>
      <w:color w:val="000000"/>
      <w:sz w:val="18"/>
      <w:szCs w:val="18"/>
    </w:rPr>
  </w:style>
  <w:style w:type="character" w:customStyle="1" w:styleId="113">
    <w:name w:val="批注框文本 字符"/>
    <w:basedOn w:val="40"/>
    <w:link w:val="25"/>
    <w:qFormat/>
    <w:uiPriority w:val="99"/>
    <w:rPr>
      <w:sz w:val="18"/>
      <w:szCs w:val="18"/>
    </w:rPr>
  </w:style>
  <w:style w:type="character" w:customStyle="1" w:styleId="114">
    <w:name w:val="Char Char19"/>
    <w:qFormat/>
    <w:uiPriority w:val="99"/>
    <w:rPr>
      <w:rFonts w:ascii="Arial" w:hAnsi="Arial" w:eastAsia="宋体" w:cs="Arial"/>
      <w:b/>
      <w:bCs/>
      <w:sz w:val="28"/>
      <w:szCs w:val="28"/>
    </w:rPr>
  </w:style>
  <w:style w:type="character" w:customStyle="1" w:styleId="115">
    <w:name w:val="脚注文本 Char1"/>
    <w:basedOn w:val="40"/>
    <w:qFormat/>
    <w:uiPriority w:val="99"/>
    <w:rPr>
      <w:kern w:val="2"/>
      <w:sz w:val="18"/>
      <w:szCs w:val="18"/>
    </w:rPr>
  </w:style>
  <w:style w:type="paragraph" w:customStyle="1" w:styleId="116">
    <w:name w:val="Default"/>
    <w:next w:val="1"/>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character" w:customStyle="1" w:styleId="117">
    <w:name w:val="Header Char_9bef8b84-2eb5-4f4d-811d-5a026cebed77"/>
    <w:qFormat/>
    <w:uiPriority w:val="99"/>
    <w:rPr>
      <w:rFonts w:eastAsia="宋体"/>
      <w:kern w:val="2"/>
      <w:sz w:val="18"/>
      <w:szCs w:val="18"/>
      <w:lang w:val="en-US" w:eastAsia="zh-CN"/>
    </w:rPr>
  </w:style>
  <w:style w:type="character" w:customStyle="1" w:styleId="118">
    <w:name w:val="书籍标题1"/>
    <w:qFormat/>
    <w:uiPriority w:val="99"/>
    <w:rPr>
      <w:b/>
      <w:bCs/>
      <w:smallCaps/>
      <w:spacing w:val="5"/>
    </w:rPr>
  </w:style>
  <w:style w:type="paragraph" w:customStyle="1" w:styleId="119">
    <w:name w:val="正文_4"/>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0">
    <w:name w:val="正文文本 字符"/>
    <w:link w:val="16"/>
    <w:qFormat/>
    <w:uiPriority w:val="99"/>
    <w:rPr>
      <w:rFonts w:eastAsia="宋体"/>
      <w:sz w:val="22"/>
    </w:rPr>
  </w:style>
  <w:style w:type="character" w:customStyle="1" w:styleId="121">
    <w:name w:val="标题 3 Char_0"/>
    <w:link w:val="109"/>
    <w:qFormat/>
    <w:uiPriority w:val="9"/>
    <w:rPr>
      <w:rFonts w:ascii="Calibri" w:hAnsi="Calibri" w:eastAsia="宋体" w:cs="Times New Roman"/>
      <w:b/>
      <w:bCs/>
      <w:kern w:val="2"/>
      <w:sz w:val="32"/>
      <w:szCs w:val="32"/>
    </w:rPr>
  </w:style>
  <w:style w:type="character" w:customStyle="1" w:styleId="122">
    <w:name w:val="fontstyle21"/>
    <w:qFormat/>
    <w:uiPriority w:val="0"/>
    <w:rPr>
      <w:rFonts w:hint="default" w:ascii="Times New Roman" w:hAnsi="Times New Roman" w:cs="Times New Roman"/>
      <w:b/>
      <w:bCs/>
      <w:color w:val="000000"/>
      <w:sz w:val="22"/>
      <w:szCs w:val="22"/>
    </w:rPr>
  </w:style>
  <w:style w:type="paragraph" w:customStyle="1" w:styleId="123">
    <w:name w:val="_Style 37"/>
    <w:basedOn w:val="1"/>
    <w:next w:val="1"/>
    <w:qFormat/>
    <w:uiPriority w:val="99"/>
    <w:rPr>
      <w:rFonts w:cs="Times New Roman"/>
    </w:rPr>
  </w:style>
  <w:style w:type="character" w:customStyle="1" w:styleId="124">
    <w:name w:val="批注文字 Char2"/>
    <w:qFormat/>
    <w:uiPriority w:val="99"/>
    <w:rPr>
      <w:rFonts w:eastAsia="宋体"/>
      <w:kern w:val="2"/>
      <w:sz w:val="24"/>
      <w:szCs w:val="24"/>
      <w:lang w:val="en-US" w:eastAsia="zh-CN"/>
    </w:rPr>
  </w:style>
  <w:style w:type="character" w:customStyle="1" w:styleId="125">
    <w:name w:val="脚注文本 字符"/>
    <w:link w:val="31"/>
    <w:qFormat/>
    <w:uiPriority w:val="99"/>
    <w:rPr>
      <w:sz w:val="18"/>
      <w:szCs w:val="18"/>
    </w:rPr>
  </w:style>
  <w:style w:type="paragraph" w:customStyle="1" w:styleId="126">
    <w:name w:val="正文_2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7">
    <w:name w:val="Char Char23"/>
    <w:qFormat/>
    <w:uiPriority w:val="99"/>
    <w:rPr>
      <w:rFonts w:eastAsia="宋体"/>
      <w:b/>
      <w:bCs/>
      <w:kern w:val="44"/>
      <w:sz w:val="44"/>
      <w:szCs w:val="44"/>
      <w:lang w:val="en-US" w:eastAsia="zh-CN"/>
    </w:rPr>
  </w:style>
  <w:style w:type="character" w:customStyle="1" w:styleId="128">
    <w:name w:val="标题4 Char Char"/>
    <w:link w:val="71"/>
    <w:qFormat/>
    <w:uiPriority w:val="99"/>
    <w:rPr>
      <w:rFonts w:ascii="Arial" w:hAnsi="Arial" w:cs="Arial"/>
      <w:b/>
      <w:bCs/>
      <w:sz w:val="32"/>
      <w:szCs w:val="32"/>
    </w:rPr>
  </w:style>
  <w:style w:type="character" w:customStyle="1" w:styleId="129">
    <w:name w:val="引用 Char"/>
    <w:link w:val="130"/>
    <w:qFormat/>
    <w:uiPriority w:val="99"/>
    <w:rPr>
      <w:i/>
      <w:iCs/>
      <w:color w:val="000000"/>
    </w:rPr>
  </w:style>
  <w:style w:type="paragraph" w:customStyle="1" w:styleId="130">
    <w:name w:val="引用1"/>
    <w:basedOn w:val="1"/>
    <w:next w:val="1"/>
    <w:link w:val="129"/>
    <w:qFormat/>
    <w:uiPriority w:val="99"/>
    <w:rPr>
      <w:i/>
      <w:iCs/>
      <w:color w:val="000000"/>
      <w:kern w:val="0"/>
      <w:sz w:val="20"/>
      <w:szCs w:val="20"/>
    </w:rPr>
  </w:style>
  <w:style w:type="paragraph" w:customStyle="1" w:styleId="131">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32">
    <w:name w:val="标题 Char2"/>
    <w:qFormat/>
    <w:uiPriority w:val="99"/>
    <w:rPr>
      <w:rFonts w:ascii="Cambria" w:hAnsi="Cambria" w:eastAsia="宋体" w:cs="Cambria"/>
      <w:b/>
      <w:bCs/>
      <w:sz w:val="32"/>
      <w:szCs w:val="32"/>
    </w:rPr>
  </w:style>
  <w:style w:type="character" w:customStyle="1" w:styleId="133">
    <w:name w:val="正文文本缩进 2 字符"/>
    <w:link w:val="24"/>
    <w:qFormat/>
    <w:uiPriority w:val="99"/>
    <w:rPr>
      <w:sz w:val="24"/>
      <w:szCs w:val="24"/>
    </w:rPr>
  </w:style>
  <w:style w:type="paragraph" w:customStyle="1" w:styleId="134">
    <w:name w:val="Char1"/>
    <w:basedOn w:val="1"/>
    <w:qFormat/>
    <w:uiPriority w:val="99"/>
    <w:pPr>
      <w:widowControl/>
      <w:spacing w:after="160" w:line="240" w:lineRule="exact"/>
      <w:jc w:val="left"/>
    </w:pPr>
    <w:rPr>
      <w:rFonts w:cs="Times New Roman"/>
    </w:rPr>
  </w:style>
  <w:style w:type="paragraph" w:customStyle="1" w:styleId="135">
    <w:name w:val="Char Char Char3"/>
    <w:basedOn w:val="1"/>
    <w:qFormat/>
    <w:uiPriority w:val="0"/>
    <w:pPr>
      <w:widowControl/>
      <w:spacing w:after="160" w:line="240" w:lineRule="exact"/>
      <w:jc w:val="left"/>
    </w:pPr>
    <w:rPr>
      <w:rFonts w:ascii="Verdana" w:hAnsi="Verdana" w:cs="Times New Roman"/>
      <w:kern w:val="0"/>
      <w:sz w:val="20"/>
      <w:szCs w:val="20"/>
      <w:lang w:eastAsia="en-US"/>
    </w:rPr>
  </w:style>
  <w:style w:type="character" w:customStyle="1" w:styleId="136">
    <w:name w:val="页眉 字符"/>
    <w:basedOn w:val="40"/>
    <w:link w:val="27"/>
    <w:qFormat/>
    <w:uiPriority w:val="99"/>
    <w:rPr>
      <w:sz w:val="18"/>
      <w:szCs w:val="18"/>
    </w:rPr>
  </w:style>
  <w:style w:type="character" w:customStyle="1" w:styleId="137">
    <w:name w:val="标题 2 字符"/>
    <w:basedOn w:val="40"/>
    <w:link w:val="3"/>
    <w:qFormat/>
    <w:uiPriority w:val="9"/>
    <w:rPr>
      <w:rFonts w:ascii="Calibri Light" w:hAnsi="Calibri Light" w:eastAsia="宋体" w:cs="宋体"/>
      <w:b/>
      <w:bCs/>
      <w:sz w:val="32"/>
      <w:szCs w:val="32"/>
    </w:rPr>
  </w:style>
  <w:style w:type="character" w:customStyle="1" w:styleId="138">
    <w:name w:val="Comment Text Char1"/>
    <w:qFormat/>
    <w:uiPriority w:val="99"/>
    <w:rPr>
      <w:sz w:val="24"/>
      <w:szCs w:val="24"/>
    </w:rPr>
  </w:style>
  <w:style w:type="character" w:customStyle="1" w:styleId="139">
    <w:name w:val="文档结构图 Char1"/>
    <w:qFormat/>
    <w:uiPriority w:val="99"/>
    <w:rPr>
      <w:rFonts w:ascii="宋体" w:hAnsi="Times New Roman" w:eastAsia="宋体" w:cs="宋体"/>
      <w:sz w:val="18"/>
      <w:szCs w:val="18"/>
    </w:rPr>
  </w:style>
  <w:style w:type="character" w:customStyle="1" w:styleId="140">
    <w:name w:val="Body Text Indent 2 Char"/>
    <w:qFormat/>
    <w:uiPriority w:val="99"/>
    <w:rPr>
      <w:rFonts w:eastAsia="宋体"/>
      <w:kern w:val="2"/>
      <w:sz w:val="24"/>
      <w:szCs w:val="24"/>
      <w:lang w:val="en-US" w:eastAsia="zh-CN"/>
    </w:rPr>
  </w:style>
  <w:style w:type="character" w:customStyle="1" w:styleId="141">
    <w:name w:val="Char Char21"/>
    <w:qFormat/>
    <w:uiPriority w:val="99"/>
    <w:rPr>
      <w:rFonts w:ascii="Arial" w:hAnsi="Arial" w:eastAsia="黑体" w:cs="Arial"/>
      <w:b/>
      <w:bCs/>
      <w:sz w:val="32"/>
      <w:szCs w:val="32"/>
    </w:rPr>
  </w:style>
  <w:style w:type="character" w:customStyle="1" w:styleId="142">
    <w:name w:val="标题 3 字符"/>
    <w:basedOn w:val="40"/>
    <w:link w:val="4"/>
    <w:qFormat/>
    <w:uiPriority w:val="9"/>
    <w:rPr>
      <w:b/>
      <w:bCs/>
      <w:sz w:val="32"/>
      <w:szCs w:val="32"/>
    </w:rPr>
  </w:style>
  <w:style w:type="character" w:customStyle="1" w:styleId="143">
    <w:name w:val="明显引用 Char1"/>
    <w:qFormat/>
    <w:uiPriority w:val="99"/>
    <w:rPr>
      <w:rFonts w:ascii="Times New Roman" w:hAnsi="Times New Roman" w:eastAsia="宋体" w:cs="Times New Roman"/>
      <w:b/>
      <w:bCs/>
      <w:i/>
      <w:iCs/>
      <w:color w:val="4F81BD"/>
      <w:sz w:val="24"/>
      <w:szCs w:val="24"/>
    </w:rPr>
  </w:style>
  <w:style w:type="character" w:customStyle="1" w:styleId="144">
    <w:name w:val="Heading 3 Char_0bc8ab12-e538-4f34-9c1b-bd733864369c"/>
    <w:qFormat/>
    <w:uiPriority w:val="99"/>
    <w:rPr>
      <w:b/>
      <w:bCs/>
      <w:kern w:val="2"/>
      <w:sz w:val="32"/>
      <w:szCs w:val="32"/>
    </w:rPr>
  </w:style>
  <w:style w:type="character" w:customStyle="1" w:styleId="145">
    <w:name w:val="Balloon Text Char"/>
    <w:qFormat/>
    <w:uiPriority w:val="99"/>
    <w:rPr>
      <w:sz w:val="18"/>
      <w:szCs w:val="18"/>
    </w:rPr>
  </w:style>
  <w:style w:type="paragraph" w:customStyle="1" w:styleId="146">
    <w:name w:val="样式 标题 2 + Times New Roman 四号 非加粗 段前: 5 磅 段后: 0 磅 行距: 固定值 20..."/>
    <w:basedOn w:val="3"/>
    <w:qFormat/>
    <w:uiPriority w:val="99"/>
    <w:pPr>
      <w:spacing w:before="100" w:after="0" w:line="400" w:lineRule="exact"/>
    </w:pPr>
    <w:rPr>
      <w:rFonts w:ascii="Times New Roman" w:hAnsi="Times New Roman" w:eastAsia="黑体" w:cs="Times New Roman"/>
      <w:b w:val="0"/>
      <w:bCs w:val="0"/>
      <w:kern w:val="0"/>
      <w:sz w:val="28"/>
      <w:szCs w:val="28"/>
      <w:lang w:val="zh-CN"/>
    </w:rPr>
  </w:style>
  <w:style w:type="character" w:customStyle="1" w:styleId="147">
    <w:name w:val="批注文字 Char1"/>
    <w:qFormat/>
    <w:uiPriority w:val="99"/>
    <w:rPr>
      <w:rFonts w:ascii="Times New Roman" w:hAnsi="Times New Roman" w:eastAsia="宋体" w:cs="Times New Roman"/>
      <w:sz w:val="24"/>
      <w:szCs w:val="24"/>
    </w:rPr>
  </w:style>
  <w:style w:type="character" w:customStyle="1" w:styleId="148">
    <w:name w:val="Heading 4 Char_2341f5f9-244a-49ef-af59-9ce8abd25604"/>
    <w:qFormat/>
    <w:uiPriority w:val="99"/>
    <w:rPr>
      <w:rFonts w:ascii="Arial" w:hAnsi="Arial" w:eastAsia="宋体" w:cs="Arial"/>
      <w:b/>
      <w:bCs/>
      <w:kern w:val="2"/>
      <w:sz w:val="28"/>
      <w:szCs w:val="28"/>
      <w:lang w:val="en-US" w:eastAsia="zh-CN"/>
    </w:rPr>
  </w:style>
  <w:style w:type="character" w:customStyle="1" w:styleId="149">
    <w:name w:val="Date Char"/>
    <w:qFormat/>
    <w:uiPriority w:val="99"/>
    <w:rPr>
      <w:rFonts w:eastAsia="宋体"/>
      <w:kern w:val="2"/>
      <w:sz w:val="24"/>
      <w:szCs w:val="24"/>
      <w:lang w:val="en-US" w:eastAsia="zh-CN"/>
    </w:rPr>
  </w:style>
  <w:style w:type="character" w:customStyle="1" w:styleId="150">
    <w:name w:val="日期 Char2"/>
    <w:basedOn w:val="40"/>
    <w:qFormat/>
    <w:uiPriority w:val="99"/>
    <w:rPr>
      <w:kern w:val="2"/>
      <w:sz w:val="21"/>
      <w:szCs w:val="22"/>
    </w:rPr>
  </w:style>
  <w:style w:type="paragraph" w:customStyle="1" w:styleId="151">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2">
    <w:name w:val="Char Char20"/>
    <w:qFormat/>
    <w:uiPriority w:val="99"/>
    <w:rPr>
      <w:rFonts w:ascii="Times New Roman" w:hAnsi="Times New Roman" w:eastAsia="宋体" w:cs="Times New Roman"/>
      <w:b/>
      <w:bCs/>
      <w:sz w:val="32"/>
      <w:szCs w:val="32"/>
    </w:rPr>
  </w:style>
  <w:style w:type="character" w:customStyle="1" w:styleId="153">
    <w:name w:val="纯文本 字符"/>
    <w:link w:val="21"/>
    <w:qFormat/>
    <w:uiPriority w:val="0"/>
    <w:rPr>
      <w:rFonts w:ascii="宋体" w:hAnsi="Courier New" w:eastAsia="宋体" w:cs="宋体"/>
      <w:sz w:val="24"/>
      <w:szCs w:val="24"/>
    </w:rPr>
  </w:style>
  <w:style w:type="character" w:customStyle="1" w:styleId="154">
    <w:name w:val="引用 Char1"/>
    <w:qFormat/>
    <w:uiPriority w:val="99"/>
    <w:rPr>
      <w:rFonts w:ascii="Times New Roman" w:hAnsi="Times New Roman" w:eastAsia="宋体" w:cs="Times New Roman"/>
      <w:i/>
      <w:iCs/>
      <w:color w:val="000000"/>
      <w:sz w:val="24"/>
      <w:szCs w:val="24"/>
    </w:rPr>
  </w:style>
  <w:style w:type="paragraph" w:customStyle="1" w:styleId="155">
    <w:name w:val="正文_5"/>
    <w:qFormat/>
    <w:uiPriority w:val="0"/>
    <w:pPr>
      <w:widowControl w:val="0"/>
      <w:jc w:val="both"/>
    </w:pPr>
    <w:rPr>
      <w:rFonts w:ascii="Calibri" w:hAnsi="Calibri" w:eastAsia="宋体" w:cs="Times New Roman"/>
      <w:kern w:val="2"/>
      <w:sz w:val="21"/>
      <w:szCs w:val="22"/>
      <w:lang w:val="en-US" w:eastAsia="zh-CN" w:bidi="ar-SA"/>
    </w:rPr>
  </w:style>
  <w:style w:type="paragraph" w:styleId="156">
    <w:name w:val="List Paragraph"/>
    <w:basedOn w:val="1"/>
    <w:qFormat/>
    <w:uiPriority w:val="34"/>
    <w:pPr>
      <w:ind w:firstLine="420" w:firstLineChars="200"/>
    </w:pPr>
    <w:rPr>
      <w:rFonts w:cs="Times New Roman"/>
    </w:rPr>
  </w:style>
  <w:style w:type="character" w:customStyle="1" w:styleId="157">
    <w:name w:val="正文文本缩进 Char1"/>
    <w:basedOn w:val="40"/>
    <w:qFormat/>
    <w:uiPriority w:val="99"/>
    <w:rPr>
      <w:kern w:val="2"/>
      <w:sz w:val="21"/>
      <w:szCs w:val="22"/>
    </w:rPr>
  </w:style>
  <w:style w:type="character" w:customStyle="1" w:styleId="158">
    <w:name w:val="10"/>
    <w:qFormat/>
    <w:uiPriority w:val="0"/>
    <w:rPr>
      <w:rFonts w:hint="default" w:ascii="Times New Roman" w:hAnsi="Times New Roman" w:cs="Times New Roman"/>
    </w:rPr>
  </w:style>
  <w:style w:type="character" w:customStyle="1" w:styleId="159">
    <w:name w:val="Heading 2 Char_bc077b30-2f69-4eff-8f74-1fa245249453"/>
    <w:qFormat/>
    <w:uiPriority w:val="99"/>
    <w:rPr>
      <w:rFonts w:ascii="Arial" w:hAnsi="Arial" w:eastAsia="黑体" w:cs="Arial"/>
      <w:b/>
      <w:bCs/>
      <w:kern w:val="2"/>
      <w:sz w:val="32"/>
      <w:szCs w:val="32"/>
      <w:lang w:val="en-US" w:eastAsia="zh-CN"/>
    </w:rPr>
  </w:style>
  <w:style w:type="character" w:customStyle="1" w:styleId="160">
    <w:name w:val="Heading 5 Char_45b77bc7-5e85-4bbc-a169-0b741c24a003"/>
    <w:qFormat/>
    <w:uiPriority w:val="99"/>
    <w:rPr>
      <w:rFonts w:eastAsia="宋体"/>
      <w:b/>
      <w:bCs/>
      <w:kern w:val="2"/>
      <w:sz w:val="28"/>
      <w:szCs w:val="28"/>
      <w:lang w:val="en-US" w:eastAsia="zh-CN"/>
    </w:rPr>
  </w:style>
  <w:style w:type="character" w:customStyle="1" w:styleId="161">
    <w:name w:val="Footnote Text Char"/>
    <w:qFormat/>
    <w:uiPriority w:val="99"/>
    <w:rPr>
      <w:rFonts w:eastAsia="宋体"/>
      <w:sz w:val="18"/>
      <w:szCs w:val="18"/>
      <w:lang w:val="en-US" w:eastAsia="zh-CN"/>
    </w:rPr>
  </w:style>
  <w:style w:type="character" w:customStyle="1" w:styleId="162">
    <w:name w:val="副标题 Char1"/>
    <w:basedOn w:val="40"/>
    <w:qFormat/>
    <w:uiPriority w:val="11"/>
    <w:rPr>
      <w:rFonts w:ascii="Calibri Light" w:hAnsi="Calibri Light" w:eastAsia="宋体" w:cs="宋体"/>
      <w:b/>
      <w:bCs/>
      <w:kern w:val="28"/>
      <w:sz w:val="32"/>
      <w:szCs w:val="32"/>
    </w:rPr>
  </w:style>
  <w:style w:type="character" w:customStyle="1" w:styleId="163">
    <w:name w:val="标题 Char3"/>
    <w:basedOn w:val="40"/>
    <w:qFormat/>
    <w:uiPriority w:val="99"/>
    <w:rPr>
      <w:rFonts w:ascii="Calibri Light" w:hAnsi="Calibri Light" w:eastAsia="宋体" w:cs="宋体"/>
      <w:b/>
      <w:bCs/>
      <w:sz w:val="32"/>
      <w:szCs w:val="32"/>
    </w:rPr>
  </w:style>
  <w:style w:type="paragraph" w:customStyle="1" w:styleId="164">
    <w:name w:val="reader-word-layer"/>
    <w:basedOn w:val="1"/>
    <w:qFormat/>
    <w:uiPriority w:val="99"/>
    <w:pPr>
      <w:widowControl/>
      <w:spacing w:before="100" w:beforeAutospacing="1" w:after="100" w:afterAutospacing="1"/>
      <w:jc w:val="left"/>
    </w:pPr>
    <w:rPr>
      <w:rFonts w:ascii="宋体" w:hAnsi="宋体"/>
      <w:kern w:val="0"/>
      <w:sz w:val="24"/>
      <w:szCs w:val="24"/>
    </w:rPr>
  </w:style>
  <w:style w:type="character" w:customStyle="1" w:styleId="165">
    <w:name w:val="标题 4 字符"/>
    <w:basedOn w:val="40"/>
    <w:link w:val="5"/>
    <w:qFormat/>
    <w:uiPriority w:val="99"/>
    <w:rPr>
      <w:rFonts w:ascii="Arial" w:hAnsi="Arial" w:eastAsia="宋体" w:cs="Times New Roman"/>
      <w:b/>
      <w:bCs/>
      <w:kern w:val="2"/>
      <w:sz w:val="28"/>
      <w:szCs w:val="28"/>
    </w:rPr>
  </w:style>
  <w:style w:type="paragraph" w:customStyle="1" w:styleId="166">
    <w:name w:val="p0"/>
    <w:basedOn w:val="1"/>
    <w:qFormat/>
    <w:uiPriority w:val="99"/>
    <w:pPr>
      <w:widowControl/>
    </w:pPr>
    <w:rPr>
      <w:rFonts w:cs="Calibri"/>
      <w:kern w:val="0"/>
    </w:rPr>
  </w:style>
  <w:style w:type="paragraph" w:customStyle="1" w:styleId="167">
    <w:name w:val="空半行"/>
    <w:basedOn w:val="1"/>
    <w:qFormat/>
    <w:uiPriority w:val="99"/>
    <w:pPr>
      <w:adjustRightInd w:val="0"/>
      <w:spacing w:line="120" w:lineRule="exact"/>
      <w:textAlignment w:val="baseline"/>
    </w:pPr>
    <w:rPr>
      <w:rFonts w:eastAsia="仿宋_GB2312" w:cs="Times New Roman"/>
      <w:color w:val="FFFFFF"/>
      <w:kern w:val="0"/>
      <w:sz w:val="30"/>
      <w:szCs w:val="30"/>
    </w:rPr>
  </w:style>
  <w:style w:type="character" w:customStyle="1" w:styleId="168">
    <w:name w:val="批注主题 Char1"/>
    <w:qFormat/>
    <w:uiPriority w:val="99"/>
    <w:rPr>
      <w:rFonts w:ascii="Times New Roman" w:hAnsi="Times New Roman" w:eastAsia="宋体" w:cs="Times New Roman"/>
      <w:b/>
      <w:bCs/>
      <w:sz w:val="24"/>
      <w:szCs w:val="24"/>
    </w:rPr>
  </w:style>
  <w:style w:type="paragraph" w:customStyle="1" w:styleId="169">
    <w:name w:val="修订2"/>
    <w:qFormat/>
    <w:uiPriority w:val="99"/>
    <w:rPr>
      <w:rFonts w:ascii="Calibri" w:hAnsi="Calibri" w:eastAsia="宋体" w:cs="宋体"/>
      <w:kern w:val="2"/>
      <w:sz w:val="21"/>
      <w:szCs w:val="22"/>
      <w:lang w:val="en-US" w:eastAsia="zh-CN" w:bidi="ar-SA"/>
    </w:rPr>
  </w:style>
  <w:style w:type="character" w:customStyle="1" w:styleId="170">
    <w:name w:val="文档结构图 字符"/>
    <w:link w:val="14"/>
    <w:qFormat/>
    <w:uiPriority w:val="99"/>
    <w:rPr>
      <w:sz w:val="24"/>
      <w:szCs w:val="24"/>
      <w:shd w:val="clear" w:color="auto" w:fill="000080"/>
    </w:rPr>
  </w:style>
  <w:style w:type="character" w:customStyle="1" w:styleId="171">
    <w:name w:val="超链接_0"/>
    <w:qFormat/>
    <w:uiPriority w:val="99"/>
    <w:rPr>
      <w:rFonts w:ascii="Calibri" w:hAnsi="Calibri"/>
      <w:color w:val="0000FF"/>
      <w:u w:val="single"/>
    </w:rPr>
  </w:style>
  <w:style w:type="character" w:customStyle="1" w:styleId="172">
    <w:name w:val="Char Char6"/>
    <w:qFormat/>
    <w:uiPriority w:val="99"/>
    <w:rPr>
      <w:rFonts w:eastAsia="宋体"/>
      <w:b/>
      <w:bCs/>
      <w:kern w:val="44"/>
      <w:sz w:val="44"/>
      <w:szCs w:val="44"/>
      <w:lang w:val="en-US" w:eastAsia="zh-CN"/>
    </w:rPr>
  </w:style>
  <w:style w:type="character" w:customStyle="1" w:styleId="173">
    <w:name w:val="标题 6 字符"/>
    <w:basedOn w:val="40"/>
    <w:link w:val="7"/>
    <w:qFormat/>
    <w:uiPriority w:val="9"/>
    <w:rPr>
      <w:rFonts w:ascii="Cambria" w:hAnsi="Cambria" w:eastAsia="宋体" w:cs="Times New Roman"/>
      <w:b/>
      <w:bCs/>
      <w:sz w:val="24"/>
      <w:szCs w:val="24"/>
      <w:lang w:val="zh-CN" w:eastAsia="zh-CN"/>
    </w:rPr>
  </w:style>
  <w:style w:type="character" w:customStyle="1" w:styleId="174">
    <w:name w:val="Title Char_9d182ac3-9527-41ac-abaa-e5e1c095072e"/>
    <w:qFormat/>
    <w:uiPriority w:val="99"/>
    <w:rPr>
      <w:rFonts w:ascii="Cambria" w:hAnsi="Cambria" w:cs="Cambria"/>
      <w:b/>
      <w:bCs/>
      <w:sz w:val="32"/>
      <w:szCs w:val="32"/>
    </w:rPr>
  </w:style>
  <w:style w:type="character" w:customStyle="1" w:styleId="175">
    <w:name w:val="标题 8 字符"/>
    <w:basedOn w:val="40"/>
    <w:link w:val="9"/>
    <w:qFormat/>
    <w:uiPriority w:val="9"/>
    <w:rPr>
      <w:rFonts w:ascii="Cambria" w:hAnsi="Cambria" w:eastAsia="宋体" w:cs="Times New Roman"/>
      <w:sz w:val="24"/>
      <w:szCs w:val="24"/>
      <w:lang w:val="zh-CN" w:eastAsia="zh-CN"/>
    </w:rPr>
  </w:style>
  <w:style w:type="paragraph" w:customStyle="1" w:styleId="176">
    <w:name w:val="Normal_0"/>
    <w:qFormat/>
    <w:uiPriority w:val="0"/>
    <w:rPr>
      <w:rFonts w:ascii="Times New Roman" w:hAnsi="Times New Roman" w:eastAsia="Times New Roman" w:cs="Times New Roman"/>
      <w:sz w:val="24"/>
      <w:szCs w:val="24"/>
      <w:lang w:val="en-US" w:eastAsia="zh-CN" w:bidi="ar-SA"/>
    </w:rPr>
  </w:style>
  <w:style w:type="character" w:customStyle="1" w:styleId="177">
    <w:name w:val="Heading 3 Char1"/>
    <w:qFormat/>
    <w:uiPriority w:val="99"/>
    <w:rPr>
      <w:rFonts w:eastAsia="宋体"/>
      <w:b/>
      <w:bCs/>
      <w:kern w:val="2"/>
      <w:sz w:val="32"/>
      <w:szCs w:val="32"/>
      <w:lang w:val="en-US" w:eastAsia="zh-CN"/>
    </w:rPr>
  </w:style>
  <w:style w:type="character" w:customStyle="1" w:styleId="178">
    <w:name w:val="文档结构图 Char2"/>
    <w:basedOn w:val="40"/>
    <w:qFormat/>
    <w:uiPriority w:val="99"/>
    <w:rPr>
      <w:rFonts w:ascii="Microsoft YaHei UI" w:eastAsia="Microsoft YaHei UI"/>
      <w:kern w:val="2"/>
      <w:sz w:val="18"/>
      <w:szCs w:val="18"/>
    </w:rPr>
  </w:style>
  <w:style w:type="paragraph" w:customStyle="1" w:styleId="179">
    <w:name w:val="样式1"/>
    <w:basedOn w:val="1"/>
    <w:next w:val="5"/>
    <w:qFormat/>
    <w:uiPriority w:val="99"/>
    <w:pPr>
      <w:spacing w:line="360" w:lineRule="auto"/>
      <w:ind w:firstLine="420" w:firstLineChars="200"/>
    </w:pPr>
    <w:rPr>
      <w:rFonts w:ascii="宋体" w:hAnsi="宋体"/>
    </w:rPr>
  </w:style>
  <w:style w:type="character" w:customStyle="1" w:styleId="180">
    <w:name w:val="标题 Char1"/>
    <w:basedOn w:val="40"/>
    <w:qFormat/>
    <w:uiPriority w:val="99"/>
    <w:rPr>
      <w:rFonts w:ascii="Calibri Light" w:hAnsi="Calibri Light" w:eastAsia="宋体" w:cs="宋体"/>
      <w:b/>
      <w:bCs/>
      <w:kern w:val="2"/>
      <w:sz w:val="32"/>
      <w:szCs w:val="32"/>
    </w:rPr>
  </w:style>
  <w:style w:type="character" w:customStyle="1" w:styleId="181">
    <w:name w:val="不明显强调1"/>
    <w:qFormat/>
    <w:uiPriority w:val="99"/>
    <w:rPr>
      <w:i/>
      <w:iCs/>
      <w:color w:val="808080"/>
    </w:rPr>
  </w:style>
  <w:style w:type="character" w:customStyle="1" w:styleId="182">
    <w:name w:val="明显强调1"/>
    <w:qFormat/>
    <w:uiPriority w:val="99"/>
    <w:rPr>
      <w:b/>
      <w:bCs/>
      <w:i/>
      <w:iCs/>
      <w:color w:val="4F81BD"/>
    </w:rPr>
  </w:style>
  <w:style w:type="character" w:customStyle="1" w:styleId="183">
    <w:name w:val="正文文本 Char2"/>
    <w:basedOn w:val="40"/>
    <w:qFormat/>
    <w:uiPriority w:val="99"/>
    <w:rPr>
      <w:kern w:val="2"/>
      <w:sz w:val="21"/>
      <w:szCs w:val="22"/>
    </w:rPr>
  </w:style>
  <w:style w:type="paragraph" w:customStyle="1" w:styleId="184">
    <w:name w:val="TOC 标题1"/>
    <w:basedOn w:val="2"/>
    <w:next w:val="1"/>
    <w:qFormat/>
    <w:uiPriority w:val="99"/>
    <w:pPr>
      <w:spacing w:line="576" w:lineRule="auto"/>
      <w:outlineLvl w:val="9"/>
    </w:pPr>
    <w:rPr>
      <w:rFonts w:eastAsia="黑体" w:cs="Calibri"/>
      <w:lang w:val="zh-CN"/>
    </w:rPr>
  </w:style>
  <w:style w:type="paragraph" w:customStyle="1" w:styleId="185">
    <w:name w:val="正文2"/>
    <w:basedOn w:val="1"/>
    <w:qFormat/>
    <w:uiPriority w:val="0"/>
    <w:pPr>
      <w:adjustRightInd w:val="0"/>
      <w:spacing w:before="156" w:line="360" w:lineRule="auto"/>
      <w:ind w:firstLine="510" w:firstLineChars="200"/>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173</Pages>
  <Words>96704</Words>
  <Characters>101321</Characters>
  <Lines>687</Lines>
  <Paragraphs>193</Paragraphs>
  <TotalTime>12</TotalTime>
  <ScaleCrop>false</ScaleCrop>
  <LinksUpToDate>false</LinksUpToDate>
  <CharactersWithSpaces>109495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2025-11-22T17:49:00Z</dcterms:created>
  <dc:creator>Administrator</dc:creator>
  <cp:lastModifiedBy>GXLY</cp:lastModifiedBy>
  <cp:lastPrinted>2025-12-01T19:09:00Z</cp:lastPrinted>
  <dcterms:modified xsi:type="dcterms:W3CDTF">2025-12-31T07:25:06Z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eyJoZGlkIjoiYWJmZTM2MjFhNGVlNjAwYjdiMzFjODQ1NzM2ZDQ5ZDciLCJ1c2VySWQiOiIyNzA0NTU3NzMifQ==</vt:lpwstr>
  </property>
  <property fmtid="{D5CDD505-2E9C-101B-9397-08002B2CF9AE}" pid="3" name="KSOProductBuildVer">
    <vt:lpwstr>2052-12.1.0.24034</vt:lpwstr>
  </property>
  <property fmtid="{D5CDD505-2E9C-101B-9397-08002B2CF9AE}" pid="4" name="ICV">
    <vt:lpwstr>E7456C73C13D4E7F89476707A293020A_13</vt:lpwstr>
  </property>
</Properties>
</file>