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51C09">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1F9EDD3F">
      <w:pPr>
        <w:spacing w:before="120"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竞争性磋商文件（服务类）</w:t>
      </w:r>
    </w:p>
    <w:p w14:paraId="508ACDD1">
      <w:pPr>
        <w:spacing w:before="120" w:beforeLines="50" w:line="360" w:lineRule="auto"/>
        <w:jc w:val="center"/>
        <w:rPr>
          <w:rFonts w:ascii="宋体" w:hAnsi="宋体"/>
          <w:color w:val="auto"/>
          <w:sz w:val="36"/>
          <w:szCs w:val="36"/>
          <w:highlight w:val="none"/>
        </w:rPr>
      </w:pPr>
    </w:p>
    <w:p w14:paraId="4E191128">
      <w:pPr>
        <w:snapToGrid w:val="0"/>
        <w:spacing w:before="120"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3BD75BB">
      <w:pPr>
        <w:spacing w:before="240" w:beforeLines="100" w:after="120" w:afterLines="50" w:line="360" w:lineRule="auto"/>
        <w:jc w:val="center"/>
        <w:rPr>
          <w:rFonts w:ascii="宋体" w:hAnsi="宋体"/>
          <w:color w:val="auto"/>
          <w:szCs w:val="21"/>
          <w:highlight w:val="none"/>
        </w:rPr>
      </w:pPr>
      <w:r>
        <w:rPr>
          <w:rFonts w:hint="eastAsia" w:ascii="宋体" w:hAnsi="宋体"/>
          <w:color w:val="auto"/>
          <w:szCs w:val="21"/>
          <w:highlight w:val="none"/>
        </w:rPr>
        <w:t>（全流程电子化评标）</w:t>
      </w:r>
    </w:p>
    <w:p w14:paraId="10E018CA">
      <w:pPr>
        <w:spacing w:line="360" w:lineRule="auto"/>
        <w:rPr>
          <w:rFonts w:ascii="宋体" w:hAnsi="宋体"/>
          <w:b/>
          <w:color w:val="auto"/>
          <w:sz w:val="32"/>
          <w:szCs w:val="32"/>
          <w:highlight w:val="none"/>
        </w:rPr>
      </w:pPr>
    </w:p>
    <w:p w14:paraId="58987DE8">
      <w:pPr>
        <w:spacing w:line="360" w:lineRule="auto"/>
        <w:jc w:val="center"/>
        <w:rPr>
          <w:rFonts w:ascii="宋体" w:hAnsi="宋体"/>
          <w:b/>
          <w:color w:val="auto"/>
          <w:sz w:val="32"/>
          <w:szCs w:val="32"/>
          <w:highlight w:val="none"/>
        </w:rPr>
      </w:pPr>
    </w:p>
    <w:p w14:paraId="43C78007">
      <w:pPr>
        <w:pStyle w:val="12"/>
        <w:snapToGrid w:val="0"/>
        <w:spacing w:before="50" w:after="120" w:line="360" w:lineRule="auto"/>
        <w:ind w:firstLine="301" w:firstLineChars="1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2026年涉案财物集中委托管理处置服务采购</w:t>
      </w:r>
    </w:p>
    <w:p w14:paraId="5AD3392E">
      <w:pPr>
        <w:snapToGrid w:val="0"/>
        <w:spacing w:before="120" w:beforeLines="50" w:line="360" w:lineRule="auto"/>
        <w:ind w:firstLine="1145" w:firstLineChars="400"/>
        <w:rPr>
          <w:rFonts w:hint="eastAsia" w:ascii="仿宋_GB2312" w:hAnsi="宋体" w:eastAsia="仿宋_GB2312"/>
          <w:b/>
          <w:color w:val="auto"/>
          <w:sz w:val="30"/>
          <w:szCs w:val="48"/>
          <w:highlight w:val="none"/>
          <w:lang w:eastAsia="zh-CN"/>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hint="eastAsia" w:ascii="仿宋_GB2312" w:hAnsi="宋体" w:eastAsia="仿宋_GB2312" w:cs="Courier New"/>
          <w:b/>
          <w:bCs/>
          <w:color w:val="auto"/>
          <w:w w:val="95"/>
          <w:sz w:val="30"/>
          <w:szCs w:val="30"/>
          <w:highlight w:val="none"/>
          <w:lang w:eastAsia="zh-CN"/>
        </w:rPr>
        <w:t>NNZC2025-C3-991428-JDZB</w:t>
      </w:r>
    </w:p>
    <w:p w14:paraId="3E74965F">
      <w:pPr>
        <w:snapToGrid w:val="0"/>
        <w:spacing w:before="120" w:beforeLines="50" w:line="360" w:lineRule="auto"/>
        <w:ind w:left="720" w:firstLine="420"/>
        <w:rPr>
          <w:rFonts w:ascii="仿宋_GB2312" w:hAnsi="宋体" w:eastAsia="仿宋_GB2312"/>
          <w:b/>
          <w:color w:val="auto"/>
          <w:sz w:val="30"/>
          <w:szCs w:val="48"/>
          <w:highlight w:val="none"/>
        </w:rPr>
      </w:pPr>
      <w:r>
        <w:rPr>
          <w:rFonts w:hint="eastAsia" w:ascii="仿宋_GB2312" w:hAnsi="宋体" w:eastAsia="仿宋_GB2312"/>
          <w:b/>
          <w:color w:val="auto"/>
          <w:sz w:val="30"/>
          <w:szCs w:val="48"/>
          <w:highlight w:val="none"/>
        </w:rPr>
        <w:t>项目所属区划：南宁市本级</w:t>
      </w:r>
    </w:p>
    <w:p w14:paraId="25F6DD0A">
      <w:pPr>
        <w:pStyle w:val="12"/>
        <w:snapToGrid w:val="0"/>
        <w:spacing w:before="50" w:after="120" w:line="360" w:lineRule="auto"/>
        <w:ind w:firstLine="3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南宁市财政局</w:t>
      </w:r>
    </w:p>
    <w:p w14:paraId="6A2BAC07">
      <w:pPr>
        <w:pStyle w:val="12"/>
        <w:snapToGrid w:val="0"/>
        <w:spacing w:before="50" w:after="120" w:line="360" w:lineRule="auto"/>
        <w:ind w:firstLine="300"/>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采购代理机构：广西机电设备招标有限公司</w:t>
      </w:r>
    </w:p>
    <w:p w14:paraId="169AA011">
      <w:pPr>
        <w:pStyle w:val="12"/>
        <w:snapToGrid w:val="0"/>
        <w:spacing w:before="50" w:after="120" w:line="360" w:lineRule="auto"/>
        <w:ind w:left="0" w:leftChars="0"/>
        <w:jc w:val="center"/>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2025年</w:t>
      </w:r>
      <w:r>
        <w:rPr>
          <w:rFonts w:hint="eastAsia" w:ascii="仿宋_GB2312" w:hAnsi="宋体" w:eastAsia="仿宋_GB2312"/>
          <w:b/>
          <w:bCs/>
          <w:color w:val="auto"/>
          <w:w w:val="95"/>
          <w:sz w:val="30"/>
          <w:szCs w:val="30"/>
          <w:highlight w:val="none"/>
          <w:lang w:val="en-US" w:eastAsia="zh-CN"/>
        </w:rPr>
        <w:t>12</w:t>
      </w:r>
      <w:r>
        <w:rPr>
          <w:rFonts w:hint="eastAsia" w:ascii="仿宋_GB2312" w:hAnsi="宋体" w:eastAsia="仿宋_GB2312"/>
          <w:b/>
          <w:bCs/>
          <w:color w:val="auto"/>
          <w:w w:val="95"/>
          <w:sz w:val="30"/>
          <w:szCs w:val="30"/>
          <w:highlight w:val="none"/>
        </w:rPr>
        <w:t>月</w:t>
      </w:r>
    </w:p>
    <w:p w14:paraId="66218921">
      <w:pPr>
        <w:widowControl/>
        <w:spacing w:line="360" w:lineRule="auto"/>
        <w:jc w:val="left"/>
        <w:rPr>
          <w:rFonts w:ascii="仿宋_GB2312" w:hAnsi="宋体" w:eastAsia="仿宋_GB2312"/>
          <w:b/>
          <w:bCs/>
          <w:color w:val="auto"/>
          <w:w w:val="95"/>
          <w:kern w:val="0"/>
          <w:sz w:val="30"/>
          <w:szCs w:val="30"/>
          <w:highlight w:val="none"/>
        </w:rPr>
        <w:sectPr>
          <w:headerReference r:id="rId3" w:type="default"/>
          <w:pgSz w:w="11911" w:h="16838"/>
          <w:pgMar w:top="1417" w:right="1417" w:bottom="1417" w:left="1417" w:header="720" w:footer="720" w:gutter="0"/>
          <w:pgNumType w:start="1"/>
          <w:cols w:space="0" w:num="1"/>
          <w:docGrid w:linePitch="331" w:charSpace="0"/>
        </w:sectPr>
      </w:pPr>
    </w:p>
    <w:p w14:paraId="651973B0">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7B0B78B6">
      <w:pPr>
        <w:spacing w:line="400" w:lineRule="exact"/>
        <w:jc w:val="center"/>
        <w:rPr>
          <w:rFonts w:ascii="宋体" w:hAnsi="宋体"/>
          <w:b/>
          <w:color w:val="auto"/>
          <w:sz w:val="44"/>
          <w:szCs w:val="44"/>
          <w:highlight w:val="none"/>
        </w:rPr>
      </w:pPr>
    </w:p>
    <w:p w14:paraId="0EFDACE5">
      <w:pPr>
        <w:tabs>
          <w:tab w:val="right" w:leader="dot" w:pos="8879"/>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hint="eastAsia"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"_Toc8095" </w:instrText>
      </w:r>
      <w:r>
        <w:rPr>
          <w:color w:val="auto"/>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竞争性磋商公告</w:t>
      </w:r>
      <w:r>
        <w:rPr>
          <w:color w:val="auto"/>
          <w:highlight w:val="none"/>
        </w:rPr>
        <w:tab/>
      </w:r>
      <w:r>
        <w:rPr>
          <w:color w:val="auto"/>
          <w:highlight w:val="none"/>
        </w:rPr>
        <w:fldChar w:fldCharType="begin"/>
      </w:r>
      <w:r>
        <w:rPr>
          <w:color w:val="auto"/>
          <w:highlight w:val="none"/>
        </w:rPr>
        <w:instrText xml:space="preserve"> PAGEREF _Toc8095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98F97C3">
      <w:pPr>
        <w:tabs>
          <w:tab w:val="right" w:leader="dot" w:pos="8879"/>
        </w:tabs>
        <w:rPr>
          <w:color w:val="auto"/>
          <w:highlight w:val="none"/>
        </w:rPr>
      </w:pPr>
      <w:r>
        <w:rPr>
          <w:color w:val="auto"/>
          <w:highlight w:val="none"/>
        </w:rPr>
        <w:fldChar w:fldCharType="begin"/>
      </w:r>
      <w:r>
        <w:rPr>
          <w:color w:val="auto"/>
          <w:highlight w:val="none"/>
        </w:rPr>
        <w:instrText xml:space="preserve"> HYPERLINK \l "_Toc16006" </w:instrText>
      </w:r>
      <w:r>
        <w:rPr>
          <w:color w:val="auto"/>
          <w:highlight w:val="none"/>
        </w:rPr>
        <w:fldChar w:fldCharType="separate"/>
      </w:r>
      <w:r>
        <w:rPr>
          <w:rFonts w:hint="eastAsia" w:ascii="Cambria" w:hAnsi="Cambria"/>
          <w:color w:val="auto"/>
          <w:szCs w:val="32"/>
          <w:highlight w:val="none"/>
        </w:rPr>
        <w:t>第二章</w:t>
      </w:r>
      <w:r>
        <w:rPr>
          <w:rFonts w:ascii="Cambria" w:hAnsi="Cambria"/>
          <w:color w:val="auto"/>
          <w:szCs w:val="32"/>
          <w:highlight w:val="none"/>
        </w:rPr>
        <w:t xml:space="preserve"> </w:t>
      </w:r>
      <w:r>
        <w:rPr>
          <w:rFonts w:hint="eastAsia" w:ascii="Cambria" w:hAnsi="Cambria"/>
          <w:color w:val="auto"/>
          <w:szCs w:val="32"/>
          <w:highlight w:val="none"/>
        </w:rPr>
        <w:t>采购需求</w:t>
      </w:r>
      <w:r>
        <w:rPr>
          <w:color w:val="auto"/>
          <w:highlight w:val="none"/>
        </w:rPr>
        <w:tab/>
      </w:r>
      <w:r>
        <w:rPr>
          <w:color w:val="auto"/>
          <w:highlight w:val="none"/>
        </w:rPr>
        <w:fldChar w:fldCharType="begin"/>
      </w:r>
      <w:r>
        <w:rPr>
          <w:color w:val="auto"/>
          <w:highlight w:val="none"/>
        </w:rPr>
        <w:instrText xml:space="preserve"> PAGEREF _Toc16006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A0BF39F">
      <w:pPr>
        <w:tabs>
          <w:tab w:val="right" w:leader="dot" w:pos="8879"/>
        </w:tabs>
        <w:rPr>
          <w:color w:val="auto"/>
          <w:highlight w:val="none"/>
        </w:rPr>
      </w:pPr>
      <w:r>
        <w:rPr>
          <w:color w:val="auto"/>
          <w:highlight w:val="none"/>
        </w:rPr>
        <w:fldChar w:fldCharType="begin"/>
      </w:r>
      <w:r>
        <w:rPr>
          <w:color w:val="auto"/>
          <w:highlight w:val="none"/>
        </w:rPr>
        <w:instrText xml:space="preserve"> HYPERLINK \l "_Toc11561" </w:instrText>
      </w:r>
      <w:r>
        <w:rPr>
          <w:color w:val="auto"/>
          <w:highlight w:val="none"/>
        </w:rPr>
        <w:fldChar w:fldCharType="separate"/>
      </w:r>
      <w:r>
        <w:rPr>
          <w:rFonts w:hint="eastAsia" w:ascii="Cambria" w:hAnsi="Cambria"/>
          <w:color w:val="auto"/>
          <w:szCs w:val="32"/>
          <w:highlight w:val="none"/>
        </w:rPr>
        <w:t>第三章</w:t>
      </w:r>
      <w:r>
        <w:rPr>
          <w:rFonts w:ascii="Cambria" w:hAnsi="Cambria"/>
          <w:color w:val="auto"/>
          <w:szCs w:val="32"/>
          <w:highlight w:val="none"/>
        </w:rPr>
        <w:t xml:space="preserve"> </w:t>
      </w:r>
      <w:r>
        <w:rPr>
          <w:rFonts w:hint="eastAsia" w:ascii="Cambria" w:hAnsi="Cambria"/>
          <w:color w:val="auto"/>
          <w:szCs w:val="32"/>
          <w:highlight w:val="none"/>
        </w:rPr>
        <w:t>供应商须知</w:t>
      </w:r>
      <w:r>
        <w:rPr>
          <w:color w:val="auto"/>
          <w:highlight w:val="none"/>
        </w:rPr>
        <w:tab/>
      </w:r>
      <w:r>
        <w:rPr>
          <w:color w:val="auto"/>
          <w:highlight w:val="none"/>
        </w:rPr>
        <w:fldChar w:fldCharType="begin"/>
      </w:r>
      <w:r>
        <w:rPr>
          <w:color w:val="auto"/>
          <w:highlight w:val="none"/>
        </w:rPr>
        <w:instrText xml:space="preserve"> PAGEREF _Toc11561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2E615F2D">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"_Toc25061" </w:instrText>
      </w:r>
      <w:r>
        <w:rPr>
          <w:color w:val="auto"/>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_Toc25061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25C1D94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"_Toc22962" </w:instrText>
      </w:r>
      <w:r>
        <w:rPr>
          <w:color w:val="auto"/>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_Toc22962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092D6F0B">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"_Toc10364" </w:instrText>
      </w:r>
      <w:r>
        <w:rPr>
          <w:color w:val="auto"/>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_Toc10364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490A9354">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"_Toc28927" </w:instrText>
      </w:r>
      <w:r>
        <w:rPr>
          <w:color w:val="auto"/>
          <w:highlight w:val="none"/>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_Toc28927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14:paraId="4BFCF294">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"_Toc12927" </w:instrText>
      </w:r>
      <w:r>
        <w:rPr>
          <w:color w:val="auto"/>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_Toc12927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5EFAD65B">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"_Toc12248" </w:instrText>
      </w:r>
      <w:r>
        <w:rPr>
          <w:color w:val="auto"/>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_Toc12248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95847C7">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"_Toc31092" </w:instrText>
      </w:r>
      <w:r>
        <w:rPr>
          <w:color w:val="auto"/>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_Toc31092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09834946">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"_Toc536" </w:instrText>
      </w:r>
      <w:r>
        <w:rPr>
          <w:color w:val="auto"/>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52D9F26">
      <w:pPr>
        <w:pStyle w:val="11"/>
        <w:tabs>
          <w:tab w:val="right" w:leader="dot" w:pos="8879"/>
        </w:tabs>
        <w:ind w:left="840" w:hanging="420"/>
        <w:rPr>
          <w:color w:val="auto"/>
          <w:highlight w:val="none"/>
        </w:rPr>
      </w:pPr>
      <w:r>
        <w:rPr>
          <w:color w:val="auto"/>
          <w:highlight w:val="none"/>
        </w:rPr>
        <w:fldChar w:fldCharType="begin"/>
      </w:r>
      <w:r>
        <w:rPr>
          <w:color w:val="auto"/>
          <w:highlight w:val="none"/>
        </w:rPr>
        <w:instrText xml:space="preserve"> HYPERLINK \l "_Toc30836" </w:instrText>
      </w:r>
      <w:r>
        <w:rPr>
          <w:color w:val="auto"/>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_Toc30836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1BCC5D14">
      <w:pPr>
        <w:tabs>
          <w:tab w:val="right" w:leader="dot" w:pos="8879"/>
        </w:tabs>
        <w:rPr>
          <w:color w:val="auto"/>
          <w:highlight w:val="none"/>
        </w:rPr>
      </w:pPr>
      <w:r>
        <w:rPr>
          <w:color w:val="auto"/>
          <w:highlight w:val="none"/>
        </w:rPr>
        <w:fldChar w:fldCharType="begin"/>
      </w:r>
      <w:r>
        <w:rPr>
          <w:color w:val="auto"/>
          <w:highlight w:val="none"/>
        </w:rPr>
        <w:instrText xml:space="preserve"> HYPERLINK \l "_Toc25211" </w:instrText>
      </w:r>
      <w:r>
        <w:rPr>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评审</w:t>
      </w:r>
      <w:bookmarkStart w:id="0" w:name="_Hlt116481243"/>
      <w:r>
        <w:rPr>
          <w:rFonts w:hint="eastAsia"/>
          <w:color w:val="auto"/>
          <w:highlight w:val="none"/>
        </w:rPr>
        <w:t>程</w:t>
      </w:r>
      <w:bookmarkEnd w:id="0"/>
      <w:r>
        <w:rPr>
          <w:rFonts w:hint="eastAsia"/>
          <w:color w:val="auto"/>
          <w:highlight w:val="none"/>
        </w:rPr>
        <w:t>序、评审</w:t>
      </w:r>
      <w:bookmarkStart w:id="1" w:name="_Hlt129548490"/>
      <w:bookmarkStart w:id="2" w:name="_Hlt129548491"/>
      <w:r>
        <w:rPr>
          <w:rFonts w:hint="eastAsia"/>
          <w:color w:val="auto"/>
          <w:highlight w:val="none"/>
        </w:rPr>
        <w:t>方</w:t>
      </w:r>
      <w:bookmarkEnd w:id="1"/>
      <w:bookmarkEnd w:id="2"/>
      <w:bookmarkStart w:id="3" w:name="_Hlt177567352"/>
      <w:bookmarkStart w:id="4" w:name="_Hlt177567353"/>
      <w:r>
        <w:rPr>
          <w:rFonts w:hint="eastAsia"/>
          <w:color w:val="auto"/>
          <w:highlight w:val="none"/>
        </w:rPr>
        <w:t>法</w:t>
      </w:r>
      <w:bookmarkEnd w:id="3"/>
      <w:bookmarkEnd w:id="4"/>
      <w:r>
        <w:rPr>
          <w:rFonts w:hint="eastAsia"/>
          <w:color w:val="auto"/>
          <w:highlight w:val="none"/>
        </w:rPr>
        <w:t>和评</w:t>
      </w:r>
      <w:bookmarkStart w:id="5" w:name="_Hlt165383549"/>
      <w:r>
        <w:rPr>
          <w:rFonts w:hint="eastAsia"/>
          <w:color w:val="auto"/>
          <w:highlight w:val="none"/>
        </w:rPr>
        <w:t>审</w:t>
      </w:r>
      <w:bookmarkEnd w:id="5"/>
      <w:r>
        <w:rPr>
          <w:rFonts w:hint="eastAsia"/>
          <w:color w:val="auto"/>
          <w:highlight w:val="none"/>
        </w:rPr>
        <w:t>标准</w:t>
      </w:r>
      <w:r>
        <w:rPr>
          <w:color w:val="auto"/>
          <w:highlight w:val="none"/>
        </w:rPr>
        <w:tab/>
      </w:r>
      <w:r>
        <w:rPr>
          <w:color w:val="auto"/>
          <w:highlight w:val="none"/>
        </w:rPr>
        <w:fldChar w:fldCharType="begin"/>
      </w:r>
      <w:r>
        <w:rPr>
          <w:color w:val="auto"/>
          <w:highlight w:val="none"/>
        </w:rPr>
        <w:instrText xml:space="preserve"> PAGEREF _Toc25211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0BF38FC9">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"_Toc833" </w:instrText>
      </w:r>
      <w:r>
        <w:rPr>
          <w:color w:val="auto"/>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_Toc833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1742811">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"_Toc29129" </w:instrText>
      </w:r>
      <w:r>
        <w:rPr>
          <w:color w:val="auto"/>
          <w:highlight w:val="none"/>
        </w:rPr>
        <w:fldChar w:fldCharType="separate"/>
      </w:r>
      <w:r>
        <w:rPr>
          <w:rFonts w:hint="eastAsia" w:ascii="宋体" w:hAnsi="宋体"/>
          <w:color w:val="auto"/>
          <w:highlight w:val="none"/>
        </w:rPr>
        <w:t>第二节 评标报</w:t>
      </w:r>
      <w:bookmarkStart w:id="6" w:name="_Hlt139904961"/>
      <w:bookmarkStart w:id="7" w:name="_Hlt139904960"/>
      <w:r>
        <w:rPr>
          <w:rFonts w:hint="eastAsia" w:ascii="宋体" w:hAnsi="宋体"/>
          <w:color w:val="auto"/>
          <w:highlight w:val="none"/>
        </w:rPr>
        <w:t>告</w:t>
      </w:r>
      <w:bookmarkEnd w:id="6"/>
      <w:bookmarkEnd w:id="7"/>
      <w:r>
        <w:rPr>
          <w:color w:val="auto"/>
          <w:highlight w:val="none"/>
        </w:rPr>
        <w:tab/>
      </w:r>
      <w:r>
        <w:rPr>
          <w:color w:val="auto"/>
          <w:highlight w:val="none"/>
        </w:rPr>
        <w:fldChar w:fldCharType="begin"/>
      </w:r>
      <w:r>
        <w:rPr>
          <w:color w:val="auto"/>
          <w:highlight w:val="none"/>
        </w:rPr>
        <w:instrText xml:space="preserve"> PAGEREF _Toc29129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8C37E0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"_Toc11092" </w:instrText>
      </w:r>
      <w:r>
        <w:rPr>
          <w:color w:val="auto"/>
          <w:highlight w:val="none"/>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_Toc11092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FA21787">
      <w:pPr>
        <w:tabs>
          <w:tab w:val="right" w:leader="dot" w:pos="8879"/>
        </w:tabs>
        <w:rPr>
          <w:color w:val="auto"/>
          <w:highlight w:val="none"/>
        </w:rPr>
      </w:pPr>
      <w:r>
        <w:rPr>
          <w:color w:val="auto"/>
          <w:highlight w:val="none"/>
        </w:rPr>
        <w:fldChar w:fldCharType="begin"/>
      </w:r>
      <w:r>
        <w:rPr>
          <w:color w:val="auto"/>
          <w:highlight w:val="none"/>
        </w:rPr>
        <w:instrText xml:space="preserve"> HYPERLINK \l "_Toc18495" </w:instrText>
      </w:r>
      <w:r>
        <w:rPr>
          <w:color w:val="auto"/>
          <w:highlight w:val="none"/>
        </w:rPr>
        <w:fldChar w:fldCharType="separate"/>
      </w:r>
      <w:r>
        <w:rPr>
          <w:rFonts w:hint="eastAsia"/>
          <w:color w:val="auto"/>
          <w:highlight w:val="none"/>
        </w:rPr>
        <w:t>第五章</w:t>
      </w:r>
      <w:r>
        <w:rPr>
          <w:color w:val="auto"/>
          <w:highlight w:val="none"/>
        </w:rPr>
        <w:t xml:space="preserve"> </w:t>
      </w:r>
      <w:r>
        <w:rPr>
          <w:rFonts w:hint="eastAsia"/>
          <w:color w:val="auto"/>
          <w:highlight w:val="none"/>
        </w:rPr>
        <w:t>响应文件格式</w:t>
      </w:r>
      <w:r>
        <w:rPr>
          <w:color w:val="auto"/>
          <w:highlight w:val="none"/>
        </w:rPr>
        <w:tab/>
      </w:r>
      <w:r>
        <w:rPr>
          <w:color w:val="auto"/>
          <w:highlight w:val="none"/>
        </w:rPr>
        <w:fldChar w:fldCharType="begin"/>
      </w:r>
      <w:r>
        <w:rPr>
          <w:color w:val="auto"/>
          <w:highlight w:val="none"/>
        </w:rPr>
        <w:instrText xml:space="preserve"> PAGEREF _Toc18495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4BE0474">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"_Toc18956" </w:instrText>
      </w:r>
      <w:r>
        <w:rPr>
          <w:color w:val="auto"/>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_Toc18956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1F299042">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"_Toc23404" </w:instrText>
      </w:r>
      <w:r>
        <w:rPr>
          <w:color w:val="auto"/>
          <w:highlight w:val="none"/>
        </w:rPr>
        <w:fldChar w:fldCharType="separate"/>
      </w:r>
      <w:r>
        <w:rPr>
          <w:rFonts w:hint="eastAsia" w:ascii="宋体"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_Toc23404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C6FE533">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"_Toc16804" </w:instrText>
      </w:r>
      <w:r>
        <w:rPr>
          <w:color w:val="auto"/>
          <w:highlight w:val="none"/>
        </w:rPr>
        <w:fldChar w:fldCharType="separate"/>
      </w:r>
      <w:r>
        <w:rPr>
          <w:rFonts w:hint="eastAsia" w:ascii="宋体" w:hAnsi="宋体"/>
          <w:color w:val="auto"/>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_Toc16804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501AF457">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olor w:val="auto"/>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_Toc25570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66F64A76">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"_Toc21156" </w:instrText>
      </w:r>
      <w:r>
        <w:rPr>
          <w:color w:val="auto"/>
          <w:highlight w:val="none"/>
        </w:rPr>
        <w:fldChar w:fldCharType="separate"/>
      </w:r>
      <w:r>
        <w:rPr>
          <w:rFonts w:hint="eastAsia" w:ascii="宋体" w:hAnsi="宋体"/>
          <w:color w:val="auto"/>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_Toc21156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3FED2980">
      <w:pPr>
        <w:tabs>
          <w:tab w:val="right" w:leader="dot" w:pos="8879"/>
        </w:tabs>
        <w:rPr>
          <w:color w:val="auto"/>
          <w:highlight w:val="none"/>
        </w:rPr>
      </w:pPr>
      <w:r>
        <w:rPr>
          <w:color w:val="auto"/>
          <w:highlight w:val="none"/>
        </w:rPr>
        <w:fldChar w:fldCharType="begin"/>
      </w:r>
      <w:r>
        <w:rPr>
          <w:color w:val="auto"/>
          <w:highlight w:val="none"/>
        </w:rPr>
        <w:instrText xml:space="preserve"> HYPERLINK \l "_Toc18784" </w:instrText>
      </w:r>
      <w:r>
        <w:rPr>
          <w:color w:val="auto"/>
          <w:highlight w:val="none"/>
        </w:rPr>
        <w:fldChar w:fldCharType="separate"/>
      </w:r>
      <w:r>
        <w:rPr>
          <w:rFonts w:hint="eastAsia" w:ascii="宋体" w:hAnsi="宋体"/>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_Toc18784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085AF5EF">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"_Toc4565" </w:instrText>
      </w:r>
      <w:r>
        <w:rPr>
          <w:color w:val="auto"/>
          <w:highlight w:val="none"/>
        </w:rPr>
        <w:fldChar w:fldCharType="separate"/>
      </w:r>
      <w:r>
        <w:rPr>
          <w:rFonts w:hint="eastAsia" w:ascii="宋体" w:hAnsi="宋体"/>
          <w:color w:val="auto"/>
          <w:highlight w:val="none"/>
        </w:rPr>
        <w:t>第一部分 合同书</w:t>
      </w:r>
      <w:r>
        <w:rPr>
          <w:color w:val="auto"/>
          <w:highlight w:val="none"/>
        </w:rPr>
        <w:tab/>
      </w:r>
      <w:r>
        <w:rPr>
          <w:color w:val="auto"/>
          <w:highlight w:val="none"/>
        </w:rPr>
        <w:fldChar w:fldCharType="begin"/>
      </w:r>
      <w:r>
        <w:rPr>
          <w:color w:val="auto"/>
          <w:highlight w:val="none"/>
        </w:rPr>
        <w:instrText xml:space="preserve"> PAGEREF _Toc4565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3E6FCAB6">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"_Toc4455" </w:instrText>
      </w:r>
      <w:r>
        <w:rPr>
          <w:color w:val="auto"/>
          <w:highlight w:val="none"/>
        </w:rPr>
        <w:fldChar w:fldCharType="separate"/>
      </w:r>
      <w:r>
        <w:rPr>
          <w:rFonts w:hint="eastAsia" w:ascii="宋体" w:hAnsi="宋体"/>
          <w:color w:val="auto"/>
          <w:highlight w:val="none"/>
        </w:rPr>
        <w:t>第二部分 合同一般条款</w:t>
      </w:r>
      <w:r>
        <w:rPr>
          <w:color w:val="auto"/>
          <w:highlight w:val="none"/>
        </w:rPr>
        <w:tab/>
      </w:r>
      <w:r>
        <w:rPr>
          <w:color w:val="auto"/>
          <w:highlight w:val="none"/>
        </w:rPr>
        <w:fldChar w:fldCharType="begin"/>
      </w:r>
      <w:r>
        <w:rPr>
          <w:color w:val="auto"/>
          <w:highlight w:val="none"/>
        </w:rPr>
        <w:instrText xml:space="preserve"> PAGEREF _Toc4455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5B2AA3C8">
      <w:pPr>
        <w:pStyle w:val="18"/>
        <w:tabs>
          <w:tab w:val="right" w:leader="dot" w:pos="8879"/>
        </w:tabs>
        <w:ind w:left="420" w:hanging="420"/>
        <w:rPr>
          <w:color w:val="auto"/>
          <w:highlight w:val="none"/>
        </w:rPr>
      </w:pPr>
      <w:r>
        <w:rPr>
          <w:color w:val="auto"/>
          <w:highlight w:val="none"/>
        </w:rPr>
        <w:fldChar w:fldCharType="begin"/>
      </w:r>
      <w:r>
        <w:rPr>
          <w:color w:val="auto"/>
          <w:highlight w:val="none"/>
        </w:rPr>
        <w:instrText xml:space="preserve"> HYPERLINK \l "_Toc11028" </w:instrText>
      </w:r>
      <w:r>
        <w:rPr>
          <w:color w:val="auto"/>
          <w:highlight w:val="none"/>
        </w:rPr>
        <w:fldChar w:fldCharType="separate"/>
      </w:r>
      <w:r>
        <w:rPr>
          <w:rFonts w:hint="eastAsia" w:ascii="宋体" w:hAnsi="宋体"/>
          <w:color w:val="auto"/>
          <w:highlight w:val="none"/>
        </w:rPr>
        <w:t>第三部分  合同专用条款</w:t>
      </w:r>
      <w:r>
        <w:rPr>
          <w:color w:val="auto"/>
          <w:highlight w:val="none"/>
        </w:rPr>
        <w:tab/>
      </w:r>
      <w:r>
        <w:rPr>
          <w:color w:val="auto"/>
          <w:highlight w:val="none"/>
        </w:rPr>
        <w:fldChar w:fldCharType="begin"/>
      </w:r>
      <w:r>
        <w:rPr>
          <w:color w:val="auto"/>
          <w:highlight w:val="none"/>
        </w:rPr>
        <w:instrText xml:space="preserve"> PAGEREF _Toc11028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77158382">
      <w:pPr>
        <w:tabs>
          <w:tab w:val="right" w:leader="dot" w:pos="8879"/>
        </w:tabs>
        <w:rPr>
          <w:color w:val="auto"/>
          <w:highlight w:val="none"/>
        </w:rPr>
      </w:pPr>
      <w:r>
        <w:rPr>
          <w:color w:val="auto"/>
          <w:highlight w:val="none"/>
        </w:rPr>
        <w:fldChar w:fldCharType="begin"/>
      </w:r>
      <w:r>
        <w:rPr>
          <w:color w:val="auto"/>
          <w:highlight w:val="none"/>
        </w:rPr>
        <w:instrText xml:space="preserve"> HYPERLINK \l "_Toc27474" </w:instrText>
      </w:r>
      <w:r>
        <w:rPr>
          <w:color w:val="auto"/>
          <w:highlight w:val="none"/>
        </w:rPr>
        <w:fldChar w:fldCharType="separate"/>
      </w:r>
      <w:r>
        <w:rPr>
          <w:rFonts w:hint="eastAsia" w:ascii="宋体" w:hAnsi="宋体" w:cs="仿宋_GB2312"/>
          <w:color w:val="auto"/>
          <w:highlight w:val="none"/>
        </w:rPr>
        <w:t>第七章 质疑、投诉</w:t>
      </w:r>
      <w:bookmarkStart w:id="8" w:name="_Hlt112947494"/>
      <w:bookmarkStart w:id="9" w:name="_Hlt112947495"/>
      <w:r>
        <w:rPr>
          <w:rFonts w:hint="eastAsia" w:ascii="宋体" w:hAnsi="宋体" w:cs="仿宋_GB2312"/>
          <w:color w:val="auto"/>
          <w:highlight w:val="none"/>
        </w:rPr>
        <w:t>材</w:t>
      </w:r>
      <w:bookmarkEnd w:id="8"/>
      <w:bookmarkEnd w:id="9"/>
      <w:r>
        <w:rPr>
          <w:rFonts w:hint="eastAsia" w:ascii="宋体" w:hAnsi="宋体" w:cs="仿宋_GB2312"/>
          <w:color w:val="auto"/>
          <w:highlight w:val="none"/>
        </w:rPr>
        <w:t>料</w:t>
      </w:r>
      <w:bookmarkStart w:id="10" w:name="_Hlt114042032"/>
      <w:bookmarkStart w:id="11" w:name="_Hlt114042031"/>
      <w:r>
        <w:rPr>
          <w:rFonts w:hint="eastAsia" w:ascii="宋体" w:hAnsi="宋体" w:cs="仿宋_GB2312"/>
          <w:color w:val="auto"/>
          <w:highlight w:val="none"/>
        </w:rPr>
        <w:t>格</w:t>
      </w:r>
      <w:bookmarkEnd w:id="10"/>
      <w:bookmarkEnd w:id="11"/>
      <w:r>
        <w:rPr>
          <w:rFonts w:hint="eastAsia" w:ascii="宋体" w:hAnsi="宋体" w:cs="仿宋_GB2312"/>
          <w:color w:val="auto"/>
          <w:highlight w:val="none"/>
        </w:rPr>
        <w:t>式</w:t>
      </w:r>
      <w:bookmarkStart w:id="12" w:name="_Hlt123917032"/>
      <w:bookmarkStart w:id="13" w:name="_Hlt123917031"/>
      <w:r>
        <w:rPr>
          <w:color w:val="auto"/>
          <w:highlight w:val="none"/>
        </w:rPr>
        <w:tab/>
      </w:r>
      <w:bookmarkEnd w:id="12"/>
      <w:bookmarkEnd w:id="13"/>
      <w:r>
        <w:rPr>
          <w:color w:val="auto"/>
          <w:highlight w:val="none"/>
        </w:rPr>
        <w:fldChar w:fldCharType="begin"/>
      </w:r>
      <w:r>
        <w:rPr>
          <w:color w:val="auto"/>
          <w:highlight w:val="none"/>
        </w:rPr>
        <w:instrText xml:space="preserve"> PAGEREF _Toc27474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455C686E">
      <w:pPr>
        <w:pStyle w:val="18"/>
        <w:ind w:left="420" w:hanging="420"/>
        <w:rPr>
          <w:color w:val="auto"/>
          <w:sz w:val="28"/>
          <w:szCs w:val="28"/>
          <w:highlight w:val="none"/>
        </w:rPr>
      </w:pPr>
      <w:r>
        <w:rPr>
          <w:rFonts w:hint="eastAsia" w:ascii="宋体" w:hAnsi="宋体"/>
          <w:color w:val="auto"/>
          <w:szCs w:val="30"/>
          <w:highlight w:val="none"/>
        </w:rPr>
        <w:fldChar w:fldCharType="end"/>
      </w:r>
    </w:p>
    <w:p w14:paraId="7AC40C4D">
      <w:pPr>
        <w:tabs>
          <w:tab w:val="left" w:pos="7470"/>
        </w:tabs>
        <w:spacing w:line="400" w:lineRule="exact"/>
        <w:jc w:val="left"/>
        <w:rPr>
          <w:rFonts w:ascii="宋体" w:hAnsi="宋体"/>
          <w:b/>
          <w:color w:val="auto"/>
          <w:sz w:val="32"/>
          <w:szCs w:val="32"/>
          <w:highlight w:val="none"/>
        </w:rPr>
      </w:pPr>
      <w:r>
        <w:rPr>
          <w:rFonts w:hint="eastAsia" w:ascii="宋体" w:hAnsi="宋体"/>
          <w:b/>
          <w:color w:val="auto"/>
          <w:sz w:val="32"/>
          <w:szCs w:val="32"/>
          <w:highlight w:val="none"/>
        </w:rPr>
        <w:tab/>
      </w:r>
    </w:p>
    <w:p w14:paraId="1D67BCD7">
      <w:pPr>
        <w:spacing w:line="400" w:lineRule="exact"/>
        <w:jc w:val="center"/>
        <w:rPr>
          <w:rFonts w:ascii="宋体" w:hAnsi="宋体"/>
          <w:b/>
          <w:color w:val="auto"/>
          <w:sz w:val="32"/>
          <w:szCs w:val="32"/>
          <w:highlight w:val="none"/>
        </w:rPr>
      </w:pPr>
    </w:p>
    <w:p w14:paraId="6F7A1694">
      <w:pPr>
        <w:spacing w:line="400" w:lineRule="exact"/>
        <w:jc w:val="center"/>
        <w:rPr>
          <w:rFonts w:ascii="宋体" w:hAnsi="宋体"/>
          <w:b/>
          <w:color w:val="auto"/>
          <w:sz w:val="32"/>
          <w:szCs w:val="32"/>
          <w:highlight w:val="none"/>
        </w:rPr>
      </w:pPr>
    </w:p>
    <w:p w14:paraId="55E7C833">
      <w:pPr>
        <w:spacing w:line="400" w:lineRule="exact"/>
        <w:jc w:val="center"/>
        <w:rPr>
          <w:rFonts w:ascii="宋体" w:hAnsi="宋体"/>
          <w:b/>
          <w:color w:val="auto"/>
          <w:sz w:val="32"/>
          <w:szCs w:val="32"/>
          <w:highlight w:val="none"/>
        </w:rPr>
      </w:pPr>
    </w:p>
    <w:p w14:paraId="569EA654">
      <w:pPr>
        <w:widowControl/>
        <w:jc w:val="left"/>
        <w:rPr>
          <w:rFonts w:ascii="宋体" w:hAnsi="宋体"/>
          <w:b/>
          <w:color w:val="auto"/>
          <w:sz w:val="32"/>
          <w:szCs w:val="32"/>
          <w:highlight w:val="none"/>
        </w:rPr>
        <w:sectPr>
          <w:pgSz w:w="11911" w:h="16838"/>
          <w:pgMar w:top="1417" w:right="1417" w:bottom="1417" w:left="1417" w:header="720" w:footer="720" w:gutter="0"/>
          <w:pgNumType w:start="0"/>
          <w:cols w:space="0" w:num="1"/>
          <w:docGrid w:linePitch="312" w:charSpace="0"/>
        </w:sectPr>
      </w:pPr>
    </w:p>
    <w:p w14:paraId="20A53ACA">
      <w:pPr>
        <w:rPr>
          <w:color w:val="auto"/>
          <w:highlight w:val="none"/>
        </w:rPr>
      </w:pPr>
    </w:p>
    <w:p w14:paraId="1649A830">
      <w:pPr>
        <w:pStyle w:val="3"/>
        <w:spacing w:before="0" w:line="240" w:lineRule="auto"/>
        <w:jc w:val="center"/>
        <w:rPr>
          <w:color w:val="auto"/>
          <w:highlight w:val="none"/>
        </w:rPr>
      </w:pPr>
      <w:bookmarkStart w:id="14" w:name="_Toc8095"/>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14"/>
      <w:bookmarkStart w:id="15" w:name="_Toc35393623"/>
      <w:bookmarkStart w:id="16" w:name="_Toc35393629"/>
      <w:bookmarkStart w:id="17" w:name="_Toc28359004"/>
      <w:bookmarkStart w:id="18" w:name="_Toc28359081"/>
      <w:bookmarkStart w:id="19" w:name="_Toc28359089"/>
      <w:bookmarkStart w:id="20" w:name="_Toc28359012"/>
      <w:bookmarkStart w:id="21" w:name="_Toc35393798"/>
      <w:bookmarkStart w:id="22" w:name="_Toc35393792"/>
      <w:bookmarkStart w:id="23" w:name="_Toc44229878"/>
    </w:p>
    <w:p w14:paraId="3D687C95">
      <w:pPr>
        <w:spacing w:after="120" w:afterLines="50" w:line="40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广西机电设备招标有限公司关于</w:t>
      </w:r>
      <w:r>
        <w:rPr>
          <w:rFonts w:hint="eastAsia" w:ascii="宋体" w:hAnsi="宋体" w:cs="宋体"/>
          <w:b/>
          <w:bCs/>
          <w:color w:val="auto"/>
          <w:sz w:val="28"/>
          <w:szCs w:val="28"/>
          <w:highlight w:val="none"/>
          <w:lang w:eastAsia="zh-CN"/>
        </w:rPr>
        <w:t>2026年涉案财物集中委托管理处置服务采购</w:t>
      </w: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lang w:eastAsia="zh-CN"/>
        </w:rPr>
        <w:t>NNZC2025-C3-991428-JDZB</w:t>
      </w:r>
      <w:r>
        <w:rPr>
          <w:rFonts w:hint="eastAsia" w:ascii="宋体" w:hAnsi="宋体" w:cs="宋体"/>
          <w:b/>
          <w:bCs/>
          <w:color w:val="auto"/>
          <w:sz w:val="28"/>
          <w:szCs w:val="28"/>
          <w:highlight w:val="none"/>
        </w:rPr>
        <w:t>）竞争性磋商公告</w:t>
      </w:r>
    </w:p>
    <w:p w14:paraId="3C2E6158">
      <w:pPr>
        <w:spacing w:line="400" w:lineRule="exact"/>
        <w:ind w:firstLine="420" w:firstLineChars="200"/>
        <w:rPr>
          <w:rFonts w:ascii="宋体" w:hAnsi="宋体" w:cs="宋体"/>
          <w:color w:val="auto"/>
          <w:szCs w:val="21"/>
          <w:highlight w:val="none"/>
        </w:rPr>
      </w:pPr>
      <w:bookmarkStart w:id="24" w:name="_Hlk112948432"/>
      <w:r>
        <w:rPr>
          <w:rFonts w:hint="eastAsia" w:ascii="宋体" w:hAnsi="宋体" w:cs="宋体"/>
          <w:color w:val="auto"/>
          <w:szCs w:val="21"/>
          <w:highlight w:val="none"/>
        </w:rPr>
        <w:t>项目概况：</w:t>
      </w:r>
      <w:r>
        <w:rPr>
          <w:rFonts w:hint="eastAsia" w:ascii="宋体" w:hAnsi="宋体" w:cs="宋体"/>
          <w:color w:val="auto"/>
          <w:szCs w:val="21"/>
          <w:highlight w:val="none"/>
          <w:lang w:eastAsia="zh-CN"/>
        </w:rPr>
        <w:t>2026年涉案财物集中委托管理处置服务采购</w:t>
      </w:r>
      <w:r>
        <w:rPr>
          <w:rFonts w:hint="eastAsia" w:ascii="宋体" w:hAnsi="宋体" w:cs="宋体"/>
          <w:color w:val="auto"/>
          <w:szCs w:val="21"/>
          <w:highlight w:val="none"/>
        </w:rPr>
        <w:t>的潜在供应商应在广西政府采购云平台（https://www.gcy.zfcg.gxzf.gov.cn/）线上获取采购文件，并于2025年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 xml:space="preserve">日09:30（北京时间）前提交响应文件。   </w:t>
      </w:r>
    </w:p>
    <w:bookmarkEnd w:id="15"/>
    <w:bookmarkEnd w:id="16"/>
    <w:bookmarkEnd w:id="17"/>
    <w:bookmarkEnd w:id="18"/>
    <w:bookmarkEnd w:id="19"/>
    <w:bookmarkEnd w:id="20"/>
    <w:bookmarkEnd w:id="21"/>
    <w:bookmarkEnd w:id="22"/>
    <w:bookmarkEnd w:id="23"/>
    <w:p w14:paraId="2BEF9569">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一、项目基本情况</w:t>
      </w:r>
      <w:bookmarkStart w:id="253" w:name="_GoBack"/>
      <w:bookmarkEnd w:id="253"/>
    </w:p>
    <w:p w14:paraId="41C179D4">
      <w:pPr>
        <w:widowControl/>
        <w:shd w:val="clear" w:color="auto" w:fill="FFFFFF"/>
        <w:spacing w:line="40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 xml:space="preserve">项目编号： </w:t>
      </w:r>
      <w:r>
        <w:rPr>
          <w:rFonts w:hint="eastAsia" w:ascii="宋体" w:hAnsi="宋体" w:cs="宋体"/>
          <w:color w:val="auto"/>
          <w:kern w:val="0"/>
          <w:szCs w:val="21"/>
          <w:highlight w:val="none"/>
          <w:lang w:eastAsia="zh-CN"/>
        </w:rPr>
        <w:t>NNZC2025-C3-991428-JDZB</w:t>
      </w:r>
    </w:p>
    <w:p w14:paraId="6C25FDA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2026年涉案财物集中委托管理处置服务采购</w:t>
      </w:r>
      <w:r>
        <w:rPr>
          <w:rFonts w:hint="eastAsia" w:ascii="宋体" w:hAnsi="宋体" w:cs="宋体"/>
          <w:color w:val="auto"/>
          <w:kern w:val="0"/>
          <w:szCs w:val="21"/>
          <w:highlight w:val="none"/>
        </w:rPr>
        <w:t> </w:t>
      </w:r>
    </w:p>
    <w:p w14:paraId="63BCF8EB">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采购方式：竞争性磋商</w:t>
      </w:r>
    </w:p>
    <w:p w14:paraId="2145396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预算总金额（元）：</w:t>
      </w:r>
      <w:r>
        <w:rPr>
          <w:rFonts w:hint="eastAsia" w:ascii="宋体" w:hAnsi="宋体" w:cs="宋体"/>
          <w:color w:val="auto"/>
          <w:kern w:val="0"/>
          <w:szCs w:val="21"/>
          <w:highlight w:val="none"/>
          <w:lang w:val="en-US" w:eastAsia="zh-CN"/>
        </w:rPr>
        <w:t>100</w:t>
      </w:r>
      <w:r>
        <w:rPr>
          <w:rFonts w:hint="eastAsia" w:ascii="宋体" w:hAnsi="宋体" w:cs="宋体"/>
          <w:color w:val="auto"/>
          <w:kern w:val="0"/>
          <w:szCs w:val="21"/>
          <w:highlight w:val="none"/>
        </w:rPr>
        <w:t>0000.00</w:t>
      </w:r>
    </w:p>
    <w:p w14:paraId="010D807A">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采购需求：</w:t>
      </w:r>
    </w:p>
    <w:p w14:paraId="3153F54C">
      <w:pPr>
        <w:widowControl/>
        <w:shd w:val="clear" w:color="auto" w:fill="FFFFFF"/>
        <w:spacing w:line="400" w:lineRule="exact"/>
        <w:ind w:firstLine="420"/>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标项名称：</w:t>
      </w:r>
      <w:r>
        <w:rPr>
          <w:rFonts w:hint="eastAsia" w:ascii="宋体" w:hAnsi="宋体" w:cs="宋体"/>
          <w:color w:val="auto"/>
          <w:kern w:val="0"/>
          <w:szCs w:val="21"/>
          <w:highlight w:val="none"/>
          <w:lang w:eastAsia="zh-CN"/>
        </w:rPr>
        <w:t>2026年涉案财物集中委托管理处置服务采购</w:t>
      </w:r>
    </w:p>
    <w:p w14:paraId="23907940">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数量：1项</w:t>
      </w:r>
    </w:p>
    <w:p w14:paraId="7FCF622C">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预算金额（元）:</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00000.00</w:t>
      </w:r>
    </w:p>
    <w:p w14:paraId="075D7B73">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简要规格描述或项目基本概况介绍、用途：委托具备专业保管、处置资格的第三方机构对市本级纪检监察机关、市公安局和全市各级法院、检察院查封、扣押、冻结的涉案财物实施集中保管和处置。具体内容详见竞争性磋商文件。</w:t>
      </w:r>
    </w:p>
    <w:p w14:paraId="02243BD6">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最高限价（如有）：</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00000.00</w:t>
      </w:r>
    </w:p>
    <w:p w14:paraId="3B622AA0">
      <w:pPr>
        <w:spacing w:line="400" w:lineRule="exact"/>
        <w:ind w:firstLine="420"/>
        <w:rPr>
          <w:rFonts w:ascii="宋体" w:hAnsi="宋体" w:cs="宋体"/>
          <w:color w:val="auto"/>
          <w:kern w:val="0"/>
          <w:szCs w:val="21"/>
          <w:highlight w:val="none"/>
        </w:rPr>
      </w:pPr>
      <w:r>
        <w:rPr>
          <w:rFonts w:hint="eastAsia" w:ascii="宋体" w:hAnsi="宋体" w:cs="宋体"/>
          <w:color w:val="auto"/>
          <w:kern w:val="0"/>
          <w:szCs w:val="21"/>
          <w:highlight w:val="none"/>
        </w:rPr>
        <w:t>合同履约期限：</w:t>
      </w:r>
      <w:r>
        <w:rPr>
          <w:rFonts w:hint="eastAsia" w:ascii="宋体" w:hAnsi="宋体" w:cs="宋体"/>
          <w:color w:val="auto"/>
          <w:kern w:val="0"/>
          <w:szCs w:val="21"/>
          <w:highlight w:val="none"/>
          <w:lang w:val="en-US" w:eastAsia="zh-CN"/>
        </w:rPr>
        <w:t>自合同签订之日起</w:t>
      </w:r>
      <w:r>
        <w:rPr>
          <w:rFonts w:hint="eastAsia" w:ascii="宋体" w:hAnsi="宋体" w:cs="宋体"/>
          <w:color w:val="auto"/>
          <w:szCs w:val="21"/>
          <w:highlight w:val="none"/>
          <w:lang w:val="en-US" w:eastAsia="zh-CN" w:bidi="ar"/>
        </w:rPr>
        <w:t>1年，每一年结束后根据考核结果续签下一年合同。</w:t>
      </w:r>
    </w:p>
    <w:p w14:paraId="64D8F8AF">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本项目不接受联合体响应。</w:t>
      </w:r>
    </w:p>
    <w:p w14:paraId="0E61578F">
      <w:pPr>
        <w:widowControl/>
        <w:shd w:val="clear" w:color="auto" w:fill="FFFFFF"/>
        <w:spacing w:line="400" w:lineRule="exact"/>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备注：</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采购计划号：NNZC[2025]8141号</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2.本项目是政府购买服务项目，公益一类事业单位、使用事业编制且由财政拨款保障的群团组织，不得参加本项目的采购活动。</w:t>
      </w:r>
    </w:p>
    <w:p w14:paraId="1ED32E6D">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二、申请人的资格要求：</w:t>
      </w:r>
    </w:p>
    <w:p w14:paraId="4AF366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0DC083BC">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2.落实政府采购政策需满足的资格要求：</w:t>
      </w:r>
    </w:p>
    <w:p w14:paraId="2E6FDECB">
      <w:pPr>
        <w:widowControl/>
        <w:shd w:val="clear" w:color="auto" w:fill="FFFFFF"/>
        <w:spacing w:line="400" w:lineRule="exact"/>
        <w:ind w:firstLine="420" w:firstLineChars="200"/>
        <w:jc w:val="left"/>
        <w:rPr>
          <w:rFonts w:ascii="宋体" w:hAnsi="宋体" w:cs="宋体"/>
          <w:b/>
          <w:bCs/>
          <w:color w:val="auto"/>
          <w:kern w:val="0"/>
          <w:szCs w:val="21"/>
          <w:highlight w:val="none"/>
        </w:rPr>
      </w:pP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rPr>
        <w:t>专门面向中小企业采购的项目（供应商均为中小微企业、监狱企业、残疾人福利性单位)</w:t>
      </w:r>
    </w:p>
    <w:p w14:paraId="0B5E82A7">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非专门面向中小企业采购的项目</w:t>
      </w:r>
    </w:p>
    <w:p w14:paraId="701A464D">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3.本项目的特定资格要求：</w:t>
      </w:r>
      <w:r>
        <w:rPr>
          <w:rFonts w:hint="eastAsia" w:ascii="宋体" w:hAnsi="宋体" w:cs="宋体"/>
          <w:color w:val="auto"/>
          <w:kern w:val="0"/>
          <w:szCs w:val="21"/>
          <w:highlight w:val="none"/>
          <w:lang w:val="en-US" w:eastAsia="zh-CN"/>
        </w:rPr>
        <w:t>无</w:t>
      </w:r>
    </w:p>
    <w:p w14:paraId="4A7D9D6D">
      <w:pPr>
        <w:widowControl/>
        <w:shd w:val="clear" w:color="auto" w:fill="FFFFFF"/>
        <w:spacing w:line="40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4.本项目的特定条件：</w:t>
      </w:r>
      <w:r>
        <w:rPr>
          <w:rFonts w:hint="eastAsia" w:ascii="宋体" w:hAnsi="宋体" w:cs="宋体"/>
          <w:color w:val="auto"/>
          <w:kern w:val="0"/>
          <w:szCs w:val="21"/>
          <w:highlight w:val="none"/>
          <w:lang w:val="en-US" w:eastAsia="zh-CN"/>
        </w:rPr>
        <w:t>无</w:t>
      </w:r>
    </w:p>
    <w:p w14:paraId="06422168">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2FA207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22003B0">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三、获取采购文件</w:t>
      </w:r>
    </w:p>
    <w:p w14:paraId="01B14CC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时间：自公告发布之日起至响应截止时间止。</w:t>
      </w:r>
    </w:p>
    <w:p w14:paraId="7B729CE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获取方式：网上下载。本项目不发放纸质文件，供应商可自行在“广西政府采购云平台”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https://www.gcy.zfcg.gxzf.gov.cn/）下载采购文件（操作路径：登录“广西政府采购云平台”-项目采购-获取采购文件-找到本项目-点击“申请获取采购文件”），电子响应文件制作需要基于“广西政府采购云平台”获取的采购文件编制。</w:t>
      </w:r>
    </w:p>
    <w:p w14:paraId="52A7615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售价（元）：0</w:t>
      </w:r>
    </w:p>
    <w:p w14:paraId="2BDA4D3B">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四、响应文件提交</w:t>
      </w:r>
      <w:r>
        <w:rPr>
          <w:rFonts w:hint="eastAsia" w:ascii="宋体" w:hAnsi="宋体" w:cs="宋体"/>
          <w:color w:val="auto"/>
          <w:kern w:val="0"/>
          <w:szCs w:val="21"/>
          <w:highlight w:val="none"/>
        </w:rPr>
        <w:t> </w:t>
      </w:r>
    </w:p>
    <w:p w14:paraId="7B52DF0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1.提交响应文件截止时间和开标时间：</w:t>
      </w:r>
      <w:r>
        <w:rPr>
          <w:rFonts w:hint="eastAsia" w:ascii="宋体" w:hAnsi="宋体" w:cs="宋体"/>
          <w:color w:val="auto"/>
          <w:kern w:val="0"/>
          <w:szCs w:val="21"/>
          <w:highlight w:val="none"/>
          <w:u w:val="single"/>
        </w:rPr>
        <w:t>2025年</w:t>
      </w:r>
      <w:r>
        <w:rPr>
          <w:rFonts w:hint="eastAsia" w:ascii="宋体" w:hAnsi="宋体" w:cs="宋体"/>
          <w:color w:val="auto"/>
          <w:kern w:val="0"/>
          <w:szCs w:val="21"/>
          <w:highlight w:val="none"/>
          <w:u w:val="single"/>
          <w:lang w:val="en-US" w:eastAsia="zh-CN"/>
        </w:rPr>
        <w:t>12</w:t>
      </w:r>
      <w:r>
        <w:rPr>
          <w:rFonts w:hint="eastAsia" w:ascii="宋体" w:hAnsi="宋体" w:cs="宋体"/>
          <w:color w:val="auto"/>
          <w:kern w:val="0"/>
          <w:szCs w:val="21"/>
          <w:highlight w:val="none"/>
          <w:u w:val="single"/>
        </w:rPr>
        <w:t>月</w:t>
      </w:r>
      <w:r>
        <w:rPr>
          <w:rFonts w:hint="eastAsia" w:ascii="宋体" w:hAnsi="宋体" w:cs="宋体"/>
          <w:color w:val="auto"/>
          <w:kern w:val="0"/>
          <w:szCs w:val="21"/>
          <w:highlight w:val="none"/>
          <w:u w:val="single"/>
          <w:lang w:val="en-US" w:eastAsia="zh-CN"/>
        </w:rPr>
        <w:t>22</w:t>
      </w:r>
      <w:r>
        <w:rPr>
          <w:rFonts w:hint="eastAsia" w:ascii="宋体" w:hAnsi="宋体" w:cs="宋体"/>
          <w:color w:val="auto"/>
          <w:kern w:val="0"/>
          <w:szCs w:val="21"/>
          <w:highlight w:val="none"/>
          <w:u w:val="single"/>
        </w:rPr>
        <w:t>日09时30分</w:t>
      </w:r>
      <w:r>
        <w:rPr>
          <w:rFonts w:hint="eastAsia" w:ascii="宋体" w:hAnsi="宋体" w:cs="宋体"/>
          <w:color w:val="auto"/>
          <w:kern w:val="0"/>
          <w:szCs w:val="21"/>
          <w:highlight w:val="none"/>
        </w:rPr>
        <w:t>（北京时间）</w:t>
      </w:r>
    </w:p>
    <w:p w14:paraId="71B6286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2.响应地点（网址）：本项目为南宁市全流程电子化项目，通过“广西政府采购云平台”</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 xml:space="preserve">（https://www.gcy.zfcg.gxzf.gov.cn/）实行在线电子投标，电子投标具体操作流程详见电子响应文件制作与投送教程（在此网址下载：http://nncz.nanning.gov.cn/（南宁市财政局官网）-下载专区）。 </w:t>
      </w:r>
    </w:p>
    <w:p w14:paraId="4CAD1E42">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3.截标地点：“广西政府采购云平台”电子开标大厅开标。</w:t>
      </w:r>
    </w:p>
    <w:p w14:paraId="7DE8B4B7">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五、响应文件开启</w:t>
      </w:r>
      <w:r>
        <w:rPr>
          <w:rFonts w:hint="eastAsia" w:ascii="宋体" w:hAnsi="宋体" w:cs="宋体"/>
          <w:color w:val="auto"/>
          <w:kern w:val="0"/>
          <w:szCs w:val="21"/>
          <w:highlight w:val="none"/>
        </w:rPr>
        <w:t> </w:t>
      </w:r>
    </w:p>
    <w:p w14:paraId="6146414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1.开启时间：2025年</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22</w:t>
      </w:r>
      <w:r>
        <w:rPr>
          <w:rFonts w:hint="eastAsia" w:ascii="宋体" w:hAnsi="宋体" w:cs="宋体"/>
          <w:color w:val="auto"/>
          <w:kern w:val="0"/>
          <w:szCs w:val="21"/>
          <w:highlight w:val="none"/>
        </w:rPr>
        <w:t>日 09:30（北京时间）</w:t>
      </w:r>
    </w:p>
    <w:p w14:paraId="0C1B4BE5">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2.地点：“广西政府采购云平台”电子开标大厅 </w:t>
      </w:r>
    </w:p>
    <w:p w14:paraId="129841A8">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六、公告期限</w:t>
      </w:r>
    </w:p>
    <w:p w14:paraId="4A524DDE">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E76BB01">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七、其他补充事宜</w:t>
      </w:r>
      <w:r>
        <w:rPr>
          <w:rFonts w:hint="eastAsia" w:ascii="宋体" w:hAnsi="宋体" w:cs="宋体"/>
          <w:color w:val="auto"/>
          <w:kern w:val="0"/>
          <w:szCs w:val="21"/>
          <w:highlight w:val="none"/>
        </w:rPr>
        <w:t> </w:t>
      </w:r>
    </w:p>
    <w:p w14:paraId="14CEECD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004A04F7">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2.采购意向公开链接：https://zfcg.gxzf.gov.cn/site/detail?parentId=66601&amp;articleId=qMHfeKFUdgmmmtGfVceyNQ==</w:t>
      </w:r>
    </w:p>
    <w:p w14:paraId="3615CF5F">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3.网上查询地址</w:t>
      </w:r>
    </w:p>
    <w:p w14:paraId="59B64AB4">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http://zfcg.gxzf.gov.cn (广西政府采购网)、http://ggzy.jgswj.gxzf.gov.cn/nnggzy/（全国公共资源交易平台（广西·南宁））、http://www.ccgp.gov.cn (中国政府采购网)公开查询；</w:t>
      </w:r>
    </w:p>
    <w:p w14:paraId="692696E9">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4.本项目需要落实的政府采购政策</w:t>
      </w:r>
    </w:p>
    <w:p w14:paraId="1F9EC1E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356E628">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045ABE7">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1578727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CB9B811">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6141F34">
      <w:pPr>
        <w:widowControl/>
        <w:shd w:val="clear" w:color="auto" w:fill="FFFFFF"/>
        <w:spacing w:line="400"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09ACCD96">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44EDF2A1">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6.若对项目采购电子交易系统操作有疑问，可登录“广西政府采购云平台”（https://www.zcygov.cn/），点击右侧咨询小采，获取采小蜜智能服务管家帮助，或拨打政采云服务热线400-881-7190获取热线服务帮助。</w:t>
      </w:r>
    </w:p>
    <w:p w14:paraId="5C469E53">
      <w:pPr>
        <w:widowControl/>
        <w:shd w:val="clear" w:color="auto" w:fill="FFFFFF"/>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1）未进行网上注册并办理数字证书（CA认证）的供应商将无法参与本项目政府采购活动，潜在供应商应当在投标截止时间前，完成电子交易平台上的CA数字证书办理（申领流程：CA证书申请方式及操作指南下载地址（现场申请方式见网址：http://www.ccgp-guangxi.gov.cn/OfficeService/DownloadArea/8354055.html?utm=a0003.39a112b4.cmp001.d0002.f0464b20ff2a11eb873141bf9e381949（广西政府采购网）/网上申请方式见网址： http://nncz.nanning.gov.cn/（</w:t>
      </w:r>
      <w:r>
        <w:rPr>
          <w:rFonts w:hint="eastAsia" w:ascii="宋体" w:hAnsi="宋体" w:cs="宋体"/>
          <w:color w:val="auto"/>
          <w:kern w:val="0"/>
          <w:szCs w:val="21"/>
          <w:highlight w:val="none"/>
          <w:lang w:eastAsia="zh-CN"/>
        </w:rPr>
        <w:t>南宁市财政局</w:t>
      </w:r>
      <w:r>
        <w:rPr>
          <w:rFonts w:hint="eastAsia" w:ascii="宋体" w:hAnsi="宋体" w:cs="宋体"/>
          <w:color w:val="auto"/>
          <w:kern w:val="0"/>
          <w:szCs w:val="21"/>
          <w:highlight w:val="none"/>
        </w:rPr>
        <w:t>官网）-下载专区-南宁市政采云CA证书办理操作指南））及响应文件的提交。完成CA数字证书办理预计7日左右，供应商只需办理其中一家CA数字证书及签章，建议各供应商抓紧时间办理。</w:t>
      </w:r>
    </w:p>
    <w:p w14:paraId="5ACE1CEC">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（2）为确保网上操作合法、有效和安全，请投标供应商确保在电子投标过程中能够对相关数据电文进行加密和使用电子签章，妥善保管CA数字证书并使用有效的CA数字证书参与整个招标活动。</w:t>
      </w:r>
    </w:p>
    <w:p w14:paraId="36AA8B67">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供应商应当在投标截止时间前完成电子响应文件的上传、递交，投标截止时间前可以补充、修改或者撤回响应文件。补充或者修改响应文件的，应当先行撤回原文件，补充、修改后重新上传、递交。投标截止时间前未完成上传、递交的，视为撤回响应文件。投标截止时间以后上传递交的响应文件“广西政府采购云平台”将予以拒收。</w:t>
      </w:r>
    </w:p>
    <w:p w14:paraId="22A11169">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（3）CA证书在线解密：供应商投标时，需携带制作响应文件时用来加密的有效数字证书（CA认证）登录“广西政府采购云平台”电子开标大厅现场按规定时间对加密的响应文件进行解密，否则后果自负。</w:t>
      </w:r>
    </w:p>
    <w:p w14:paraId="74A81954">
      <w:pPr>
        <w:widowControl/>
        <w:shd w:val="clear" w:color="auto" w:fill="FFFFFF"/>
        <w:spacing w:line="400" w:lineRule="exact"/>
        <w:rPr>
          <w:rFonts w:ascii="宋体" w:hAnsi="宋体" w:cs="宋体"/>
          <w:color w:val="auto"/>
          <w:kern w:val="0"/>
          <w:szCs w:val="21"/>
          <w:highlight w:val="none"/>
        </w:rPr>
      </w:pPr>
      <w:r>
        <w:rPr>
          <w:rFonts w:hint="eastAsia" w:ascii="宋体" w:hAnsi="宋体" w:cs="宋体"/>
          <w:b/>
          <w:bCs/>
          <w:color w:val="auto"/>
          <w:kern w:val="0"/>
          <w:szCs w:val="21"/>
          <w:highlight w:val="none"/>
        </w:rPr>
        <w:t>八、凡对本次招标提出询问，请按以下方式联系</w:t>
      </w:r>
    </w:p>
    <w:p w14:paraId="25FF629F">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1.采购人信息</w:t>
      </w:r>
    </w:p>
    <w:p w14:paraId="44928A39">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名    称：</w:t>
      </w:r>
      <w:r>
        <w:rPr>
          <w:rFonts w:hint="eastAsia" w:ascii="宋体" w:hAnsi="宋体" w:cs="宋体"/>
          <w:color w:val="auto"/>
          <w:kern w:val="0"/>
          <w:szCs w:val="21"/>
          <w:highlight w:val="none"/>
          <w:lang w:eastAsia="zh-CN"/>
        </w:rPr>
        <w:t>南宁市财政局</w:t>
      </w:r>
      <w:r>
        <w:rPr>
          <w:rFonts w:hint="eastAsia" w:ascii="宋体" w:hAnsi="宋体" w:cs="宋体"/>
          <w:color w:val="auto"/>
          <w:kern w:val="0"/>
          <w:szCs w:val="21"/>
          <w:highlight w:val="none"/>
        </w:rPr>
        <w:t> </w:t>
      </w:r>
    </w:p>
    <w:p w14:paraId="7C02604D">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地    址：广西壮族自治区南宁市青秀区东葛路129号</w:t>
      </w:r>
    </w:p>
    <w:p w14:paraId="6327FE28">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项目联系人：</w:t>
      </w:r>
      <w:r>
        <w:rPr>
          <w:rFonts w:hint="eastAsia" w:ascii="宋体" w:hAnsi="宋体" w:cs="宋体"/>
          <w:color w:val="auto"/>
          <w:kern w:val="0"/>
          <w:szCs w:val="21"/>
          <w:highlight w:val="none"/>
          <w:lang w:val="en-US" w:eastAsia="zh-CN"/>
        </w:rPr>
        <w:t>陈月蓉</w:t>
      </w:r>
      <w:r>
        <w:rPr>
          <w:rFonts w:hint="eastAsia" w:ascii="宋体" w:hAnsi="宋体" w:cs="宋体"/>
          <w:color w:val="auto"/>
          <w:kern w:val="0"/>
          <w:szCs w:val="21"/>
          <w:highlight w:val="none"/>
        </w:rPr>
        <w:t xml:space="preserve"> </w:t>
      </w:r>
    </w:p>
    <w:p w14:paraId="064A4046">
      <w:pPr>
        <w:widowControl/>
        <w:shd w:val="clear" w:color="auto" w:fill="FFFFFF"/>
        <w:spacing w:line="400" w:lineRule="exact"/>
        <w:ind w:firstLine="630" w:firstLineChars="300"/>
        <w:jc w:val="left"/>
        <w:rPr>
          <w:rFonts w:ascii="宋体" w:hAnsi="宋体" w:cs="宋体"/>
          <w:color w:val="auto"/>
          <w:kern w:val="0"/>
          <w:szCs w:val="21"/>
          <w:highlight w:val="none"/>
        </w:rPr>
      </w:pPr>
      <w:r>
        <w:rPr>
          <w:rFonts w:hint="eastAsia" w:ascii="宋体" w:hAnsi="宋体" w:cs="宋体"/>
          <w:color w:val="auto"/>
          <w:kern w:val="0"/>
          <w:szCs w:val="21"/>
          <w:highlight w:val="none"/>
        </w:rPr>
        <w:t>项目联系方式：0771-</w:t>
      </w:r>
      <w:r>
        <w:rPr>
          <w:rFonts w:hint="eastAsia" w:ascii="宋体" w:hAnsi="宋体" w:cs="宋体"/>
          <w:color w:val="auto"/>
          <w:kern w:val="0"/>
          <w:szCs w:val="21"/>
          <w:highlight w:val="none"/>
          <w:lang w:val="en-US" w:eastAsia="zh-CN"/>
        </w:rPr>
        <w:t>2189307</w:t>
      </w:r>
      <w:r>
        <w:rPr>
          <w:rFonts w:hint="eastAsia" w:ascii="宋体" w:hAnsi="宋体" w:cs="宋体"/>
          <w:color w:val="auto"/>
          <w:kern w:val="0"/>
          <w:szCs w:val="21"/>
          <w:highlight w:val="none"/>
        </w:rPr>
        <w:t> </w:t>
      </w:r>
    </w:p>
    <w:p w14:paraId="04F8FFCA">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2.采购代理机构信息</w:t>
      </w:r>
    </w:p>
    <w:p w14:paraId="57D54340">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名    称：广西机电设备招标有限公司 </w:t>
      </w:r>
    </w:p>
    <w:p w14:paraId="5CD9097A">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地    址：广西南宁市金湖路63号金源CBD现代城B座7层 </w:t>
      </w:r>
    </w:p>
    <w:p w14:paraId="28202360">
      <w:pPr>
        <w:widowControl/>
        <w:shd w:val="clear" w:color="auto" w:fill="FFFFFF"/>
        <w:spacing w:line="400" w:lineRule="exact"/>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    项目联系人：</w:t>
      </w:r>
      <w:r>
        <w:rPr>
          <w:rFonts w:hint="eastAsia" w:ascii="宋体" w:hAnsi="宋体" w:cs="宋体"/>
          <w:color w:val="auto"/>
          <w:kern w:val="0"/>
          <w:szCs w:val="21"/>
          <w:highlight w:val="none"/>
          <w:lang w:val="en-US" w:eastAsia="zh-CN"/>
        </w:rPr>
        <w:t>梁艳冰</w:t>
      </w:r>
      <w:r>
        <w:rPr>
          <w:rFonts w:hint="eastAsia" w:ascii="宋体" w:hAnsi="宋体" w:cs="宋体"/>
          <w:color w:val="auto"/>
          <w:kern w:val="0"/>
          <w:szCs w:val="21"/>
          <w:highlight w:val="none"/>
        </w:rPr>
        <w:t>、梅莹</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陈健达</w:t>
      </w:r>
    </w:p>
    <w:p w14:paraId="545E1E2F">
      <w:pPr>
        <w:widowControl/>
        <w:shd w:val="clear" w:color="auto" w:fill="FFFFFF"/>
        <w:spacing w:line="4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项目联系方式：0771-2808981</w:t>
      </w:r>
    </w:p>
    <w:p w14:paraId="223E1D96">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p>
    <w:p w14:paraId="686A976A">
      <w:pPr>
        <w:pStyle w:val="6"/>
        <w:widowControl/>
        <w:numPr>
          <w:ilvl w:val="0"/>
          <w:numId w:val="0"/>
        </w:numPr>
        <w:tabs>
          <w:tab w:val="left" w:pos="454"/>
          <w:tab w:val="left" w:pos="720"/>
          <w:tab w:val="left" w:pos="840"/>
        </w:tabs>
        <w:spacing w:line="400" w:lineRule="exact"/>
        <w:ind w:firstLine="420" w:firstLineChars="200"/>
        <w:jc w:val="right"/>
        <w:rPr>
          <w:rFonts w:ascii="宋体" w:hAnsi="宋体" w:cs="宋体"/>
          <w:color w:val="auto"/>
          <w:kern w:val="0"/>
          <w:szCs w:val="21"/>
          <w:highlight w:val="none"/>
        </w:rPr>
      </w:pPr>
      <w:r>
        <w:rPr>
          <w:rFonts w:hint="eastAsia" w:ascii="宋体" w:hAnsi="宋体" w:cs="宋体"/>
          <w:color w:val="auto"/>
          <w:kern w:val="0"/>
          <w:szCs w:val="21"/>
          <w:highlight w:val="none"/>
        </w:rPr>
        <w:t>广西机电设备招标有限公司</w:t>
      </w:r>
    </w:p>
    <w:p w14:paraId="048132C0">
      <w:pPr>
        <w:spacing w:line="400" w:lineRule="exact"/>
        <w:ind w:firstLine="420" w:firstLineChars="200"/>
        <w:jc w:val="right"/>
        <w:rPr>
          <w:rFonts w:ascii="Arial" w:hAnsi="Arial" w:cs="Arial"/>
          <w:color w:val="auto"/>
          <w:szCs w:val="21"/>
          <w:highlight w:val="none"/>
        </w:rPr>
        <w:sectPr>
          <w:footerReference r:id="rId4" w:type="default"/>
          <w:pgSz w:w="11911" w:h="16838"/>
          <w:pgMar w:top="1417" w:right="1417" w:bottom="1417" w:left="1417" w:header="720" w:footer="720" w:gutter="0"/>
          <w:pgNumType w:start="1"/>
          <w:cols w:space="0" w:num="1"/>
        </w:sect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日</w:t>
      </w:r>
      <w:bookmarkEnd w:id="24"/>
    </w:p>
    <w:p w14:paraId="442442D4">
      <w:pPr>
        <w:pStyle w:val="3"/>
        <w:spacing w:before="120" w:after="120" w:line="500" w:lineRule="exact"/>
        <w:jc w:val="center"/>
        <w:rPr>
          <w:color w:val="auto"/>
          <w:highlight w:val="none"/>
        </w:rPr>
      </w:pPr>
      <w:bookmarkStart w:id="25" w:name="_Toc16006"/>
      <w:r>
        <w:rPr>
          <w:rFonts w:hint="eastAsia"/>
          <w:color w:val="auto"/>
          <w:highlight w:val="none"/>
        </w:rPr>
        <w:t>第二章</w:t>
      </w:r>
      <w:r>
        <w:rPr>
          <w:color w:val="auto"/>
          <w:highlight w:val="none"/>
        </w:rPr>
        <w:t xml:space="preserve"> </w:t>
      </w:r>
      <w:r>
        <w:rPr>
          <w:rFonts w:hint="eastAsia"/>
          <w:color w:val="auto"/>
          <w:highlight w:val="none"/>
        </w:rPr>
        <w:t>采购需求</w:t>
      </w:r>
      <w:bookmarkEnd w:id="25"/>
    </w:p>
    <w:p w14:paraId="38A454BE">
      <w:pPr>
        <w:adjustRightInd w:val="0"/>
        <w:spacing w:line="340" w:lineRule="exact"/>
        <w:rPr>
          <w:rFonts w:hAnsi="宋体"/>
          <w:b/>
          <w:color w:val="auto"/>
          <w:szCs w:val="21"/>
          <w:highlight w:val="none"/>
        </w:rPr>
      </w:pPr>
      <w:bookmarkStart w:id="26" w:name="PO_TDCUS_ITEM_PB_REQ_FILE_1_1"/>
      <w:r>
        <w:rPr>
          <w:rFonts w:hint="eastAsia" w:hAnsi="宋体"/>
          <w:b/>
          <w:color w:val="auto"/>
          <w:szCs w:val="21"/>
          <w:highlight w:val="none"/>
        </w:rPr>
        <w:t>说明：</w:t>
      </w:r>
    </w:p>
    <w:p w14:paraId="470AE692">
      <w:pPr>
        <w:spacing w:line="360" w:lineRule="auto"/>
        <w:ind w:firstLine="420" w:firstLineChars="200"/>
        <w:jc w:val="left"/>
        <w:rPr>
          <w:color w:val="auto"/>
          <w:highlight w:val="none"/>
        </w:rPr>
      </w:pPr>
      <w:r>
        <w:rPr>
          <w:rFonts w:hint="eastAsia"/>
          <w:color w:val="auto"/>
          <w:highlight w:val="none"/>
        </w:rPr>
        <w:t>1. 为落实政府采购政策需满足的要求（根据项目实际情况填写内容）</w:t>
      </w:r>
    </w:p>
    <w:p w14:paraId="14C7EF9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（1）本采购文件所称中小企业必须符合《政府采购促进中小企业发展管理办法》（财库〔2020〕46号）的规定。</w:t>
      </w:r>
    </w:p>
    <w:p w14:paraId="63701D3F">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竞标货物必须使用政府强制采购的节能产品，供应商必须在响应文件中提供所竞标产品的节能产品认证证书复印件（加盖供应商电子公章），否则响应文件作无效处理。如本项目包含的货物属于品目清单内非标注“★”的产品时，应优先采购，具体详见“第四章 评标方法和评标标准”。</w:t>
      </w:r>
    </w:p>
    <w:p w14:paraId="4988F7EA">
      <w:pPr>
        <w:spacing w:line="360" w:lineRule="auto"/>
        <w:ind w:firstLine="424" w:firstLineChars="202"/>
        <w:jc w:val="left"/>
        <w:rPr>
          <w:rFonts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响应文件作无效处理。</w:t>
      </w:r>
    </w:p>
    <w:p w14:paraId="2E2072BC">
      <w:pPr>
        <w:spacing w:line="360" w:lineRule="auto"/>
        <w:ind w:firstLine="424" w:firstLineChars="202"/>
        <w:jc w:val="left"/>
        <w:rPr>
          <w:rFonts w:ascii="宋体" w:hAnsi="宋体" w:cs="宋体"/>
          <w:color w:val="auto"/>
          <w:szCs w:val="21"/>
          <w:highlight w:val="none"/>
        </w:rPr>
      </w:pPr>
    </w:p>
    <w:p w14:paraId="678B9BAD">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2.“实质性要求”是指采购文件中已经指明不满足则响应无效的条款，或者不能负偏离的条款，或者采购需求中带“▲”的条款。</w:t>
      </w:r>
    </w:p>
    <w:p w14:paraId="1E4F1334">
      <w:pPr>
        <w:spacing w:line="360" w:lineRule="auto"/>
        <w:ind w:firstLine="424" w:firstLineChars="202"/>
        <w:jc w:val="left"/>
        <w:rPr>
          <w:color w:val="auto"/>
          <w:highlight w:val="none"/>
        </w:rPr>
      </w:pPr>
      <w:r>
        <w:rPr>
          <w:rFonts w:hint="eastAsia" w:ascii="宋体" w:hAnsi="宋体" w:cs="宋体"/>
          <w:color w:val="auto"/>
          <w:szCs w:val="21"/>
          <w:highlight w:val="none"/>
        </w:rPr>
        <w:t>3.</w:t>
      </w:r>
      <w:r>
        <w:rPr>
          <w:rFonts w:hint="eastAsia"/>
          <w:color w:val="auto"/>
          <w:highlight w:val="none"/>
        </w:rPr>
        <w:t>如供应商竞标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6836AAD7">
      <w:pPr>
        <w:rPr>
          <w:color w:val="auto"/>
          <w:highlight w:val="none"/>
        </w:rPr>
      </w:pPr>
      <w:r>
        <w:rPr>
          <w:color w:val="auto"/>
          <w:highlight w:val="none"/>
        </w:rPr>
        <w:br w:type="page"/>
      </w:r>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44"/>
        <w:gridCol w:w="804"/>
        <w:gridCol w:w="468"/>
        <w:gridCol w:w="480"/>
        <w:gridCol w:w="4704"/>
        <w:gridCol w:w="972"/>
        <w:gridCol w:w="1200"/>
      </w:tblGrid>
      <w:tr w14:paraId="53CC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506" w:type="dxa"/>
            <w:gridSpan w:val="8"/>
            <w:vAlign w:val="center"/>
          </w:tcPr>
          <w:p w14:paraId="2F3F7C4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lang w:bidi="ar"/>
              </w:rPr>
              <w:t>服务需求一览表</w:t>
            </w:r>
          </w:p>
        </w:tc>
      </w:tr>
      <w:tr w14:paraId="208B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682" w:type="dxa"/>
            <w:gridSpan w:val="3"/>
            <w:vAlign w:val="center"/>
          </w:tcPr>
          <w:p w14:paraId="3466B6A9">
            <w:pPr>
              <w:spacing w:line="320" w:lineRule="exact"/>
              <w:jc w:val="center"/>
              <w:rPr>
                <w:rFonts w:ascii="宋体" w:hAnsi="宋体" w:cs="宋体"/>
                <w:b/>
                <w:color w:val="auto"/>
                <w:szCs w:val="21"/>
                <w:highlight w:val="none"/>
                <w:lang w:bidi="ar"/>
              </w:rPr>
            </w:pPr>
            <w:r>
              <w:rPr>
                <w:rFonts w:hint="eastAsia" w:ascii="宋体" w:hAnsi="宋体" w:cs="宋体"/>
                <w:color w:val="auto"/>
                <w:szCs w:val="21"/>
                <w:highlight w:val="none"/>
              </w:rPr>
              <w:t>标段</w:t>
            </w:r>
          </w:p>
        </w:tc>
        <w:tc>
          <w:tcPr>
            <w:tcW w:w="7824" w:type="dxa"/>
            <w:gridSpan w:val="5"/>
            <w:vAlign w:val="center"/>
          </w:tcPr>
          <w:p w14:paraId="4A675FCD">
            <w:pPr>
              <w:spacing w:line="320" w:lineRule="exact"/>
              <w:jc w:val="left"/>
              <w:rPr>
                <w:rFonts w:ascii="宋体" w:hAnsi="宋体" w:cs="宋体"/>
                <w:b/>
                <w:color w:val="auto"/>
                <w:szCs w:val="21"/>
                <w:highlight w:val="none"/>
                <w:lang w:bidi="ar"/>
              </w:rPr>
            </w:pPr>
            <w:r>
              <w:rPr>
                <w:rFonts w:hint="eastAsia" w:ascii="宋体" w:hAnsi="宋体" w:cs="宋体"/>
                <w:b/>
                <w:bCs/>
                <w:color w:val="auto"/>
                <w:szCs w:val="21"/>
                <w:highlight w:val="none"/>
              </w:rPr>
              <w:t>/</w:t>
            </w:r>
          </w:p>
        </w:tc>
      </w:tr>
      <w:tr w14:paraId="7F2C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34" w:type="dxa"/>
            <w:vMerge w:val="restart"/>
            <w:vAlign w:val="center"/>
          </w:tcPr>
          <w:p w14:paraId="2FACD647">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采购清单及技术参数</w:t>
            </w:r>
          </w:p>
        </w:tc>
        <w:tc>
          <w:tcPr>
            <w:tcW w:w="444" w:type="dxa"/>
            <w:tcMar>
              <w:left w:w="0" w:type="dxa"/>
              <w:right w:w="0" w:type="dxa"/>
            </w:tcMar>
            <w:vAlign w:val="center"/>
          </w:tcPr>
          <w:p w14:paraId="52EF9984">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序号</w:t>
            </w:r>
          </w:p>
        </w:tc>
        <w:tc>
          <w:tcPr>
            <w:tcW w:w="804" w:type="dxa"/>
            <w:vAlign w:val="center"/>
          </w:tcPr>
          <w:p w14:paraId="65D294A4">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标的的名称</w:t>
            </w:r>
          </w:p>
        </w:tc>
        <w:tc>
          <w:tcPr>
            <w:tcW w:w="468" w:type="dxa"/>
            <w:vAlign w:val="center"/>
          </w:tcPr>
          <w:p w14:paraId="31D725FD">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单位</w:t>
            </w:r>
          </w:p>
        </w:tc>
        <w:tc>
          <w:tcPr>
            <w:tcW w:w="480" w:type="dxa"/>
            <w:vAlign w:val="center"/>
          </w:tcPr>
          <w:p w14:paraId="0E82A62C">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数量</w:t>
            </w:r>
          </w:p>
        </w:tc>
        <w:tc>
          <w:tcPr>
            <w:tcW w:w="4704" w:type="dxa"/>
            <w:vAlign w:val="center"/>
          </w:tcPr>
          <w:p w14:paraId="17012C95">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服务参数</w:t>
            </w:r>
          </w:p>
        </w:tc>
        <w:tc>
          <w:tcPr>
            <w:tcW w:w="972" w:type="dxa"/>
            <w:vAlign w:val="center"/>
          </w:tcPr>
          <w:p w14:paraId="557AB41E">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分项预算合计（元）</w:t>
            </w:r>
          </w:p>
        </w:tc>
        <w:tc>
          <w:tcPr>
            <w:tcW w:w="1200" w:type="dxa"/>
            <w:vAlign w:val="center"/>
          </w:tcPr>
          <w:p w14:paraId="74A1209F">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中小企业划分标准所属行业名称（行业名称及划分见本章附件2）</w:t>
            </w:r>
          </w:p>
        </w:tc>
      </w:tr>
      <w:tr w14:paraId="5FB5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4" w:type="dxa"/>
            <w:vMerge w:val="continue"/>
            <w:vAlign w:val="center"/>
          </w:tcPr>
          <w:p w14:paraId="69B40BA4">
            <w:pPr>
              <w:rPr>
                <w:rFonts w:ascii="宋体" w:hAnsi="宋体" w:cs="宋体"/>
                <w:color w:val="auto"/>
                <w:szCs w:val="21"/>
                <w:highlight w:val="none"/>
              </w:rPr>
            </w:pPr>
          </w:p>
        </w:tc>
        <w:tc>
          <w:tcPr>
            <w:tcW w:w="444" w:type="dxa"/>
            <w:vAlign w:val="center"/>
          </w:tcPr>
          <w:p w14:paraId="333AD238">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804" w:type="dxa"/>
            <w:vAlign w:val="center"/>
          </w:tcPr>
          <w:p w14:paraId="52C95E67">
            <w:pPr>
              <w:spacing w:line="32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bidi="ar"/>
              </w:rPr>
              <w:t>2026年涉案财物集中委托管理处置服务采购</w:t>
            </w:r>
          </w:p>
        </w:tc>
        <w:tc>
          <w:tcPr>
            <w:tcW w:w="468" w:type="dxa"/>
            <w:vAlign w:val="center"/>
          </w:tcPr>
          <w:p w14:paraId="2CB1742E">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1</w:t>
            </w:r>
          </w:p>
        </w:tc>
        <w:tc>
          <w:tcPr>
            <w:tcW w:w="480" w:type="dxa"/>
            <w:vAlign w:val="center"/>
          </w:tcPr>
          <w:p w14:paraId="62019CC1">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项</w:t>
            </w:r>
          </w:p>
        </w:tc>
        <w:tc>
          <w:tcPr>
            <w:tcW w:w="4704" w:type="dxa"/>
          </w:tcPr>
          <w:p w14:paraId="3447C91B">
            <w:pPr>
              <w:widowControl/>
              <w:jc w:val="left"/>
              <w:rPr>
                <w:rFonts w:ascii="宋体" w:hAnsi="宋体" w:cs="宋体"/>
                <w:b/>
                <w:bCs/>
                <w:color w:val="auto"/>
                <w:szCs w:val="21"/>
                <w:highlight w:val="none"/>
              </w:rPr>
            </w:pP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项目背景</w:t>
            </w:r>
          </w:p>
          <w:p w14:paraId="6E1D1184">
            <w:pPr>
              <w:widowControl/>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随着社会经济发展和法治建设深入推进，刑事诉讼涉案财物的种类日益增多、价值不断扩大，传统的分散管理模式已难以适应新形势下涉案财物管理工作的需要。分散管理容易造成涉案财物丢失、毁损、灭失，且存在权利被侵害风险，加大办案人员腐败渎职风险。</w:t>
            </w:r>
          </w:p>
          <w:p w14:paraId="6BD9927E">
            <w:pPr>
              <w:widowControl/>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贯彻落实党中央关于进一步规范刑事诉讼涉案财物处置工作的要求，保障当事人合法权益，提高司法公信力，现需推行涉案财物统一集中管理新模式，实现办案与管理相分离，构建规范、高效、安全的涉案财物管理体系。</w:t>
            </w:r>
          </w:p>
          <w:p w14:paraId="3983D8AF">
            <w:pPr>
              <w:widowControl/>
              <w:jc w:val="left"/>
              <w:rPr>
                <w:rFonts w:ascii="宋体" w:hAnsi="宋体" w:cs="宋体"/>
                <w:b/>
                <w:bCs/>
                <w:color w:val="auto"/>
                <w:szCs w:val="21"/>
                <w:highlight w:val="none"/>
              </w:rPr>
            </w:pPr>
            <w:r>
              <w:rPr>
                <w:rFonts w:hint="eastAsia" w:ascii="宋体" w:hAnsi="宋体" w:cs="宋体"/>
                <w:b/>
                <w:bCs/>
                <w:color w:val="auto"/>
                <w:szCs w:val="21"/>
                <w:highlight w:val="none"/>
                <w:lang w:val="en-US" w:eastAsia="zh-CN"/>
              </w:rPr>
              <w:t>二、</w:t>
            </w:r>
            <w:r>
              <w:rPr>
                <w:rFonts w:hint="eastAsia" w:ascii="宋体" w:hAnsi="宋体" w:cs="宋体"/>
                <w:b/>
                <w:bCs/>
                <w:color w:val="auto"/>
                <w:szCs w:val="21"/>
                <w:highlight w:val="none"/>
              </w:rPr>
              <w:t>服务目标</w:t>
            </w:r>
          </w:p>
          <w:p w14:paraId="78B8D781">
            <w:pPr>
              <w:widowControl/>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本项目旨在通过采购专业的涉案财物统一集中管理处置服务，建设跨部门涉案财物管理中心，实现以下目标：</w:t>
            </w:r>
          </w:p>
          <w:p w14:paraId="43472C29">
            <w:pPr>
              <w:widowControl/>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打造统一标准的涉案财物管理场所，实现市纪委监委、市公安局和全市各级法院、检察院查封、扣押、冻结的涉案财物实施集中保管和处置。</w:t>
            </w:r>
          </w:p>
          <w:p w14:paraId="2B504690">
            <w:pPr>
              <w:widowControl/>
              <w:ind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实行</w:t>
            </w:r>
            <w:r>
              <w:rPr>
                <w:rFonts w:hint="eastAsia" w:ascii="宋体" w:hAnsi="宋体" w:cs="宋体"/>
                <w:color w:val="auto"/>
                <w:szCs w:val="21"/>
                <w:highlight w:val="none"/>
                <w:lang w:eastAsia="zh-CN"/>
              </w:rPr>
              <w:t>“</w:t>
            </w:r>
            <w:r>
              <w:rPr>
                <w:rFonts w:hint="eastAsia" w:ascii="宋体" w:hAnsi="宋体" w:cs="宋体"/>
                <w:color w:val="auto"/>
                <w:szCs w:val="21"/>
                <w:highlight w:val="none"/>
              </w:rPr>
              <w:t>实物不动、物权流转</w:t>
            </w:r>
            <w:r>
              <w:rPr>
                <w:rFonts w:hint="eastAsia" w:ascii="宋体" w:hAnsi="宋体" w:cs="宋体"/>
                <w:color w:val="auto"/>
                <w:szCs w:val="21"/>
                <w:highlight w:val="none"/>
                <w:lang w:eastAsia="zh-CN"/>
              </w:rPr>
              <w:t>”</w:t>
            </w:r>
            <w:r>
              <w:rPr>
                <w:rFonts w:hint="eastAsia" w:ascii="宋体" w:hAnsi="宋体" w:cs="宋体"/>
                <w:color w:val="auto"/>
                <w:szCs w:val="21"/>
                <w:highlight w:val="none"/>
              </w:rPr>
              <w:t>的换押式管理模式，有效解决涉案财物随案移送难问题</w:t>
            </w:r>
            <w:r>
              <w:rPr>
                <w:rFonts w:hint="eastAsia" w:ascii="宋体" w:hAnsi="宋体" w:cs="宋体"/>
                <w:color w:val="auto"/>
                <w:szCs w:val="21"/>
                <w:highlight w:val="none"/>
                <w:lang w:eastAsia="zh-CN"/>
              </w:rPr>
              <w:t>。</w:t>
            </w:r>
          </w:p>
          <w:p w14:paraId="3FA192BE">
            <w:pPr>
              <w:widowControl/>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实现对涉案财物的全程闭环管理，确保财物来源可溯、去向可查。</w:t>
            </w:r>
          </w:p>
          <w:p w14:paraId="07C4EA49">
            <w:pPr>
              <w:widowControl/>
              <w:ind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建立信息化管理平台，实现公检法等部门信息共享与业务协同</w:t>
            </w:r>
            <w:r>
              <w:rPr>
                <w:rFonts w:hint="eastAsia" w:ascii="宋体" w:hAnsi="宋体" w:cs="宋体"/>
                <w:color w:val="auto"/>
                <w:szCs w:val="21"/>
                <w:highlight w:val="none"/>
                <w:lang w:eastAsia="zh-CN"/>
              </w:rPr>
              <w:t>。</w:t>
            </w:r>
          </w:p>
          <w:p w14:paraId="7FFD96B9">
            <w:pPr>
              <w:widowControl/>
              <w:ind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提升涉案财物管理规范化、专业化水平，降低管理风险</w:t>
            </w:r>
            <w:r>
              <w:rPr>
                <w:rFonts w:hint="eastAsia" w:ascii="宋体" w:hAnsi="宋体" w:cs="宋体"/>
                <w:color w:val="auto"/>
                <w:szCs w:val="21"/>
                <w:highlight w:val="none"/>
                <w:lang w:eastAsia="zh-CN"/>
              </w:rPr>
              <w:t>。</w:t>
            </w:r>
          </w:p>
          <w:p w14:paraId="6DE47DB1">
            <w:pPr>
              <w:widowControl/>
              <w:ind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制定涉案财物集中管理工作制度和标准化工作流程</w:t>
            </w:r>
            <w:r>
              <w:rPr>
                <w:rFonts w:hint="eastAsia" w:ascii="宋体" w:hAnsi="宋体" w:cs="宋体"/>
                <w:color w:val="auto"/>
                <w:szCs w:val="21"/>
                <w:highlight w:val="none"/>
                <w:lang w:eastAsia="zh-CN"/>
              </w:rPr>
              <w:t>。</w:t>
            </w:r>
          </w:p>
          <w:p w14:paraId="28ABAB5F">
            <w:pPr>
              <w:widowControl/>
              <w:jc w:val="left"/>
              <w:rPr>
                <w:rFonts w:ascii="宋体" w:hAnsi="宋体" w:cs="宋体"/>
                <w:b/>
                <w:bCs/>
                <w:color w:val="auto"/>
                <w:szCs w:val="21"/>
                <w:highlight w:val="none"/>
              </w:rPr>
            </w:pPr>
            <w:r>
              <w:rPr>
                <w:rFonts w:hint="eastAsia" w:ascii="宋体" w:hAnsi="宋体" w:cs="宋体"/>
                <w:b/>
                <w:bCs/>
                <w:color w:val="auto"/>
                <w:szCs w:val="21"/>
                <w:highlight w:val="none"/>
                <w:lang w:val="en-US" w:eastAsia="zh-CN"/>
              </w:rPr>
              <w:t>三、</w:t>
            </w:r>
            <w:r>
              <w:rPr>
                <w:rFonts w:hint="eastAsia" w:ascii="宋体" w:hAnsi="宋体" w:cs="宋体"/>
                <w:b/>
                <w:bCs/>
                <w:color w:val="auto"/>
                <w:szCs w:val="21"/>
                <w:highlight w:val="none"/>
              </w:rPr>
              <w:t>采购内容及服务要求</w:t>
            </w:r>
          </w:p>
          <w:p w14:paraId="7C8EC238">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1.服务范围</w:t>
            </w:r>
          </w:p>
          <w:p w14:paraId="561BC501">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本项目采购内容包括但不限于以下方面：</w:t>
            </w:r>
          </w:p>
          <w:p w14:paraId="7ABAD2F7">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涉案财物集中保管服务：提供符合安全标准的保管场所，负责涉案财物的接收、运送、入库、保管、维护、出库等工作</w:t>
            </w:r>
            <w:r>
              <w:rPr>
                <w:rFonts w:hint="eastAsia" w:ascii="宋体" w:hAnsi="宋体" w:cs="宋体"/>
                <w:color w:val="auto"/>
                <w:szCs w:val="21"/>
                <w:highlight w:val="none"/>
                <w:lang w:val="en-US" w:eastAsia="zh-CN"/>
              </w:rPr>
              <w:t>。</w:t>
            </w:r>
          </w:p>
          <w:p w14:paraId="74CA49D6">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涉案财物流转服务：实行</w:t>
            </w:r>
            <w:r>
              <w:rPr>
                <w:rFonts w:hint="eastAsia" w:ascii="宋体" w:hAnsi="宋体" w:cs="宋体"/>
                <w:color w:val="auto"/>
                <w:szCs w:val="21"/>
                <w:highlight w:val="none"/>
                <w:lang w:val="en-US" w:eastAsia="zh-CN"/>
              </w:rPr>
              <w:t>“</w:t>
            </w:r>
            <w:r>
              <w:rPr>
                <w:rFonts w:hint="default" w:ascii="宋体" w:hAnsi="宋体" w:cs="宋体"/>
                <w:color w:val="auto"/>
                <w:szCs w:val="21"/>
                <w:highlight w:val="none"/>
                <w:lang w:val="en-US" w:eastAsia="zh-CN"/>
              </w:rPr>
              <w:t>实物不动、物权流转</w:t>
            </w:r>
            <w:r>
              <w:rPr>
                <w:rFonts w:hint="eastAsia" w:ascii="宋体" w:hAnsi="宋体" w:cs="宋体"/>
                <w:color w:val="auto"/>
                <w:szCs w:val="21"/>
                <w:highlight w:val="none"/>
                <w:lang w:val="en-US" w:eastAsia="zh-CN"/>
              </w:rPr>
              <w:t>”</w:t>
            </w:r>
            <w:r>
              <w:rPr>
                <w:rFonts w:hint="default" w:ascii="宋体" w:hAnsi="宋体" w:cs="宋体"/>
                <w:color w:val="auto"/>
                <w:szCs w:val="21"/>
                <w:highlight w:val="none"/>
                <w:lang w:val="en-US" w:eastAsia="zh-CN"/>
              </w:rPr>
              <w:t>的换押式管理模式</w:t>
            </w:r>
            <w:r>
              <w:rPr>
                <w:rFonts w:hint="eastAsia" w:ascii="宋体" w:hAnsi="宋体" w:cs="宋体"/>
                <w:color w:val="auto"/>
                <w:szCs w:val="21"/>
                <w:highlight w:val="none"/>
                <w:lang w:val="en-US" w:eastAsia="zh-CN"/>
              </w:rPr>
              <w:t>。</w:t>
            </w:r>
          </w:p>
          <w:p w14:paraId="7B7E0DFD">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涉案财物信息管理：建立并维护涉案财物信息管理平台，实现全流程信息化管理</w:t>
            </w:r>
            <w:r>
              <w:rPr>
                <w:rFonts w:hint="eastAsia" w:ascii="宋体" w:hAnsi="宋体" w:cs="宋体"/>
                <w:color w:val="auto"/>
                <w:szCs w:val="21"/>
                <w:highlight w:val="none"/>
                <w:lang w:val="en-US" w:eastAsia="zh-CN"/>
              </w:rPr>
              <w:t>。</w:t>
            </w:r>
          </w:p>
          <w:p w14:paraId="5D06C264">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涉案财物处置服务：开展涉案财物的鉴定、评估、拍卖、变现等工作</w:t>
            </w:r>
            <w:r>
              <w:rPr>
                <w:rFonts w:hint="eastAsia" w:ascii="宋体" w:hAnsi="宋体" w:cs="宋体"/>
                <w:color w:val="auto"/>
                <w:szCs w:val="21"/>
                <w:highlight w:val="none"/>
                <w:lang w:val="en-US" w:eastAsia="zh-CN"/>
              </w:rPr>
              <w:t>。</w:t>
            </w:r>
          </w:p>
          <w:p w14:paraId="0DA52B63">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2.服务规模</w:t>
            </w:r>
          </w:p>
          <w:tbl>
            <w:tblPr>
              <w:tblStyle w:val="23"/>
              <w:tblW w:w="4269" w:type="dxa"/>
              <w:tblInd w:w="159" w:type="dxa"/>
              <w:tblLayout w:type="fixed"/>
              <w:tblCellMar>
                <w:top w:w="0" w:type="dxa"/>
                <w:left w:w="108" w:type="dxa"/>
                <w:bottom w:w="0" w:type="dxa"/>
                <w:right w:w="108" w:type="dxa"/>
              </w:tblCellMar>
            </w:tblPr>
            <w:tblGrid>
              <w:gridCol w:w="1269"/>
              <w:gridCol w:w="3000"/>
            </w:tblGrid>
            <w:tr w14:paraId="372EC0EB">
              <w:tblPrEx>
                <w:tblCellMar>
                  <w:top w:w="0" w:type="dxa"/>
                  <w:left w:w="108" w:type="dxa"/>
                  <w:bottom w:w="0" w:type="dxa"/>
                  <w:right w:w="108" w:type="dxa"/>
                </w:tblCellMar>
              </w:tblPrEx>
              <w:trPr>
                <w:trHeight w:val="481" w:hRule="atLeast"/>
              </w:trPr>
              <w:tc>
                <w:tcPr>
                  <w:tcW w:w="12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C3A3D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imes New Roman" w:hAnsi="Times New Roman" w:cs="宋体"/>
                      <w:b w:val="0"/>
                      <w:bCs w:val="0"/>
                      <w:kern w:val="0"/>
                      <w:sz w:val="21"/>
                      <w:szCs w:val="21"/>
                    </w:rPr>
                  </w:pPr>
                  <w:r>
                    <w:rPr>
                      <w:rFonts w:hint="eastAsia" w:ascii="Times New Roman" w:hAnsi="宋体" w:cs="宋体"/>
                      <w:b w:val="0"/>
                      <w:bCs w:val="0"/>
                      <w:kern w:val="0"/>
                      <w:sz w:val="21"/>
                      <w:szCs w:val="21"/>
                    </w:rPr>
                    <w:t>项目</w:t>
                  </w:r>
                </w:p>
              </w:tc>
              <w:tc>
                <w:tcPr>
                  <w:tcW w:w="3000" w:type="dxa"/>
                  <w:tcBorders>
                    <w:top w:val="single" w:color="auto" w:sz="4" w:space="0"/>
                    <w:left w:val="nil"/>
                    <w:bottom w:val="single" w:color="auto" w:sz="4" w:space="0"/>
                    <w:right w:val="single" w:color="auto" w:sz="4" w:space="0"/>
                  </w:tcBorders>
                  <w:shd w:val="clear" w:color="auto" w:fill="auto"/>
                  <w:noWrap w:val="0"/>
                  <w:vAlign w:val="center"/>
                </w:tcPr>
                <w:p w14:paraId="7520C46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imes New Roman" w:hAnsi="Times New Roman" w:cs="宋体"/>
                      <w:b w:val="0"/>
                      <w:bCs w:val="0"/>
                      <w:kern w:val="0"/>
                      <w:sz w:val="21"/>
                      <w:szCs w:val="21"/>
                    </w:rPr>
                  </w:pPr>
                  <w:r>
                    <w:rPr>
                      <w:rFonts w:hint="eastAsia" w:ascii="Times New Roman" w:hAnsi="宋体" w:cs="宋体"/>
                      <w:b w:val="0"/>
                      <w:bCs w:val="0"/>
                      <w:kern w:val="0"/>
                      <w:sz w:val="21"/>
                      <w:szCs w:val="21"/>
                    </w:rPr>
                    <w:t>指标要求</w:t>
                  </w:r>
                </w:p>
              </w:tc>
            </w:tr>
            <w:tr w14:paraId="6650D07C">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4C2EB81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宋体" w:cs="宋体"/>
                      <w:kern w:val="0"/>
                      <w:sz w:val="21"/>
                      <w:szCs w:val="21"/>
                    </w:rPr>
                    <w:t>保管涉案财物类型</w:t>
                  </w:r>
                </w:p>
              </w:tc>
              <w:tc>
                <w:tcPr>
                  <w:tcW w:w="3000" w:type="dxa"/>
                  <w:tcBorders>
                    <w:top w:val="nil"/>
                    <w:left w:val="nil"/>
                    <w:bottom w:val="single" w:color="auto" w:sz="4" w:space="0"/>
                    <w:right w:val="single" w:color="auto" w:sz="4" w:space="0"/>
                  </w:tcBorders>
                  <w:shd w:val="clear" w:color="auto" w:fill="auto"/>
                  <w:noWrap w:val="0"/>
                  <w:vAlign w:val="center"/>
                </w:tcPr>
                <w:p w14:paraId="7C401E2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bookmarkStart w:id="27" w:name="OLE_LINK4"/>
                  <w:bookmarkStart w:id="28" w:name="OLE_LINK3"/>
                  <w:r>
                    <w:rPr>
                      <w:rFonts w:hint="eastAsia" w:ascii="Times New Roman" w:hAnsi="宋体" w:cs="宋体"/>
                      <w:kern w:val="0"/>
                      <w:sz w:val="21"/>
                      <w:szCs w:val="21"/>
                    </w:rPr>
                    <w:t>普通物品、贵重物品、设施设备、车辆、生鲜、生物制品、文物、物证等特殊物品</w:t>
                  </w:r>
                  <w:bookmarkEnd w:id="27"/>
                  <w:bookmarkEnd w:id="28"/>
                </w:p>
              </w:tc>
            </w:tr>
            <w:tr w14:paraId="11A5CC30">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1828EB3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宋体" w:cs="宋体"/>
                      <w:kern w:val="0"/>
                      <w:sz w:val="21"/>
                      <w:szCs w:val="21"/>
                    </w:rPr>
                  </w:pPr>
                  <w:r>
                    <w:rPr>
                      <w:rFonts w:hint="eastAsia" w:ascii="Times New Roman" w:hAnsi="宋体" w:cs="宋体"/>
                      <w:kern w:val="0"/>
                      <w:sz w:val="21"/>
                      <w:szCs w:val="21"/>
                    </w:rPr>
                    <w:t>处置涉案财物类型</w:t>
                  </w:r>
                </w:p>
              </w:tc>
              <w:tc>
                <w:tcPr>
                  <w:tcW w:w="3000" w:type="dxa"/>
                  <w:tcBorders>
                    <w:top w:val="nil"/>
                    <w:left w:val="nil"/>
                    <w:bottom w:val="single" w:color="auto" w:sz="4" w:space="0"/>
                    <w:right w:val="single" w:color="auto" w:sz="4" w:space="0"/>
                  </w:tcBorders>
                  <w:shd w:val="clear" w:color="auto" w:fill="auto"/>
                  <w:noWrap w:val="0"/>
                  <w:vAlign w:val="center"/>
                </w:tcPr>
                <w:p w14:paraId="7E9054C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宋体" w:cs="宋体"/>
                      <w:kern w:val="0"/>
                      <w:sz w:val="21"/>
                      <w:szCs w:val="21"/>
                    </w:rPr>
                  </w:pPr>
                  <w:r>
                    <w:rPr>
                      <w:rFonts w:hint="eastAsia" w:ascii="Times New Roman" w:hAnsi="宋体" w:cs="宋体"/>
                      <w:kern w:val="0"/>
                      <w:sz w:val="21"/>
                      <w:szCs w:val="21"/>
                    </w:rPr>
                    <w:t>普通物品、贵重物品、设施设备、车辆、生鲜、生物制品、不动产、无形资产（股权）、虚拟货币等</w:t>
                  </w:r>
                </w:p>
              </w:tc>
            </w:tr>
            <w:tr w14:paraId="611E0762">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4702C767">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宋体" w:cs="宋体"/>
                      <w:kern w:val="0"/>
                      <w:sz w:val="21"/>
                      <w:szCs w:val="21"/>
                    </w:rPr>
                    <w:t>日均保管量</w:t>
                  </w:r>
                </w:p>
              </w:tc>
              <w:tc>
                <w:tcPr>
                  <w:tcW w:w="3000" w:type="dxa"/>
                  <w:tcBorders>
                    <w:top w:val="nil"/>
                    <w:left w:val="nil"/>
                    <w:bottom w:val="single" w:color="auto" w:sz="4" w:space="0"/>
                    <w:right w:val="single" w:color="auto" w:sz="4" w:space="0"/>
                  </w:tcBorders>
                  <w:shd w:val="clear" w:color="auto" w:fill="auto"/>
                  <w:noWrap w:val="0"/>
                  <w:vAlign w:val="center"/>
                </w:tcPr>
                <w:p w14:paraId="30B748B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宋体" w:cs="宋体"/>
                      <w:kern w:val="0"/>
                      <w:sz w:val="21"/>
                      <w:szCs w:val="21"/>
                    </w:rPr>
                    <w:t>根据实际需求确定</w:t>
                  </w:r>
                </w:p>
              </w:tc>
            </w:tr>
            <w:tr w14:paraId="5BC6DBF3">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5109C2B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宋体" w:cs="宋体"/>
                      <w:kern w:val="0"/>
                      <w:sz w:val="21"/>
                      <w:szCs w:val="21"/>
                    </w:rPr>
                    <w:t>服务响应时间</w:t>
                  </w:r>
                </w:p>
              </w:tc>
              <w:tc>
                <w:tcPr>
                  <w:tcW w:w="3000" w:type="dxa"/>
                  <w:tcBorders>
                    <w:top w:val="nil"/>
                    <w:left w:val="nil"/>
                    <w:bottom w:val="single" w:color="auto" w:sz="4" w:space="0"/>
                    <w:right w:val="single" w:color="auto" w:sz="4" w:space="0"/>
                  </w:tcBorders>
                  <w:shd w:val="clear" w:color="auto" w:fill="auto"/>
                  <w:noWrap w:val="0"/>
                  <w:vAlign w:val="center"/>
                </w:tcPr>
                <w:p w14:paraId="421C2357">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Times New Roman" w:cs="宋体"/>
                      <w:kern w:val="0"/>
                      <w:sz w:val="21"/>
                      <w:szCs w:val="21"/>
                    </w:rPr>
                    <w:t>≤24</w:t>
                  </w:r>
                  <w:r>
                    <w:rPr>
                      <w:rFonts w:hint="eastAsia" w:ascii="Times New Roman" w:hAnsi="宋体" w:cs="宋体"/>
                      <w:kern w:val="0"/>
                      <w:sz w:val="21"/>
                      <w:szCs w:val="21"/>
                    </w:rPr>
                    <w:t>小时</w:t>
                  </w:r>
                </w:p>
              </w:tc>
            </w:tr>
            <w:tr w14:paraId="65F3AD07">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3806567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宋体" w:cs="宋体"/>
                      <w:kern w:val="0"/>
                      <w:sz w:val="21"/>
                      <w:szCs w:val="21"/>
                    </w:rPr>
                  </w:pPr>
                  <w:r>
                    <w:rPr>
                      <w:rFonts w:hint="eastAsia" w:ascii="Times New Roman" w:hAnsi="宋体" w:cs="宋体"/>
                      <w:kern w:val="0"/>
                      <w:sz w:val="21"/>
                      <w:szCs w:val="21"/>
                    </w:rPr>
                    <w:t>处置服务响应时间</w:t>
                  </w:r>
                </w:p>
              </w:tc>
              <w:tc>
                <w:tcPr>
                  <w:tcW w:w="3000" w:type="dxa"/>
                  <w:tcBorders>
                    <w:top w:val="nil"/>
                    <w:left w:val="nil"/>
                    <w:bottom w:val="single" w:color="auto" w:sz="4" w:space="0"/>
                    <w:right w:val="single" w:color="auto" w:sz="4" w:space="0"/>
                  </w:tcBorders>
                  <w:shd w:val="clear" w:color="auto" w:fill="auto"/>
                  <w:noWrap w:val="0"/>
                  <w:vAlign w:val="center"/>
                </w:tcPr>
                <w:p w14:paraId="64485BD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Times New Roman" w:hAnsi="宋体" w:cs="宋体"/>
                      <w:kern w:val="0"/>
                      <w:sz w:val="21"/>
                      <w:szCs w:val="21"/>
                    </w:rPr>
                  </w:pPr>
                  <w:r>
                    <w:rPr>
                      <w:rFonts w:hint="eastAsia" w:ascii="Times New Roman" w:hAnsi="Times New Roman" w:cs="宋体"/>
                      <w:kern w:val="0"/>
                      <w:sz w:val="21"/>
                      <w:szCs w:val="21"/>
                    </w:rPr>
                    <w:t>≤48</w:t>
                  </w:r>
                  <w:r>
                    <w:rPr>
                      <w:rFonts w:hint="eastAsia" w:ascii="Times New Roman" w:hAnsi="宋体" w:cs="宋体"/>
                      <w:kern w:val="0"/>
                      <w:sz w:val="21"/>
                      <w:szCs w:val="21"/>
                    </w:rPr>
                    <w:t>小时</w:t>
                  </w:r>
                </w:p>
              </w:tc>
            </w:tr>
            <w:tr w14:paraId="7A749CFB">
              <w:tblPrEx>
                <w:tblCellMar>
                  <w:top w:w="0" w:type="dxa"/>
                  <w:left w:w="108" w:type="dxa"/>
                  <w:bottom w:w="0" w:type="dxa"/>
                  <w:right w:w="108" w:type="dxa"/>
                </w:tblCellMar>
              </w:tblPrEx>
              <w:trPr>
                <w:trHeight w:val="570" w:hRule="atLeast"/>
              </w:trPr>
              <w:tc>
                <w:tcPr>
                  <w:tcW w:w="1269" w:type="dxa"/>
                  <w:tcBorders>
                    <w:top w:val="nil"/>
                    <w:left w:val="single" w:color="auto" w:sz="4" w:space="0"/>
                    <w:bottom w:val="single" w:color="auto" w:sz="4" w:space="0"/>
                    <w:right w:val="single" w:color="auto" w:sz="4" w:space="0"/>
                  </w:tcBorders>
                  <w:shd w:val="clear" w:color="auto" w:fill="auto"/>
                  <w:noWrap w:val="0"/>
                  <w:vAlign w:val="center"/>
                </w:tcPr>
                <w:p w14:paraId="11E6E5D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Times New Roman" w:hAnsi="宋体" w:cs="宋体"/>
                      <w:kern w:val="0"/>
                      <w:sz w:val="21"/>
                      <w:szCs w:val="21"/>
                    </w:rPr>
                    <w:t>服务覆盖区域</w:t>
                  </w:r>
                </w:p>
              </w:tc>
              <w:tc>
                <w:tcPr>
                  <w:tcW w:w="3000" w:type="dxa"/>
                  <w:tcBorders>
                    <w:top w:val="nil"/>
                    <w:left w:val="nil"/>
                    <w:bottom w:val="single" w:color="auto" w:sz="4" w:space="0"/>
                    <w:right w:val="single" w:color="auto" w:sz="4" w:space="0"/>
                  </w:tcBorders>
                  <w:shd w:val="clear" w:color="auto" w:fill="auto"/>
                  <w:noWrap w:val="0"/>
                  <w:vAlign w:val="center"/>
                </w:tcPr>
                <w:p w14:paraId="5BCA389E">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ascii="Times New Roman" w:hAnsi="Times New Roman" w:cs="宋体"/>
                      <w:kern w:val="0"/>
                      <w:sz w:val="21"/>
                      <w:szCs w:val="21"/>
                    </w:rPr>
                  </w:pPr>
                  <w:r>
                    <w:rPr>
                      <w:rFonts w:hint="eastAsia" w:ascii="宋体" w:hAnsi="宋体" w:cs="仿宋_GB2312"/>
                      <w:sz w:val="21"/>
                      <w:szCs w:val="21"/>
                    </w:rPr>
                    <w:t>市纪委监委、市公安局和全市各级法院、检察院</w:t>
                  </w:r>
                </w:p>
              </w:tc>
            </w:tr>
          </w:tbl>
          <w:p w14:paraId="608AC4FE">
            <w:pPr>
              <w:widowControl/>
              <w:ind w:firstLine="420" w:firstLineChars="200"/>
              <w:jc w:val="left"/>
              <w:rPr>
                <w:rFonts w:hint="default" w:ascii="宋体" w:hAnsi="宋体" w:cs="宋体"/>
                <w:color w:val="auto"/>
                <w:szCs w:val="21"/>
                <w:highlight w:val="none"/>
                <w:lang w:val="en-US" w:eastAsia="zh-CN"/>
              </w:rPr>
            </w:pPr>
          </w:p>
          <w:p w14:paraId="58913CF4">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3.服务标准</w:t>
            </w:r>
          </w:p>
          <w:p w14:paraId="6DD275E5">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(1)入库时效：涉案财物接收后24小时内完成入库登记。</w:t>
            </w:r>
          </w:p>
          <w:p w14:paraId="03EC5F6F">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(2)信息准确率：涉案财物信息录入准确率达到100%。</w:t>
            </w:r>
          </w:p>
          <w:p w14:paraId="61DBE94C">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(3)完好率：涉案财物保管完好率不低于100%（易腐易烂物品除外）。</w:t>
            </w:r>
          </w:p>
          <w:p w14:paraId="25B15819">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(4)系统稳定性：信息管理系统全年稳定运行率达98%以上。</w:t>
            </w:r>
          </w:p>
          <w:p w14:paraId="0AC64D05">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(5)安全事故：重大安全事故发生率为零。</w:t>
            </w:r>
          </w:p>
          <w:p w14:paraId="68B48384">
            <w:pPr>
              <w:widowControl/>
              <w:jc w:val="left"/>
              <w:rPr>
                <w:rFonts w:hint="eastAsia" w:ascii="宋体" w:hAnsi="宋体" w:cs="宋体"/>
                <w:color w:val="auto"/>
                <w:szCs w:val="21"/>
                <w:highlight w:val="none"/>
                <w:lang w:val="en-US" w:eastAsia="zh-CN"/>
              </w:rPr>
            </w:pPr>
            <w:r>
              <w:rPr>
                <w:rFonts w:hint="eastAsia" w:cs="宋体"/>
                <w:color w:val="auto"/>
                <w:highlight w:val="none"/>
                <w:lang w:bidi="ar"/>
              </w:rPr>
              <w:t>▲</w:t>
            </w:r>
            <w:r>
              <w:rPr>
                <w:rFonts w:hint="eastAsia" w:ascii="宋体" w:hAnsi="宋体" w:cs="宋体"/>
                <w:b/>
                <w:bCs/>
                <w:color w:val="auto"/>
                <w:szCs w:val="21"/>
                <w:highlight w:val="none"/>
                <w:lang w:val="en-US" w:eastAsia="zh-CN"/>
              </w:rPr>
              <w:t>四、技术要求</w:t>
            </w:r>
          </w:p>
          <w:p w14:paraId="58478A20">
            <w:pPr>
              <w:widowControl/>
              <w:ind w:firstLine="422" w:firstLineChars="200"/>
              <w:jc w:val="left"/>
              <w:rPr>
                <w:rFonts w:hint="default" w:ascii="宋体" w:hAnsi="宋体" w:cs="宋体"/>
                <w:b/>
                <w:bCs/>
                <w:color w:val="auto"/>
                <w:szCs w:val="21"/>
                <w:highlight w:val="none"/>
                <w:lang w:val="en-US" w:eastAsia="zh-CN"/>
              </w:rPr>
            </w:pPr>
            <w:r>
              <w:rPr>
                <w:rFonts w:hint="default" w:ascii="宋体" w:hAnsi="宋体" w:cs="宋体"/>
                <w:b/>
                <w:bCs/>
                <w:color w:val="auto"/>
                <w:szCs w:val="21"/>
                <w:highlight w:val="none"/>
                <w:lang w:val="en-US" w:eastAsia="zh-CN"/>
              </w:rPr>
              <w:t>（一）场所设施要求</w:t>
            </w:r>
          </w:p>
          <w:p w14:paraId="75035FDD">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1、基本要求</w:t>
            </w:r>
          </w:p>
          <w:p w14:paraId="16BECE65">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建成标准化的独立涉案财物管理中心，设立不低于5000平的专属涉案财物管理区域：</w:t>
            </w:r>
          </w:p>
          <w:p w14:paraId="43096412">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分区分类管理：设置普通物品区、贵重物品区、特殊物品区（涉毒、涉爆等）、电子证据区等</w:t>
            </w:r>
            <w:r>
              <w:rPr>
                <w:rFonts w:hint="eastAsia" w:ascii="宋体" w:hAnsi="宋体" w:cs="宋体"/>
                <w:color w:val="auto"/>
                <w:szCs w:val="21"/>
                <w:highlight w:val="none"/>
                <w:lang w:val="en-US" w:eastAsia="zh-CN"/>
              </w:rPr>
              <w:t>。</w:t>
            </w:r>
          </w:p>
          <w:p w14:paraId="2705075A">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安全防护：场所应符合防火、防水、防潮、防蛀、防磁、防腐、防疫、防盗等基础安全要求</w:t>
            </w:r>
            <w:r>
              <w:rPr>
                <w:rFonts w:hint="eastAsia" w:ascii="宋体" w:hAnsi="宋体" w:cs="宋体"/>
                <w:color w:val="auto"/>
                <w:szCs w:val="21"/>
                <w:highlight w:val="none"/>
                <w:lang w:val="en-US" w:eastAsia="zh-CN"/>
              </w:rPr>
              <w:t>。</w:t>
            </w:r>
          </w:p>
          <w:p w14:paraId="563C12BC">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监控全覆盖：安装视频监控系统，确保24小时无死角监控</w:t>
            </w:r>
            <w:r>
              <w:rPr>
                <w:rFonts w:hint="eastAsia" w:ascii="宋体" w:hAnsi="宋体" w:cs="宋体"/>
                <w:color w:val="auto"/>
                <w:szCs w:val="21"/>
                <w:highlight w:val="none"/>
                <w:lang w:val="en-US" w:eastAsia="zh-CN"/>
              </w:rPr>
              <w:t>。</w:t>
            </w:r>
          </w:p>
          <w:p w14:paraId="0C2FC633">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环境控制：根据物品特性配备温湿度控制系统，确保环境符合物品保管要求</w:t>
            </w:r>
            <w:r>
              <w:rPr>
                <w:rFonts w:hint="eastAsia" w:ascii="宋体" w:hAnsi="宋体" w:cs="宋体"/>
                <w:color w:val="auto"/>
                <w:szCs w:val="21"/>
                <w:highlight w:val="none"/>
                <w:lang w:val="en-US" w:eastAsia="zh-CN"/>
              </w:rPr>
              <w:t>。</w:t>
            </w:r>
          </w:p>
          <w:p w14:paraId="201AF5F4">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2、特殊保管设施</w:t>
            </w:r>
          </w:p>
          <w:p w14:paraId="2D85EE45">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根据涉案财物种类的不同，应配备以下特殊保管设施：</w:t>
            </w:r>
          </w:p>
          <w:p w14:paraId="35FD81BA">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(1)贵重物品保管区：配备保险柜（箱）。</w:t>
            </w:r>
          </w:p>
          <w:p w14:paraId="2F6F78F4">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(2)电子证据保管区：配备防磁柜，确保电子数据安全。</w:t>
            </w:r>
          </w:p>
          <w:p w14:paraId="78E00BF8">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(3)车辆保管区：配备室内或室外专业停车场，具备完善的安保措施。</w:t>
            </w:r>
          </w:p>
          <w:p w14:paraId="33773D3C">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(4)大宗物品保管区：配备重型货架及必要的搬运设备。</w:t>
            </w:r>
          </w:p>
          <w:p w14:paraId="5BA1170E">
            <w:pPr>
              <w:widowControl/>
              <w:ind w:firstLine="422" w:firstLineChars="200"/>
              <w:jc w:val="left"/>
              <w:rPr>
                <w:rFonts w:hint="default" w:ascii="宋体" w:hAnsi="宋体" w:cs="宋体"/>
                <w:b/>
                <w:bCs/>
                <w:color w:val="auto"/>
                <w:szCs w:val="21"/>
                <w:highlight w:val="none"/>
                <w:lang w:val="en-US" w:eastAsia="zh-CN"/>
              </w:rPr>
            </w:pPr>
            <w:r>
              <w:rPr>
                <w:rFonts w:hint="default" w:ascii="宋体" w:hAnsi="宋体" w:cs="宋体"/>
                <w:b/>
                <w:bCs/>
                <w:color w:val="auto"/>
                <w:szCs w:val="21"/>
                <w:highlight w:val="none"/>
                <w:lang w:val="en-US" w:eastAsia="zh-CN"/>
              </w:rPr>
              <w:t>（二）信息系统要求</w:t>
            </w:r>
          </w:p>
          <w:p w14:paraId="40DF35AC">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1、系统功能涉案财物管理信息系统应具备以下基本功能：</w:t>
            </w:r>
          </w:p>
          <w:p w14:paraId="095ABB53">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财物登记模块：支持涉案财物基本信息录入、标签打印、分类归档</w:t>
            </w:r>
            <w:r>
              <w:rPr>
                <w:rFonts w:hint="eastAsia" w:ascii="宋体" w:hAnsi="宋体" w:cs="宋体"/>
                <w:color w:val="auto"/>
                <w:szCs w:val="21"/>
                <w:highlight w:val="none"/>
                <w:lang w:val="en-US" w:eastAsia="zh-CN"/>
              </w:rPr>
              <w:t>。</w:t>
            </w:r>
          </w:p>
          <w:p w14:paraId="2F49E601">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流程管理模块：实现涉案财物入库、出库、移交、处置等全流程管理</w:t>
            </w:r>
            <w:r>
              <w:rPr>
                <w:rFonts w:hint="eastAsia" w:ascii="宋体" w:hAnsi="宋体" w:cs="宋体"/>
                <w:color w:val="auto"/>
                <w:szCs w:val="21"/>
                <w:highlight w:val="none"/>
                <w:lang w:val="en-US" w:eastAsia="zh-CN"/>
              </w:rPr>
              <w:t>。</w:t>
            </w:r>
          </w:p>
          <w:p w14:paraId="337ECDDF">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查询统计模块：提供多维度查询和统计分析功能</w:t>
            </w:r>
            <w:r>
              <w:rPr>
                <w:rFonts w:hint="eastAsia" w:ascii="宋体" w:hAnsi="宋体" w:cs="宋体"/>
                <w:color w:val="auto"/>
                <w:szCs w:val="21"/>
                <w:highlight w:val="none"/>
                <w:lang w:val="en-US" w:eastAsia="zh-CN"/>
              </w:rPr>
              <w:t>。</w:t>
            </w:r>
          </w:p>
          <w:p w14:paraId="4078CF78">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权限管理模块：实现分级授权、角色管理，确保数据安全</w:t>
            </w:r>
            <w:r>
              <w:rPr>
                <w:rFonts w:hint="eastAsia" w:ascii="宋体" w:hAnsi="宋体" w:cs="宋体"/>
                <w:color w:val="auto"/>
                <w:szCs w:val="21"/>
                <w:highlight w:val="none"/>
                <w:lang w:val="en-US" w:eastAsia="zh-CN"/>
              </w:rPr>
              <w:t>。</w:t>
            </w:r>
          </w:p>
          <w:p w14:paraId="79848064">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2、安全性要求</w:t>
            </w:r>
          </w:p>
          <w:p w14:paraId="6CA8B61C">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系统应符合网络安全等级保护相关要求</w:t>
            </w:r>
            <w:r>
              <w:rPr>
                <w:rFonts w:hint="eastAsia" w:ascii="宋体" w:hAnsi="宋体" w:cs="宋体"/>
                <w:color w:val="auto"/>
                <w:szCs w:val="21"/>
                <w:highlight w:val="none"/>
                <w:lang w:val="en-US" w:eastAsia="zh-CN"/>
              </w:rPr>
              <w:t>。</w:t>
            </w:r>
          </w:p>
          <w:p w14:paraId="304646E4">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数据传输应采用加密技术，防止信息泄露</w:t>
            </w:r>
            <w:r>
              <w:rPr>
                <w:rFonts w:hint="eastAsia" w:ascii="宋体" w:hAnsi="宋体" w:cs="宋体"/>
                <w:color w:val="auto"/>
                <w:szCs w:val="21"/>
                <w:highlight w:val="none"/>
                <w:lang w:val="en-US" w:eastAsia="zh-CN"/>
              </w:rPr>
              <w:t>。</w:t>
            </w:r>
          </w:p>
          <w:p w14:paraId="0184EC0C">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建立数据备份和恢复机制，确保数据安全</w:t>
            </w:r>
            <w:r>
              <w:rPr>
                <w:rFonts w:hint="eastAsia" w:ascii="宋体" w:hAnsi="宋体" w:cs="宋体"/>
                <w:color w:val="auto"/>
                <w:szCs w:val="21"/>
                <w:highlight w:val="none"/>
                <w:lang w:val="en-US" w:eastAsia="zh-CN"/>
              </w:rPr>
              <w:t>。</w:t>
            </w:r>
          </w:p>
          <w:p w14:paraId="2771D249">
            <w:pPr>
              <w:widowControl/>
              <w:ind w:firstLine="422" w:firstLineChars="200"/>
              <w:jc w:val="left"/>
              <w:rPr>
                <w:rFonts w:hint="default" w:ascii="宋体" w:hAnsi="宋体" w:cs="宋体"/>
                <w:b/>
                <w:bCs/>
                <w:color w:val="auto"/>
                <w:szCs w:val="21"/>
                <w:highlight w:val="none"/>
                <w:lang w:val="en-US" w:eastAsia="zh-CN"/>
              </w:rPr>
            </w:pPr>
            <w:r>
              <w:rPr>
                <w:rFonts w:hint="default" w:ascii="宋体" w:hAnsi="宋体" w:cs="宋体"/>
                <w:b/>
                <w:bCs/>
                <w:color w:val="auto"/>
                <w:szCs w:val="21"/>
                <w:highlight w:val="none"/>
                <w:lang w:val="en-US" w:eastAsia="zh-CN"/>
              </w:rPr>
              <w:t>（三）运营管理要求</w:t>
            </w:r>
          </w:p>
          <w:p w14:paraId="42BF17EC">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1、管理制度</w:t>
            </w:r>
          </w:p>
          <w:p w14:paraId="3A58ED25">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供应商应建立完善的运营管理制度，包括：</w:t>
            </w:r>
          </w:p>
          <w:p w14:paraId="34228FE4">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人员管理制度：明确岗位职责、任职要求、培训计划</w:t>
            </w:r>
            <w:r>
              <w:rPr>
                <w:rFonts w:hint="eastAsia" w:ascii="宋体" w:hAnsi="宋体" w:cs="宋体"/>
                <w:color w:val="auto"/>
                <w:szCs w:val="21"/>
                <w:highlight w:val="none"/>
                <w:lang w:val="en-US" w:eastAsia="zh-CN"/>
              </w:rPr>
              <w:t>。</w:t>
            </w:r>
          </w:p>
          <w:p w14:paraId="39206757">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安全管理制度：制定安全检查、应急预案、责任追究等制度</w:t>
            </w:r>
            <w:r>
              <w:rPr>
                <w:rFonts w:hint="eastAsia" w:ascii="宋体" w:hAnsi="宋体" w:cs="宋体"/>
                <w:color w:val="auto"/>
                <w:szCs w:val="21"/>
                <w:highlight w:val="none"/>
                <w:lang w:val="en-US" w:eastAsia="zh-CN"/>
              </w:rPr>
              <w:t>。</w:t>
            </w:r>
          </w:p>
          <w:p w14:paraId="57635851">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操作规范制度：编制各类涉案财物的保管、运输、处置操作规程</w:t>
            </w:r>
            <w:r>
              <w:rPr>
                <w:rFonts w:hint="eastAsia" w:ascii="宋体" w:hAnsi="宋体" w:cs="宋体"/>
                <w:color w:val="auto"/>
                <w:szCs w:val="21"/>
                <w:highlight w:val="none"/>
                <w:lang w:val="en-US" w:eastAsia="zh-CN"/>
              </w:rPr>
              <w:t>。</w:t>
            </w:r>
          </w:p>
          <w:p w14:paraId="415444FE">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保密管理制度：确保涉案财物信息不被泄露</w:t>
            </w:r>
            <w:r>
              <w:rPr>
                <w:rFonts w:hint="eastAsia" w:ascii="宋体" w:hAnsi="宋体" w:cs="宋体"/>
                <w:color w:val="auto"/>
                <w:szCs w:val="21"/>
                <w:highlight w:val="none"/>
                <w:lang w:val="en-US" w:eastAsia="zh-CN"/>
              </w:rPr>
              <w:t>。</w:t>
            </w:r>
          </w:p>
          <w:p w14:paraId="594DD172">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2、流程规范</w:t>
            </w:r>
          </w:p>
          <w:p w14:paraId="69C467D2">
            <w:pPr>
              <w:widowControl/>
              <w:ind w:firstLine="420" w:firstLineChars="200"/>
              <w:jc w:val="left"/>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供应商应规范以下工作流程：</w:t>
            </w:r>
          </w:p>
          <w:p w14:paraId="7B1D4A34">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color w:val="auto"/>
                <w:szCs w:val="21"/>
                <w:highlight w:val="none"/>
                <w:lang w:val="en-US" w:eastAsia="zh-CN"/>
              </w:rPr>
              <w:t>入库流程：接收、验收、登记、入库环节的具体要求和标准</w:t>
            </w:r>
            <w:r>
              <w:rPr>
                <w:rFonts w:hint="eastAsia" w:ascii="宋体" w:hAnsi="宋体" w:cs="宋体"/>
                <w:color w:val="auto"/>
                <w:szCs w:val="21"/>
                <w:highlight w:val="none"/>
                <w:lang w:val="en-US" w:eastAsia="zh-CN"/>
              </w:rPr>
              <w:t>。</w:t>
            </w:r>
          </w:p>
          <w:p w14:paraId="33020001">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color w:val="auto"/>
                <w:szCs w:val="21"/>
                <w:highlight w:val="none"/>
                <w:lang w:val="en-US" w:eastAsia="zh-CN"/>
              </w:rPr>
              <w:t>出库流程：申请、审批、出库、交接环节的控制措施</w:t>
            </w:r>
            <w:r>
              <w:rPr>
                <w:rFonts w:hint="eastAsia" w:ascii="宋体" w:hAnsi="宋体" w:cs="宋体"/>
                <w:color w:val="auto"/>
                <w:szCs w:val="21"/>
                <w:highlight w:val="none"/>
                <w:lang w:val="en-US" w:eastAsia="zh-CN"/>
              </w:rPr>
              <w:t>。</w:t>
            </w:r>
          </w:p>
          <w:p w14:paraId="2994FA77">
            <w:pPr>
              <w:widowControl/>
              <w:ind w:firstLine="420" w:firstLineChars="20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color w:val="auto"/>
                <w:szCs w:val="21"/>
                <w:highlight w:val="none"/>
                <w:lang w:val="en-US" w:eastAsia="zh-CN"/>
              </w:rPr>
              <w:t>移交流程：涉案财物在不同办案机关间移交的程序和要求</w:t>
            </w:r>
            <w:r>
              <w:rPr>
                <w:rFonts w:hint="eastAsia" w:ascii="宋体" w:hAnsi="宋体" w:cs="宋体"/>
                <w:color w:val="auto"/>
                <w:szCs w:val="21"/>
                <w:highlight w:val="none"/>
                <w:lang w:val="en-US" w:eastAsia="zh-CN"/>
              </w:rPr>
              <w:t>。</w:t>
            </w:r>
          </w:p>
          <w:p w14:paraId="07DA774A">
            <w:pPr>
              <w:widowControl/>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处置流程：涉案财物处置的条件、审批和执行程序</w:t>
            </w:r>
            <w:r>
              <w:rPr>
                <w:rFonts w:hint="eastAsia" w:ascii="宋体" w:hAnsi="宋体" w:cs="宋体"/>
                <w:color w:val="auto"/>
                <w:szCs w:val="21"/>
                <w:highlight w:val="none"/>
                <w:lang w:val="en-US" w:eastAsia="zh-CN"/>
              </w:rPr>
              <w:t>。</w:t>
            </w:r>
          </w:p>
          <w:p w14:paraId="5D3AB936">
            <w:pPr>
              <w:widowControl/>
              <w:ind w:firstLine="422" w:firstLineChars="200"/>
              <w:jc w:val="left"/>
              <w:rPr>
                <w:rFonts w:hint="default" w:ascii="宋体" w:hAnsi="宋体" w:cs="宋体"/>
                <w:b/>
                <w:bCs/>
                <w:color w:val="auto"/>
                <w:szCs w:val="21"/>
                <w:highlight w:val="none"/>
                <w:lang w:val="en-US" w:eastAsia="zh-CN"/>
              </w:rPr>
            </w:pPr>
            <w:r>
              <w:rPr>
                <w:rFonts w:hint="default" w:ascii="宋体" w:hAnsi="宋体" w:cs="宋体"/>
                <w:b/>
                <w:bCs/>
                <w:color w:val="auto"/>
                <w:szCs w:val="21"/>
                <w:highlight w:val="none"/>
                <w:lang w:val="en-US" w:eastAsia="zh-CN"/>
              </w:rPr>
              <w:t>（四） 服务质量要求</w:t>
            </w:r>
          </w:p>
          <w:p w14:paraId="4D571BC5">
            <w:pPr>
              <w:widowControl/>
              <w:ind w:firstLine="422" w:firstLineChars="200"/>
              <w:jc w:val="left"/>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（1）质量要求：</w:t>
            </w:r>
          </w:p>
          <w:tbl>
            <w:tblPr>
              <w:tblStyle w:val="23"/>
              <w:tblW w:w="4365" w:type="dxa"/>
              <w:jc w:val="center"/>
              <w:tblLayout w:type="fixed"/>
              <w:tblCellMar>
                <w:top w:w="0" w:type="dxa"/>
                <w:left w:w="108" w:type="dxa"/>
                <w:bottom w:w="0" w:type="dxa"/>
                <w:right w:w="108" w:type="dxa"/>
              </w:tblCellMar>
            </w:tblPr>
            <w:tblGrid>
              <w:gridCol w:w="1065"/>
              <w:gridCol w:w="1186"/>
              <w:gridCol w:w="1110"/>
              <w:gridCol w:w="1004"/>
            </w:tblGrid>
            <w:tr w14:paraId="12FD8114">
              <w:tblPrEx>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EC12E9">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bCs/>
                      <w:color w:val="000000"/>
                      <w:kern w:val="0"/>
                      <w:sz w:val="21"/>
                      <w:szCs w:val="21"/>
                      <w:highlight w:val="none"/>
                      <w:lang w:eastAsia="zh-CN"/>
                    </w:rPr>
                  </w:pPr>
                  <w:r>
                    <w:rPr>
                      <w:rFonts w:hint="eastAsia" w:ascii="宋体" w:hAnsi="宋体" w:cs="宋体"/>
                      <w:b/>
                      <w:bCs/>
                      <w:color w:val="000000"/>
                      <w:kern w:val="0"/>
                      <w:sz w:val="21"/>
                      <w:szCs w:val="21"/>
                      <w:highlight w:val="none"/>
                      <w:lang w:val="en-US" w:eastAsia="zh-CN"/>
                    </w:rPr>
                    <w:t>类型</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14:paraId="6F18D73C">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b/>
                      <w:bCs/>
                      <w:color w:val="000000"/>
                      <w:kern w:val="0"/>
                      <w:sz w:val="21"/>
                      <w:szCs w:val="21"/>
                      <w:highlight w:val="none"/>
                      <w:lang w:eastAsia="zh-CN"/>
                    </w:rPr>
                  </w:pPr>
                  <w:r>
                    <w:rPr>
                      <w:rFonts w:hint="eastAsia" w:ascii="宋体" w:hAnsi="宋体" w:cs="宋体"/>
                      <w:b/>
                      <w:bCs/>
                      <w:color w:val="000000"/>
                      <w:kern w:val="0"/>
                      <w:sz w:val="21"/>
                      <w:szCs w:val="21"/>
                      <w:highlight w:val="none"/>
                      <w:lang w:val="en-US" w:eastAsia="zh-CN"/>
                    </w:rPr>
                    <w:t>处置时限要求</w:t>
                  </w:r>
                </w:p>
              </w:tc>
              <w:tc>
                <w:tcPr>
                  <w:tcW w:w="1110" w:type="dxa"/>
                  <w:tcBorders>
                    <w:top w:val="single" w:color="auto" w:sz="4" w:space="0"/>
                    <w:left w:val="nil"/>
                    <w:bottom w:val="single" w:color="auto" w:sz="4" w:space="0"/>
                    <w:right w:val="single" w:color="auto" w:sz="4" w:space="0"/>
                  </w:tcBorders>
                  <w:shd w:val="clear" w:color="auto" w:fill="auto"/>
                  <w:noWrap w:val="0"/>
                  <w:vAlign w:val="center"/>
                </w:tcPr>
                <w:p w14:paraId="26DC2CF3">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保管要求</w:t>
                  </w:r>
                </w:p>
              </w:tc>
              <w:tc>
                <w:tcPr>
                  <w:tcW w:w="1004" w:type="dxa"/>
                  <w:tcBorders>
                    <w:top w:val="single" w:color="auto" w:sz="4" w:space="0"/>
                    <w:left w:val="nil"/>
                    <w:bottom w:val="single" w:color="auto" w:sz="4" w:space="0"/>
                    <w:right w:val="single" w:color="auto" w:sz="4" w:space="0"/>
                  </w:tcBorders>
                  <w:shd w:val="clear" w:color="auto" w:fill="auto"/>
                  <w:noWrap w:val="0"/>
                  <w:vAlign w:val="center"/>
                </w:tcPr>
                <w:p w14:paraId="170DED32">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溢价率</w:t>
                  </w:r>
                </w:p>
              </w:tc>
            </w:tr>
            <w:tr w14:paraId="36878B55">
              <w:tblPrEx>
                <w:tblCellMar>
                  <w:top w:w="0" w:type="dxa"/>
                  <w:left w:w="108" w:type="dxa"/>
                  <w:bottom w:w="0" w:type="dxa"/>
                  <w:right w:w="108" w:type="dxa"/>
                </w:tblCellMar>
              </w:tblPrEx>
              <w:trPr>
                <w:trHeight w:val="454" w:hRule="atLeast"/>
                <w:jc w:val="center"/>
              </w:trPr>
              <w:tc>
                <w:tcPr>
                  <w:tcW w:w="1065" w:type="dxa"/>
                  <w:tcBorders>
                    <w:top w:val="nil"/>
                    <w:left w:val="single" w:color="auto" w:sz="4" w:space="0"/>
                    <w:bottom w:val="single" w:color="auto" w:sz="4" w:space="0"/>
                    <w:right w:val="single" w:color="auto" w:sz="4" w:space="0"/>
                  </w:tcBorders>
                  <w:shd w:val="clear" w:color="auto" w:fill="auto"/>
                  <w:noWrap w:val="0"/>
                  <w:vAlign w:val="center"/>
                </w:tcPr>
                <w:p w14:paraId="439CB098">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default" w:ascii="宋体" w:hAnsi="宋体" w:cs="宋体"/>
                      <w:color w:val="auto"/>
                      <w:szCs w:val="21"/>
                      <w:highlight w:val="none"/>
                      <w:lang w:val="en-US" w:eastAsia="zh-CN"/>
                    </w:rPr>
                    <w:t>贵金属</w:t>
                  </w:r>
                </w:p>
              </w:tc>
              <w:tc>
                <w:tcPr>
                  <w:tcW w:w="1186" w:type="dxa"/>
                  <w:tcBorders>
                    <w:top w:val="nil"/>
                    <w:left w:val="nil"/>
                    <w:bottom w:val="single" w:color="auto" w:sz="4" w:space="0"/>
                    <w:right w:val="single" w:color="auto" w:sz="4" w:space="0"/>
                  </w:tcBorders>
                  <w:shd w:val="clear" w:color="auto" w:fill="auto"/>
                  <w:noWrap w:val="0"/>
                  <w:vAlign w:val="center"/>
                </w:tcPr>
                <w:p w14:paraId="41AE817B">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小于等于3个月</w:t>
                  </w:r>
                </w:p>
              </w:tc>
              <w:tc>
                <w:tcPr>
                  <w:tcW w:w="1110" w:type="dxa"/>
                  <w:tcBorders>
                    <w:top w:val="nil"/>
                    <w:left w:val="nil"/>
                    <w:bottom w:val="single" w:color="auto" w:sz="4" w:space="0"/>
                    <w:right w:val="single" w:color="auto" w:sz="4" w:space="0"/>
                  </w:tcBorders>
                  <w:shd w:val="clear" w:color="auto" w:fill="auto"/>
                  <w:noWrap w:val="0"/>
                  <w:vAlign w:val="center"/>
                </w:tcPr>
                <w:p w14:paraId="6173D8C9">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cs="宋体"/>
                      <w:color w:val="auto"/>
                      <w:szCs w:val="21"/>
                      <w:highlight w:val="none"/>
                      <w:lang w:val="en-US" w:eastAsia="zh-CN"/>
                    </w:rPr>
                    <w:t>按照银行金库保管标准</w:t>
                  </w:r>
                </w:p>
              </w:tc>
              <w:tc>
                <w:tcPr>
                  <w:tcW w:w="1004" w:type="dxa"/>
                  <w:tcBorders>
                    <w:top w:val="nil"/>
                    <w:left w:val="nil"/>
                    <w:bottom w:val="single" w:color="auto" w:sz="4" w:space="0"/>
                    <w:right w:val="single" w:color="auto" w:sz="4" w:space="0"/>
                  </w:tcBorders>
                  <w:shd w:val="clear" w:color="auto" w:fill="auto"/>
                  <w:noWrap w:val="0"/>
                  <w:vAlign w:val="center"/>
                </w:tcPr>
                <w:p w14:paraId="0BAFE7B0">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lang w:val="en-US" w:eastAsia="zh-CN"/>
                    </w:rPr>
                    <w:t>不低于市场价80%</w:t>
                  </w:r>
                </w:p>
              </w:tc>
            </w:tr>
            <w:tr w14:paraId="45378B84">
              <w:tblPrEx>
                <w:tblCellMar>
                  <w:top w:w="0" w:type="dxa"/>
                  <w:left w:w="108" w:type="dxa"/>
                  <w:bottom w:w="0" w:type="dxa"/>
                  <w:right w:w="108" w:type="dxa"/>
                </w:tblCellMar>
              </w:tblPrEx>
              <w:trPr>
                <w:trHeight w:val="454" w:hRule="atLeast"/>
                <w:jc w:val="center"/>
              </w:trPr>
              <w:tc>
                <w:tcPr>
                  <w:tcW w:w="1065" w:type="dxa"/>
                  <w:tcBorders>
                    <w:top w:val="nil"/>
                    <w:left w:val="single" w:color="auto" w:sz="4" w:space="0"/>
                    <w:bottom w:val="single" w:color="auto" w:sz="4" w:space="0"/>
                    <w:right w:val="single" w:color="auto" w:sz="4" w:space="0"/>
                  </w:tcBorders>
                  <w:shd w:val="clear" w:color="auto" w:fill="auto"/>
                  <w:noWrap w:val="0"/>
                  <w:vAlign w:val="center"/>
                </w:tcPr>
                <w:p w14:paraId="1B048081">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default" w:ascii="宋体" w:hAnsi="宋体" w:cs="宋体"/>
                      <w:color w:val="auto"/>
                      <w:szCs w:val="21"/>
                      <w:highlight w:val="none"/>
                      <w:lang w:val="en-US" w:eastAsia="zh-CN"/>
                    </w:rPr>
                    <w:t>车辆</w:t>
                  </w:r>
                </w:p>
              </w:tc>
              <w:tc>
                <w:tcPr>
                  <w:tcW w:w="1186" w:type="dxa"/>
                  <w:tcBorders>
                    <w:top w:val="nil"/>
                    <w:left w:val="nil"/>
                    <w:bottom w:val="single" w:color="auto" w:sz="4" w:space="0"/>
                    <w:right w:val="single" w:color="auto" w:sz="4" w:space="0"/>
                  </w:tcBorders>
                  <w:shd w:val="clear" w:color="auto" w:fill="auto"/>
                  <w:noWrap w:val="0"/>
                  <w:vAlign w:val="center"/>
                </w:tcPr>
                <w:p w14:paraId="1EFCD3A9">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小于等于6个月</w:t>
                  </w:r>
                </w:p>
              </w:tc>
              <w:tc>
                <w:tcPr>
                  <w:tcW w:w="1110" w:type="dxa"/>
                  <w:tcBorders>
                    <w:top w:val="nil"/>
                    <w:left w:val="nil"/>
                    <w:bottom w:val="single" w:color="auto" w:sz="4" w:space="0"/>
                    <w:right w:val="single" w:color="auto" w:sz="4" w:space="0"/>
                  </w:tcBorders>
                  <w:shd w:val="clear" w:color="auto" w:fill="auto"/>
                  <w:noWrap w:val="0"/>
                  <w:vAlign w:val="center"/>
                </w:tcPr>
                <w:p w14:paraId="3D5A6DF4">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eastAsia="宋体" w:cs="宋体"/>
                      <w:color w:val="000000"/>
                      <w:kern w:val="0"/>
                      <w:sz w:val="21"/>
                      <w:szCs w:val="21"/>
                      <w:highlight w:val="none"/>
                      <w:lang w:val="en-US" w:eastAsia="zh-CN"/>
                    </w:rPr>
                  </w:pPr>
                  <w:r>
                    <w:rPr>
                      <w:rFonts w:hint="eastAsia" w:ascii="宋体" w:hAnsi="宋体" w:cs="宋体"/>
                      <w:color w:val="auto"/>
                      <w:szCs w:val="21"/>
                      <w:highlight w:val="none"/>
                      <w:lang w:val="en-US" w:eastAsia="zh-CN"/>
                    </w:rPr>
                    <w:t>参照4S店一般保养标准</w:t>
                  </w:r>
                </w:p>
              </w:tc>
              <w:tc>
                <w:tcPr>
                  <w:tcW w:w="1004" w:type="dxa"/>
                  <w:tcBorders>
                    <w:top w:val="nil"/>
                    <w:left w:val="nil"/>
                    <w:bottom w:val="single" w:color="auto" w:sz="4" w:space="0"/>
                    <w:right w:val="single" w:color="auto" w:sz="4" w:space="0"/>
                  </w:tcBorders>
                  <w:shd w:val="clear" w:color="auto" w:fill="auto"/>
                  <w:noWrap w:val="0"/>
                  <w:vAlign w:val="center"/>
                </w:tcPr>
                <w:p w14:paraId="51182CC1">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cs="宋体"/>
                      <w:color w:val="000000"/>
                      <w:kern w:val="0"/>
                      <w:sz w:val="21"/>
                      <w:szCs w:val="21"/>
                      <w:highlight w:val="none"/>
                      <w:lang w:val="en-US"/>
                    </w:rPr>
                  </w:pPr>
                  <w:r>
                    <w:rPr>
                      <w:rFonts w:hint="eastAsia" w:ascii="宋体" w:hAnsi="宋体" w:cs="宋体"/>
                      <w:color w:val="000000"/>
                      <w:kern w:val="0"/>
                      <w:sz w:val="21"/>
                      <w:szCs w:val="21"/>
                      <w:highlight w:val="none"/>
                      <w:lang w:val="en-US" w:eastAsia="zh-CN"/>
                    </w:rPr>
                    <w:t>不低于同类二手车的60%</w:t>
                  </w:r>
                </w:p>
              </w:tc>
            </w:tr>
            <w:tr w14:paraId="66347288">
              <w:tblPrEx>
                <w:tblCellMar>
                  <w:top w:w="0" w:type="dxa"/>
                  <w:left w:w="108" w:type="dxa"/>
                  <w:bottom w:w="0" w:type="dxa"/>
                  <w:right w:w="108" w:type="dxa"/>
                </w:tblCellMar>
              </w:tblPrEx>
              <w:trPr>
                <w:trHeight w:val="454" w:hRule="atLeast"/>
                <w:jc w:val="center"/>
              </w:trPr>
              <w:tc>
                <w:tcPr>
                  <w:tcW w:w="1065" w:type="dxa"/>
                  <w:tcBorders>
                    <w:top w:val="nil"/>
                    <w:left w:val="single" w:color="auto" w:sz="4" w:space="0"/>
                    <w:bottom w:val="single" w:color="auto" w:sz="4" w:space="0"/>
                    <w:right w:val="single" w:color="auto" w:sz="4" w:space="0"/>
                  </w:tcBorders>
                  <w:shd w:val="clear" w:color="auto" w:fill="auto"/>
                  <w:noWrap w:val="0"/>
                  <w:vAlign w:val="center"/>
                </w:tcPr>
                <w:p w14:paraId="2FA577A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default" w:ascii="宋体" w:hAnsi="宋体" w:cs="宋体"/>
                      <w:color w:val="auto"/>
                      <w:szCs w:val="21"/>
                      <w:highlight w:val="none"/>
                      <w:lang w:val="en-US" w:eastAsia="zh-CN"/>
                    </w:rPr>
                    <w:t>设施设备</w:t>
                  </w:r>
                </w:p>
              </w:tc>
              <w:tc>
                <w:tcPr>
                  <w:tcW w:w="1186" w:type="dxa"/>
                  <w:tcBorders>
                    <w:top w:val="nil"/>
                    <w:left w:val="nil"/>
                    <w:bottom w:val="single" w:color="auto" w:sz="4" w:space="0"/>
                    <w:right w:val="single" w:color="auto" w:sz="4" w:space="0"/>
                  </w:tcBorders>
                  <w:shd w:val="clear" w:color="auto" w:fill="auto"/>
                  <w:noWrap w:val="0"/>
                  <w:vAlign w:val="center"/>
                </w:tcPr>
                <w:p w14:paraId="474014F6">
                  <w:pPr>
                    <w:keepNext w:val="0"/>
                    <w:keepLines w:val="0"/>
                    <w:pageBreakBefore w:val="0"/>
                    <w:widowControl/>
                    <w:kinsoku/>
                    <w:wordWrap/>
                    <w:overflowPunct/>
                    <w:topLinePunct w:val="0"/>
                    <w:autoSpaceDE/>
                    <w:autoSpaceDN/>
                    <w:bidi w:val="0"/>
                    <w:adjustRightInd/>
                    <w:snapToGrid w:val="0"/>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小于等于6个月</w:t>
                  </w:r>
                </w:p>
              </w:tc>
              <w:tc>
                <w:tcPr>
                  <w:tcW w:w="1110" w:type="dxa"/>
                  <w:tcBorders>
                    <w:top w:val="nil"/>
                    <w:left w:val="nil"/>
                    <w:bottom w:val="single" w:color="auto" w:sz="4" w:space="0"/>
                    <w:right w:val="single" w:color="auto" w:sz="4" w:space="0"/>
                  </w:tcBorders>
                  <w:shd w:val="clear" w:color="auto" w:fill="auto"/>
                  <w:noWrap w:val="0"/>
                  <w:vAlign w:val="center"/>
                </w:tcPr>
                <w:p w14:paraId="6F4D0379">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auto"/>
                      <w:szCs w:val="21"/>
                      <w:highlight w:val="none"/>
                      <w:lang w:val="en-US" w:eastAsia="zh-CN"/>
                    </w:rPr>
                    <w:t>按照专业仓储保管标准</w:t>
                  </w:r>
                </w:p>
              </w:tc>
              <w:tc>
                <w:tcPr>
                  <w:tcW w:w="1004" w:type="dxa"/>
                  <w:tcBorders>
                    <w:top w:val="nil"/>
                    <w:left w:val="nil"/>
                    <w:bottom w:val="single" w:color="auto" w:sz="4" w:space="0"/>
                    <w:right w:val="single" w:color="auto" w:sz="4" w:space="0"/>
                  </w:tcBorders>
                  <w:shd w:val="clear" w:color="auto" w:fill="auto"/>
                  <w:noWrap w:val="0"/>
                  <w:vAlign w:val="center"/>
                </w:tcPr>
                <w:p w14:paraId="36F69C39">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lang w:val="en-US" w:eastAsia="zh-CN"/>
                    </w:rPr>
                    <w:t>不低于市场价80%</w:t>
                  </w:r>
                </w:p>
              </w:tc>
            </w:tr>
            <w:tr w14:paraId="5D3FFB94">
              <w:tblPrEx>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A10AA3">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流通商品</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14:paraId="3819E03F">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lang w:val="en-US" w:eastAsia="zh-CN"/>
                    </w:rPr>
                    <w:t>小于等于3个月</w:t>
                  </w:r>
                </w:p>
              </w:tc>
              <w:tc>
                <w:tcPr>
                  <w:tcW w:w="1110" w:type="dxa"/>
                  <w:tcBorders>
                    <w:top w:val="single" w:color="auto" w:sz="4" w:space="0"/>
                    <w:left w:val="nil"/>
                    <w:bottom w:val="single" w:color="auto" w:sz="4" w:space="0"/>
                    <w:right w:val="single" w:color="auto" w:sz="4" w:space="0"/>
                  </w:tcBorders>
                  <w:shd w:val="clear" w:color="auto" w:fill="auto"/>
                  <w:noWrap w:val="0"/>
                  <w:vAlign w:val="center"/>
                </w:tcPr>
                <w:p w14:paraId="4B0CAE8C">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auto"/>
                      <w:szCs w:val="21"/>
                      <w:highlight w:val="none"/>
                      <w:lang w:val="en-US" w:eastAsia="zh-CN"/>
                    </w:rPr>
                    <w:t>特殊财物按照行业保管标准</w:t>
                  </w:r>
                </w:p>
              </w:tc>
              <w:tc>
                <w:tcPr>
                  <w:tcW w:w="1004" w:type="dxa"/>
                  <w:tcBorders>
                    <w:top w:val="single" w:color="auto" w:sz="4" w:space="0"/>
                    <w:left w:val="nil"/>
                    <w:bottom w:val="single" w:color="auto" w:sz="4" w:space="0"/>
                    <w:right w:val="single" w:color="auto" w:sz="4" w:space="0"/>
                  </w:tcBorders>
                  <w:shd w:val="clear" w:color="auto" w:fill="auto"/>
                  <w:noWrap w:val="0"/>
                  <w:vAlign w:val="center"/>
                </w:tcPr>
                <w:p w14:paraId="1BC59C05">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rPr>
                  </w:pPr>
                  <w:r>
                    <w:rPr>
                      <w:rFonts w:hint="eastAsia" w:ascii="宋体" w:hAnsi="宋体" w:cs="宋体"/>
                      <w:color w:val="000000"/>
                      <w:kern w:val="0"/>
                      <w:sz w:val="21"/>
                      <w:szCs w:val="21"/>
                      <w:highlight w:val="none"/>
                      <w:lang w:val="en-US" w:eastAsia="zh-CN"/>
                    </w:rPr>
                    <w:t>不低于市场价80%</w:t>
                  </w:r>
                </w:p>
              </w:tc>
            </w:tr>
          </w:tbl>
          <w:p w14:paraId="6BEFC0BD">
            <w:pPr>
              <w:widowControl/>
              <w:ind w:firstLine="42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房产类需在移交之日起1个月内发布处置信息。</w:t>
            </w:r>
          </w:p>
          <w:p w14:paraId="2E7C142A">
            <w:pPr>
              <w:widowControl/>
              <w:ind w:firstLine="420"/>
              <w:jc w:val="left"/>
              <w:rPr>
                <w:rFonts w:hint="default" w:ascii="宋体" w:hAnsi="宋体" w:cs="宋体"/>
                <w:color w:val="auto"/>
                <w:szCs w:val="21"/>
                <w:highlight w:val="yellow"/>
                <w:lang w:val="en-US" w:eastAsia="zh-CN"/>
              </w:rPr>
            </w:pPr>
            <w:r>
              <w:rPr>
                <w:rFonts w:hint="eastAsia" w:ascii="宋体" w:hAnsi="宋体" w:cs="宋体"/>
                <w:color w:val="auto"/>
                <w:szCs w:val="21"/>
                <w:highlight w:val="none"/>
                <w:lang w:val="en-US" w:eastAsia="zh-CN"/>
              </w:rPr>
              <w:t>（2）</w:t>
            </w:r>
            <w:r>
              <w:rPr>
                <w:rFonts w:hint="eastAsia"/>
                <w:highlight w:val="none"/>
                <w:lang w:val="en-US" w:eastAsia="zh-CN"/>
              </w:rPr>
              <w:t>交接押运过程需要提供专用车辆</w:t>
            </w:r>
            <w:r>
              <w:rPr>
                <w:rFonts w:hint="eastAsia"/>
                <w:lang w:val="en-US" w:eastAsia="zh-CN"/>
              </w:rPr>
              <w:t>、安排配套的保管人员押运取送涉案财物。</w:t>
            </w:r>
          </w:p>
          <w:p w14:paraId="1D6D5693">
            <w:pPr>
              <w:widowControl/>
              <w:ind w:firstLine="422" w:firstLineChars="200"/>
              <w:jc w:val="left"/>
              <w:rPr>
                <w:rFonts w:hint="default" w:ascii="宋体" w:hAnsi="宋体" w:cs="宋体"/>
                <w:b/>
                <w:bCs/>
                <w:color w:val="auto"/>
                <w:szCs w:val="21"/>
                <w:highlight w:val="none"/>
                <w:lang w:val="en-US" w:eastAsia="zh-CN"/>
              </w:rPr>
            </w:pPr>
            <w:r>
              <w:rPr>
                <w:rFonts w:hint="default" w:ascii="宋体" w:hAnsi="宋体" w:cs="宋体"/>
                <w:b/>
                <w:bCs/>
                <w:color w:val="auto"/>
                <w:szCs w:val="21"/>
                <w:highlight w:val="none"/>
                <w:lang w:val="en-US" w:eastAsia="zh-CN"/>
              </w:rPr>
              <w:t>五、服务团队要求</w:t>
            </w:r>
          </w:p>
          <w:p w14:paraId="4CA8F265">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（一）人员配备</w:t>
            </w:r>
          </w:p>
          <w:p w14:paraId="0AA67609">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供应商应配备以下专业人员：</w:t>
            </w:r>
          </w:p>
          <w:tbl>
            <w:tblPr>
              <w:tblStyle w:val="23"/>
              <w:tblW w:w="4450" w:type="dxa"/>
              <w:jc w:val="center"/>
              <w:tblLayout w:type="fixed"/>
              <w:tblCellMar>
                <w:top w:w="0" w:type="dxa"/>
                <w:left w:w="108" w:type="dxa"/>
                <w:bottom w:w="0" w:type="dxa"/>
                <w:right w:w="108" w:type="dxa"/>
              </w:tblCellMar>
            </w:tblPr>
            <w:tblGrid>
              <w:gridCol w:w="964"/>
              <w:gridCol w:w="1223"/>
              <w:gridCol w:w="2263"/>
            </w:tblGrid>
            <w:tr w14:paraId="29B3F576">
              <w:trPr>
                <w:trHeight w:val="567" w:hRule="atLeast"/>
                <w:jc w:val="center"/>
              </w:trPr>
              <w:tc>
                <w:tcPr>
                  <w:tcW w:w="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8DDFFD">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岗位</w:t>
                  </w:r>
                </w:p>
              </w:tc>
              <w:tc>
                <w:tcPr>
                  <w:tcW w:w="1223" w:type="dxa"/>
                  <w:tcBorders>
                    <w:top w:val="single" w:color="auto" w:sz="4" w:space="0"/>
                    <w:left w:val="nil"/>
                    <w:bottom w:val="single" w:color="auto" w:sz="4" w:space="0"/>
                    <w:right w:val="single" w:color="auto" w:sz="4" w:space="0"/>
                  </w:tcBorders>
                  <w:shd w:val="clear" w:color="auto" w:fill="auto"/>
                  <w:noWrap w:val="0"/>
                  <w:vAlign w:val="center"/>
                </w:tcPr>
                <w:p w14:paraId="43AD2105">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人数要求</w:t>
                  </w:r>
                </w:p>
              </w:tc>
              <w:tc>
                <w:tcPr>
                  <w:tcW w:w="2263" w:type="dxa"/>
                  <w:tcBorders>
                    <w:top w:val="single" w:color="auto" w:sz="4" w:space="0"/>
                    <w:left w:val="nil"/>
                    <w:bottom w:val="single" w:color="auto" w:sz="4" w:space="0"/>
                    <w:right w:val="single" w:color="auto" w:sz="4" w:space="0"/>
                  </w:tcBorders>
                  <w:shd w:val="clear" w:color="auto" w:fill="auto"/>
                  <w:noWrap w:val="0"/>
                  <w:vAlign w:val="center"/>
                </w:tcPr>
                <w:p w14:paraId="27A5CE75">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资格要求</w:t>
                  </w:r>
                </w:p>
              </w:tc>
            </w:tr>
            <w:tr w14:paraId="089049E0">
              <w:tblPrEx>
                <w:tblCellMar>
                  <w:top w:w="0" w:type="dxa"/>
                  <w:left w:w="108" w:type="dxa"/>
                  <w:bottom w:w="0" w:type="dxa"/>
                  <w:right w:w="108" w:type="dxa"/>
                </w:tblCellMar>
              </w:tblPrEx>
              <w:trPr>
                <w:trHeight w:val="567" w:hRule="atLeast"/>
                <w:jc w:val="center"/>
              </w:trPr>
              <w:tc>
                <w:tcPr>
                  <w:tcW w:w="964" w:type="dxa"/>
                  <w:tcBorders>
                    <w:top w:val="nil"/>
                    <w:left w:val="single" w:color="auto" w:sz="4" w:space="0"/>
                    <w:bottom w:val="single" w:color="auto" w:sz="4" w:space="0"/>
                    <w:right w:val="single" w:color="auto" w:sz="4" w:space="0"/>
                  </w:tcBorders>
                  <w:shd w:val="clear" w:color="auto" w:fill="auto"/>
                  <w:noWrap w:val="0"/>
                  <w:vAlign w:val="center"/>
                </w:tcPr>
                <w:p w14:paraId="4B4BA3E7">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项目经理</w:t>
                  </w:r>
                </w:p>
              </w:tc>
              <w:tc>
                <w:tcPr>
                  <w:tcW w:w="1223" w:type="dxa"/>
                  <w:tcBorders>
                    <w:top w:val="nil"/>
                    <w:left w:val="nil"/>
                    <w:bottom w:val="single" w:color="auto" w:sz="4" w:space="0"/>
                    <w:right w:val="single" w:color="auto" w:sz="4" w:space="0"/>
                  </w:tcBorders>
                  <w:shd w:val="clear" w:color="auto" w:fill="auto"/>
                  <w:noWrap w:val="0"/>
                  <w:vAlign w:val="center"/>
                </w:tcPr>
                <w:p w14:paraId="38E96BDA">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不少于</w:t>
                  </w:r>
                  <w:r>
                    <w:rPr>
                      <w:rFonts w:ascii="Times New Roman" w:hAnsi="Times New Roman"/>
                      <w:color w:val="000000"/>
                      <w:kern w:val="0"/>
                      <w:sz w:val="21"/>
                      <w:szCs w:val="21"/>
                    </w:rPr>
                    <w:t>1</w:t>
                  </w:r>
                  <w:r>
                    <w:rPr>
                      <w:rFonts w:hint="eastAsia" w:ascii="宋体" w:hAnsi="宋体" w:cs="宋体"/>
                      <w:color w:val="000000"/>
                      <w:kern w:val="0"/>
                      <w:sz w:val="21"/>
                      <w:szCs w:val="21"/>
                    </w:rPr>
                    <w:t>人</w:t>
                  </w:r>
                </w:p>
              </w:tc>
              <w:tc>
                <w:tcPr>
                  <w:tcW w:w="2263" w:type="dxa"/>
                  <w:tcBorders>
                    <w:top w:val="nil"/>
                    <w:left w:val="nil"/>
                    <w:bottom w:val="single" w:color="auto" w:sz="4" w:space="0"/>
                    <w:right w:val="single" w:color="auto" w:sz="4" w:space="0"/>
                  </w:tcBorders>
                  <w:shd w:val="clear" w:color="auto" w:fill="auto"/>
                  <w:noWrap w:val="0"/>
                  <w:vAlign w:val="center"/>
                </w:tcPr>
                <w:p w14:paraId="1E31AEEC">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hint="eastAsia" w:ascii="宋体" w:hAnsi="宋体"/>
                      <w:color w:val="000000"/>
                      <w:kern w:val="0"/>
                      <w:sz w:val="21"/>
                      <w:szCs w:val="21"/>
                    </w:rPr>
                    <w:t>具有</w:t>
                  </w:r>
                  <w:r>
                    <w:rPr>
                      <w:rFonts w:ascii="Times New Roman" w:hAnsi="Times New Roman"/>
                      <w:color w:val="000000"/>
                      <w:kern w:val="0"/>
                      <w:sz w:val="21"/>
                      <w:szCs w:val="21"/>
                    </w:rPr>
                    <w:t>3</w:t>
                  </w:r>
                  <w:r>
                    <w:rPr>
                      <w:rFonts w:hint="eastAsia" w:ascii="宋体" w:hAnsi="宋体"/>
                      <w:color w:val="000000"/>
                      <w:kern w:val="0"/>
                      <w:sz w:val="21"/>
                      <w:szCs w:val="21"/>
                    </w:rPr>
                    <w:t>年以上相关管理经验，大专以上学历</w:t>
                  </w:r>
                </w:p>
              </w:tc>
            </w:tr>
            <w:tr w14:paraId="7CE33585">
              <w:tblPrEx>
                <w:tblCellMar>
                  <w:top w:w="0" w:type="dxa"/>
                  <w:left w:w="108" w:type="dxa"/>
                  <w:bottom w:w="0" w:type="dxa"/>
                  <w:right w:w="108" w:type="dxa"/>
                </w:tblCellMar>
              </w:tblPrEx>
              <w:trPr>
                <w:trHeight w:val="567" w:hRule="atLeast"/>
                <w:jc w:val="center"/>
              </w:trPr>
              <w:tc>
                <w:tcPr>
                  <w:tcW w:w="964" w:type="dxa"/>
                  <w:tcBorders>
                    <w:top w:val="nil"/>
                    <w:left w:val="single" w:color="auto" w:sz="4" w:space="0"/>
                    <w:bottom w:val="single" w:color="auto" w:sz="4" w:space="0"/>
                    <w:right w:val="single" w:color="auto" w:sz="4" w:space="0"/>
                  </w:tcBorders>
                  <w:shd w:val="clear" w:color="auto" w:fill="auto"/>
                  <w:noWrap w:val="0"/>
                  <w:vAlign w:val="center"/>
                </w:tcPr>
                <w:p w14:paraId="34925F51">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保管员</w:t>
                  </w:r>
                </w:p>
              </w:tc>
              <w:tc>
                <w:tcPr>
                  <w:tcW w:w="1223" w:type="dxa"/>
                  <w:tcBorders>
                    <w:top w:val="nil"/>
                    <w:left w:val="nil"/>
                    <w:bottom w:val="single" w:color="auto" w:sz="4" w:space="0"/>
                    <w:right w:val="single" w:color="auto" w:sz="4" w:space="0"/>
                  </w:tcBorders>
                  <w:shd w:val="clear" w:color="auto" w:fill="auto"/>
                  <w:noWrap w:val="0"/>
                  <w:vAlign w:val="center"/>
                </w:tcPr>
                <w:p w14:paraId="43074254">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根据业务量确定</w:t>
                  </w:r>
                </w:p>
              </w:tc>
              <w:tc>
                <w:tcPr>
                  <w:tcW w:w="2263" w:type="dxa"/>
                  <w:tcBorders>
                    <w:top w:val="nil"/>
                    <w:left w:val="nil"/>
                    <w:bottom w:val="single" w:color="auto" w:sz="4" w:space="0"/>
                    <w:right w:val="single" w:color="auto" w:sz="4" w:space="0"/>
                  </w:tcBorders>
                  <w:shd w:val="clear" w:color="auto" w:fill="auto"/>
                  <w:noWrap w:val="0"/>
                  <w:vAlign w:val="center"/>
                </w:tcPr>
                <w:p w14:paraId="1096B362">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经过专业培训，熟悉涉案财物管理流程</w:t>
                  </w:r>
                </w:p>
              </w:tc>
            </w:tr>
            <w:tr w14:paraId="63F269B0">
              <w:tblPrEx>
                <w:tblCellMar>
                  <w:top w:w="0" w:type="dxa"/>
                  <w:left w:w="108" w:type="dxa"/>
                  <w:bottom w:w="0" w:type="dxa"/>
                  <w:right w:w="108" w:type="dxa"/>
                </w:tblCellMar>
              </w:tblPrEx>
              <w:trPr>
                <w:trHeight w:val="567" w:hRule="atLeast"/>
                <w:jc w:val="center"/>
              </w:trPr>
              <w:tc>
                <w:tcPr>
                  <w:tcW w:w="964" w:type="dxa"/>
                  <w:tcBorders>
                    <w:top w:val="nil"/>
                    <w:left w:val="single" w:color="auto" w:sz="4" w:space="0"/>
                    <w:bottom w:val="single" w:color="auto" w:sz="4" w:space="0"/>
                    <w:right w:val="single" w:color="auto" w:sz="4" w:space="0"/>
                  </w:tcBorders>
                  <w:shd w:val="clear" w:color="auto" w:fill="auto"/>
                  <w:noWrap w:val="0"/>
                  <w:vAlign w:val="center"/>
                </w:tcPr>
                <w:p w14:paraId="5512152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押运员</w:t>
                  </w:r>
                </w:p>
              </w:tc>
              <w:tc>
                <w:tcPr>
                  <w:tcW w:w="1223" w:type="dxa"/>
                  <w:tcBorders>
                    <w:top w:val="nil"/>
                    <w:left w:val="nil"/>
                    <w:bottom w:val="single" w:color="auto" w:sz="4" w:space="0"/>
                    <w:right w:val="single" w:color="auto" w:sz="4" w:space="0"/>
                  </w:tcBorders>
                  <w:shd w:val="clear" w:color="auto" w:fill="auto"/>
                  <w:noWrap w:val="0"/>
                  <w:vAlign w:val="center"/>
                </w:tcPr>
                <w:p w14:paraId="611737B8">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根据业务量确定</w:t>
                  </w:r>
                </w:p>
              </w:tc>
              <w:tc>
                <w:tcPr>
                  <w:tcW w:w="2263" w:type="dxa"/>
                  <w:tcBorders>
                    <w:top w:val="nil"/>
                    <w:left w:val="nil"/>
                    <w:bottom w:val="single" w:color="auto" w:sz="4" w:space="0"/>
                    <w:right w:val="single" w:color="auto" w:sz="4" w:space="0"/>
                  </w:tcBorders>
                  <w:shd w:val="clear" w:color="auto" w:fill="auto"/>
                  <w:noWrap w:val="0"/>
                  <w:vAlign w:val="center"/>
                </w:tcPr>
                <w:p w14:paraId="4E0ECA21">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具备</w:t>
                  </w:r>
                  <w:r>
                    <w:rPr>
                      <w:rFonts w:hint="eastAsia" w:ascii="宋体" w:hAnsi="宋体" w:cs="宋体"/>
                      <w:color w:val="000000"/>
                      <w:kern w:val="0"/>
                      <w:sz w:val="21"/>
                      <w:szCs w:val="21"/>
                      <w:lang w:val="en-US" w:eastAsia="zh-CN"/>
                    </w:rPr>
                    <w:t>保安员证</w:t>
                  </w:r>
                  <w:r>
                    <w:rPr>
                      <w:rFonts w:hint="eastAsia" w:ascii="宋体" w:hAnsi="宋体" w:cs="宋体"/>
                      <w:color w:val="000000"/>
                      <w:kern w:val="0"/>
                      <w:sz w:val="21"/>
                      <w:szCs w:val="21"/>
                    </w:rPr>
                    <w:t>，持证上岗</w:t>
                  </w:r>
                </w:p>
              </w:tc>
            </w:tr>
            <w:tr w14:paraId="1CC01271">
              <w:tblPrEx>
                <w:tblCellMar>
                  <w:top w:w="0" w:type="dxa"/>
                  <w:left w:w="108" w:type="dxa"/>
                  <w:bottom w:w="0" w:type="dxa"/>
                  <w:right w:w="108" w:type="dxa"/>
                </w:tblCellMar>
              </w:tblPrEx>
              <w:trPr>
                <w:trHeight w:val="567" w:hRule="atLeast"/>
                <w:jc w:val="center"/>
              </w:trPr>
              <w:tc>
                <w:tcPr>
                  <w:tcW w:w="964" w:type="dxa"/>
                  <w:tcBorders>
                    <w:top w:val="nil"/>
                    <w:left w:val="single" w:color="auto" w:sz="4" w:space="0"/>
                    <w:bottom w:val="single" w:color="auto" w:sz="4" w:space="0"/>
                    <w:right w:val="single" w:color="auto" w:sz="4" w:space="0"/>
                  </w:tcBorders>
                  <w:shd w:val="clear" w:color="auto" w:fill="auto"/>
                  <w:noWrap w:val="0"/>
                  <w:vAlign w:val="center"/>
                </w:tcPr>
                <w:p w14:paraId="1E467149">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系统管理员</w:t>
                  </w:r>
                </w:p>
              </w:tc>
              <w:tc>
                <w:tcPr>
                  <w:tcW w:w="1223" w:type="dxa"/>
                  <w:tcBorders>
                    <w:top w:val="nil"/>
                    <w:left w:val="nil"/>
                    <w:bottom w:val="single" w:color="auto" w:sz="4" w:space="0"/>
                    <w:right w:val="single" w:color="auto" w:sz="4" w:space="0"/>
                  </w:tcBorders>
                  <w:shd w:val="clear" w:color="auto" w:fill="auto"/>
                  <w:noWrap w:val="0"/>
                  <w:vAlign w:val="center"/>
                </w:tcPr>
                <w:p w14:paraId="05748FA6">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不少于</w:t>
                  </w:r>
                  <w:r>
                    <w:rPr>
                      <w:rFonts w:ascii="Times New Roman" w:hAnsi="Times New Roman"/>
                      <w:color w:val="000000"/>
                      <w:kern w:val="0"/>
                      <w:sz w:val="21"/>
                      <w:szCs w:val="21"/>
                    </w:rPr>
                    <w:t>2</w:t>
                  </w:r>
                  <w:r>
                    <w:rPr>
                      <w:rFonts w:hint="eastAsia" w:ascii="宋体" w:hAnsi="宋体" w:cs="宋体"/>
                      <w:color w:val="000000"/>
                      <w:kern w:val="0"/>
                      <w:sz w:val="21"/>
                      <w:szCs w:val="21"/>
                    </w:rPr>
                    <w:t>人</w:t>
                  </w:r>
                </w:p>
              </w:tc>
              <w:tc>
                <w:tcPr>
                  <w:tcW w:w="2263" w:type="dxa"/>
                  <w:tcBorders>
                    <w:top w:val="nil"/>
                    <w:left w:val="nil"/>
                    <w:bottom w:val="single" w:color="auto" w:sz="4" w:space="0"/>
                    <w:right w:val="single" w:color="auto" w:sz="4" w:space="0"/>
                  </w:tcBorders>
                  <w:shd w:val="clear" w:color="auto" w:fill="auto"/>
                  <w:noWrap w:val="0"/>
                  <w:vAlign w:val="center"/>
                </w:tcPr>
                <w:p w14:paraId="074EB385">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计算机相关专业，</w:t>
                  </w:r>
                  <w:r>
                    <w:rPr>
                      <w:rFonts w:ascii="Times New Roman" w:hAnsi="Times New Roman"/>
                      <w:color w:val="000000"/>
                      <w:kern w:val="0"/>
                      <w:sz w:val="21"/>
                      <w:szCs w:val="21"/>
                    </w:rPr>
                    <w:t>3</w:t>
                  </w:r>
                  <w:r>
                    <w:rPr>
                      <w:rFonts w:hint="eastAsia" w:ascii="宋体" w:hAnsi="宋体" w:cs="宋体"/>
                      <w:color w:val="000000"/>
                      <w:kern w:val="0"/>
                      <w:sz w:val="21"/>
                      <w:szCs w:val="21"/>
                    </w:rPr>
                    <w:t>年以上工作经验</w:t>
                  </w:r>
                </w:p>
              </w:tc>
            </w:tr>
            <w:tr w14:paraId="602DDB0D">
              <w:tblPrEx>
                <w:tblCellMar>
                  <w:top w:w="0" w:type="dxa"/>
                  <w:left w:w="108" w:type="dxa"/>
                  <w:bottom w:w="0" w:type="dxa"/>
                  <w:right w:w="108" w:type="dxa"/>
                </w:tblCellMar>
              </w:tblPrEx>
              <w:trPr>
                <w:trHeight w:val="567" w:hRule="atLeast"/>
                <w:jc w:val="center"/>
              </w:trPr>
              <w:tc>
                <w:tcPr>
                  <w:tcW w:w="964" w:type="dxa"/>
                  <w:tcBorders>
                    <w:top w:val="nil"/>
                    <w:left w:val="single" w:color="auto" w:sz="4" w:space="0"/>
                    <w:bottom w:val="single" w:color="auto" w:sz="4" w:space="0"/>
                    <w:right w:val="single" w:color="auto" w:sz="4" w:space="0"/>
                  </w:tcBorders>
                  <w:shd w:val="clear" w:color="auto" w:fill="auto"/>
                  <w:noWrap w:val="0"/>
                  <w:vAlign w:val="center"/>
                </w:tcPr>
                <w:p w14:paraId="091BD3B2">
                  <w:pPr>
                    <w:keepNext w:val="0"/>
                    <w:keepLines w:val="0"/>
                    <w:pageBreakBefore w:val="0"/>
                    <w:widowControl/>
                    <w:kinsoku/>
                    <w:wordWrap/>
                    <w:overflowPunct/>
                    <w:topLinePunct w:val="0"/>
                    <w:autoSpaceDE/>
                    <w:autoSpaceDN/>
                    <w:bidi w:val="0"/>
                    <w:adjustRightInd/>
                    <w:snapToGrid w:val="0"/>
                    <w:jc w:val="center"/>
                    <w:textAlignment w:val="auto"/>
                    <w:rPr>
                      <w:rFonts w:hint="default" w:ascii="宋体" w:hAnsi="宋体" w:eastAsia="宋体" w:cs="宋体"/>
                      <w:color w:val="000000"/>
                      <w:kern w:val="0"/>
                      <w:sz w:val="21"/>
                      <w:szCs w:val="21"/>
                      <w:highlight w:val="none"/>
                      <w:u w:val="none"/>
                      <w:lang w:val="en-US" w:eastAsia="zh-CN"/>
                    </w:rPr>
                  </w:pPr>
                  <w:r>
                    <w:rPr>
                      <w:rFonts w:hint="eastAsia" w:ascii="宋体" w:hAnsi="宋体" w:cs="宋体"/>
                      <w:color w:val="000000"/>
                      <w:kern w:val="0"/>
                      <w:sz w:val="21"/>
                      <w:szCs w:val="21"/>
                      <w:highlight w:val="none"/>
                      <w:u w:val="none"/>
                      <w:lang w:val="en-US" w:eastAsia="zh-CN"/>
                    </w:rPr>
                    <w:t>服务专员</w:t>
                  </w:r>
                </w:p>
              </w:tc>
              <w:tc>
                <w:tcPr>
                  <w:tcW w:w="1223" w:type="dxa"/>
                  <w:tcBorders>
                    <w:top w:val="nil"/>
                    <w:left w:val="nil"/>
                    <w:bottom w:val="single" w:color="auto" w:sz="4" w:space="0"/>
                    <w:right w:val="single" w:color="auto" w:sz="4" w:space="0"/>
                  </w:tcBorders>
                  <w:shd w:val="clear" w:color="auto" w:fill="auto"/>
                  <w:noWrap w:val="0"/>
                  <w:vAlign w:val="center"/>
                </w:tcPr>
                <w:p w14:paraId="4F176AA2">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highlight w:val="none"/>
                      <w:u w:val="none"/>
                    </w:rPr>
                  </w:pPr>
                  <w:r>
                    <w:rPr>
                      <w:rFonts w:hint="eastAsia" w:ascii="宋体" w:hAnsi="宋体" w:cs="宋体"/>
                      <w:color w:val="000000"/>
                      <w:kern w:val="0"/>
                      <w:sz w:val="21"/>
                      <w:szCs w:val="21"/>
                      <w:highlight w:val="none"/>
                      <w:u w:val="none"/>
                    </w:rPr>
                    <w:t>不少于1人</w:t>
                  </w:r>
                </w:p>
              </w:tc>
              <w:tc>
                <w:tcPr>
                  <w:tcW w:w="2263" w:type="dxa"/>
                  <w:tcBorders>
                    <w:top w:val="nil"/>
                    <w:left w:val="nil"/>
                    <w:bottom w:val="single" w:color="auto" w:sz="4" w:space="0"/>
                    <w:right w:val="single" w:color="auto" w:sz="4" w:space="0"/>
                  </w:tcBorders>
                  <w:shd w:val="clear" w:color="auto" w:fill="auto"/>
                  <w:noWrap w:val="0"/>
                  <w:vAlign w:val="center"/>
                </w:tcPr>
                <w:p w14:paraId="794C43F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熟悉业务流程，具备良好沟通能力</w:t>
                  </w:r>
                </w:p>
              </w:tc>
            </w:tr>
          </w:tbl>
          <w:p w14:paraId="1F2BA401">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（二）培训要求</w:t>
            </w:r>
          </w:p>
          <w:p w14:paraId="72828B29">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b w:val="0"/>
                <w:bCs w:val="0"/>
                <w:color w:val="auto"/>
                <w:szCs w:val="21"/>
                <w:highlight w:val="none"/>
                <w:lang w:val="en-US" w:eastAsia="zh-CN"/>
              </w:rPr>
              <w:t>岗前培训：所有人员上岗前应接受不少于40小时的专业培训</w:t>
            </w:r>
          </w:p>
          <w:p w14:paraId="0AE6BCD1">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b w:val="0"/>
                <w:bCs w:val="0"/>
                <w:color w:val="auto"/>
                <w:szCs w:val="21"/>
                <w:highlight w:val="none"/>
                <w:lang w:val="en-US" w:eastAsia="zh-CN"/>
              </w:rPr>
              <w:t>在岗培训：每年接受不少于24小时的继续教育培训</w:t>
            </w:r>
          </w:p>
          <w:p w14:paraId="2F913D21">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b w:val="0"/>
                <w:bCs w:val="0"/>
                <w:color w:val="auto"/>
                <w:szCs w:val="21"/>
                <w:highlight w:val="none"/>
                <w:lang w:val="en-US" w:eastAsia="zh-CN"/>
              </w:rPr>
              <w:t>专项培训：针对新政策、新流程、新技术的专项培训</w:t>
            </w:r>
          </w:p>
          <w:p w14:paraId="02CDB4E6">
            <w:pPr>
              <w:widowControl/>
              <w:ind w:firstLine="422" w:firstLineChars="200"/>
              <w:jc w:val="left"/>
              <w:rPr>
                <w:rFonts w:hint="default" w:ascii="宋体" w:hAnsi="宋体" w:cs="宋体"/>
                <w:b w:val="0"/>
                <w:bCs w:val="0"/>
                <w:color w:val="auto"/>
                <w:szCs w:val="21"/>
                <w:highlight w:val="none"/>
                <w:lang w:val="en-US" w:eastAsia="zh-CN"/>
              </w:rPr>
            </w:pPr>
            <w:r>
              <w:rPr>
                <w:rFonts w:hint="default" w:ascii="宋体" w:hAnsi="宋体" w:cs="宋体"/>
                <w:b/>
                <w:bCs/>
                <w:color w:val="auto"/>
                <w:szCs w:val="21"/>
                <w:highlight w:val="none"/>
                <w:lang w:val="en-US" w:eastAsia="zh-CN"/>
              </w:rPr>
              <w:t>六、考核标准</w:t>
            </w:r>
          </w:p>
          <w:p w14:paraId="115CE44F">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（一） 服务质量考核</w:t>
            </w:r>
          </w:p>
          <w:p w14:paraId="03EE0761">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采购人将定期对供应商的服务质量进行考核，考核指标包括但不限于：</w:t>
            </w:r>
          </w:p>
          <w:tbl>
            <w:tblPr>
              <w:tblStyle w:val="23"/>
              <w:tblW w:w="4287" w:type="dxa"/>
              <w:tblInd w:w="3" w:type="dxa"/>
              <w:tblLayout w:type="fixed"/>
              <w:tblCellMar>
                <w:top w:w="0" w:type="dxa"/>
                <w:left w:w="108" w:type="dxa"/>
                <w:bottom w:w="0" w:type="dxa"/>
                <w:right w:w="108" w:type="dxa"/>
              </w:tblCellMar>
            </w:tblPr>
            <w:tblGrid>
              <w:gridCol w:w="1310"/>
              <w:gridCol w:w="669"/>
              <w:gridCol w:w="2308"/>
            </w:tblGrid>
            <w:tr w14:paraId="7373785B">
              <w:tblPrEx>
                <w:tblCellMar>
                  <w:top w:w="0" w:type="dxa"/>
                  <w:left w:w="108" w:type="dxa"/>
                  <w:bottom w:w="0" w:type="dxa"/>
                  <w:right w:w="108" w:type="dxa"/>
                </w:tblCellMar>
              </w:tblPrEx>
              <w:trPr>
                <w:trHeight w:val="567"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77943">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考核指标</w:t>
                  </w:r>
                </w:p>
              </w:tc>
              <w:tc>
                <w:tcPr>
                  <w:tcW w:w="66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AE149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权重</w:t>
                  </w:r>
                </w:p>
              </w:tc>
              <w:tc>
                <w:tcPr>
                  <w:tcW w:w="23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47FB5D">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考核标准</w:t>
                  </w:r>
                </w:p>
              </w:tc>
            </w:tr>
            <w:tr w14:paraId="4CB2E4CB">
              <w:tblPrEx>
                <w:tblCellMar>
                  <w:top w:w="0" w:type="dxa"/>
                  <w:left w:w="108" w:type="dxa"/>
                  <w:bottom w:w="0" w:type="dxa"/>
                  <w:right w:w="108" w:type="dxa"/>
                </w:tblCellMar>
              </w:tblPrEx>
              <w:trPr>
                <w:trHeight w:val="567" w:hRule="atLeast"/>
              </w:trPr>
              <w:tc>
                <w:tcPr>
                  <w:tcW w:w="13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8A4D3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财物完好率</w:t>
                  </w:r>
                </w:p>
              </w:tc>
              <w:tc>
                <w:tcPr>
                  <w:tcW w:w="669" w:type="dxa"/>
                  <w:tcBorders>
                    <w:top w:val="single" w:color="auto" w:sz="4" w:space="0"/>
                    <w:left w:val="nil"/>
                    <w:bottom w:val="single" w:color="auto" w:sz="4" w:space="0"/>
                    <w:right w:val="single" w:color="auto" w:sz="4" w:space="0"/>
                  </w:tcBorders>
                  <w:shd w:val="clear" w:color="auto" w:fill="auto"/>
                  <w:noWrap w:val="0"/>
                  <w:vAlign w:val="center"/>
                </w:tcPr>
                <w:p w14:paraId="5CB6378E">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ascii="Times New Roman" w:hAnsi="Times New Roman"/>
                      <w:color w:val="000000"/>
                      <w:kern w:val="0"/>
                      <w:sz w:val="21"/>
                      <w:szCs w:val="21"/>
                    </w:rPr>
                    <w:t>25%</w:t>
                  </w:r>
                </w:p>
              </w:tc>
              <w:tc>
                <w:tcPr>
                  <w:tcW w:w="2308" w:type="dxa"/>
                  <w:tcBorders>
                    <w:top w:val="single" w:color="auto" w:sz="4" w:space="0"/>
                    <w:left w:val="nil"/>
                    <w:bottom w:val="single" w:color="auto" w:sz="4" w:space="0"/>
                    <w:right w:val="single" w:color="auto" w:sz="4" w:space="0"/>
                  </w:tcBorders>
                  <w:shd w:val="clear" w:color="auto" w:fill="auto"/>
                  <w:noWrap w:val="0"/>
                  <w:vAlign w:val="center"/>
                </w:tcPr>
                <w:p w14:paraId="63CB8D64">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保管期内涉案财物完好率不低于</w:t>
                  </w:r>
                  <w:r>
                    <w:rPr>
                      <w:rFonts w:hint="eastAsia" w:ascii="Times New Roman" w:hAnsi="Times New Roman"/>
                      <w:color w:val="000000"/>
                      <w:kern w:val="0"/>
                      <w:sz w:val="21"/>
                      <w:szCs w:val="21"/>
                    </w:rPr>
                    <w:t>100</w:t>
                  </w:r>
                  <w:r>
                    <w:rPr>
                      <w:rFonts w:ascii="Times New Roman" w:hAnsi="Times New Roman"/>
                      <w:color w:val="000000"/>
                      <w:kern w:val="0"/>
                      <w:sz w:val="21"/>
                      <w:szCs w:val="21"/>
                    </w:rPr>
                    <w:t>%</w:t>
                  </w:r>
                </w:p>
              </w:tc>
            </w:tr>
            <w:tr w14:paraId="7C11415E">
              <w:tblPrEx>
                <w:tblCellMar>
                  <w:top w:w="0" w:type="dxa"/>
                  <w:left w:w="108" w:type="dxa"/>
                  <w:bottom w:w="0" w:type="dxa"/>
                  <w:right w:w="108" w:type="dxa"/>
                </w:tblCellMar>
              </w:tblPrEx>
              <w:trPr>
                <w:trHeight w:val="567" w:hRule="atLeast"/>
              </w:trPr>
              <w:tc>
                <w:tcPr>
                  <w:tcW w:w="1310" w:type="dxa"/>
                  <w:tcBorders>
                    <w:top w:val="nil"/>
                    <w:left w:val="single" w:color="auto" w:sz="4" w:space="0"/>
                    <w:bottom w:val="single" w:color="auto" w:sz="4" w:space="0"/>
                    <w:right w:val="single" w:color="auto" w:sz="4" w:space="0"/>
                  </w:tcBorders>
                  <w:shd w:val="clear" w:color="auto" w:fill="auto"/>
                  <w:noWrap w:val="0"/>
                  <w:vAlign w:val="center"/>
                </w:tcPr>
                <w:p w14:paraId="6ED8BC9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信息准确率</w:t>
                  </w:r>
                </w:p>
              </w:tc>
              <w:tc>
                <w:tcPr>
                  <w:tcW w:w="669" w:type="dxa"/>
                  <w:tcBorders>
                    <w:top w:val="nil"/>
                    <w:left w:val="nil"/>
                    <w:bottom w:val="single" w:color="auto" w:sz="4" w:space="0"/>
                    <w:right w:val="single" w:color="auto" w:sz="4" w:space="0"/>
                  </w:tcBorders>
                  <w:shd w:val="clear" w:color="auto" w:fill="auto"/>
                  <w:noWrap w:val="0"/>
                  <w:vAlign w:val="center"/>
                </w:tcPr>
                <w:p w14:paraId="283FB7DF">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hint="eastAsia"/>
                      <w:color w:val="000000"/>
                      <w:kern w:val="0"/>
                      <w:sz w:val="21"/>
                      <w:szCs w:val="21"/>
                      <w:lang w:val="en-US" w:eastAsia="zh-CN"/>
                    </w:rPr>
                    <w:t>15</w:t>
                  </w:r>
                  <w:r>
                    <w:rPr>
                      <w:rFonts w:ascii="Times New Roman" w:hAnsi="Times New Roman"/>
                      <w:color w:val="000000"/>
                      <w:kern w:val="0"/>
                      <w:sz w:val="21"/>
                      <w:szCs w:val="21"/>
                    </w:rPr>
                    <w:t>%</w:t>
                  </w:r>
                </w:p>
              </w:tc>
              <w:tc>
                <w:tcPr>
                  <w:tcW w:w="2308" w:type="dxa"/>
                  <w:tcBorders>
                    <w:top w:val="nil"/>
                    <w:left w:val="nil"/>
                    <w:bottom w:val="single" w:color="auto" w:sz="4" w:space="0"/>
                    <w:right w:val="single" w:color="auto" w:sz="4" w:space="0"/>
                  </w:tcBorders>
                  <w:shd w:val="clear" w:color="auto" w:fill="auto"/>
                  <w:noWrap w:val="0"/>
                  <w:vAlign w:val="center"/>
                </w:tcPr>
                <w:p w14:paraId="3E8A038D">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涉案财物信息录入准确率</w:t>
                  </w:r>
                  <w:r>
                    <w:rPr>
                      <w:rFonts w:ascii="Times New Roman" w:hAnsi="Times New Roman"/>
                      <w:color w:val="000000"/>
                      <w:kern w:val="0"/>
                      <w:sz w:val="21"/>
                      <w:szCs w:val="21"/>
                    </w:rPr>
                    <w:t>100%</w:t>
                  </w:r>
                </w:p>
              </w:tc>
            </w:tr>
            <w:tr w14:paraId="47DBB447">
              <w:tblPrEx>
                <w:tblCellMar>
                  <w:top w:w="0" w:type="dxa"/>
                  <w:left w:w="108" w:type="dxa"/>
                  <w:bottom w:w="0" w:type="dxa"/>
                  <w:right w:w="108" w:type="dxa"/>
                </w:tblCellMar>
              </w:tblPrEx>
              <w:trPr>
                <w:trHeight w:val="567" w:hRule="atLeast"/>
              </w:trPr>
              <w:tc>
                <w:tcPr>
                  <w:tcW w:w="1310" w:type="dxa"/>
                  <w:tcBorders>
                    <w:top w:val="nil"/>
                    <w:left w:val="single" w:color="auto" w:sz="4" w:space="0"/>
                    <w:bottom w:val="single" w:color="auto" w:sz="4" w:space="0"/>
                    <w:right w:val="single" w:color="auto" w:sz="4" w:space="0"/>
                  </w:tcBorders>
                  <w:shd w:val="clear" w:color="auto" w:fill="auto"/>
                  <w:noWrap w:val="0"/>
                  <w:vAlign w:val="center"/>
                </w:tcPr>
                <w:p w14:paraId="64E6210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响应及时率</w:t>
                  </w:r>
                </w:p>
              </w:tc>
              <w:tc>
                <w:tcPr>
                  <w:tcW w:w="669" w:type="dxa"/>
                  <w:tcBorders>
                    <w:top w:val="nil"/>
                    <w:left w:val="nil"/>
                    <w:bottom w:val="single" w:color="auto" w:sz="4" w:space="0"/>
                    <w:right w:val="single" w:color="auto" w:sz="4" w:space="0"/>
                  </w:tcBorders>
                  <w:shd w:val="clear" w:color="auto" w:fill="auto"/>
                  <w:noWrap w:val="0"/>
                  <w:vAlign w:val="center"/>
                </w:tcPr>
                <w:p w14:paraId="4C43E871">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ascii="Times New Roman" w:hAnsi="Times New Roman"/>
                      <w:color w:val="000000"/>
                      <w:kern w:val="0"/>
                      <w:sz w:val="21"/>
                      <w:szCs w:val="21"/>
                    </w:rPr>
                    <w:t>15%</w:t>
                  </w:r>
                </w:p>
              </w:tc>
              <w:tc>
                <w:tcPr>
                  <w:tcW w:w="2308" w:type="dxa"/>
                  <w:tcBorders>
                    <w:top w:val="nil"/>
                    <w:left w:val="nil"/>
                    <w:bottom w:val="single" w:color="auto" w:sz="4" w:space="0"/>
                    <w:right w:val="single" w:color="auto" w:sz="4" w:space="0"/>
                  </w:tcBorders>
                  <w:shd w:val="clear" w:color="auto" w:fill="auto"/>
                  <w:noWrap w:val="0"/>
                  <w:vAlign w:val="center"/>
                </w:tcPr>
                <w:p w14:paraId="63D684A0">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按要求时限完成操作的比例不低于</w:t>
                  </w:r>
                  <w:r>
                    <w:rPr>
                      <w:rFonts w:ascii="Times New Roman" w:hAnsi="Times New Roman"/>
                      <w:color w:val="000000"/>
                      <w:kern w:val="0"/>
                      <w:sz w:val="21"/>
                      <w:szCs w:val="21"/>
                    </w:rPr>
                    <w:t>98%</w:t>
                  </w:r>
                </w:p>
              </w:tc>
            </w:tr>
            <w:tr w14:paraId="14A22BB3">
              <w:tblPrEx>
                <w:tblCellMar>
                  <w:top w:w="0" w:type="dxa"/>
                  <w:left w:w="108" w:type="dxa"/>
                  <w:bottom w:w="0" w:type="dxa"/>
                  <w:right w:w="108" w:type="dxa"/>
                </w:tblCellMar>
              </w:tblPrEx>
              <w:trPr>
                <w:trHeight w:val="567" w:hRule="atLeast"/>
              </w:trPr>
              <w:tc>
                <w:tcPr>
                  <w:tcW w:w="1310" w:type="dxa"/>
                  <w:tcBorders>
                    <w:top w:val="nil"/>
                    <w:left w:val="single" w:color="auto" w:sz="4" w:space="0"/>
                    <w:bottom w:val="single" w:color="auto" w:sz="4" w:space="0"/>
                    <w:right w:val="single" w:color="auto" w:sz="4" w:space="0"/>
                  </w:tcBorders>
                  <w:shd w:val="clear" w:color="auto" w:fill="auto"/>
                  <w:noWrap w:val="0"/>
                  <w:vAlign w:val="center"/>
                </w:tcPr>
                <w:p w14:paraId="6F86E0C7">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系统稳定性</w:t>
                  </w:r>
                </w:p>
              </w:tc>
              <w:tc>
                <w:tcPr>
                  <w:tcW w:w="669" w:type="dxa"/>
                  <w:tcBorders>
                    <w:top w:val="nil"/>
                    <w:left w:val="nil"/>
                    <w:bottom w:val="single" w:color="auto" w:sz="4" w:space="0"/>
                    <w:right w:val="single" w:color="auto" w:sz="4" w:space="0"/>
                  </w:tcBorders>
                  <w:shd w:val="clear" w:color="auto" w:fill="auto"/>
                  <w:noWrap w:val="0"/>
                  <w:vAlign w:val="center"/>
                </w:tcPr>
                <w:p w14:paraId="771BB0E1">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ascii="Times New Roman" w:hAnsi="Times New Roman"/>
                      <w:color w:val="000000"/>
                      <w:kern w:val="0"/>
                      <w:sz w:val="21"/>
                      <w:szCs w:val="21"/>
                    </w:rPr>
                    <w:t>1</w:t>
                  </w:r>
                  <w:r>
                    <w:rPr>
                      <w:rFonts w:hint="eastAsia"/>
                      <w:color w:val="000000"/>
                      <w:kern w:val="0"/>
                      <w:sz w:val="21"/>
                      <w:szCs w:val="21"/>
                      <w:lang w:val="en-US" w:eastAsia="zh-CN"/>
                    </w:rPr>
                    <w:t>0</w:t>
                  </w:r>
                  <w:r>
                    <w:rPr>
                      <w:rFonts w:ascii="Times New Roman" w:hAnsi="Times New Roman"/>
                      <w:color w:val="000000"/>
                      <w:kern w:val="0"/>
                      <w:sz w:val="21"/>
                      <w:szCs w:val="21"/>
                    </w:rPr>
                    <w:t>%</w:t>
                  </w:r>
                </w:p>
              </w:tc>
              <w:tc>
                <w:tcPr>
                  <w:tcW w:w="2308" w:type="dxa"/>
                  <w:tcBorders>
                    <w:top w:val="nil"/>
                    <w:left w:val="nil"/>
                    <w:bottom w:val="single" w:color="auto" w:sz="4" w:space="0"/>
                    <w:right w:val="single" w:color="auto" w:sz="4" w:space="0"/>
                  </w:tcBorders>
                  <w:shd w:val="clear" w:color="auto" w:fill="auto"/>
                  <w:noWrap w:val="0"/>
                  <w:vAlign w:val="center"/>
                </w:tcPr>
                <w:p w14:paraId="3E081A82">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系统无故障运行时间不低于</w:t>
                  </w:r>
                  <w:r>
                    <w:rPr>
                      <w:rFonts w:ascii="Times New Roman" w:hAnsi="Times New Roman"/>
                      <w:color w:val="000000"/>
                      <w:kern w:val="0"/>
                      <w:sz w:val="21"/>
                      <w:szCs w:val="21"/>
                    </w:rPr>
                    <w:t>99.5%</w:t>
                  </w:r>
                </w:p>
              </w:tc>
            </w:tr>
            <w:tr w14:paraId="711D3462">
              <w:tblPrEx>
                <w:tblCellMar>
                  <w:top w:w="0" w:type="dxa"/>
                  <w:left w:w="108" w:type="dxa"/>
                  <w:bottom w:w="0" w:type="dxa"/>
                  <w:right w:w="108" w:type="dxa"/>
                </w:tblCellMar>
              </w:tblPrEx>
              <w:trPr>
                <w:trHeight w:val="567" w:hRule="atLeast"/>
              </w:trPr>
              <w:tc>
                <w:tcPr>
                  <w:tcW w:w="1310" w:type="dxa"/>
                  <w:tcBorders>
                    <w:top w:val="nil"/>
                    <w:left w:val="single" w:color="auto" w:sz="4" w:space="0"/>
                    <w:bottom w:val="single" w:color="auto" w:sz="4" w:space="0"/>
                    <w:right w:val="single" w:color="auto" w:sz="4" w:space="0"/>
                  </w:tcBorders>
                  <w:shd w:val="clear" w:color="auto" w:fill="auto"/>
                  <w:noWrap w:val="0"/>
                  <w:vAlign w:val="center"/>
                </w:tcPr>
                <w:p w14:paraId="5DA03874">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用户满意度</w:t>
                  </w:r>
                </w:p>
              </w:tc>
              <w:tc>
                <w:tcPr>
                  <w:tcW w:w="669" w:type="dxa"/>
                  <w:tcBorders>
                    <w:top w:val="nil"/>
                    <w:left w:val="nil"/>
                    <w:bottom w:val="single" w:color="auto" w:sz="4" w:space="0"/>
                    <w:right w:val="single" w:color="auto" w:sz="4" w:space="0"/>
                  </w:tcBorders>
                  <w:shd w:val="clear" w:color="auto" w:fill="auto"/>
                  <w:noWrap w:val="0"/>
                  <w:vAlign w:val="center"/>
                </w:tcPr>
                <w:p w14:paraId="64151B15">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hint="eastAsia"/>
                      <w:color w:val="000000"/>
                      <w:kern w:val="0"/>
                      <w:sz w:val="21"/>
                      <w:szCs w:val="21"/>
                      <w:lang w:val="en-US" w:eastAsia="zh-CN"/>
                    </w:rPr>
                    <w:t>25</w:t>
                  </w:r>
                  <w:r>
                    <w:rPr>
                      <w:rFonts w:ascii="Times New Roman" w:hAnsi="Times New Roman"/>
                      <w:color w:val="000000"/>
                      <w:kern w:val="0"/>
                      <w:sz w:val="21"/>
                      <w:szCs w:val="21"/>
                    </w:rPr>
                    <w:t>%</w:t>
                  </w:r>
                </w:p>
              </w:tc>
              <w:tc>
                <w:tcPr>
                  <w:tcW w:w="2308" w:type="dxa"/>
                  <w:tcBorders>
                    <w:top w:val="nil"/>
                    <w:left w:val="nil"/>
                    <w:bottom w:val="single" w:color="auto" w:sz="4" w:space="0"/>
                    <w:right w:val="single" w:color="auto" w:sz="4" w:space="0"/>
                  </w:tcBorders>
                  <w:shd w:val="clear" w:color="auto" w:fill="auto"/>
                  <w:noWrap w:val="0"/>
                  <w:vAlign w:val="center"/>
                </w:tcPr>
                <w:p w14:paraId="2736FC2F">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lang w:val="en-US" w:eastAsia="zh-CN"/>
                    </w:rPr>
                    <w:t>相关部门</w:t>
                  </w:r>
                  <w:r>
                    <w:rPr>
                      <w:rFonts w:hint="eastAsia" w:ascii="宋体" w:hAnsi="宋体" w:cs="宋体"/>
                      <w:color w:val="000000"/>
                      <w:kern w:val="0"/>
                      <w:sz w:val="21"/>
                      <w:szCs w:val="21"/>
                    </w:rPr>
                    <w:t>用户满意度不低于</w:t>
                  </w:r>
                  <w:r>
                    <w:rPr>
                      <w:rFonts w:ascii="Times New Roman" w:hAnsi="Times New Roman"/>
                      <w:color w:val="000000"/>
                      <w:kern w:val="0"/>
                      <w:sz w:val="21"/>
                      <w:szCs w:val="21"/>
                    </w:rPr>
                    <w:t>95%</w:t>
                  </w:r>
                </w:p>
              </w:tc>
            </w:tr>
            <w:tr w14:paraId="4A67C4D4">
              <w:tblPrEx>
                <w:tblCellMar>
                  <w:top w:w="0" w:type="dxa"/>
                  <w:left w:w="108" w:type="dxa"/>
                  <w:bottom w:w="0" w:type="dxa"/>
                  <w:right w:w="108" w:type="dxa"/>
                </w:tblCellMar>
              </w:tblPrEx>
              <w:trPr>
                <w:trHeight w:val="567" w:hRule="atLeast"/>
              </w:trPr>
              <w:tc>
                <w:tcPr>
                  <w:tcW w:w="1310" w:type="dxa"/>
                  <w:tcBorders>
                    <w:top w:val="nil"/>
                    <w:left w:val="single" w:color="auto" w:sz="4" w:space="0"/>
                    <w:bottom w:val="single" w:color="auto" w:sz="4" w:space="0"/>
                    <w:right w:val="single" w:color="auto" w:sz="4" w:space="0"/>
                  </w:tcBorders>
                  <w:shd w:val="clear" w:color="auto" w:fill="auto"/>
                  <w:noWrap w:val="0"/>
                  <w:vAlign w:val="center"/>
                </w:tcPr>
                <w:p w14:paraId="0F55C6FE">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安全事故</w:t>
                  </w:r>
                </w:p>
              </w:tc>
              <w:tc>
                <w:tcPr>
                  <w:tcW w:w="669" w:type="dxa"/>
                  <w:tcBorders>
                    <w:top w:val="nil"/>
                    <w:left w:val="nil"/>
                    <w:bottom w:val="single" w:color="auto" w:sz="4" w:space="0"/>
                    <w:right w:val="single" w:color="auto" w:sz="4" w:space="0"/>
                  </w:tcBorders>
                  <w:shd w:val="clear" w:color="auto" w:fill="auto"/>
                  <w:noWrap w:val="0"/>
                  <w:vAlign w:val="center"/>
                </w:tcPr>
                <w:p w14:paraId="22945F9F">
                  <w:pPr>
                    <w:keepNext w:val="0"/>
                    <w:keepLines w:val="0"/>
                    <w:pageBreakBefore w:val="0"/>
                    <w:widowControl/>
                    <w:kinsoku/>
                    <w:wordWrap/>
                    <w:overflowPunct/>
                    <w:topLinePunct w:val="0"/>
                    <w:autoSpaceDE/>
                    <w:autoSpaceDN/>
                    <w:bidi w:val="0"/>
                    <w:adjustRightInd/>
                    <w:snapToGrid w:val="0"/>
                    <w:jc w:val="center"/>
                    <w:textAlignment w:val="auto"/>
                    <w:rPr>
                      <w:rFonts w:ascii="Times New Roman" w:hAnsi="Times New Roman"/>
                      <w:color w:val="000000"/>
                      <w:kern w:val="0"/>
                      <w:sz w:val="21"/>
                      <w:szCs w:val="21"/>
                    </w:rPr>
                  </w:pPr>
                  <w:r>
                    <w:rPr>
                      <w:rFonts w:ascii="Times New Roman" w:hAnsi="Times New Roman"/>
                      <w:color w:val="000000"/>
                      <w:kern w:val="0"/>
                      <w:sz w:val="21"/>
                      <w:szCs w:val="21"/>
                    </w:rPr>
                    <w:t>10%</w:t>
                  </w:r>
                </w:p>
              </w:tc>
              <w:tc>
                <w:tcPr>
                  <w:tcW w:w="2308" w:type="dxa"/>
                  <w:tcBorders>
                    <w:top w:val="nil"/>
                    <w:left w:val="nil"/>
                    <w:bottom w:val="single" w:color="auto" w:sz="4" w:space="0"/>
                    <w:right w:val="single" w:color="auto" w:sz="4" w:space="0"/>
                  </w:tcBorders>
                  <w:shd w:val="clear" w:color="auto" w:fill="auto"/>
                  <w:noWrap w:val="0"/>
                  <w:vAlign w:val="center"/>
                </w:tcPr>
                <w:p w14:paraId="4A082626">
                  <w:pPr>
                    <w:keepNext w:val="0"/>
                    <w:keepLines w:val="0"/>
                    <w:pageBreakBefore w:val="0"/>
                    <w:widowControl/>
                    <w:kinsoku/>
                    <w:wordWrap/>
                    <w:overflowPunct/>
                    <w:topLinePunct w:val="0"/>
                    <w:autoSpaceDE/>
                    <w:autoSpaceDN/>
                    <w:bidi w:val="0"/>
                    <w:adjustRightInd/>
                    <w:snapToGrid w:val="0"/>
                    <w:jc w:val="center"/>
                    <w:textAlignment w:val="auto"/>
                    <w:rPr>
                      <w:rFonts w:ascii="宋体" w:hAnsi="宋体" w:cs="宋体"/>
                      <w:color w:val="000000"/>
                      <w:kern w:val="0"/>
                      <w:sz w:val="21"/>
                      <w:szCs w:val="21"/>
                    </w:rPr>
                  </w:pPr>
                  <w:r>
                    <w:rPr>
                      <w:rFonts w:hint="eastAsia" w:ascii="宋体" w:hAnsi="宋体" w:cs="宋体"/>
                      <w:color w:val="000000"/>
                      <w:kern w:val="0"/>
                      <w:sz w:val="21"/>
                      <w:szCs w:val="21"/>
                    </w:rPr>
                    <w:t>发生重大安全事故该项得分为</w:t>
                  </w:r>
                  <w:r>
                    <w:rPr>
                      <w:rFonts w:ascii="Times New Roman" w:hAnsi="Times New Roman"/>
                      <w:color w:val="000000"/>
                      <w:kern w:val="0"/>
                      <w:sz w:val="21"/>
                      <w:szCs w:val="21"/>
                    </w:rPr>
                    <w:t>0</w:t>
                  </w:r>
                </w:p>
              </w:tc>
            </w:tr>
          </w:tbl>
          <w:p w14:paraId="5F9B21BB">
            <w:pPr>
              <w:widowControl/>
              <w:ind w:firstLine="420" w:firstLineChars="200"/>
              <w:jc w:val="left"/>
              <w:rPr>
                <w:rFonts w:hint="default" w:ascii="宋体" w:hAnsi="宋体" w:cs="宋体"/>
                <w:b w:val="0"/>
                <w:bCs w:val="0"/>
                <w:color w:val="auto"/>
                <w:szCs w:val="21"/>
                <w:highlight w:val="none"/>
                <w:lang w:val="en-US" w:eastAsia="zh-CN"/>
              </w:rPr>
            </w:pPr>
            <w:r>
              <w:rPr>
                <w:rFonts w:hint="default" w:ascii="宋体" w:hAnsi="宋体" w:cs="宋体"/>
                <w:b w:val="0"/>
                <w:bCs w:val="0"/>
                <w:color w:val="auto"/>
                <w:szCs w:val="21"/>
                <w:highlight w:val="none"/>
                <w:lang w:val="en-US" w:eastAsia="zh-CN"/>
              </w:rPr>
              <w:t>（二） 监督机制</w:t>
            </w:r>
          </w:p>
          <w:p w14:paraId="2C4DFE71">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(1)</w:t>
            </w:r>
            <w:r>
              <w:rPr>
                <w:rFonts w:hint="default" w:ascii="宋体" w:hAnsi="宋体" w:cs="宋体"/>
                <w:b w:val="0"/>
                <w:bCs w:val="0"/>
                <w:color w:val="auto"/>
                <w:szCs w:val="21"/>
                <w:highlight w:val="none"/>
                <w:lang w:val="en-US" w:eastAsia="zh-CN"/>
              </w:rPr>
              <w:t>日常监督：采购人有权对供应商的服务进行日常监督检查</w:t>
            </w:r>
            <w:r>
              <w:rPr>
                <w:rFonts w:hint="eastAsia" w:ascii="宋体" w:hAnsi="宋体" w:cs="宋体"/>
                <w:b w:val="0"/>
                <w:bCs w:val="0"/>
                <w:color w:val="auto"/>
                <w:szCs w:val="21"/>
                <w:highlight w:val="none"/>
                <w:lang w:val="en-US" w:eastAsia="zh-CN"/>
              </w:rPr>
              <w:t>。</w:t>
            </w:r>
          </w:p>
          <w:p w14:paraId="2BD976C4">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(2)</w:t>
            </w:r>
            <w:r>
              <w:rPr>
                <w:rFonts w:hint="default" w:ascii="宋体" w:hAnsi="宋体" w:cs="宋体"/>
                <w:b w:val="0"/>
                <w:bCs w:val="0"/>
                <w:color w:val="auto"/>
                <w:szCs w:val="21"/>
                <w:highlight w:val="none"/>
                <w:lang w:val="en-US" w:eastAsia="zh-CN"/>
              </w:rPr>
              <w:t>定期评估：定期进行综合评估，评估结果作为服务费用结算依据</w:t>
            </w:r>
            <w:r>
              <w:rPr>
                <w:rFonts w:hint="eastAsia" w:ascii="宋体" w:hAnsi="宋体" w:cs="宋体"/>
                <w:b w:val="0"/>
                <w:bCs w:val="0"/>
                <w:color w:val="auto"/>
                <w:szCs w:val="21"/>
                <w:highlight w:val="none"/>
                <w:lang w:val="en-US" w:eastAsia="zh-CN"/>
              </w:rPr>
              <w:t>。</w:t>
            </w:r>
          </w:p>
          <w:p w14:paraId="1737A47E">
            <w:pPr>
              <w:widowControl/>
              <w:ind w:firstLine="420" w:firstLineChars="200"/>
              <w:jc w:val="left"/>
              <w:rPr>
                <w:rFonts w:hint="default" w:ascii="宋体" w:hAnsi="宋体" w:cs="宋体"/>
                <w:b w:val="0"/>
                <w:bCs w:val="0"/>
                <w:color w:val="auto"/>
                <w:szCs w:val="21"/>
                <w:highlight w:val="none"/>
                <w:lang w:val="en-US" w:eastAsia="zh-CN"/>
              </w:rPr>
            </w:pPr>
            <w:r>
              <w:rPr>
                <w:rFonts w:hint="eastAsia" w:ascii="宋体" w:hAnsi="宋体" w:cs="宋体"/>
                <w:color w:val="auto"/>
                <w:szCs w:val="21"/>
                <w:highlight w:val="none"/>
                <w:lang w:val="en-US" w:eastAsia="zh-CN"/>
              </w:rPr>
              <w:t>(3)</w:t>
            </w:r>
            <w:r>
              <w:rPr>
                <w:rFonts w:hint="default" w:ascii="宋体" w:hAnsi="宋体" w:cs="宋体"/>
                <w:b w:val="0"/>
                <w:bCs w:val="0"/>
                <w:color w:val="auto"/>
                <w:szCs w:val="21"/>
                <w:highlight w:val="none"/>
                <w:lang w:val="en-US" w:eastAsia="zh-CN"/>
              </w:rPr>
              <w:t>专项检查：根据工作需要，可开展专项检查或审计</w:t>
            </w:r>
            <w:r>
              <w:rPr>
                <w:rFonts w:hint="eastAsia" w:ascii="宋体" w:hAnsi="宋体" w:cs="宋体"/>
                <w:b w:val="0"/>
                <w:bCs w:val="0"/>
                <w:color w:val="auto"/>
                <w:szCs w:val="21"/>
                <w:highlight w:val="none"/>
                <w:lang w:val="en-US" w:eastAsia="zh-CN"/>
              </w:rPr>
              <w:t>。</w:t>
            </w:r>
          </w:p>
          <w:p w14:paraId="11A50BDA">
            <w:pPr>
              <w:widowControl/>
              <w:ind w:firstLine="420" w:firstLineChars="200"/>
              <w:jc w:val="left"/>
              <w:rPr>
                <w:rFonts w:hint="default" w:ascii="宋体" w:hAnsi="宋体" w:cs="宋体"/>
                <w:b/>
                <w:bCs/>
                <w:color w:val="auto"/>
                <w:szCs w:val="21"/>
                <w:highlight w:val="none"/>
                <w:lang w:val="en-US" w:eastAsia="zh-CN"/>
              </w:rPr>
            </w:pPr>
            <w:r>
              <w:rPr>
                <w:rFonts w:hint="eastAsia" w:ascii="宋体" w:hAnsi="宋体" w:cs="宋体"/>
                <w:color w:val="auto"/>
                <w:szCs w:val="21"/>
                <w:highlight w:val="none"/>
                <w:lang w:val="en-US" w:eastAsia="zh-CN"/>
              </w:rPr>
              <w:t>(4)</w:t>
            </w:r>
            <w:r>
              <w:rPr>
                <w:rFonts w:hint="default" w:ascii="宋体" w:hAnsi="宋体" w:cs="宋体"/>
                <w:b w:val="0"/>
                <w:bCs w:val="0"/>
                <w:color w:val="auto"/>
                <w:szCs w:val="21"/>
                <w:highlight w:val="none"/>
                <w:lang w:val="en-US" w:eastAsia="zh-CN"/>
              </w:rPr>
              <w:t>退出机制：对考核不合格的供应商，按合同约定启动退出程序</w:t>
            </w:r>
            <w:r>
              <w:rPr>
                <w:rFonts w:hint="eastAsia" w:ascii="宋体" w:hAnsi="宋体" w:cs="宋体"/>
                <w:b w:val="0"/>
                <w:bCs w:val="0"/>
                <w:color w:val="auto"/>
                <w:szCs w:val="21"/>
                <w:highlight w:val="none"/>
                <w:lang w:val="en-US" w:eastAsia="zh-CN"/>
              </w:rPr>
              <w:t>。</w:t>
            </w:r>
          </w:p>
        </w:tc>
        <w:tc>
          <w:tcPr>
            <w:tcW w:w="972" w:type="dxa"/>
            <w:vAlign w:val="center"/>
          </w:tcPr>
          <w:p w14:paraId="59BC625D">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bidi="ar"/>
              </w:rPr>
              <w:t>10</w:t>
            </w:r>
            <w:r>
              <w:rPr>
                <w:rFonts w:hint="eastAsia" w:ascii="宋体" w:hAnsi="宋体" w:cs="宋体"/>
                <w:color w:val="auto"/>
                <w:szCs w:val="21"/>
                <w:highlight w:val="none"/>
                <w:lang w:bidi="ar"/>
              </w:rPr>
              <w:t>00000.00</w:t>
            </w:r>
          </w:p>
        </w:tc>
        <w:tc>
          <w:tcPr>
            <w:tcW w:w="1200" w:type="dxa"/>
            <w:vAlign w:val="center"/>
          </w:tcPr>
          <w:p w14:paraId="4F964F7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租赁和商务服务业</w:t>
            </w:r>
          </w:p>
        </w:tc>
      </w:tr>
      <w:tr w14:paraId="1946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682" w:type="dxa"/>
            <w:gridSpan w:val="3"/>
            <w:vAlign w:val="center"/>
          </w:tcPr>
          <w:p w14:paraId="61D245C1">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商务条款</w:t>
            </w:r>
          </w:p>
        </w:tc>
        <w:tc>
          <w:tcPr>
            <w:tcW w:w="7824" w:type="dxa"/>
            <w:gridSpan w:val="5"/>
          </w:tcPr>
          <w:p w14:paraId="3BDD9731">
            <w:pPr>
              <w:spacing w:line="340" w:lineRule="exact"/>
              <w:rPr>
                <w:color w:val="auto"/>
                <w:highlight w:val="none"/>
              </w:rPr>
            </w:pPr>
            <w:r>
              <w:rPr>
                <w:rFonts w:hint="eastAsia" w:cs="宋体"/>
                <w:color w:val="auto"/>
                <w:highlight w:val="none"/>
                <w:lang w:bidi="ar"/>
              </w:rPr>
              <w:t>▲一、合同签订期：自成交通知书发出之日起</w:t>
            </w:r>
            <w:r>
              <w:rPr>
                <w:color w:val="auto"/>
                <w:highlight w:val="none"/>
                <w:lang w:bidi="ar"/>
              </w:rPr>
              <w:t>25</w:t>
            </w:r>
            <w:r>
              <w:rPr>
                <w:rFonts w:hint="eastAsia" w:cs="宋体"/>
                <w:color w:val="auto"/>
                <w:highlight w:val="none"/>
                <w:lang w:bidi="ar"/>
              </w:rPr>
              <w:t>日内。</w:t>
            </w:r>
          </w:p>
          <w:p w14:paraId="105A4C6C">
            <w:pPr>
              <w:spacing w:line="340" w:lineRule="exact"/>
              <w:rPr>
                <w:color w:val="auto"/>
                <w:highlight w:val="none"/>
              </w:rPr>
            </w:pPr>
            <w:r>
              <w:rPr>
                <w:rFonts w:hint="eastAsia" w:cs="宋体"/>
                <w:color w:val="auto"/>
                <w:highlight w:val="none"/>
                <w:lang w:bidi="ar"/>
              </w:rPr>
              <w:t>▲二、合同履行期限：</w:t>
            </w:r>
            <w:r>
              <w:rPr>
                <w:rFonts w:hint="eastAsia" w:ascii="宋体" w:hAnsi="宋体" w:cs="宋体"/>
                <w:color w:val="auto"/>
                <w:kern w:val="0"/>
                <w:szCs w:val="21"/>
                <w:highlight w:val="none"/>
                <w:lang w:val="en-US" w:eastAsia="zh-CN"/>
              </w:rPr>
              <w:t>自合同签订之日起</w:t>
            </w:r>
            <w:r>
              <w:rPr>
                <w:rFonts w:hint="eastAsia" w:ascii="宋体" w:hAnsi="宋体" w:cs="宋体"/>
                <w:color w:val="auto"/>
                <w:szCs w:val="21"/>
                <w:highlight w:val="none"/>
                <w:lang w:val="en-US" w:eastAsia="zh-CN" w:bidi="ar"/>
              </w:rPr>
              <w:t>1年，每一年结束后根据考核结果续签下一年合同。</w:t>
            </w:r>
          </w:p>
          <w:p w14:paraId="3394BF84">
            <w:pPr>
              <w:spacing w:line="340" w:lineRule="exact"/>
              <w:rPr>
                <w:color w:val="auto"/>
                <w:highlight w:val="none"/>
              </w:rPr>
            </w:pPr>
            <w:r>
              <w:rPr>
                <w:rFonts w:hint="eastAsia" w:cs="宋体"/>
                <w:color w:val="auto"/>
                <w:highlight w:val="none"/>
                <w:lang w:bidi="ar"/>
              </w:rPr>
              <w:t>三、提交服务成果地点：南宁市采购人指定地点。</w:t>
            </w:r>
          </w:p>
          <w:p w14:paraId="059B8EFD">
            <w:pPr>
              <w:spacing w:line="340" w:lineRule="exact"/>
              <w:rPr>
                <w:color w:val="auto"/>
                <w:highlight w:val="none"/>
              </w:rPr>
            </w:pPr>
            <w:r>
              <w:rPr>
                <w:rFonts w:hint="eastAsia" w:cs="宋体"/>
                <w:color w:val="auto"/>
                <w:highlight w:val="none"/>
                <w:lang w:val="en-US" w:eastAsia="zh-CN" w:bidi="ar"/>
              </w:rPr>
              <w:t>四</w:t>
            </w:r>
            <w:r>
              <w:rPr>
                <w:rFonts w:hint="eastAsia" w:cs="宋体"/>
                <w:color w:val="auto"/>
                <w:highlight w:val="none"/>
                <w:lang w:bidi="ar"/>
              </w:rPr>
              <w:t>、报价要求</w:t>
            </w:r>
          </w:p>
          <w:p w14:paraId="201433EF">
            <w:pPr>
              <w:spacing w:line="340" w:lineRule="exact"/>
              <w:rPr>
                <w:rFonts w:hint="eastAsia" w:cs="宋体"/>
                <w:color w:val="auto"/>
                <w:highlight w:val="none"/>
                <w:lang w:bidi="ar"/>
              </w:rPr>
            </w:pPr>
            <w:r>
              <w:rPr>
                <w:rFonts w:hint="eastAsia" w:cs="宋体"/>
                <w:color w:val="auto"/>
                <w:highlight w:val="none"/>
                <w:lang w:val="en-US" w:eastAsia="zh-CN" w:bidi="ar"/>
              </w:rPr>
              <w:t>1.</w:t>
            </w:r>
            <w:r>
              <w:rPr>
                <w:rFonts w:hint="eastAsia" w:cs="宋体"/>
                <w:color w:val="auto"/>
                <w:highlight w:val="none"/>
                <w:lang w:bidi="ar"/>
              </w:rPr>
              <w:t>服务的价格</w:t>
            </w:r>
            <w:r>
              <w:rPr>
                <w:rFonts w:hint="eastAsia" w:cs="宋体"/>
                <w:color w:val="auto"/>
                <w:highlight w:val="none"/>
                <w:lang w:eastAsia="zh-CN" w:bidi="ar"/>
              </w:rPr>
              <w:t>、</w:t>
            </w:r>
            <w:r>
              <w:rPr>
                <w:rFonts w:hint="eastAsia" w:cs="宋体"/>
                <w:color w:val="auto"/>
                <w:highlight w:val="none"/>
                <w:lang w:bidi="ar"/>
              </w:rPr>
              <w:t>必要的保险费用和各项税金</w:t>
            </w:r>
            <w:r>
              <w:rPr>
                <w:rFonts w:hint="eastAsia" w:cs="宋体"/>
                <w:color w:val="auto"/>
                <w:highlight w:val="none"/>
                <w:lang w:eastAsia="zh-CN" w:bidi="ar"/>
              </w:rPr>
              <w:t>、</w:t>
            </w:r>
            <w:r>
              <w:rPr>
                <w:rFonts w:hint="eastAsia" w:cs="宋体"/>
                <w:color w:val="auto"/>
                <w:highlight w:val="none"/>
                <w:lang w:bidi="ar"/>
              </w:rPr>
              <w:t>报价必须包含场地费用、设备费用 、人工费用、运营费用、处置所需鉴定、评估</w:t>
            </w:r>
            <w:r>
              <w:rPr>
                <w:rFonts w:hint="eastAsia" w:cs="宋体"/>
                <w:color w:val="auto"/>
                <w:highlight w:val="none"/>
                <w:lang w:eastAsia="zh-CN" w:bidi="ar"/>
              </w:rPr>
              <w:t>、</w:t>
            </w:r>
            <w:r>
              <w:rPr>
                <w:rFonts w:hint="eastAsia" w:cs="宋体"/>
              </w:rPr>
              <w:t>拍卖变卖</w:t>
            </w:r>
            <w:r>
              <w:rPr>
                <w:rFonts w:hint="eastAsia" w:cs="宋体"/>
                <w:color w:val="auto"/>
                <w:highlight w:val="none"/>
                <w:lang w:bidi="ar"/>
              </w:rPr>
              <w:t>等各项费用。</w:t>
            </w:r>
          </w:p>
          <w:p w14:paraId="1B640404">
            <w:pPr>
              <w:tabs>
                <w:tab w:val="left" w:pos="3490"/>
                <w:tab w:val="left" w:pos="3670"/>
                <w:tab w:val="left" w:pos="3895"/>
              </w:tabs>
              <w:spacing w:line="360" w:lineRule="auto"/>
              <w:rPr>
                <w:rFonts w:hint="eastAsia" w:eastAsia="宋体" w:cs="宋体"/>
                <w:color w:val="auto"/>
                <w:highlight w:val="none"/>
                <w:lang w:eastAsia="zh-CN" w:bidi="ar"/>
              </w:rPr>
            </w:pPr>
            <w:r>
              <w:rPr>
                <w:rFonts w:hint="eastAsia" w:ascii="宋体" w:hAnsi="宋体"/>
                <w:b/>
                <w:bCs/>
                <w:szCs w:val="21"/>
                <w:highlight w:val="none"/>
              </w:rPr>
              <w:t>▲</w:t>
            </w:r>
            <w:r>
              <w:rPr>
                <w:rFonts w:hint="eastAsia" w:ascii="宋体" w:hAnsi="宋体" w:cs="宋体"/>
                <w:szCs w:val="21"/>
                <w:highlight w:val="none"/>
              </w:rPr>
              <w:t>2.</w:t>
            </w:r>
            <w:r>
              <w:rPr>
                <w:rFonts w:hint="eastAsia" w:ascii="宋体" w:hAnsi="宋体"/>
                <w:szCs w:val="21"/>
                <w:highlight w:val="none"/>
              </w:rPr>
              <w:t>本项目采用</w:t>
            </w:r>
            <w:r>
              <w:rPr>
                <w:rFonts w:hint="eastAsia" w:ascii="宋体" w:hAnsi="宋体"/>
                <w:b/>
                <w:bCs/>
                <w:szCs w:val="21"/>
                <w:highlight w:val="none"/>
                <w:u w:val="single"/>
                <w:lang w:val="en-US" w:eastAsia="zh-CN"/>
              </w:rPr>
              <w:t xml:space="preserve"> 费率</w:t>
            </w:r>
            <w:r>
              <w:rPr>
                <w:rFonts w:hint="eastAsia" w:ascii="宋体" w:hAnsi="宋体"/>
                <w:szCs w:val="21"/>
                <w:highlight w:val="none"/>
              </w:rPr>
              <w:t>报价，</w:t>
            </w:r>
            <w:r>
              <w:rPr>
                <w:rFonts w:hint="eastAsia" w:ascii="宋体" w:hAnsi="宋体"/>
                <w:b/>
                <w:bCs/>
                <w:szCs w:val="21"/>
                <w:highlight w:val="none"/>
                <w:u w:val="single"/>
              </w:rPr>
              <w:t>由</w:t>
            </w:r>
            <w:r>
              <w:rPr>
                <w:rFonts w:hint="eastAsia" w:ascii="宋体" w:hAnsi="宋体"/>
                <w:b/>
                <w:bCs/>
                <w:szCs w:val="21"/>
                <w:highlight w:val="none"/>
                <w:u w:val="single"/>
                <w:lang w:val="en-US" w:eastAsia="zh-CN"/>
              </w:rPr>
              <w:t>供应商</w:t>
            </w:r>
            <w:r>
              <w:rPr>
                <w:rFonts w:hint="eastAsia" w:ascii="宋体" w:hAnsi="宋体"/>
                <w:b/>
                <w:bCs/>
                <w:szCs w:val="21"/>
                <w:highlight w:val="none"/>
                <w:u w:val="single"/>
              </w:rPr>
              <w:t>根据市场价格及自我承受能力按</w:t>
            </w:r>
            <w:r>
              <w:rPr>
                <w:rFonts w:hint="eastAsia" w:ascii="宋体" w:hAnsi="宋体"/>
                <w:b/>
                <w:bCs/>
                <w:szCs w:val="21"/>
                <w:highlight w:val="none"/>
                <w:u w:val="single"/>
                <w:lang w:val="en-US" w:eastAsia="zh-CN"/>
              </w:rPr>
              <w:t>费率</w:t>
            </w:r>
            <w:r>
              <w:rPr>
                <w:rFonts w:hint="eastAsia" w:ascii="宋体" w:hAnsi="宋体"/>
                <w:b/>
                <w:bCs/>
                <w:szCs w:val="21"/>
                <w:highlight w:val="none"/>
                <w:u w:val="single"/>
              </w:rPr>
              <w:t>进行报价</w:t>
            </w:r>
            <w:r>
              <w:rPr>
                <w:rFonts w:hint="eastAsia" w:ascii="宋体" w:hAnsi="宋体" w:cs="Courier New"/>
                <w:szCs w:val="21"/>
                <w:highlight w:val="none"/>
              </w:rPr>
              <w:t>，</w:t>
            </w:r>
            <w:r>
              <w:rPr>
                <w:rFonts w:hint="eastAsia" w:ascii="宋体" w:hAnsi="宋体"/>
                <w:szCs w:val="21"/>
                <w:highlight w:val="none"/>
              </w:rPr>
              <w:t>本项目报价</w:t>
            </w:r>
            <w:r>
              <w:rPr>
                <w:rFonts w:hint="eastAsia" w:ascii="宋体" w:hAnsi="宋体"/>
                <w:b/>
                <w:bCs/>
                <w:szCs w:val="21"/>
                <w:highlight w:val="none"/>
                <w:u w:val="single"/>
              </w:rPr>
              <w:t>的</w:t>
            </w:r>
            <w:r>
              <w:rPr>
                <w:rFonts w:hint="eastAsia" w:ascii="宋体" w:hAnsi="宋体"/>
                <w:szCs w:val="21"/>
                <w:highlight w:val="none"/>
              </w:rPr>
              <w:t>有效范围：</w:t>
            </w:r>
            <w:r>
              <w:rPr>
                <w:rFonts w:ascii="宋体" w:hAnsi="宋体"/>
                <w:szCs w:val="21"/>
                <w:highlight w:val="none"/>
              </w:rPr>
              <w:t xml:space="preserve"> </w:t>
            </w:r>
            <w:r>
              <w:rPr>
                <w:rFonts w:ascii="宋体" w:hAnsi="宋体"/>
                <w:b/>
                <w:szCs w:val="21"/>
                <w:highlight w:val="none"/>
              </w:rPr>
              <w:t>0%</w:t>
            </w:r>
            <w:r>
              <w:rPr>
                <w:rFonts w:ascii="宋体" w:hAnsi="宋体" w:cs="宋体"/>
                <w:b/>
                <w:kern w:val="0"/>
                <w:szCs w:val="21"/>
                <w:highlight w:val="none"/>
              </w:rPr>
              <w:t>&lt;</w:t>
            </w:r>
            <w:r>
              <w:rPr>
                <w:rFonts w:hint="eastAsia" w:ascii="宋体" w:hAnsi="宋体"/>
                <w:b/>
                <w:bCs/>
                <w:szCs w:val="21"/>
                <w:highlight w:val="none"/>
                <w:lang w:val="en-US" w:eastAsia="zh-CN"/>
              </w:rPr>
              <w:t>费率</w:t>
            </w:r>
            <w:r>
              <w:rPr>
                <w:rFonts w:hint="eastAsia" w:ascii="宋体" w:hAnsi="宋体" w:cs="宋体"/>
                <w:b/>
                <w:kern w:val="0"/>
                <w:szCs w:val="21"/>
                <w:highlight w:val="none"/>
              </w:rPr>
              <w:t>≤</w:t>
            </w:r>
            <w:r>
              <w:rPr>
                <w:rFonts w:hint="eastAsia" w:ascii="宋体" w:hAnsi="宋体" w:cs="宋体"/>
                <w:b/>
                <w:kern w:val="0"/>
                <w:szCs w:val="21"/>
                <w:highlight w:val="none"/>
                <w:lang w:val="en-US" w:eastAsia="zh-CN"/>
              </w:rPr>
              <w:t>6</w:t>
            </w:r>
            <w:r>
              <w:rPr>
                <w:rFonts w:ascii="宋体" w:hAnsi="宋体" w:cs="宋体"/>
                <w:b/>
                <w:kern w:val="0"/>
                <w:szCs w:val="21"/>
                <w:highlight w:val="none"/>
              </w:rPr>
              <w:t xml:space="preserve">% </w:t>
            </w:r>
            <w:r>
              <w:rPr>
                <w:rFonts w:hint="eastAsia" w:ascii="宋体" w:hAnsi="宋体" w:cs="宋体"/>
                <w:b/>
                <w:kern w:val="0"/>
                <w:szCs w:val="21"/>
                <w:highlight w:val="none"/>
              </w:rPr>
              <w:t xml:space="preserve">（超出范围视为无效投标） </w:t>
            </w:r>
            <w:r>
              <w:rPr>
                <w:rFonts w:hint="eastAsia" w:ascii="宋体" w:hAnsi="宋体"/>
                <w:b/>
                <w:szCs w:val="21"/>
                <w:highlight w:val="none"/>
              </w:rPr>
              <w:t>。</w:t>
            </w:r>
          </w:p>
          <w:p w14:paraId="2E2C786F">
            <w:pPr>
              <w:spacing w:line="340" w:lineRule="exact"/>
              <w:rPr>
                <w:color w:val="auto"/>
                <w:highlight w:val="none"/>
              </w:rPr>
            </w:pPr>
            <w:r>
              <w:rPr>
                <w:rFonts w:hint="eastAsia" w:cs="宋体"/>
                <w:color w:val="auto"/>
                <w:highlight w:val="none"/>
                <w:lang w:val="en-US" w:eastAsia="zh-CN" w:bidi="ar"/>
              </w:rPr>
              <w:t>五</w:t>
            </w:r>
            <w:r>
              <w:rPr>
                <w:rFonts w:hint="eastAsia" w:cs="宋体"/>
                <w:color w:val="auto"/>
                <w:highlight w:val="none"/>
                <w:lang w:bidi="ar"/>
              </w:rPr>
              <w:t>、付款方式</w:t>
            </w:r>
          </w:p>
          <w:p w14:paraId="07EB1964">
            <w:pPr>
              <w:spacing w:line="340" w:lineRule="exact"/>
              <w:rPr>
                <w:rFonts w:hint="eastAsia" w:eastAsia="宋体"/>
                <w:color w:val="auto"/>
                <w:highlight w:val="none"/>
                <w:lang w:eastAsia="zh-CN" w:bidi="ar"/>
              </w:rPr>
            </w:pPr>
            <w:r>
              <w:rPr>
                <w:rFonts w:hint="eastAsia"/>
                <w:color w:val="auto"/>
                <w:highlight w:val="none"/>
                <w:lang w:bidi="ar"/>
              </w:rPr>
              <w:t>1、根据处置所得</w:t>
            </w:r>
            <w:r>
              <w:rPr>
                <w:rFonts w:hint="eastAsia"/>
                <w:color w:val="auto"/>
                <w:highlight w:val="none"/>
                <w:lang w:val="en-US" w:eastAsia="zh-CN" w:bidi="ar"/>
              </w:rPr>
              <w:t>收益×成交费率进行结算</w:t>
            </w:r>
            <w:r>
              <w:rPr>
                <w:rFonts w:hint="eastAsia"/>
                <w:color w:val="auto"/>
                <w:highlight w:val="none"/>
                <w:lang w:eastAsia="zh-CN" w:bidi="ar"/>
              </w:rPr>
              <w:t>；</w:t>
            </w:r>
          </w:p>
          <w:p w14:paraId="4A44A58C">
            <w:pPr>
              <w:keepNext w:val="0"/>
              <w:keepLines w:val="0"/>
              <w:widowControl/>
              <w:suppressLineNumbers w:val="0"/>
              <w:jc w:val="left"/>
              <w:rPr>
                <w:rFonts w:hint="eastAsia" w:eastAsia="宋体"/>
                <w:lang w:eastAsia="zh-CN"/>
              </w:rPr>
            </w:pPr>
            <w:r>
              <w:rPr>
                <w:rFonts w:hint="eastAsia"/>
                <w:color w:val="auto"/>
                <w:highlight w:val="none"/>
                <w:lang w:bidi="ar"/>
              </w:rPr>
              <w:t>2、</w:t>
            </w:r>
            <w:r>
              <w:rPr>
                <w:rFonts w:hint="eastAsia" w:ascii="宋体" w:hAnsi="宋体" w:eastAsia="宋体" w:cs="宋体"/>
                <w:color w:val="000000"/>
                <w:kern w:val="0"/>
                <w:sz w:val="20"/>
                <w:szCs w:val="20"/>
                <w:lang w:val="en-US" w:eastAsia="zh-CN" w:bidi="ar"/>
              </w:rPr>
              <w:t>按季支付，支付时间为每季度初支付上一季度应付费用的80%；成交供应商凭开具的合法正规发票与采购人进行结算。考核结果为合格</w:t>
            </w:r>
            <w:r>
              <w:rPr>
                <w:rFonts w:hint="eastAsia" w:ascii="宋体" w:hAnsi="宋体" w:cs="宋体"/>
                <w:color w:val="000000"/>
                <w:kern w:val="0"/>
                <w:sz w:val="20"/>
                <w:szCs w:val="20"/>
                <w:lang w:val="en-US" w:eastAsia="zh-CN" w:bidi="ar"/>
              </w:rPr>
              <w:t>（60分及以上）</w:t>
            </w:r>
            <w:r>
              <w:rPr>
                <w:rFonts w:hint="eastAsia" w:ascii="宋体" w:hAnsi="宋体" w:eastAsia="宋体" w:cs="宋体"/>
                <w:color w:val="000000"/>
                <w:kern w:val="0"/>
                <w:sz w:val="20"/>
                <w:szCs w:val="20"/>
                <w:lang w:val="en-US" w:eastAsia="zh-CN" w:bidi="ar"/>
              </w:rPr>
              <w:t>的</w:t>
            </w:r>
            <w:r>
              <w:rPr>
                <w:rFonts w:hint="eastAsia" w:ascii="宋体" w:hAnsi="宋体" w:cs="宋体"/>
                <w:color w:val="000000"/>
                <w:kern w:val="0"/>
                <w:sz w:val="20"/>
                <w:szCs w:val="20"/>
                <w:lang w:val="en-US" w:eastAsia="zh-CN" w:bidi="ar"/>
              </w:rPr>
              <w:t>，</w:t>
            </w:r>
            <w:r>
              <w:rPr>
                <w:rFonts w:hint="eastAsia" w:ascii="宋体" w:hAnsi="宋体" w:eastAsia="宋体" w:cs="宋体"/>
                <w:color w:val="000000"/>
                <w:kern w:val="0"/>
                <w:sz w:val="20"/>
                <w:szCs w:val="20"/>
                <w:lang w:val="en-US" w:eastAsia="zh-CN" w:bidi="ar"/>
              </w:rPr>
              <w:t>剩余20%</w:t>
            </w:r>
            <w:r>
              <w:rPr>
                <w:rFonts w:hint="eastAsia" w:ascii="宋体" w:hAnsi="宋体" w:cs="宋体"/>
                <w:color w:val="000000"/>
                <w:kern w:val="0"/>
                <w:sz w:val="20"/>
                <w:szCs w:val="20"/>
                <w:lang w:val="en-US" w:eastAsia="zh-CN" w:bidi="ar"/>
              </w:rPr>
              <w:t>的应付费用</w:t>
            </w:r>
            <w:r>
              <w:rPr>
                <w:rFonts w:hint="eastAsia" w:ascii="宋体" w:hAnsi="宋体" w:eastAsia="宋体" w:cs="宋体"/>
                <w:color w:val="000000"/>
                <w:kern w:val="0"/>
                <w:sz w:val="20"/>
                <w:szCs w:val="20"/>
                <w:lang w:val="en-US" w:eastAsia="zh-CN" w:bidi="ar"/>
              </w:rPr>
              <w:t>在次年1季度支付，否则不予支付</w:t>
            </w:r>
            <w:r>
              <w:rPr>
                <w:rFonts w:hint="eastAsia"/>
                <w:color w:val="auto"/>
                <w:highlight w:val="none"/>
                <w:lang w:eastAsia="zh-CN" w:bidi="ar"/>
              </w:rPr>
              <w:t>。</w:t>
            </w:r>
          </w:p>
          <w:p w14:paraId="548C3DD1">
            <w:pPr>
              <w:spacing w:line="340" w:lineRule="exact"/>
              <w:rPr>
                <w:color w:val="auto"/>
                <w:highlight w:val="none"/>
              </w:rPr>
            </w:pPr>
            <w:r>
              <w:rPr>
                <w:rFonts w:hint="eastAsia" w:cs="宋体"/>
                <w:color w:val="auto"/>
                <w:highlight w:val="none"/>
                <w:lang w:val="en-US" w:eastAsia="zh-CN" w:bidi="ar"/>
              </w:rPr>
              <w:t>六</w:t>
            </w:r>
            <w:r>
              <w:rPr>
                <w:rFonts w:hint="eastAsia" w:cs="宋体"/>
                <w:color w:val="auto"/>
                <w:highlight w:val="none"/>
                <w:lang w:bidi="ar"/>
              </w:rPr>
              <w:t>、其他要求</w:t>
            </w:r>
          </w:p>
          <w:p w14:paraId="05805969">
            <w:pPr>
              <w:spacing w:line="340" w:lineRule="exact"/>
              <w:rPr>
                <w:color w:val="auto"/>
                <w:highlight w:val="none"/>
              </w:rPr>
            </w:pPr>
            <w:r>
              <w:rPr>
                <w:color w:val="auto"/>
                <w:highlight w:val="none"/>
                <w:lang w:bidi="ar"/>
              </w:rPr>
              <w:t>1.</w:t>
            </w:r>
            <w:r>
              <w:rPr>
                <w:rFonts w:hint="eastAsia" w:cs="宋体"/>
                <w:color w:val="auto"/>
                <w:highlight w:val="none"/>
                <w:lang w:bidi="ar"/>
              </w:rPr>
              <w:t>保密要求：成交供应商应对</w:t>
            </w:r>
            <w:r>
              <w:rPr>
                <w:rFonts w:hint="eastAsia" w:cs="宋体"/>
                <w:color w:val="auto"/>
                <w:highlight w:val="none"/>
                <w:lang w:val="en-US" w:eastAsia="zh-CN" w:bidi="ar"/>
              </w:rPr>
              <w:t>涉案财物</w:t>
            </w:r>
            <w:r>
              <w:rPr>
                <w:rFonts w:hint="eastAsia" w:cs="宋体"/>
                <w:color w:val="auto"/>
                <w:highlight w:val="none"/>
                <w:lang w:bidi="ar"/>
              </w:rPr>
              <w:t>进行严格保密，如有泄露，采购人有权追究法律责任，并要求成交供应商承担经济损失。</w:t>
            </w:r>
          </w:p>
          <w:p w14:paraId="3E3633FD">
            <w:pPr>
              <w:spacing w:line="340" w:lineRule="exact"/>
              <w:rPr>
                <w:rFonts w:ascii="宋体" w:hAnsi="宋体" w:cs="宋体"/>
                <w:color w:val="auto"/>
                <w:szCs w:val="21"/>
                <w:highlight w:val="none"/>
              </w:rPr>
            </w:pPr>
            <w:r>
              <w:rPr>
                <w:color w:val="auto"/>
                <w:highlight w:val="none"/>
                <w:lang w:bidi="ar"/>
              </w:rPr>
              <w:t>2.</w:t>
            </w:r>
            <w:r>
              <w:rPr>
                <w:rFonts w:hint="eastAsia" w:cs="宋体"/>
                <w:color w:val="auto"/>
                <w:highlight w:val="none"/>
                <w:lang w:bidi="ar"/>
              </w:rPr>
              <w:t>本项目采购标的需满足国家相关标准、行业标准、地方标准或其他强制性标准、规范。</w:t>
            </w:r>
          </w:p>
        </w:tc>
      </w:tr>
      <w:tr w14:paraId="423F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682" w:type="dxa"/>
            <w:gridSpan w:val="3"/>
            <w:vAlign w:val="center"/>
          </w:tcPr>
          <w:p w14:paraId="714D26C7">
            <w:pPr>
              <w:spacing w:line="320" w:lineRule="exact"/>
              <w:jc w:val="center"/>
              <w:rPr>
                <w:rFonts w:ascii="宋体" w:hAnsi="宋体" w:cs="宋体"/>
                <w:color w:val="auto"/>
                <w:szCs w:val="21"/>
                <w:highlight w:val="none"/>
              </w:rPr>
            </w:pPr>
            <w:r>
              <w:rPr>
                <w:rFonts w:hint="eastAsia" w:ascii="宋体" w:hAnsi="宋体" w:cs="宋体"/>
                <w:color w:val="auto"/>
                <w:szCs w:val="21"/>
                <w:highlight w:val="none"/>
                <w:lang w:bidi="ar"/>
              </w:rPr>
              <w:t>其他说明</w:t>
            </w:r>
          </w:p>
        </w:tc>
        <w:tc>
          <w:tcPr>
            <w:tcW w:w="7824" w:type="dxa"/>
            <w:gridSpan w:val="5"/>
          </w:tcPr>
          <w:p w14:paraId="5BEE80B8">
            <w:pPr>
              <w:widowControl/>
              <w:numPr>
                <w:ilvl w:val="0"/>
                <w:numId w:val="0"/>
              </w:numPr>
              <w:shd w:val="clear" w:color="auto" w:fill="auto"/>
              <w:spacing w:line="400" w:lineRule="exact"/>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lang w:bidi="ar"/>
              </w:rPr>
              <w:t>一、进口产品说明</w:t>
            </w:r>
          </w:p>
          <w:p w14:paraId="5D94D82B">
            <w:pPr>
              <w:numPr>
                <w:ilvl w:val="0"/>
                <w:numId w:val="0"/>
              </w:numPr>
              <w:spacing w:line="400" w:lineRule="exact"/>
              <w:ind w:firstLine="0" w:firstLineChars="0"/>
              <w:rPr>
                <w:rFonts w:ascii="宋体" w:hAnsi="宋体" w:cs="宋体"/>
                <w:color w:val="auto"/>
                <w:szCs w:val="21"/>
                <w:highlight w:val="none"/>
              </w:rPr>
            </w:pPr>
            <w:r>
              <w:rPr>
                <w:rFonts w:hint="eastAsia" w:ascii="宋体" w:hAnsi="宋体" w:cs="宋体"/>
                <w:color w:val="auto"/>
                <w:szCs w:val="21"/>
                <w:highlight w:val="none"/>
                <w:lang w:bidi="ar"/>
              </w:rPr>
              <w:t>本项目服务所涉及的货物不接受进口产品（即通过中国海关报关验放进入中国境内且产自关境外的产品）参与磋商，</w:t>
            </w:r>
            <w:r>
              <w:rPr>
                <w:rFonts w:hint="eastAsia" w:ascii="宋体" w:hAnsi="宋体" w:cs="宋体"/>
                <w:b/>
                <w:color w:val="auto"/>
                <w:szCs w:val="21"/>
                <w:highlight w:val="none"/>
                <w:lang w:bidi="ar"/>
              </w:rPr>
              <w:t>如有进口产品参与磋商的作无效标处理</w:t>
            </w:r>
            <w:r>
              <w:rPr>
                <w:rFonts w:hint="eastAsia" w:ascii="宋体" w:hAnsi="宋体" w:cs="宋体"/>
                <w:color w:val="auto"/>
                <w:szCs w:val="21"/>
                <w:highlight w:val="none"/>
                <w:lang w:bidi="ar"/>
              </w:rPr>
              <w:t>。</w:t>
            </w:r>
          </w:p>
          <w:p w14:paraId="4C2BBDB7">
            <w:pPr>
              <w:numPr>
                <w:ilvl w:val="0"/>
                <w:numId w:val="0"/>
              </w:numPr>
              <w:spacing w:line="400" w:lineRule="exact"/>
              <w:rPr>
                <w:rFonts w:hint="eastAsia" w:ascii="宋体" w:hAnsi="宋体" w:cs="宋体"/>
                <w:color w:val="auto"/>
                <w:szCs w:val="21"/>
                <w:highlight w:val="none"/>
                <w:lang w:bidi="ar"/>
              </w:rPr>
            </w:pPr>
            <w:r>
              <w:rPr>
                <w:rFonts w:hint="eastAsia" w:ascii="宋体" w:hAnsi="宋体" w:eastAsia="宋体" w:cs="宋体"/>
                <w:color w:val="auto"/>
                <w:kern w:val="2"/>
                <w:sz w:val="21"/>
                <w:szCs w:val="21"/>
                <w:lang w:val="en-US" w:eastAsia="zh-CN" w:bidi="ar"/>
              </w:rPr>
              <w:t>二、</w:t>
            </w:r>
            <w:r>
              <w:rPr>
                <w:rFonts w:hint="eastAsia" w:ascii="宋体" w:hAnsi="宋体" w:cs="宋体"/>
                <w:color w:val="auto"/>
                <w:szCs w:val="21"/>
                <w:highlight w:val="none"/>
                <w:lang w:bidi="ar"/>
              </w:rPr>
              <w:t>其他：无</w:t>
            </w:r>
          </w:p>
          <w:p w14:paraId="28908C63">
            <w:pPr>
              <w:numPr>
                <w:ilvl w:val="0"/>
                <w:numId w:val="0"/>
              </w:numPr>
              <w:spacing w:line="400" w:lineRule="exact"/>
              <w:rPr>
                <w:rFonts w:hint="eastAsia" w:ascii="宋体" w:hAnsi="宋体" w:cs="宋体"/>
                <w:color w:val="auto"/>
                <w:szCs w:val="21"/>
                <w:highlight w:val="none"/>
                <w:lang w:bidi="ar"/>
              </w:rPr>
            </w:pPr>
            <w:r>
              <w:rPr>
                <w:rFonts w:hint="eastAsia" w:ascii="宋体" w:hAnsi="宋体" w:eastAsia="宋体" w:cs="宋体"/>
                <w:color w:val="auto"/>
                <w:kern w:val="2"/>
                <w:sz w:val="21"/>
                <w:szCs w:val="21"/>
                <w:lang w:val="en-US" w:eastAsia="zh-CN" w:bidi="ar"/>
              </w:rPr>
              <w:t>三、</w:t>
            </w:r>
            <w:r>
              <w:rPr>
                <w:rFonts w:hint="eastAsia" w:ascii="宋体" w:hAnsi="宋体" w:cs="宋体"/>
                <w:color w:val="auto"/>
                <w:szCs w:val="21"/>
                <w:highlight w:val="none"/>
                <w:lang w:bidi="ar"/>
              </w:rPr>
              <w:t>合同延续年限、条件和方式：本项目合同履约期到期后，采购人依据本项目的服务履约评价情况及实际需求，并根据《财政部关于推进和完善服务项目政府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供应商可以自由选择接受或拒绝。</w:t>
            </w:r>
          </w:p>
        </w:tc>
      </w:tr>
    </w:tbl>
    <w:p w14:paraId="09159712">
      <w:pPr>
        <w:spacing w:line="360" w:lineRule="auto"/>
        <w:jc w:val="left"/>
        <w:rPr>
          <w:color w:val="auto"/>
          <w:highlight w:val="none"/>
        </w:rPr>
      </w:pPr>
      <w:r>
        <w:rPr>
          <w:color w:val="auto"/>
          <w:highlight w:val="none"/>
        </w:rPr>
        <w:br w:type="page"/>
      </w:r>
    </w:p>
    <w:bookmarkEnd w:id="26"/>
    <w:p w14:paraId="6DF77CC9">
      <w:pPr>
        <w:widowControl/>
        <w:spacing w:line="360" w:lineRule="auto"/>
        <w:jc w:val="left"/>
        <w:rPr>
          <w:rFonts w:ascii="宋体" w:hAnsi="宋体" w:cs="宋体"/>
          <w:b/>
          <w:bCs/>
          <w:color w:val="auto"/>
          <w:szCs w:val="21"/>
          <w:highlight w:val="none"/>
        </w:rPr>
        <w:sectPr>
          <w:headerReference r:id="rId5" w:type="first"/>
          <w:footerReference r:id="rId7" w:type="first"/>
          <w:footerReference r:id="rId6" w:type="default"/>
          <w:pgSz w:w="11911" w:h="16838"/>
          <w:pgMar w:top="1417" w:right="1417" w:bottom="1417" w:left="1417" w:header="720" w:footer="720" w:gutter="0"/>
          <w:cols w:space="0" w:num="1"/>
        </w:sectPr>
      </w:pPr>
    </w:p>
    <w:p w14:paraId="77795717">
      <w:pPr>
        <w:spacing w:line="428" w:lineRule="exact"/>
        <w:rPr>
          <w:rFonts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附件1：</w:t>
      </w:r>
    </w:p>
    <w:p w14:paraId="5532E473">
      <w:pPr>
        <w:spacing w:line="528" w:lineRule="exact"/>
        <w:ind w:left="1871"/>
        <w:rPr>
          <w:rFonts w:ascii="微软雅黑" w:hAnsi="微软雅黑" w:eastAsia="微软雅黑" w:cs="微软雅黑"/>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3"/>
        <w:tblpPr w:leftFromText="180" w:rightFromText="180" w:vertAnchor="text" w:horzAnchor="page" w:tblpX="1512" w:tblpY="34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116"/>
        <w:gridCol w:w="1516"/>
        <w:gridCol w:w="1562"/>
        <w:gridCol w:w="4505"/>
      </w:tblGrid>
      <w:tr w14:paraId="29BC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57" w:type="pct"/>
          </w:tcPr>
          <w:p w14:paraId="63902ED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2179" w:type="pct"/>
            <w:gridSpan w:val="3"/>
            <w:vAlign w:val="center"/>
          </w:tcPr>
          <w:p w14:paraId="7E68317C">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2462" w:type="pct"/>
            <w:vAlign w:val="center"/>
          </w:tcPr>
          <w:p w14:paraId="143E2C73">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64E6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34D64BE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585" w:type="pct"/>
            <w:vMerge w:val="restart"/>
            <w:vAlign w:val="center"/>
          </w:tcPr>
          <w:p w14:paraId="791AF3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715" w:type="pct"/>
            <w:vAlign w:val="center"/>
          </w:tcPr>
          <w:p w14:paraId="5FC0ABB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878" w:type="pct"/>
            <w:vAlign w:val="center"/>
          </w:tcPr>
          <w:p w14:paraId="4552074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EA17BD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2B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2CF1EC1">
            <w:pPr>
              <w:widowControl/>
              <w:jc w:val="left"/>
              <w:rPr>
                <w:rFonts w:ascii="宋体" w:hAnsi="宋体" w:cs="宋体"/>
                <w:color w:val="auto"/>
                <w:kern w:val="0"/>
                <w:sz w:val="20"/>
                <w:szCs w:val="20"/>
                <w:highlight w:val="none"/>
              </w:rPr>
            </w:pPr>
          </w:p>
        </w:tc>
        <w:tc>
          <w:tcPr>
            <w:tcW w:w="585" w:type="pct"/>
            <w:vMerge w:val="continue"/>
            <w:vAlign w:val="center"/>
          </w:tcPr>
          <w:p w14:paraId="747E4232">
            <w:pPr>
              <w:widowControl/>
              <w:jc w:val="left"/>
              <w:rPr>
                <w:rFonts w:ascii="宋体" w:hAnsi="宋体" w:cs="宋体"/>
                <w:color w:val="auto"/>
                <w:kern w:val="0"/>
                <w:sz w:val="20"/>
                <w:szCs w:val="20"/>
                <w:highlight w:val="none"/>
              </w:rPr>
            </w:pPr>
          </w:p>
        </w:tc>
        <w:tc>
          <w:tcPr>
            <w:tcW w:w="715" w:type="pct"/>
            <w:vAlign w:val="center"/>
          </w:tcPr>
          <w:p w14:paraId="66C7A6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878" w:type="pct"/>
            <w:vAlign w:val="center"/>
          </w:tcPr>
          <w:p w14:paraId="7A45FCD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22C37B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1D9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2AD584E">
            <w:pPr>
              <w:widowControl/>
              <w:jc w:val="left"/>
              <w:rPr>
                <w:rFonts w:ascii="宋体" w:hAnsi="宋体" w:cs="宋体"/>
                <w:color w:val="auto"/>
                <w:kern w:val="0"/>
                <w:sz w:val="20"/>
                <w:szCs w:val="20"/>
                <w:highlight w:val="none"/>
              </w:rPr>
            </w:pPr>
          </w:p>
        </w:tc>
        <w:tc>
          <w:tcPr>
            <w:tcW w:w="585" w:type="pct"/>
            <w:vMerge w:val="continue"/>
            <w:vAlign w:val="center"/>
          </w:tcPr>
          <w:p w14:paraId="32F7E6B5">
            <w:pPr>
              <w:widowControl/>
              <w:jc w:val="left"/>
              <w:rPr>
                <w:rFonts w:ascii="宋体" w:hAnsi="宋体" w:cs="宋体"/>
                <w:color w:val="auto"/>
                <w:kern w:val="0"/>
                <w:sz w:val="20"/>
                <w:szCs w:val="20"/>
                <w:highlight w:val="none"/>
              </w:rPr>
            </w:pPr>
          </w:p>
        </w:tc>
        <w:tc>
          <w:tcPr>
            <w:tcW w:w="715" w:type="pct"/>
            <w:vAlign w:val="center"/>
          </w:tcPr>
          <w:p w14:paraId="6B1E52B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878" w:type="pct"/>
            <w:vAlign w:val="center"/>
          </w:tcPr>
          <w:p w14:paraId="5AEBC90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684CF33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608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05EA67F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585" w:type="pct"/>
            <w:vMerge w:val="restart"/>
            <w:vAlign w:val="center"/>
          </w:tcPr>
          <w:p w14:paraId="54ED4F8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715" w:type="pct"/>
            <w:vMerge w:val="restart"/>
            <w:vAlign w:val="center"/>
          </w:tcPr>
          <w:p w14:paraId="31EEB9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878" w:type="pct"/>
            <w:vAlign w:val="center"/>
          </w:tcPr>
          <w:p w14:paraId="20DB6E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2462" w:type="pct"/>
            <w:vAlign w:val="center"/>
          </w:tcPr>
          <w:p w14:paraId="043E7C9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3EB8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5D89FEB">
            <w:pPr>
              <w:widowControl/>
              <w:jc w:val="left"/>
              <w:rPr>
                <w:rFonts w:ascii="宋体" w:hAnsi="宋体" w:cs="宋体"/>
                <w:color w:val="auto"/>
                <w:kern w:val="0"/>
                <w:sz w:val="20"/>
                <w:szCs w:val="20"/>
                <w:highlight w:val="none"/>
              </w:rPr>
            </w:pPr>
          </w:p>
        </w:tc>
        <w:tc>
          <w:tcPr>
            <w:tcW w:w="585" w:type="pct"/>
            <w:vMerge w:val="continue"/>
            <w:vAlign w:val="center"/>
          </w:tcPr>
          <w:p w14:paraId="2B3C28B4">
            <w:pPr>
              <w:widowControl/>
              <w:jc w:val="left"/>
              <w:rPr>
                <w:rFonts w:ascii="宋体" w:hAnsi="宋体" w:cs="宋体"/>
                <w:color w:val="auto"/>
                <w:kern w:val="0"/>
                <w:sz w:val="20"/>
                <w:szCs w:val="20"/>
                <w:highlight w:val="none"/>
              </w:rPr>
            </w:pPr>
          </w:p>
        </w:tc>
        <w:tc>
          <w:tcPr>
            <w:tcW w:w="715" w:type="pct"/>
            <w:vMerge w:val="continue"/>
            <w:vAlign w:val="center"/>
          </w:tcPr>
          <w:p w14:paraId="607CC437">
            <w:pPr>
              <w:widowControl/>
              <w:jc w:val="left"/>
              <w:rPr>
                <w:rFonts w:ascii="宋体" w:hAnsi="宋体" w:cs="宋体"/>
                <w:color w:val="auto"/>
                <w:kern w:val="0"/>
                <w:sz w:val="20"/>
                <w:szCs w:val="20"/>
                <w:highlight w:val="none"/>
              </w:rPr>
            </w:pPr>
          </w:p>
        </w:tc>
        <w:tc>
          <w:tcPr>
            <w:tcW w:w="878" w:type="pct"/>
            <w:vAlign w:val="center"/>
          </w:tcPr>
          <w:p w14:paraId="2C0FD55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2462" w:type="pct"/>
            <w:vAlign w:val="center"/>
          </w:tcPr>
          <w:p w14:paraId="6CBAEBD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0A1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73761C4A">
            <w:pPr>
              <w:widowControl/>
              <w:jc w:val="left"/>
              <w:rPr>
                <w:rFonts w:ascii="宋体" w:hAnsi="宋体" w:cs="宋体"/>
                <w:color w:val="auto"/>
                <w:kern w:val="0"/>
                <w:sz w:val="20"/>
                <w:szCs w:val="20"/>
                <w:highlight w:val="none"/>
              </w:rPr>
            </w:pPr>
          </w:p>
        </w:tc>
        <w:tc>
          <w:tcPr>
            <w:tcW w:w="585" w:type="pct"/>
            <w:vMerge w:val="continue"/>
            <w:vAlign w:val="center"/>
          </w:tcPr>
          <w:p w14:paraId="55C8AD70">
            <w:pPr>
              <w:widowControl/>
              <w:jc w:val="left"/>
              <w:rPr>
                <w:rFonts w:ascii="宋体" w:hAnsi="宋体" w:cs="宋体"/>
                <w:color w:val="auto"/>
                <w:kern w:val="0"/>
                <w:sz w:val="20"/>
                <w:szCs w:val="20"/>
                <w:highlight w:val="none"/>
              </w:rPr>
            </w:pPr>
          </w:p>
        </w:tc>
        <w:tc>
          <w:tcPr>
            <w:tcW w:w="715" w:type="pct"/>
            <w:vMerge w:val="continue"/>
            <w:vAlign w:val="center"/>
          </w:tcPr>
          <w:p w14:paraId="1A2DC759">
            <w:pPr>
              <w:widowControl/>
              <w:jc w:val="left"/>
              <w:rPr>
                <w:rFonts w:ascii="宋体" w:hAnsi="宋体" w:cs="宋体"/>
                <w:color w:val="auto"/>
                <w:kern w:val="0"/>
                <w:sz w:val="20"/>
                <w:szCs w:val="20"/>
                <w:highlight w:val="none"/>
              </w:rPr>
            </w:pPr>
          </w:p>
        </w:tc>
        <w:tc>
          <w:tcPr>
            <w:tcW w:w="878" w:type="pct"/>
            <w:vAlign w:val="center"/>
          </w:tcPr>
          <w:p w14:paraId="25EADB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2462" w:type="pct"/>
            <w:vAlign w:val="center"/>
          </w:tcPr>
          <w:p w14:paraId="461FDA2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4D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1EC18FA9">
            <w:pPr>
              <w:widowControl/>
              <w:jc w:val="left"/>
              <w:rPr>
                <w:rFonts w:ascii="宋体" w:hAnsi="宋体" w:cs="宋体"/>
                <w:color w:val="auto"/>
                <w:kern w:val="0"/>
                <w:sz w:val="20"/>
                <w:szCs w:val="20"/>
                <w:highlight w:val="none"/>
              </w:rPr>
            </w:pPr>
          </w:p>
        </w:tc>
        <w:tc>
          <w:tcPr>
            <w:tcW w:w="585" w:type="pct"/>
            <w:vMerge w:val="continue"/>
            <w:vAlign w:val="center"/>
          </w:tcPr>
          <w:p w14:paraId="3158EB02">
            <w:pPr>
              <w:widowControl/>
              <w:jc w:val="left"/>
              <w:rPr>
                <w:rFonts w:ascii="宋体" w:hAnsi="宋体" w:cs="宋体"/>
                <w:color w:val="auto"/>
                <w:kern w:val="0"/>
                <w:sz w:val="20"/>
                <w:szCs w:val="20"/>
                <w:highlight w:val="none"/>
              </w:rPr>
            </w:pPr>
          </w:p>
        </w:tc>
        <w:tc>
          <w:tcPr>
            <w:tcW w:w="715" w:type="pct"/>
            <w:vAlign w:val="center"/>
          </w:tcPr>
          <w:p w14:paraId="631F755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878" w:type="pct"/>
            <w:vAlign w:val="center"/>
          </w:tcPr>
          <w:p w14:paraId="429AC9A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2462" w:type="pct"/>
            <w:vAlign w:val="center"/>
          </w:tcPr>
          <w:p w14:paraId="40C5FB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5043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4832BDEC">
            <w:pPr>
              <w:widowControl/>
              <w:jc w:val="left"/>
              <w:rPr>
                <w:rFonts w:ascii="宋体" w:hAnsi="宋体" w:cs="宋体"/>
                <w:color w:val="auto"/>
                <w:kern w:val="0"/>
                <w:sz w:val="20"/>
                <w:szCs w:val="20"/>
                <w:highlight w:val="none"/>
              </w:rPr>
            </w:pPr>
          </w:p>
        </w:tc>
        <w:tc>
          <w:tcPr>
            <w:tcW w:w="585" w:type="pct"/>
            <w:vMerge w:val="continue"/>
            <w:vAlign w:val="center"/>
          </w:tcPr>
          <w:p w14:paraId="548C60E8">
            <w:pPr>
              <w:widowControl/>
              <w:jc w:val="left"/>
              <w:rPr>
                <w:rFonts w:ascii="宋体" w:hAnsi="宋体" w:cs="宋体"/>
                <w:color w:val="auto"/>
                <w:kern w:val="0"/>
                <w:sz w:val="20"/>
                <w:szCs w:val="20"/>
                <w:highlight w:val="none"/>
              </w:rPr>
            </w:pPr>
          </w:p>
        </w:tc>
        <w:tc>
          <w:tcPr>
            <w:tcW w:w="715" w:type="pct"/>
            <w:vAlign w:val="center"/>
          </w:tcPr>
          <w:p w14:paraId="30363D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878" w:type="pct"/>
            <w:vAlign w:val="center"/>
          </w:tcPr>
          <w:p w14:paraId="441D7E2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2462" w:type="pct"/>
            <w:vAlign w:val="center"/>
          </w:tcPr>
          <w:p w14:paraId="493D6DB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71F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7FE4B5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585" w:type="pct"/>
            <w:vAlign w:val="center"/>
          </w:tcPr>
          <w:p w14:paraId="7B1CCE4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715" w:type="pct"/>
            <w:vAlign w:val="center"/>
          </w:tcPr>
          <w:p w14:paraId="6AC6797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1844CE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E4C4E2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1168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252E72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585" w:type="pct"/>
            <w:vAlign w:val="center"/>
          </w:tcPr>
          <w:p w14:paraId="2F01B3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715" w:type="pct"/>
            <w:vAlign w:val="center"/>
          </w:tcPr>
          <w:p w14:paraId="78B190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BB5D8E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DE4EC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BCA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F7EE2A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585" w:type="pct"/>
            <w:vAlign w:val="center"/>
          </w:tcPr>
          <w:p w14:paraId="0D9BF81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715" w:type="pct"/>
            <w:vAlign w:val="center"/>
          </w:tcPr>
          <w:p w14:paraId="2CC7886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878" w:type="pct"/>
            <w:vAlign w:val="center"/>
          </w:tcPr>
          <w:p w14:paraId="0716A08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8F184E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1E7C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restart"/>
            <w:vAlign w:val="center"/>
          </w:tcPr>
          <w:p w14:paraId="5592F8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585" w:type="pct"/>
            <w:vMerge w:val="restart"/>
            <w:vAlign w:val="center"/>
          </w:tcPr>
          <w:p w14:paraId="50E562B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715" w:type="pct"/>
            <w:vMerge w:val="restart"/>
            <w:vAlign w:val="center"/>
          </w:tcPr>
          <w:p w14:paraId="76DAEE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878" w:type="pct"/>
            <w:vAlign w:val="center"/>
          </w:tcPr>
          <w:p w14:paraId="08BE2AE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2462" w:type="pct"/>
            <w:vAlign w:val="center"/>
          </w:tcPr>
          <w:p w14:paraId="616E169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7587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980D64A">
            <w:pPr>
              <w:widowControl/>
              <w:jc w:val="left"/>
              <w:rPr>
                <w:rFonts w:ascii="宋体" w:hAnsi="宋体" w:cs="宋体"/>
                <w:color w:val="auto"/>
                <w:kern w:val="0"/>
                <w:sz w:val="20"/>
                <w:szCs w:val="20"/>
                <w:highlight w:val="none"/>
              </w:rPr>
            </w:pPr>
          </w:p>
        </w:tc>
        <w:tc>
          <w:tcPr>
            <w:tcW w:w="585" w:type="pct"/>
            <w:vMerge w:val="continue"/>
            <w:vAlign w:val="center"/>
          </w:tcPr>
          <w:p w14:paraId="7636D0F6">
            <w:pPr>
              <w:widowControl/>
              <w:jc w:val="left"/>
              <w:rPr>
                <w:rFonts w:ascii="宋体" w:hAnsi="宋体" w:cs="宋体"/>
                <w:color w:val="auto"/>
                <w:kern w:val="0"/>
                <w:sz w:val="20"/>
                <w:szCs w:val="20"/>
                <w:highlight w:val="none"/>
              </w:rPr>
            </w:pPr>
          </w:p>
        </w:tc>
        <w:tc>
          <w:tcPr>
            <w:tcW w:w="715" w:type="pct"/>
            <w:vMerge w:val="continue"/>
            <w:vAlign w:val="center"/>
          </w:tcPr>
          <w:p w14:paraId="0DF21B13">
            <w:pPr>
              <w:widowControl/>
              <w:jc w:val="left"/>
              <w:rPr>
                <w:rFonts w:ascii="宋体" w:hAnsi="宋体" w:cs="宋体"/>
                <w:color w:val="auto"/>
                <w:kern w:val="0"/>
                <w:sz w:val="20"/>
                <w:szCs w:val="20"/>
                <w:highlight w:val="none"/>
              </w:rPr>
            </w:pPr>
          </w:p>
        </w:tc>
        <w:tc>
          <w:tcPr>
            <w:tcW w:w="878" w:type="pct"/>
            <w:vAlign w:val="center"/>
          </w:tcPr>
          <w:p w14:paraId="51A4992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2462" w:type="pct"/>
            <w:vAlign w:val="center"/>
          </w:tcPr>
          <w:p w14:paraId="07401C8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2EA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A38749C">
            <w:pPr>
              <w:widowControl/>
              <w:jc w:val="left"/>
              <w:rPr>
                <w:rFonts w:ascii="宋体" w:hAnsi="宋体" w:cs="宋体"/>
                <w:color w:val="auto"/>
                <w:kern w:val="0"/>
                <w:sz w:val="20"/>
                <w:szCs w:val="20"/>
                <w:highlight w:val="none"/>
              </w:rPr>
            </w:pPr>
          </w:p>
        </w:tc>
        <w:tc>
          <w:tcPr>
            <w:tcW w:w="585" w:type="pct"/>
            <w:vMerge w:val="continue"/>
            <w:vAlign w:val="center"/>
          </w:tcPr>
          <w:p w14:paraId="214C76F8">
            <w:pPr>
              <w:widowControl/>
              <w:jc w:val="left"/>
              <w:rPr>
                <w:rFonts w:ascii="宋体" w:hAnsi="宋体" w:cs="宋体"/>
                <w:color w:val="auto"/>
                <w:kern w:val="0"/>
                <w:sz w:val="20"/>
                <w:szCs w:val="20"/>
                <w:highlight w:val="none"/>
              </w:rPr>
            </w:pPr>
          </w:p>
        </w:tc>
        <w:tc>
          <w:tcPr>
            <w:tcW w:w="715" w:type="pct"/>
            <w:vMerge w:val="continue"/>
            <w:vAlign w:val="center"/>
          </w:tcPr>
          <w:p w14:paraId="4CE4BAD6">
            <w:pPr>
              <w:widowControl/>
              <w:jc w:val="left"/>
              <w:rPr>
                <w:rFonts w:ascii="宋体" w:hAnsi="宋体" w:cs="宋体"/>
                <w:color w:val="auto"/>
                <w:kern w:val="0"/>
                <w:sz w:val="20"/>
                <w:szCs w:val="20"/>
                <w:highlight w:val="none"/>
              </w:rPr>
            </w:pPr>
          </w:p>
        </w:tc>
        <w:tc>
          <w:tcPr>
            <w:tcW w:w="878" w:type="pct"/>
            <w:vAlign w:val="center"/>
          </w:tcPr>
          <w:p w14:paraId="17ECFE9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2462" w:type="pct"/>
            <w:vAlign w:val="center"/>
          </w:tcPr>
          <w:p w14:paraId="76F4D06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C0F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51759CC0">
            <w:pPr>
              <w:widowControl/>
              <w:jc w:val="left"/>
              <w:rPr>
                <w:rFonts w:ascii="宋体" w:hAnsi="宋体" w:cs="宋体"/>
                <w:color w:val="auto"/>
                <w:kern w:val="0"/>
                <w:sz w:val="20"/>
                <w:szCs w:val="20"/>
                <w:highlight w:val="none"/>
              </w:rPr>
            </w:pPr>
          </w:p>
        </w:tc>
        <w:tc>
          <w:tcPr>
            <w:tcW w:w="585" w:type="pct"/>
            <w:vMerge w:val="continue"/>
            <w:vAlign w:val="center"/>
          </w:tcPr>
          <w:p w14:paraId="0A97D6C6">
            <w:pPr>
              <w:widowControl/>
              <w:jc w:val="left"/>
              <w:rPr>
                <w:rFonts w:ascii="宋体" w:hAnsi="宋体" w:cs="宋体"/>
                <w:color w:val="auto"/>
                <w:kern w:val="0"/>
                <w:sz w:val="20"/>
                <w:szCs w:val="20"/>
                <w:highlight w:val="none"/>
              </w:rPr>
            </w:pPr>
          </w:p>
        </w:tc>
        <w:tc>
          <w:tcPr>
            <w:tcW w:w="715" w:type="pct"/>
            <w:vMerge w:val="restart"/>
            <w:vAlign w:val="center"/>
          </w:tcPr>
          <w:p w14:paraId="2C9E60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878" w:type="pct"/>
            <w:vAlign w:val="center"/>
          </w:tcPr>
          <w:p w14:paraId="51AE371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2462" w:type="pct"/>
            <w:vAlign w:val="center"/>
          </w:tcPr>
          <w:p w14:paraId="1DB164E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216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32C80136">
            <w:pPr>
              <w:widowControl/>
              <w:jc w:val="left"/>
              <w:rPr>
                <w:rFonts w:ascii="宋体" w:hAnsi="宋体" w:cs="宋体"/>
                <w:color w:val="auto"/>
                <w:kern w:val="0"/>
                <w:sz w:val="20"/>
                <w:szCs w:val="20"/>
                <w:highlight w:val="none"/>
              </w:rPr>
            </w:pPr>
          </w:p>
        </w:tc>
        <w:tc>
          <w:tcPr>
            <w:tcW w:w="585" w:type="pct"/>
            <w:vMerge w:val="continue"/>
            <w:vAlign w:val="center"/>
          </w:tcPr>
          <w:p w14:paraId="1572CAC7">
            <w:pPr>
              <w:widowControl/>
              <w:jc w:val="left"/>
              <w:rPr>
                <w:rFonts w:ascii="宋体" w:hAnsi="宋体" w:cs="宋体"/>
                <w:color w:val="auto"/>
                <w:kern w:val="0"/>
                <w:sz w:val="20"/>
                <w:szCs w:val="20"/>
                <w:highlight w:val="none"/>
              </w:rPr>
            </w:pPr>
          </w:p>
        </w:tc>
        <w:tc>
          <w:tcPr>
            <w:tcW w:w="715" w:type="pct"/>
            <w:vMerge w:val="continue"/>
            <w:vAlign w:val="center"/>
          </w:tcPr>
          <w:p w14:paraId="44162D13">
            <w:pPr>
              <w:widowControl/>
              <w:jc w:val="left"/>
              <w:rPr>
                <w:rFonts w:ascii="宋体" w:hAnsi="宋体" w:cs="宋体"/>
                <w:color w:val="auto"/>
                <w:kern w:val="0"/>
                <w:sz w:val="20"/>
                <w:szCs w:val="20"/>
                <w:highlight w:val="none"/>
              </w:rPr>
            </w:pPr>
          </w:p>
        </w:tc>
        <w:tc>
          <w:tcPr>
            <w:tcW w:w="878" w:type="pct"/>
            <w:vAlign w:val="center"/>
          </w:tcPr>
          <w:p w14:paraId="2E5218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2462" w:type="pct"/>
            <w:vAlign w:val="center"/>
          </w:tcPr>
          <w:p w14:paraId="3F34C73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340A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6339211C">
            <w:pPr>
              <w:widowControl/>
              <w:jc w:val="left"/>
              <w:rPr>
                <w:rFonts w:ascii="宋体" w:hAnsi="宋体" w:cs="宋体"/>
                <w:color w:val="auto"/>
                <w:kern w:val="0"/>
                <w:sz w:val="20"/>
                <w:szCs w:val="20"/>
                <w:highlight w:val="none"/>
              </w:rPr>
            </w:pPr>
          </w:p>
        </w:tc>
        <w:tc>
          <w:tcPr>
            <w:tcW w:w="585" w:type="pct"/>
            <w:vMerge w:val="continue"/>
            <w:vAlign w:val="center"/>
          </w:tcPr>
          <w:p w14:paraId="74FF79E3">
            <w:pPr>
              <w:widowControl/>
              <w:jc w:val="left"/>
              <w:rPr>
                <w:rFonts w:ascii="宋体" w:hAnsi="宋体" w:cs="宋体"/>
                <w:color w:val="auto"/>
                <w:kern w:val="0"/>
                <w:sz w:val="20"/>
                <w:szCs w:val="20"/>
                <w:highlight w:val="none"/>
              </w:rPr>
            </w:pPr>
          </w:p>
        </w:tc>
        <w:tc>
          <w:tcPr>
            <w:tcW w:w="715" w:type="pct"/>
            <w:vAlign w:val="center"/>
          </w:tcPr>
          <w:p w14:paraId="2EF15DF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878" w:type="pct"/>
            <w:vAlign w:val="center"/>
          </w:tcPr>
          <w:p w14:paraId="0AF7E0F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2462" w:type="pct"/>
            <w:vAlign w:val="center"/>
          </w:tcPr>
          <w:p w14:paraId="7DF9550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07B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2B87A669">
            <w:pPr>
              <w:widowControl/>
              <w:jc w:val="left"/>
              <w:rPr>
                <w:rFonts w:ascii="宋体" w:hAnsi="宋体" w:cs="宋体"/>
                <w:color w:val="auto"/>
                <w:kern w:val="0"/>
                <w:sz w:val="20"/>
                <w:szCs w:val="20"/>
                <w:highlight w:val="none"/>
              </w:rPr>
            </w:pPr>
          </w:p>
        </w:tc>
        <w:tc>
          <w:tcPr>
            <w:tcW w:w="585" w:type="pct"/>
            <w:vMerge w:val="continue"/>
            <w:vAlign w:val="center"/>
          </w:tcPr>
          <w:p w14:paraId="0A578EA7">
            <w:pPr>
              <w:widowControl/>
              <w:jc w:val="left"/>
              <w:rPr>
                <w:rFonts w:ascii="宋体" w:hAnsi="宋体" w:cs="宋体"/>
                <w:color w:val="auto"/>
                <w:kern w:val="0"/>
                <w:sz w:val="20"/>
                <w:szCs w:val="20"/>
                <w:highlight w:val="none"/>
              </w:rPr>
            </w:pPr>
          </w:p>
        </w:tc>
        <w:tc>
          <w:tcPr>
            <w:tcW w:w="715" w:type="pct"/>
            <w:vAlign w:val="center"/>
          </w:tcPr>
          <w:p w14:paraId="2254279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878" w:type="pct"/>
            <w:vAlign w:val="center"/>
          </w:tcPr>
          <w:p w14:paraId="4C5A44D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2462" w:type="pct"/>
            <w:vAlign w:val="center"/>
          </w:tcPr>
          <w:p w14:paraId="1575295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E8F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06652A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585" w:type="pct"/>
            <w:vAlign w:val="center"/>
          </w:tcPr>
          <w:p w14:paraId="1FBFE2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715" w:type="pct"/>
            <w:vAlign w:val="center"/>
          </w:tcPr>
          <w:p w14:paraId="5634F2A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498217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308446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7B1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7CF870E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585" w:type="pct"/>
            <w:vAlign w:val="center"/>
          </w:tcPr>
          <w:p w14:paraId="3AAF297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715" w:type="pct"/>
            <w:vAlign w:val="center"/>
          </w:tcPr>
          <w:p w14:paraId="74AB417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878" w:type="pct"/>
            <w:vAlign w:val="center"/>
          </w:tcPr>
          <w:p w14:paraId="350FCC7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4A840E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1421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533DBD5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585" w:type="pct"/>
            <w:vAlign w:val="center"/>
          </w:tcPr>
          <w:p w14:paraId="0C8658F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715" w:type="pct"/>
            <w:vAlign w:val="center"/>
          </w:tcPr>
          <w:p w14:paraId="45D7E3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878" w:type="pct"/>
            <w:vAlign w:val="center"/>
          </w:tcPr>
          <w:p w14:paraId="32C107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B5E7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17FD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68E0CF3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585" w:type="pct"/>
            <w:vMerge w:val="restart"/>
            <w:vAlign w:val="center"/>
          </w:tcPr>
          <w:p w14:paraId="6E7321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715" w:type="pct"/>
            <w:vAlign w:val="center"/>
          </w:tcPr>
          <w:p w14:paraId="5560C0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878" w:type="pct"/>
            <w:vAlign w:val="center"/>
          </w:tcPr>
          <w:p w14:paraId="229BBF7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65B742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0B1C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Merge w:val="continue"/>
            <w:vAlign w:val="center"/>
          </w:tcPr>
          <w:p w14:paraId="142B7354">
            <w:pPr>
              <w:widowControl/>
              <w:jc w:val="left"/>
              <w:rPr>
                <w:rFonts w:ascii="宋体" w:hAnsi="宋体" w:cs="宋体"/>
                <w:color w:val="auto"/>
                <w:kern w:val="0"/>
                <w:sz w:val="20"/>
                <w:szCs w:val="20"/>
                <w:highlight w:val="none"/>
              </w:rPr>
            </w:pPr>
          </w:p>
        </w:tc>
        <w:tc>
          <w:tcPr>
            <w:tcW w:w="585" w:type="pct"/>
            <w:vMerge w:val="continue"/>
            <w:vAlign w:val="center"/>
          </w:tcPr>
          <w:p w14:paraId="3CB592EF">
            <w:pPr>
              <w:widowControl/>
              <w:jc w:val="left"/>
              <w:rPr>
                <w:rFonts w:ascii="宋体" w:hAnsi="宋体" w:cs="宋体"/>
                <w:color w:val="auto"/>
                <w:kern w:val="0"/>
                <w:sz w:val="20"/>
                <w:szCs w:val="20"/>
                <w:highlight w:val="none"/>
              </w:rPr>
            </w:pPr>
          </w:p>
        </w:tc>
        <w:tc>
          <w:tcPr>
            <w:tcW w:w="715" w:type="pct"/>
            <w:vMerge w:val="restart"/>
            <w:vAlign w:val="center"/>
          </w:tcPr>
          <w:p w14:paraId="7EEEAC8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878" w:type="pct"/>
            <w:vAlign w:val="center"/>
          </w:tcPr>
          <w:p w14:paraId="26E307A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2462" w:type="pct"/>
            <w:vAlign w:val="center"/>
          </w:tcPr>
          <w:p w14:paraId="44A6FEF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F5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0D595D74">
            <w:pPr>
              <w:widowControl/>
              <w:jc w:val="left"/>
              <w:rPr>
                <w:rFonts w:ascii="宋体" w:hAnsi="宋体" w:cs="宋体"/>
                <w:color w:val="auto"/>
                <w:kern w:val="0"/>
                <w:sz w:val="20"/>
                <w:szCs w:val="20"/>
                <w:highlight w:val="none"/>
              </w:rPr>
            </w:pPr>
          </w:p>
        </w:tc>
        <w:tc>
          <w:tcPr>
            <w:tcW w:w="585" w:type="pct"/>
            <w:vMerge w:val="continue"/>
            <w:vAlign w:val="center"/>
          </w:tcPr>
          <w:p w14:paraId="455935D9">
            <w:pPr>
              <w:widowControl/>
              <w:jc w:val="left"/>
              <w:rPr>
                <w:rFonts w:ascii="宋体" w:hAnsi="宋体" w:cs="宋体"/>
                <w:color w:val="auto"/>
                <w:kern w:val="0"/>
                <w:sz w:val="20"/>
                <w:szCs w:val="20"/>
                <w:highlight w:val="none"/>
              </w:rPr>
            </w:pPr>
          </w:p>
        </w:tc>
        <w:tc>
          <w:tcPr>
            <w:tcW w:w="715" w:type="pct"/>
            <w:vMerge w:val="continue"/>
            <w:vAlign w:val="center"/>
          </w:tcPr>
          <w:p w14:paraId="787DC1A0">
            <w:pPr>
              <w:widowControl/>
              <w:jc w:val="left"/>
              <w:rPr>
                <w:rFonts w:ascii="宋体" w:hAnsi="宋体" w:cs="宋体"/>
                <w:color w:val="auto"/>
                <w:kern w:val="0"/>
                <w:sz w:val="20"/>
                <w:szCs w:val="20"/>
                <w:highlight w:val="none"/>
              </w:rPr>
            </w:pPr>
          </w:p>
        </w:tc>
        <w:tc>
          <w:tcPr>
            <w:tcW w:w="878" w:type="pct"/>
            <w:vAlign w:val="center"/>
          </w:tcPr>
          <w:p w14:paraId="5A36A9D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2462" w:type="pct"/>
            <w:vAlign w:val="center"/>
          </w:tcPr>
          <w:p w14:paraId="642A4EA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16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43D60F63">
            <w:pPr>
              <w:widowControl/>
              <w:jc w:val="left"/>
              <w:rPr>
                <w:rFonts w:ascii="宋体" w:hAnsi="宋体" w:cs="宋体"/>
                <w:color w:val="auto"/>
                <w:kern w:val="0"/>
                <w:sz w:val="20"/>
                <w:szCs w:val="20"/>
                <w:highlight w:val="none"/>
              </w:rPr>
            </w:pPr>
          </w:p>
        </w:tc>
        <w:tc>
          <w:tcPr>
            <w:tcW w:w="585" w:type="pct"/>
            <w:vMerge w:val="continue"/>
            <w:vAlign w:val="center"/>
          </w:tcPr>
          <w:p w14:paraId="7180AED0">
            <w:pPr>
              <w:widowControl/>
              <w:jc w:val="left"/>
              <w:rPr>
                <w:rFonts w:ascii="宋体" w:hAnsi="宋体" w:cs="宋体"/>
                <w:color w:val="auto"/>
                <w:kern w:val="0"/>
                <w:sz w:val="20"/>
                <w:szCs w:val="20"/>
                <w:highlight w:val="none"/>
              </w:rPr>
            </w:pPr>
          </w:p>
        </w:tc>
        <w:tc>
          <w:tcPr>
            <w:tcW w:w="715" w:type="pct"/>
            <w:vMerge w:val="continue"/>
            <w:vAlign w:val="center"/>
          </w:tcPr>
          <w:p w14:paraId="1F239BD6">
            <w:pPr>
              <w:widowControl/>
              <w:jc w:val="left"/>
              <w:rPr>
                <w:rFonts w:ascii="宋体" w:hAnsi="宋体" w:cs="宋体"/>
                <w:color w:val="auto"/>
                <w:kern w:val="0"/>
                <w:sz w:val="20"/>
                <w:szCs w:val="20"/>
                <w:highlight w:val="none"/>
              </w:rPr>
            </w:pPr>
          </w:p>
        </w:tc>
        <w:tc>
          <w:tcPr>
            <w:tcW w:w="878" w:type="pct"/>
            <w:vAlign w:val="center"/>
          </w:tcPr>
          <w:p w14:paraId="660F2E7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2462" w:type="pct"/>
            <w:vAlign w:val="center"/>
          </w:tcPr>
          <w:p w14:paraId="5BAFD95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022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4DC7172">
            <w:pPr>
              <w:widowControl/>
              <w:jc w:val="left"/>
              <w:rPr>
                <w:rFonts w:ascii="宋体" w:hAnsi="宋体" w:cs="宋体"/>
                <w:color w:val="auto"/>
                <w:kern w:val="0"/>
                <w:sz w:val="20"/>
                <w:szCs w:val="20"/>
                <w:highlight w:val="none"/>
              </w:rPr>
            </w:pPr>
          </w:p>
        </w:tc>
        <w:tc>
          <w:tcPr>
            <w:tcW w:w="585" w:type="pct"/>
            <w:vMerge w:val="continue"/>
            <w:vAlign w:val="center"/>
          </w:tcPr>
          <w:p w14:paraId="363D7B9D">
            <w:pPr>
              <w:widowControl/>
              <w:jc w:val="left"/>
              <w:rPr>
                <w:rFonts w:ascii="宋体" w:hAnsi="宋体" w:cs="宋体"/>
                <w:color w:val="auto"/>
                <w:kern w:val="0"/>
                <w:sz w:val="20"/>
                <w:szCs w:val="20"/>
                <w:highlight w:val="none"/>
              </w:rPr>
            </w:pPr>
          </w:p>
        </w:tc>
        <w:tc>
          <w:tcPr>
            <w:tcW w:w="715" w:type="pct"/>
            <w:vAlign w:val="center"/>
          </w:tcPr>
          <w:p w14:paraId="09CA247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878" w:type="pct"/>
            <w:vAlign w:val="center"/>
          </w:tcPr>
          <w:p w14:paraId="6B5E230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D75E81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445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39A271ED">
            <w:pPr>
              <w:widowControl/>
              <w:jc w:val="left"/>
              <w:rPr>
                <w:rFonts w:ascii="宋体" w:hAnsi="宋体" w:cs="宋体"/>
                <w:color w:val="auto"/>
                <w:kern w:val="0"/>
                <w:sz w:val="20"/>
                <w:szCs w:val="20"/>
                <w:highlight w:val="none"/>
              </w:rPr>
            </w:pPr>
          </w:p>
        </w:tc>
        <w:tc>
          <w:tcPr>
            <w:tcW w:w="585" w:type="pct"/>
            <w:vMerge w:val="continue"/>
            <w:vAlign w:val="center"/>
          </w:tcPr>
          <w:p w14:paraId="7C405927">
            <w:pPr>
              <w:widowControl/>
              <w:jc w:val="left"/>
              <w:rPr>
                <w:rFonts w:ascii="宋体" w:hAnsi="宋体" w:cs="宋体"/>
                <w:color w:val="auto"/>
                <w:kern w:val="0"/>
                <w:sz w:val="20"/>
                <w:szCs w:val="20"/>
                <w:highlight w:val="none"/>
              </w:rPr>
            </w:pPr>
          </w:p>
        </w:tc>
        <w:tc>
          <w:tcPr>
            <w:tcW w:w="715" w:type="pct"/>
            <w:vMerge w:val="restart"/>
            <w:vAlign w:val="center"/>
          </w:tcPr>
          <w:p w14:paraId="1BF068B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878" w:type="pct"/>
            <w:vAlign w:val="center"/>
          </w:tcPr>
          <w:p w14:paraId="1041CEF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2462" w:type="pct"/>
            <w:vAlign w:val="center"/>
          </w:tcPr>
          <w:p w14:paraId="0EF2C9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864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9D25C25">
            <w:pPr>
              <w:widowControl/>
              <w:jc w:val="left"/>
              <w:rPr>
                <w:rFonts w:ascii="宋体" w:hAnsi="宋体" w:cs="宋体"/>
                <w:color w:val="auto"/>
                <w:kern w:val="0"/>
                <w:sz w:val="20"/>
                <w:szCs w:val="20"/>
                <w:highlight w:val="none"/>
              </w:rPr>
            </w:pPr>
          </w:p>
        </w:tc>
        <w:tc>
          <w:tcPr>
            <w:tcW w:w="585" w:type="pct"/>
            <w:vMerge w:val="continue"/>
            <w:vAlign w:val="center"/>
          </w:tcPr>
          <w:p w14:paraId="5590E592">
            <w:pPr>
              <w:widowControl/>
              <w:jc w:val="left"/>
              <w:rPr>
                <w:rFonts w:ascii="宋体" w:hAnsi="宋体" w:cs="宋体"/>
                <w:color w:val="auto"/>
                <w:kern w:val="0"/>
                <w:sz w:val="20"/>
                <w:szCs w:val="20"/>
                <w:highlight w:val="none"/>
              </w:rPr>
            </w:pPr>
          </w:p>
        </w:tc>
        <w:tc>
          <w:tcPr>
            <w:tcW w:w="715" w:type="pct"/>
            <w:vMerge w:val="continue"/>
            <w:vAlign w:val="center"/>
          </w:tcPr>
          <w:p w14:paraId="15A06221">
            <w:pPr>
              <w:widowControl/>
              <w:jc w:val="left"/>
              <w:rPr>
                <w:rFonts w:ascii="宋体" w:hAnsi="宋体" w:cs="宋体"/>
                <w:color w:val="auto"/>
                <w:kern w:val="0"/>
                <w:sz w:val="20"/>
                <w:szCs w:val="20"/>
                <w:highlight w:val="none"/>
              </w:rPr>
            </w:pPr>
          </w:p>
        </w:tc>
        <w:tc>
          <w:tcPr>
            <w:tcW w:w="878" w:type="pct"/>
            <w:vAlign w:val="center"/>
          </w:tcPr>
          <w:p w14:paraId="18874AF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2462" w:type="pct"/>
            <w:vAlign w:val="center"/>
          </w:tcPr>
          <w:p w14:paraId="63D683D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42F5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894E1E6">
            <w:pPr>
              <w:widowControl/>
              <w:jc w:val="left"/>
              <w:rPr>
                <w:rFonts w:ascii="宋体" w:hAnsi="宋体" w:cs="宋体"/>
                <w:color w:val="auto"/>
                <w:kern w:val="0"/>
                <w:sz w:val="20"/>
                <w:szCs w:val="20"/>
                <w:highlight w:val="none"/>
              </w:rPr>
            </w:pPr>
          </w:p>
        </w:tc>
        <w:tc>
          <w:tcPr>
            <w:tcW w:w="585" w:type="pct"/>
            <w:vMerge w:val="continue"/>
            <w:vAlign w:val="center"/>
          </w:tcPr>
          <w:p w14:paraId="287A89A2">
            <w:pPr>
              <w:widowControl/>
              <w:jc w:val="left"/>
              <w:rPr>
                <w:rFonts w:ascii="宋体" w:hAnsi="宋体" w:cs="宋体"/>
                <w:color w:val="auto"/>
                <w:kern w:val="0"/>
                <w:sz w:val="20"/>
                <w:szCs w:val="20"/>
                <w:highlight w:val="none"/>
              </w:rPr>
            </w:pPr>
          </w:p>
        </w:tc>
        <w:tc>
          <w:tcPr>
            <w:tcW w:w="715" w:type="pct"/>
            <w:vMerge w:val="continue"/>
            <w:vAlign w:val="center"/>
          </w:tcPr>
          <w:p w14:paraId="794019CE">
            <w:pPr>
              <w:widowControl/>
              <w:jc w:val="left"/>
              <w:rPr>
                <w:rFonts w:ascii="宋体" w:hAnsi="宋体" w:cs="宋体"/>
                <w:color w:val="auto"/>
                <w:kern w:val="0"/>
                <w:sz w:val="20"/>
                <w:szCs w:val="20"/>
                <w:highlight w:val="none"/>
              </w:rPr>
            </w:pPr>
          </w:p>
        </w:tc>
        <w:tc>
          <w:tcPr>
            <w:tcW w:w="878" w:type="pct"/>
            <w:vAlign w:val="center"/>
          </w:tcPr>
          <w:p w14:paraId="31CF5FC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2462" w:type="pct"/>
            <w:vAlign w:val="center"/>
          </w:tcPr>
          <w:p w14:paraId="2640E81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7DE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2ECED37">
            <w:pPr>
              <w:widowControl/>
              <w:jc w:val="left"/>
              <w:rPr>
                <w:rFonts w:ascii="宋体" w:hAnsi="宋体" w:cs="宋体"/>
                <w:color w:val="auto"/>
                <w:kern w:val="0"/>
                <w:sz w:val="20"/>
                <w:szCs w:val="20"/>
                <w:highlight w:val="none"/>
              </w:rPr>
            </w:pPr>
          </w:p>
        </w:tc>
        <w:tc>
          <w:tcPr>
            <w:tcW w:w="585" w:type="pct"/>
            <w:vMerge w:val="continue"/>
            <w:vAlign w:val="center"/>
          </w:tcPr>
          <w:p w14:paraId="0F164BBB">
            <w:pPr>
              <w:widowControl/>
              <w:jc w:val="left"/>
              <w:rPr>
                <w:rFonts w:ascii="宋体" w:hAnsi="宋体" w:cs="宋体"/>
                <w:color w:val="auto"/>
                <w:kern w:val="0"/>
                <w:sz w:val="20"/>
                <w:szCs w:val="20"/>
                <w:highlight w:val="none"/>
              </w:rPr>
            </w:pPr>
          </w:p>
        </w:tc>
        <w:tc>
          <w:tcPr>
            <w:tcW w:w="715" w:type="pct"/>
            <w:vMerge w:val="continue"/>
            <w:vAlign w:val="center"/>
          </w:tcPr>
          <w:p w14:paraId="34C6D159">
            <w:pPr>
              <w:widowControl/>
              <w:jc w:val="left"/>
              <w:rPr>
                <w:rFonts w:ascii="宋体" w:hAnsi="宋体" w:cs="宋体"/>
                <w:color w:val="auto"/>
                <w:kern w:val="0"/>
                <w:sz w:val="20"/>
                <w:szCs w:val="20"/>
                <w:highlight w:val="none"/>
              </w:rPr>
            </w:pPr>
          </w:p>
        </w:tc>
        <w:tc>
          <w:tcPr>
            <w:tcW w:w="878" w:type="pct"/>
            <w:vAlign w:val="center"/>
          </w:tcPr>
          <w:p w14:paraId="461949D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2462" w:type="pct"/>
            <w:vAlign w:val="center"/>
          </w:tcPr>
          <w:p w14:paraId="043ADC6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1523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restart"/>
            <w:vAlign w:val="center"/>
          </w:tcPr>
          <w:p w14:paraId="162C344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585" w:type="pct"/>
            <w:vMerge w:val="restart"/>
            <w:vAlign w:val="center"/>
          </w:tcPr>
          <w:p w14:paraId="44F4256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715" w:type="pct"/>
            <w:vAlign w:val="center"/>
          </w:tcPr>
          <w:p w14:paraId="43D748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878" w:type="pct"/>
            <w:vAlign w:val="center"/>
          </w:tcPr>
          <w:p w14:paraId="04A1213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5D8415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D0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093B9A9">
            <w:pPr>
              <w:widowControl/>
              <w:jc w:val="left"/>
              <w:rPr>
                <w:rFonts w:ascii="宋体" w:hAnsi="宋体" w:cs="宋体"/>
                <w:color w:val="auto"/>
                <w:kern w:val="0"/>
                <w:sz w:val="20"/>
                <w:szCs w:val="20"/>
                <w:highlight w:val="none"/>
              </w:rPr>
            </w:pPr>
          </w:p>
        </w:tc>
        <w:tc>
          <w:tcPr>
            <w:tcW w:w="585" w:type="pct"/>
            <w:vMerge w:val="continue"/>
            <w:vAlign w:val="center"/>
          </w:tcPr>
          <w:p w14:paraId="153A5BE9">
            <w:pPr>
              <w:widowControl/>
              <w:jc w:val="left"/>
              <w:rPr>
                <w:rFonts w:ascii="宋体" w:hAnsi="宋体" w:cs="宋体"/>
                <w:color w:val="auto"/>
                <w:kern w:val="0"/>
                <w:sz w:val="20"/>
                <w:szCs w:val="20"/>
                <w:highlight w:val="none"/>
              </w:rPr>
            </w:pPr>
          </w:p>
        </w:tc>
        <w:tc>
          <w:tcPr>
            <w:tcW w:w="715" w:type="pct"/>
            <w:vAlign w:val="center"/>
          </w:tcPr>
          <w:p w14:paraId="27A3505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878" w:type="pct"/>
            <w:vAlign w:val="center"/>
          </w:tcPr>
          <w:p w14:paraId="2B9C06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36F999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7305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5D09402F">
            <w:pPr>
              <w:widowControl/>
              <w:jc w:val="left"/>
              <w:rPr>
                <w:rFonts w:ascii="宋体" w:hAnsi="宋体" w:cs="宋体"/>
                <w:color w:val="auto"/>
                <w:kern w:val="0"/>
                <w:sz w:val="20"/>
                <w:szCs w:val="20"/>
                <w:highlight w:val="none"/>
              </w:rPr>
            </w:pPr>
          </w:p>
        </w:tc>
        <w:tc>
          <w:tcPr>
            <w:tcW w:w="585" w:type="pct"/>
            <w:vMerge w:val="continue"/>
            <w:vAlign w:val="center"/>
          </w:tcPr>
          <w:p w14:paraId="7676766B">
            <w:pPr>
              <w:widowControl/>
              <w:jc w:val="left"/>
              <w:rPr>
                <w:rFonts w:ascii="宋体" w:hAnsi="宋体" w:cs="宋体"/>
                <w:color w:val="auto"/>
                <w:kern w:val="0"/>
                <w:sz w:val="20"/>
                <w:szCs w:val="20"/>
                <w:highlight w:val="none"/>
              </w:rPr>
            </w:pPr>
          </w:p>
        </w:tc>
        <w:tc>
          <w:tcPr>
            <w:tcW w:w="715" w:type="pct"/>
            <w:vAlign w:val="center"/>
          </w:tcPr>
          <w:p w14:paraId="6B7A99B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878" w:type="pct"/>
            <w:vAlign w:val="center"/>
          </w:tcPr>
          <w:p w14:paraId="18B4149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7A08A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BAA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Merge w:val="continue"/>
            <w:vAlign w:val="center"/>
          </w:tcPr>
          <w:p w14:paraId="7EE854F2">
            <w:pPr>
              <w:widowControl/>
              <w:jc w:val="left"/>
              <w:rPr>
                <w:rFonts w:ascii="宋体" w:hAnsi="宋体" w:cs="宋体"/>
                <w:color w:val="auto"/>
                <w:kern w:val="0"/>
                <w:sz w:val="20"/>
                <w:szCs w:val="20"/>
                <w:highlight w:val="none"/>
              </w:rPr>
            </w:pPr>
          </w:p>
        </w:tc>
        <w:tc>
          <w:tcPr>
            <w:tcW w:w="585" w:type="pct"/>
            <w:vMerge w:val="continue"/>
            <w:vAlign w:val="center"/>
          </w:tcPr>
          <w:p w14:paraId="0E7E827A">
            <w:pPr>
              <w:widowControl/>
              <w:jc w:val="left"/>
              <w:rPr>
                <w:rFonts w:ascii="宋体" w:hAnsi="宋体" w:cs="宋体"/>
                <w:color w:val="auto"/>
                <w:kern w:val="0"/>
                <w:sz w:val="20"/>
                <w:szCs w:val="20"/>
                <w:highlight w:val="none"/>
              </w:rPr>
            </w:pPr>
          </w:p>
        </w:tc>
        <w:tc>
          <w:tcPr>
            <w:tcW w:w="715" w:type="pct"/>
            <w:vAlign w:val="center"/>
          </w:tcPr>
          <w:p w14:paraId="098776F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878" w:type="pct"/>
            <w:vAlign w:val="center"/>
          </w:tcPr>
          <w:p w14:paraId="3765764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09D4DAE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6D3B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357" w:type="pct"/>
            <w:vAlign w:val="center"/>
          </w:tcPr>
          <w:p w14:paraId="7C2CCB9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585" w:type="pct"/>
            <w:vAlign w:val="center"/>
          </w:tcPr>
          <w:p w14:paraId="324851E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715" w:type="pct"/>
            <w:vAlign w:val="center"/>
          </w:tcPr>
          <w:p w14:paraId="507B220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878" w:type="pct"/>
            <w:vAlign w:val="center"/>
          </w:tcPr>
          <w:p w14:paraId="5846805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FF729C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7BF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57" w:type="pct"/>
            <w:vAlign w:val="center"/>
          </w:tcPr>
          <w:p w14:paraId="5593B34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585" w:type="pct"/>
            <w:vAlign w:val="center"/>
          </w:tcPr>
          <w:p w14:paraId="5673B9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715" w:type="pct"/>
            <w:vAlign w:val="center"/>
          </w:tcPr>
          <w:p w14:paraId="152A781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878" w:type="pct"/>
            <w:vAlign w:val="center"/>
          </w:tcPr>
          <w:p w14:paraId="1313170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2462" w:type="pct"/>
            <w:vAlign w:val="center"/>
          </w:tcPr>
          <w:p w14:paraId="587B43B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2191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0E08B2A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585" w:type="pct"/>
            <w:vAlign w:val="center"/>
          </w:tcPr>
          <w:p w14:paraId="249E5F6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715" w:type="pct"/>
            <w:vAlign w:val="center"/>
          </w:tcPr>
          <w:p w14:paraId="761B301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878" w:type="pct"/>
            <w:vAlign w:val="center"/>
          </w:tcPr>
          <w:p w14:paraId="60A3070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391EAE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2B0C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57" w:type="pct"/>
            <w:vMerge w:val="restart"/>
            <w:vAlign w:val="center"/>
          </w:tcPr>
          <w:p w14:paraId="61DB6A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585" w:type="pct"/>
            <w:vMerge w:val="restart"/>
            <w:vAlign w:val="center"/>
          </w:tcPr>
          <w:p w14:paraId="3CF4799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715" w:type="pct"/>
            <w:vAlign w:val="center"/>
          </w:tcPr>
          <w:p w14:paraId="739C13B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878" w:type="pct"/>
            <w:vAlign w:val="center"/>
          </w:tcPr>
          <w:p w14:paraId="59E797C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5D72FB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78A5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40A3362A">
            <w:pPr>
              <w:widowControl/>
              <w:jc w:val="left"/>
              <w:rPr>
                <w:rFonts w:ascii="宋体" w:hAnsi="宋体" w:cs="宋体"/>
                <w:color w:val="auto"/>
                <w:kern w:val="0"/>
                <w:sz w:val="20"/>
                <w:szCs w:val="20"/>
                <w:highlight w:val="none"/>
              </w:rPr>
            </w:pPr>
          </w:p>
        </w:tc>
        <w:tc>
          <w:tcPr>
            <w:tcW w:w="585" w:type="pct"/>
            <w:vMerge w:val="continue"/>
            <w:vAlign w:val="center"/>
          </w:tcPr>
          <w:p w14:paraId="35C131E6">
            <w:pPr>
              <w:widowControl/>
              <w:jc w:val="left"/>
              <w:rPr>
                <w:rFonts w:ascii="宋体" w:hAnsi="宋体" w:cs="宋体"/>
                <w:color w:val="auto"/>
                <w:kern w:val="0"/>
                <w:sz w:val="20"/>
                <w:szCs w:val="20"/>
                <w:highlight w:val="none"/>
              </w:rPr>
            </w:pPr>
          </w:p>
        </w:tc>
        <w:tc>
          <w:tcPr>
            <w:tcW w:w="715" w:type="pct"/>
            <w:vAlign w:val="center"/>
          </w:tcPr>
          <w:p w14:paraId="7C61DA3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878" w:type="pct"/>
            <w:vAlign w:val="center"/>
          </w:tcPr>
          <w:p w14:paraId="7EB2322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E0A8DC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431B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Merge w:val="continue"/>
            <w:vAlign w:val="center"/>
          </w:tcPr>
          <w:p w14:paraId="0C8291B7">
            <w:pPr>
              <w:widowControl/>
              <w:jc w:val="left"/>
              <w:rPr>
                <w:rFonts w:ascii="宋体" w:hAnsi="宋体" w:cs="宋体"/>
                <w:color w:val="auto"/>
                <w:kern w:val="0"/>
                <w:sz w:val="20"/>
                <w:szCs w:val="20"/>
                <w:highlight w:val="none"/>
              </w:rPr>
            </w:pPr>
          </w:p>
        </w:tc>
        <w:tc>
          <w:tcPr>
            <w:tcW w:w="585" w:type="pct"/>
            <w:vMerge w:val="continue"/>
            <w:vAlign w:val="center"/>
          </w:tcPr>
          <w:p w14:paraId="19FD6E49">
            <w:pPr>
              <w:widowControl/>
              <w:jc w:val="left"/>
              <w:rPr>
                <w:rFonts w:ascii="宋体" w:hAnsi="宋体" w:cs="宋体"/>
                <w:color w:val="auto"/>
                <w:kern w:val="0"/>
                <w:sz w:val="20"/>
                <w:szCs w:val="20"/>
                <w:highlight w:val="none"/>
              </w:rPr>
            </w:pPr>
          </w:p>
        </w:tc>
        <w:tc>
          <w:tcPr>
            <w:tcW w:w="715" w:type="pct"/>
            <w:vAlign w:val="center"/>
          </w:tcPr>
          <w:p w14:paraId="25CE6E5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878" w:type="pct"/>
            <w:vAlign w:val="center"/>
          </w:tcPr>
          <w:p w14:paraId="1AE9D8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7C83080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44CB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176C8C0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585" w:type="pct"/>
            <w:vAlign w:val="center"/>
          </w:tcPr>
          <w:p w14:paraId="0A5D68B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715" w:type="pct"/>
            <w:vAlign w:val="center"/>
          </w:tcPr>
          <w:p w14:paraId="44525A1D">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51E1D3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971E60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46D3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67E38C9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585" w:type="pct"/>
            <w:vAlign w:val="center"/>
          </w:tcPr>
          <w:p w14:paraId="426135F4">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715" w:type="pct"/>
            <w:vAlign w:val="center"/>
          </w:tcPr>
          <w:p w14:paraId="51EB861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351B990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271D4AC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2D74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57" w:type="pct"/>
            <w:vAlign w:val="center"/>
          </w:tcPr>
          <w:p w14:paraId="3B93B53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585" w:type="pct"/>
            <w:vAlign w:val="center"/>
          </w:tcPr>
          <w:p w14:paraId="26EDD79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715" w:type="pct"/>
            <w:vAlign w:val="center"/>
          </w:tcPr>
          <w:p w14:paraId="5ECC8C5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878" w:type="pct"/>
            <w:vAlign w:val="center"/>
          </w:tcPr>
          <w:p w14:paraId="2E98D738">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462" w:type="pct"/>
            <w:vAlign w:val="center"/>
          </w:tcPr>
          <w:p w14:paraId="4CAD79A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21BA57B4">
      <w:pPr>
        <w:pStyle w:val="9"/>
        <w:rPr>
          <w:color w:val="auto"/>
          <w:highlight w:val="none"/>
        </w:rPr>
      </w:pPr>
    </w:p>
    <w:p w14:paraId="2A4F4110">
      <w:pPr>
        <w:pStyle w:val="9"/>
        <w:spacing w:line="300" w:lineRule="exact"/>
        <w:rPr>
          <w:rFonts w:ascii="Arial Unicode MS" w:hAnsi="Arial Unicode MS" w:eastAsia="Arial Unicode MS" w:cs="Arial Unicode MS"/>
          <w:color w:val="auto"/>
          <w:sz w:val="30"/>
          <w:szCs w:val="30"/>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rFonts w:hint="eastAsia"/>
          <w:color w:val="auto"/>
          <w:highlight w:val="none"/>
        </w:rPr>
        <w:br w:type="page"/>
      </w:r>
      <w:r>
        <w:rPr>
          <w:rFonts w:hint="eastAsia" w:ascii="微软雅黑" w:hAnsi="微软雅黑" w:eastAsia="微软雅黑" w:cs="微软雅黑"/>
          <w:color w:val="auto"/>
          <w:sz w:val="30"/>
          <w:szCs w:val="30"/>
          <w:highlight w:val="none"/>
        </w:rPr>
        <w:t>附件</w:t>
      </w:r>
      <w:r>
        <w:rPr>
          <w:rFonts w:ascii="Arial Unicode MS" w:hAnsi="Arial Unicode MS" w:eastAsia="Arial Unicode MS" w:cs="Arial Unicode MS"/>
          <w:color w:val="auto"/>
          <w:sz w:val="30"/>
          <w:szCs w:val="30"/>
          <w:highlight w:val="none"/>
        </w:rPr>
        <w:t>2</w:t>
      </w:r>
      <w:r>
        <w:rPr>
          <w:rFonts w:hint="eastAsia" w:ascii="微软雅黑" w:hAnsi="微软雅黑" w:eastAsia="微软雅黑" w:cs="微软雅黑"/>
          <w:color w:val="auto"/>
          <w:sz w:val="30"/>
          <w:szCs w:val="30"/>
          <w:highlight w:val="none"/>
        </w:rPr>
        <w:t>：</w:t>
      </w:r>
    </w:p>
    <w:p w14:paraId="372DC0EB">
      <w:pPr>
        <w:spacing w:line="300" w:lineRule="exact"/>
        <w:jc w:val="center"/>
        <w:rPr>
          <w:rFonts w:ascii="微软雅黑" w:hAnsi="微软雅黑" w:eastAsia="微软雅黑" w:cs="微软雅黑"/>
          <w:color w:val="auto"/>
          <w:sz w:val="30"/>
          <w:szCs w:val="30"/>
          <w:highlight w:val="none"/>
        </w:rPr>
      </w:pPr>
      <w:r>
        <w:rPr>
          <w:rFonts w:hint="eastAsia" w:ascii="微软雅黑" w:hAnsi="微软雅黑" w:eastAsia="微软雅黑" w:cs="微软雅黑"/>
          <w:color w:val="auto"/>
          <w:sz w:val="30"/>
          <w:szCs w:val="30"/>
          <w:highlight w:val="none"/>
        </w:rPr>
        <w:t>中小微企业划型标准</w:t>
      </w:r>
    </w:p>
    <w:tbl>
      <w:tblPr>
        <w:tblStyle w:val="23"/>
        <w:tblpPr w:leftFromText="180" w:rightFromText="180" w:vertAnchor="text" w:horzAnchor="page" w:tblpX="1417" w:tblpY="451"/>
        <w:tblOverlap w:val="never"/>
        <w:tblW w:w="4998" w:type="pct"/>
        <w:tblInd w:w="0" w:type="dxa"/>
        <w:tblLayout w:type="autofit"/>
        <w:tblCellMar>
          <w:top w:w="0" w:type="dxa"/>
          <w:left w:w="108" w:type="dxa"/>
          <w:bottom w:w="0" w:type="dxa"/>
          <w:right w:w="108" w:type="dxa"/>
        </w:tblCellMar>
      </w:tblPr>
      <w:tblGrid>
        <w:gridCol w:w="1941"/>
        <w:gridCol w:w="1941"/>
        <w:gridCol w:w="831"/>
        <w:gridCol w:w="1803"/>
        <w:gridCol w:w="1664"/>
        <w:gridCol w:w="1109"/>
      </w:tblGrid>
      <w:tr w14:paraId="7C487AD3">
        <w:tblPrEx>
          <w:tblCellMar>
            <w:top w:w="0" w:type="dxa"/>
            <w:left w:w="108" w:type="dxa"/>
            <w:bottom w:w="0" w:type="dxa"/>
            <w:right w:w="108" w:type="dxa"/>
          </w:tblCellMar>
        </w:tblPrEx>
        <w:trPr>
          <w:trHeight w:val="90" w:hRule="atLeast"/>
        </w:trPr>
        <w:tc>
          <w:tcPr>
            <w:tcW w:w="1044" w:type="pct"/>
            <w:tcBorders>
              <w:top w:val="single" w:color="auto" w:sz="4" w:space="0"/>
              <w:left w:val="single" w:color="auto" w:sz="4" w:space="0"/>
              <w:bottom w:val="single" w:color="auto" w:sz="4" w:space="0"/>
              <w:right w:val="single" w:color="auto" w:sz="4" w:space="0"/>
            </w:tcBorders>
            <w:vAlign w:val="center"/>
          </w:tcPr>
          <w:p w14:paraId="5713AF0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044" w:type="pct"/>
            <w:tcBorders>
              <w:top w:val="single" w:color="auto" w:sz="4" w:space="0"/>
              <w:left w:val="nil"/>
              <w:bottom w:val="single" w:color="auto" w:sz="4" w:space="0"/>
              <w:right w:val="single" w:color="auto" w:sz="4" w:space="0"/>
            </w:tcBorders>
            <w:vAlign w:val="center"/>
          </w:tcPr>
          <w:p w14:paraId="663FD43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447" w:type="pct"/>
            <w:tcBorders>
              <w:top w:val="single" w:color="auto" w:sz="4" w:space="0"/>
              <w:left w:val="nil"/>
              <w:bottom w:val="single" w:color="auto" w:sz="4" w:space="0"/>
              <w:right w:val="single" w:color="auto" w:sz="4" w:space="0"/>
            </w:tcBorders>
            <w:vAlign w:val="center"/>
          </w:tcPr>
          <w:p w14:paraId="21FBDA54">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970" w:type="pct"/>
            <w:tcBorders>
              <w:top w:val="single" w:color="auto" w:sz="4" w:space="0"/>
              <w:left w:val="nil"/>
              <w:bottom w:val="single" w:color="auto" w:sz="4" w:space="0"/>
              <w:right w:val="single" w:color="auto" w:sz="4" w:space="0"/>
            </w:tcBorders>
            <w:vAlign w:val="center"/>
          </w:tcPr>
          <w:p w14:paraId="7399535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895" w:type="pct"/>
            <w:tcBorders>
              <w:top w:val="single" w:color="auto" w:sz="4" w:space="0"/>
              <w:left w:val="nil"/>
              <w:bottom w:val="single" w:color="auto" w:sz="4" w:space="0"/>
              <w:right w:val="single" w:color="auto" w:sz="4" w:space="0"/>
            </w:tcBorders>
            <w:vAlign w:val="center"/>
          </w:tcPr>
          <w:p w14:paraId="300CD5C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96" w:type="pct"/>
            <w:tcBorders>
              <w:top w:val="single" w:color="auto" w:sz="4" w:space="0"/>
              <w:left w:val="nil"/>
              <w:bottom w:val="single" w:color="auto" w:sz="4" w:space="0"/>
              <w:right w:val="single" w:color="auto" w:sz="4" w:space="0"/>
            </w:tcBorders>
            <w:vAlign w:val="center"/>
          </w:tcPr>
          <w:p w14:paraId="56F9B1E7">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AC4927C">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2407D4A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044" w:type="pct"/>
            <w:tcBorders>
              <w:top w:val="nil"/>
              <w:left w:val="nil"/>
              <w:bottom w:val="single" w:color="auto" w:sz="4" w:space="0"/>
              <w:right w:val="single" w:color="auto" w:sz="4" w:space="0"/>
            </w:tcBorders>
            <w:vAlign w:val="center"/>
          </w:tcPr>
          <w:p w14:paraId="3C2382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ED5ED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CB206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7667B5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96" w:type="pct"/>
            <w:tcBorders>
              <w:top w:val="nil"/>
              <w:left w:val="nil"/>
              <w:bottom w:val="single" w:color="auto" w:sz="4" w:space="0"/>
              <w:right w:val="single" w:color="auto" w:sz="4" w:space="0"/>
            </w:tcBorders>
            <w:vAlign w:val="center"/>
          </w:tcPr>
          <w:p w14:paraId="124207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8820157">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D9502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044" w:type="pct"/>
            <w:tcBorders>
              <w:top w:val="nil"/>
              <w:left w:val="nil"/>
              <w:bottom w:val="single" w:color="auto" w:sz="4" w:space="0"/>
              <w:right w:val="single" w:color="auto" w:sz="4" w:space="0"/>
            </w:tcBorders>
            <w:vAlign w:val="center"/>
          </w:tcPr>
          <w:p w14:paraId="4076A0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5FD4876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20A82D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DE2AD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6EDC71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3A09FE1">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586EB1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67E89F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60C71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15482F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895" w:type="pct"/>
            <w:tcBorders>
              <w:top w:val="nil"/>
              <w:left w:val="nil"/>
              <w:bottom w:val="single" w:color="auto" w:sz="4" w:space="0"/>
              <w:right w:val="single" w:color="auto" w:sz="4" w:space="0"/>
            </w:tcBorders>
            <w:vAlign w:val="center"/>
          </w:tcPr>
          <w:p w14:paraId="26B91D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96" w:type="pct"/>
            <w:tcBorders>
              <w:top w:val="nil"/>
              <w:left w:val="nil"/>
              <w:bottom w:val="single" w:color="auto" w:sz="4" w:space="0"/>
              <w:right w:val="single" w:color="auto" w:sz="4" w:space="0"/>
            </w:tcBorders>
            <w:vAlign w:val="center"/>
          </w:tcPr>
          <w:p w14:paraId="762B8F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7DA412D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8210D4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044" w:type="pct"/>
            <w:tcBorders>
              <w:top w:val="nil"/>
              <w:left w:val="nil"/>
              <w:bottom w:val="single" w:color="auto" w:sz="4" w:space="0"/>
              <w:right w:val="single" w:color="auto" w:sz="4" w:space="0"/>
            </w:tcBorders>
            <w:vAlign w:val="center"/>
          </w:tcPr>
          <w:p w14:paraId="0CF3FF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F0DDE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628D5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895" w:type="pct"/>
            <w:tcBorders>
              <w:top w:val="nil"/>
              <w:left w:val="nil"/>
              <w:bottom w:val="single" w:color="auto" w:sz="4" w:space="0"/>
              <w:right w:val="single" w:color="auto" w:sz="4" w:space="0"/>
            </w:tcBorders>
            <w:vAlign w:val="center"/>
          </w:tcPr>
          <w:p w14:paraId="741241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96" w:type="pct"/>
            <w:tcBorders>
              <w:top w:val="nil"/>
              <w:left w:val="nil"/>
              <w:bottom w:val="single" w:color="auto" w:sz="4" w:space="0"/>
              <w:right w:val="single" w:color="auto" w:sz="4" w:space="0"/>
            </w:tcBorders>
            <w:vAlign w:val="center"/>
          </w:tcPr>
          <w:p w14:paraId="25B75B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DDB86CD">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BC8B9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D1B6D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79F4C9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9972D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895" w:type="pct"/>
            <w:tcBorders>
              <w:top w:val="nil"/>
              <w:left w:val="nil"/>
              <w:bottom w:val="single" w:color="auto" w:sz="4" w:space="0"/>
              <w:right w:val="single" w:color="auto" w:sz="4" w:space="0"/>
            </w:tcBorders>
            <w:vAlign w:val="center"/>
          </w:tcPr>
          <w:p w14:paraId="12965B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96" w:type="pct"/>
            <w:tcBorders>
              <w:top w:val="nil"/>
              <w:left w:val="nil"/>
              <w:bottom w:val="single" w:color="auto" w:sz="4" w:space="0"/>
              <w:right w:val="single" w:color="auto" w:sz="4" w:space="0"/>
            </w:tcBorders>
            <w:vAlign w:val="center"/>
          </w:tcPr>
          <w:p w14:paraId="610B3C4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529F5C7C">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775630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044" w:type="pct"/>
            <w:tcBorders>
              <w:top w:val="nil"/>
              <w:left w:val="nil"/>
              <w:bottom w:val="single" w:color="auto" w:sz="4" w:space="0"/>
              <w:right w:val="single" w:color="auto" w:sz="4" w:space="0"/>
            </w:tcBorders>
            <w:vAlign w:val="center"/>
          </w:tcPr>
          <w:p w14:paraId="3369FA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453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DE63E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895" w:type="pct"/>
            <w:tcBorders>
              <w:top w:val="nil"/>
              <w:left w:val="nil"/>
              <w:bottom w:val="single" w:color="auto" w:sz="4" w:space="0"/>
              <w:right w:val="single" w:color="auto" w:sz="4" w:space="0"/>
            </w:tcBorders>
            <w:vAlign w:val="center"/>
          </w:tcPr>
          <w:p w14:paraId="6DFD10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96" w:type="pct"/>
            <w:tcBorders>
              <w:top w:val="nil"/>
              <w:left w:val="nil"/>
              <w:bottom w:val="single" w:color="auto" w:sz="4" w:space="0"/>
              <w:right w:val="single" w:color="auto" w:sz="4" w:space="0"/>
            </w:tcBorders>
            <w:vAlign w:val="center"/>
          </w:tcPr>
          <w:p w14:paraId="16001B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419B01D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040DA41">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A70F9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73ADA2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613C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895" w:type="pct"/>
            <w:tcBorders>
              <w:top w:val="nil"/>
              <w:left w:val="nil"/>
              <w:bottom w:val="single" w:color="auto" w:sz="4" w:space="0"/>
              <w:right w:val="single" w:color="auto" w:sz="4" w:space="0"/>
            </w:tcBorders>
            <w:vAlign w:val="center"/>
          </w:tcPr>
          <w:p w14:paraId="4BCF481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96" w:type="pct"/>
            <w:tcBorders>
              <w:top w:val="nil"/>
              <w:left w:val="nil"/>
              <w:bottom w:val="single" w:color="auto" w:sz="4" w:space="0"/>
              <w:right w:val="single" w:color="auto" w:sz="4" w:space="0"/>
            </w:tcBorders>
            <w:vAlign w:val="center"/>
          </w:tcPr>
          <w:p w14:paraId="41F1DA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5DC94238">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861CB8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044" w:type="pct"/>
            <w:tcBorders>
              <w:top w:val="nil"/>
              <w:left w:val="nil"/>
              <w:bottom w:val="single" w:color="auto" w:sz="4" w:space="0"/>
              <w:right w:val="single" w:color="auto" w:sz="4" w:space="0"/>
            </w:tcBorders>
            <w:vAlign w:val="center"/>
          </w:tcPr>
          <w:p w14:paraId="0EC342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23F370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D8AB0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895" w:type="pct"/>
            <w:tcBorders>
              <w:top w:val="nil"/>
              <w:left w:val="nil"/>
              <w:bottom w:val="single" w:color="auto" w:sz="4" w:space="0"/>
              <w:right w:val="single" w:color="auto" w:sz="4" w:space="0"/>
            </w:tcBorders>
            <w:vAlign w:val="center"/>
          </w:tcPr>
          <w:p w14:paraId="26EFB1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96" w:type="pct"/>
            <w:tcBorders>
              <w:top w:val="nil"/>
              <w:left w:val="nil"/>
              <w:bottom w:val="single" w:color="auto" w:sz="4" w:space="0"/>
              <w:right w:val="single" w:color="auto" w:sz="4" w:space="0"/>
            </w:tcBorders>
            <w:vAlign w:val="center"/>
          </w:tcPr>
          <w:p w14:paraId="54F47D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47EB235">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2CE0223">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6AC61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23B3D7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514299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895" w:type="pct"/>
            <w:tcBorders>
              <w:top w:val="nil"/>
              <w:left w:val="nil"/>
              <w:bottom w:val="single" w:color="auto" w:sz="4" w:space="0"/>
              <w:right w:val="single" w:color="auto" w:sz="4" w:space="0"/>
            </w:tcBorders>
            <w:vAlign w:val="center"/>
          </w:tcPr>
          <w:p w14:paraId="3E795F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96" w:type="pct"/>
            <w:tcBorders>
              <w:top w:val="nil"/>
              <w:left w:val="nil"/>
              <w:bottom w:val="single" w:color="auto" w:sz="4" w:space="0"/>
              <w:right w:val="single" w:color="auto" w:sz="4" w:space="0"/>
            </w:tcBorders>
            <w:vAlign w:val="center"/>
          </w:tcPr>
          <w:p w14:paraId="7611C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56B83B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46F56AC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044" w:type="pct"/>
            <w:tcBorders>
              <w:top w:val="nil"/>
              <w:left w:val="nil"/>
              <w:bottom w:val="single" w:color="auto" w:sz="4" w:space="0"/>
              <w:right w:val="single" w:color="auto" w:sz="4" w:space="0"/>
            </w:tcBorders>
            <w:vAlign w:val="center"/>
          </w:tcPr>
          <w:p w14:paraId="472363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91466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4D6C6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31401E1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7473D6C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F58E1D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DBDD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D67C7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398A16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4135E3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895" w:type="pct"/>
            <w:tcBorders>
              <w:top w:val="nil"/>
              <w:left w:val="nil"/>
              <w:bottom w:val="single" w:color="auto" w:sz="4" w:space="0"/>
              <w:right w:val="single" w:color="auto" w:sz="4" w:space="0"/>
            </w:tcBorders>
            <w:vAlign w:val="center"/>
          </w:tcPr>
          <w:p w14:paraId="6B18502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96" w:type="pct"/>
            <w:tcBorders>
              <w:top w:val="nil"/>
              <w:left w:val="nil"/>
              <w:bottom w:val="single" w:color="auto" w:sz="4" w:space="0"/>
              <w:right w:val="single" w:color="auto" w:sz="4" w:space="0"/>
            </w:tcBorders>
            <w:vAlign w:val="center"/>
          </w:tcPr>
          <w:p w14:paraId="3508FF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5B0CC74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1B6DC5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044" w:type="pct"/>
            <w:tcBorders>
              <w:top w:val="nil"/>
              <w:left w:val="nil"/>
              <w:bottom w:val="single" w:color="auto" w:sz="4" w:space="0"/>
              <w:right w:val="single" w:color="auto" w:sz="4" w:space="0"/>
            </w:tcBorders>
            <w:vAlign w:val="center"/>
          </w:tcPr>
          <w:p w14:paraId="18EFD5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462CADF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4862AB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895" w:type="pct"/>
            <w:tcBorders>
              <w:top w:val="nil"/>
              <w:left w:val="nil"/>
              <w:bottom w:val="single" w:color="auto" w:sz="4" w:space="0"/>
              <w:right w:val="single" w:color="auto" w:sz="4" w:space="0"/>
            </w:tcBorders>
            <w:vAlign w:val="center"/>
          </w:tcPr>
          <w:p w14:paraId="7C4625C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96" w:type="pct"/>
            <w:tcBorders>
              <w:top w:val="nil"/>
              <w:left w:val="nil"/>
              <w:bottom w:val="single" w:color="auto" w:sz="4" w:space="0"/>
              <w:right w:val="single" w:color="auto" w:sz="4" w:space="0"/>
            </w:tcBorders>
            <w:vAlign w:val="center"/>
          </w:tcPr>
          <w:p w14:paraId="3794B1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5518680">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9662A6C">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40DC0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ABC7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D02EB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895" w:type="pct"/>
            <w:tcBorders>
              <w:top w:val="nil"/>
              <w:left w:val="nil"/>
              <w:bottom w:val="single" w:color="auto" w:sz="4" w:space="0"/>
              <w:right w:val="single" w:color="auto" w:sz="4" w:space="0"/>
            </w:tcBorders>
            <w:vAlign w:val="center"/>
          </w:tcPr>
          <w:p w14:paraId="79DC19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5C5481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492EB50">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4CA249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044" w:type="pct"/>
            <w:tcBorders>
              <w:top w:val="nil"/>
              <w:left w:val="nil"/>
              <w:bottom w:val="single" w:color="auto" w:sz="4" w:space="0"/>
              <w:right w:val="single" w:color="auto" w:sz="4" w:space="0"/>
            </w:tcBorders>
            <w:vAlign w:val="center"/>
          </w:tcPr>
          <w:p w14:paraId="6D6F30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D19D5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76C74B8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AB52F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96" w:type="pct"/>
            <w:tcBorders>
              <w:top w:val="nil"/>
              <w:left w:val="nil"/>
              <w:bottom w:val="single" w:color="auto" w:sz="4" w:space="0"/>
              <w:right w:val="single" w:color="auto" w:sz="4" w:space="0"/>
            </w:tcBorders>
            <w:vAlign w:val="center"/>
          </w:tcPr>
          <w:p w14:paraId="3A4566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12F976E">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AEF9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69F347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838A2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83672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895" w:type="pct"/>
            <w:tcBorders>
              <w:top w:val="nil"/>
              <w:left w:val="nil"/>
              <w:bottom w:val="single" w:color="auto" w:sz="4" w:space="0"/>
              <w:right w:val="single" w:color="auto" w:sz="4" w:space="0"/>
            </w:tcBorders>
            <w:vAlign w:val="center"/>
          </w:tcPr>
          <w:p w14:paraId="1DBC2B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A3600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C96CD5D">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967893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044" w:type="pct"/>
            <w:tcBorders>
              <w:top w:val="nil"/>
              <w:left w:val="nil"/>
              <w:bottom w:val="single" w:color="auto" w:sz="4" w:space="0"/>
              <w:right w:val="single" w:color="auto" w:sz="4" w:space="0"/>
            </w:tcBorders>
            <w:vAlign w:val="center"/>
          </w:tcPr>
          <w:p w14:paraId="59AAC6A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4791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65C88D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33BABF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6E39E4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F972F38">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7D61A4F9">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78103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C95300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37B7D2D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7B8B32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73D62A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C3B993A">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35ED664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044" w:type="pct"/>
            <w:tcBorders>
              <w:top w:val="nil"/>
              <w:left w:val="nil"/>
              <w:bottom w:val="single" w:color="auto" w:sz="4" w:space="0"/>
              <w:right w:val="single" w:color="auto" w:sz="4" w:space="0"/>
            </w:tcBorders>
            <w:vAlign w:val="center"/>
          </w:tcPr>
          <w:p w14:paraId="6B4D23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5C809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3B097B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DF08A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83A21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3AE300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5C4359E5">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F7FDB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5ACAD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A0655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895" w:type="pct"/>
            <w:tcBorders>
              <w:top w:val="nil"/>
              <w:left w:val="nil"/>
              <w:bottom w:val="single" w:color="auto" w:sz="4" w:space="0"/>
              <w:right w:val="single" w:color="auto" w:sz="4" w:space="0"/>
            </w:tcBorders>
            <w:vAlign w:val="center"/>
          </w:tcPr>
          <w:p w14:paraId="2BC5F0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96" w:type="pct"/>
            <w:tcBorders>
              <w:top w:val="nil"/>
              <w:left w:val="nil"/>
              <w:bottom w:val="single" w:color="auto" w:sz="4" w:space="0"/>
              <w:right w:val="single" w:color="auto" w:sz="4" w:space="0"/>
            </w:tcBorders>
            <w:vAlign w:val="center"/>
          </w:tcPr>
          <w:p w14:paraId="2E6595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E2BF294">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CE3EAB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044" w:type="pct"/>
            <w:tcBorders>
              <w:top w:val="nil"/>
              <w:left w:val="nil"/>
              <w:bottom w:val="single" w:color="auto" w:sz="4" w:space="0"/>
              <w:right w:val="single" w:color="auto" w:sz="4" w:space="0"/>
            </w:tcBorders>
            <w:vAlign w:val="center"/>
          </w:tcPr>
          <w:p w14:paraId="15AA9B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171F4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F5C79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895" w:type="pct"/>
            <w:tcBorders>
              <w:top w:val="nil"/>
              <w:left w:val="nil"/>
              <w:bottom w:val="single" w:color="auto" w:sz="4" w:space="0"/>
              <w:right w:val="single" w:color="auto" w:sz="4" w:space="0"/>
            </w:tcBorders>
            <w:vAlign w:val="center"/>
          </w:tcPr>
          <w:p w14:paraId="6D6A9E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364236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A00EEB6">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186685A8">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2DE32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5DF05C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B945E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895" w:type="pct"/>
            <w:tcBorders>
              <w:top w:val="nil"/>
              <w:left w:val="nil"/>
              <w:bottom w:val="single" w:color="auto" w:sz="4" w:space="0"/>
              <w:right w:val="single" w:color="auto" w:sz="4" w:space="0"/>
            </w:tcBorders>
            <w:vAlign w:val="center"/>
          </w:tcPr>
          <w:p w14:paraId="05B5824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96" w:type="pct"/>
            <w:tcBorders>
              <w:top w:val="nil"/>
              <w:left w:val="nil"/>
              <w:bottom w:val="single" w:color="auto" w:sz="4" w:space="0"/>
              <w:right w:val="single" w:color="auto" w:sz="4" w:space="0"/>
            </w:tcBorders>
            <w:vAlign w:val="center"/>
          </w:tcPr>
          <w:p w14:paraId="7FD84A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2F6B8B5">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2219C7C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044" w:type="pct"/>
            <w:tcBorders>
              <w:top w:val="nil"/>
              <w:left w:val="nil"/>
              <w:bottom w:val="single" w:color="auto" w:sz="4" w:space="0"/>
              <w:right w:val="single" w:color="auto" w:sz="4" w:space="0"/>
            </w:tcBorders>
            <w:vAlign w:val="center"/>
          </w:tcPr>
          <w:p w14:paraId="6CBBE7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184FF2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95410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8E35FE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459FC2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7DA7BC3">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00FAA30E">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7C63A56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474956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7119A2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895" w:type="pct"/>
            <w:tcBorders>
              <w:top w:val="nil"/>
              <w:left w:val="nil"/>
              <w:bottom w:val="single" w:color="auto" w:sz="4" w:space="0"/>
              <w:right w:val="single" w:color="auto" w:sz="4" w:space="0"/>
            </w:tcBorders>
            <w:vAlign w:val="center"/>
          </w:tcPr>
          <w:p w14:paraId="1542AD9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96" w:type="pct"/>
            <w:tcBorders>
              <w:top w:val="nil"/>
              <w:left w:val="nil"/>
              <w:bottom w:val="single" w:color="auto" w:sz="4" w:space="0"/>
              <w:right w:val="single" w:color="auto" w:sz="4" w:space="0"/>
            </w:tcBorders>
            <w:vAlign w:val="center"/>
          </w:tcPr>
          <w:p w14:paraId="5012D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65BC44A2">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1E333FD4">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044" w:type="pct"/>
            <w:tcBorders>
              <w:top w:val="nil"/>
              <w:left w:val="nil"/>
              <w:bottom w:val="single" w:color="auto" w:sz="4" w:space="0"/>
              <w:right w:val="single" w:color="auto" w:sz="4" w:space="0"/>
            </w:tcBorders>
            <w:vAlign w:val="center"/>
          </w:tcPr>
          <w:p w14:paraId="25F3F8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6EEAB9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29A27C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895" w:type="pct"/>
            <w:tcBorders>
              <w:top w:val="nil"/>
              <w:left w:val="nil"/>
              <w:bottom w:val="single" w:color="auto" w:sz="4" w:space="0"/>
              <w:right w:val="single" w:color="auto" w:sz="4" w:space="0"/>
            </w:tcBorders>
            <w:vAlign w:val="center"/>
          </w:tcPr>
          <w:p w14:paraId="106D5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96" w:type="pct"/>
            <w:tcBorders>
              <w:top w:val="nil"/>
              <w:left w:val="nil"/>
              <w:bottom w:val="single" w:color="auto" w:sz="4" w:space="0"/>
              <w:right w:val="single" w:color="auto" w:sz="4" w:space="0"/>
            </w:tcBorders>
            <w:vAlign w:val="center"/>
          </w:tcPr>
          <w:p w14:paraId="40EC25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30AD37C">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2DD756E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3EC4D6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2B8C23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675198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895" w:type="pct"/>
            <w:tcBorders>
              <w:top w:val="nil"/>
              <w:left w:val="nil"/>
              <w:bottom w:val="single" w:color="auto" w:sz="4" w:space="0"/>
              <w:right w:val="single" w:color="auto" w:sz="4" w:space="0"/>
            </w:tcBorders>
            <w:vAlign w:val="center"/>
          </w:tcPr>
          <w:p w14:paraId="7D6112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96" w:type="pct"/>
            <w:tcBorders>
              <w:top w:val="nil"/>
              <w:left w:val="nil"/>
              <w:bottom w:val="single" w:color="auto" w:sz="4" w:space="0"/>
              <w:right w:val="single" w:color="auto" w:sz="4" w:space="0"/>
            </w:tcBorders>
            <w:vAlign w:val="center"/>
          </w:tcPr>
          <w:p w14:paraId="561DF2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5FEFAA2E">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5E7550CA">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044" w:type="pct"/>
            <w:tcBorders>
              <w:top w:val="nil"/>
              <w:left w:val="nil"/>
              <w:bottom w:val="single" w:color="auto" w:sz="4" w:space="0"/>
              <w:right w:val="single" w:color="auto" w:sz="4" w:space="0"/>
            </w:tcBorders>
            <w:vAlign w:val="center"/>
          </w:tcPr>
          <w:p w14:paraId="040D1A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7BB8EE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09B7EA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895" w:type="pct"/>
            <w:tcBorders>
              <w:top w:val="nil"/>
              <w:left w:val="nil"/>
              <w:bottom w:val="single" w:color="auto" w:sz="4" w:space="0"/>
              <w:right w:val="single" w:color="auto" w:sz="4" w:space="0"/>
            </w:tcBorders>
            <w:vAlign w:val="center"/>
          </w:tcPr>
          <w:p w14:paraId="0EDBB8E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96" w:type="pct"/>
            <w:tcBorders>
              <w:top w:val="nil"/>
              <w:left w:val="nil"/>
              <w:bottom w:val="single" w:color="auto" w:sz="4" w:space="0"/>
              <w:right w:val="single" w:color="auto" w:sz="4" w:space="0"/>
            </w:tcBorders>
            <w:vAlign w:val="center"/>
          </w:tcPr>
          <w:p w14:paraId="152A88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D828A79">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345AD70B">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0C659A2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447" w:type="pct"/>
            <w:tcBorders>
              <w:top w:val="nil"/>
              <w:left w:val="nil"/>
              <w:bottom w:val="single" w:color="auto" w:sz="4" w:space="0"/>
              <w:right w:val="single" w:color="auto" w:sz="4" w:space="0"/>
            </w:tcBorders>
            <w:vAlign w:val="center"/>
          </w:tcPr>
          <w:p w14:paraId="1FAF65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02BDF3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895" w:type="pct"/>
            <w:tcBorders>
              <w:top w:val="nil"/>
              <w:left w:val="nil"/>
              <w:bottom w:val="single" w:color="auto" w:sz="4" w:space="0"/>
              <w:right w:val="single" w:color="auto" w:sz="4" w:space="0"/>
            </w:tcBorders>
            <w:vAlign w:val="center"/>
          </w:tcPr>
          <w:p w14:paraId="42A884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96" w:type="pct"/>
            <w:tcBorders>
              <w:top w:val="nil"/>
              <w:left w:val="nil"/>
              <w:bottom w:val="single" w:color="auto" w:sz="4" w:space="0"/>
              <w:right w:val="single" w:color="auto" w:sz="4" w:space="0"/>
            </w:tcBorders>
            <w:vAlign w:val="center"/>
          </w:tcPr>
          <w:p w14:paraId="7B50C5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710E5E1B">
        <w:tblPrEx>
          <w:tblCellMar>
            <w:top w:w="0" w:type="dxa"/>
            <w:left w:w="108" w:type="dxa"/>
            <w:bottom w:w="0" w:type="dxa"/>
            <w:right w:w="108" w:type="dxa"/>
          </w:tblCellMar>
        </w:tblPrEx>
        <w:trPr>
          <w:trHeight w:val="225" w:hRule="atLeast"/>
        </w:trPr>
        <w:tc>
          <w:tcPr>
            <w:tcW w:w="1044" w:type="pct"/>
            <w:vMerge w:val="restart"/>
            <w:tcBorders>
              <w:top w:val="nil"/>
              <w:left w:val="single" w:color="auto" w:sz="4" w:space="0"/>
              <w:bottom w:val="single" w:color="auto" w:sz="4" w:space="0"/>
              <w:right w:val="single" w:color="auto" w:sz="4" w:space="0"/>
            </w:tcBorders>
            <w:vAlign w:val="bottom"/>
          </w:tcPr>
          <w:p w14:paraId="065FAA9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044" w:type="pct"/>
            <w:tcBorders>
              <w:top w:val="nil"/>
              <w:left w:val="nil"/>
              <w:bottom w:val="single" w:color="auto" w:sz="4" w:space="0"/>
              <w:right w:val="single" w:color="auto" w:sz="4" w:space="0"/>
            </w:tcBorders>
            <w:vAlign w:val="center"/>
          </w:tcPr>
          <w:p w14:paraId="01443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399A15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53AD41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2243AA6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7642C3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7D27F2A">
        <w:tblPrEx>
          <w:tblCellMar>
            <w:top w:w="0" w:type="dxa"/>
            <w:left w:w="108" w:type="dxa"/>
            <w:bottom w:w="0" w:type="dxa"/>
            <w:right w:w="108" w:type="dxa"/>
          </w:tblCellMar>
        </w:tblPrEx>
        <w:trPr>
          <w:trHeight w:val="225" w:hRule="atLeast"/>
        </w:trPr>
        <w:tc>
          <w:tcPr>
            <w:tcW w:w="1044" w:type="pct"/>
            <w:vMerge w:val="continue"/>
            <w:tcBorders>
              <w:top w:val="nil"/>
              <w:left w:val="single" w:color="auto" w:sz="4" w:space="0"/>
              <w:bottom w:val="single" w:color="auto" w:sz="4" w:space="0"/>
              <w:right w:val="single" w:color="auto" w:sz="4" w:space="0"/>
            </w:tcBorders>
            <w:vAlign w:val="center"/>
          </w:tcPr>
          <w:p w14:paraId="6CF1EBB0">
            <w:pPr>
              <w:widowControl/>
              <w:jc w:val="left"/>
              <w:rPr>
                <w:rFonts w:ascii="仿宋_GB2312" w:hAnsi="仿宋" w:eastAsia="仿宋_GB2312" w:cs="宋体"/>
                <w:b/>
                <w:bCs/>
                <w:color w:val="auto"/>
                <w:kern w:val="0"/>
                <w:sz w:val="18"/>
                <w:szCs w:val="18"/>
                <w:highlight w:val="none"/>
              </w:rPr>
            </w:pPr>
          </w:p>
        </w:tc>
        <w:tc>
          <w:tcPr>
            <w:tcW w:w="1044" w:type="pct"/>
            <w:tcBorders>
              <w:top w:val="nil"/>
              <w:left w:val="nil"/>
              <w:bottom w:val="single" w:color="auto" w:sz="4" w:space="0"/>
              <w:right w:val="single" w:color="auto" w:sz="4" w:space="0"/>
            </w:tcBorders>
            <w:vAlign w:val="center"/>
          </w:tcPr>
          <w:p w14:paraId="14A730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447" w:type="pct"/>
            <w:tcBorders>
              <w:top w:val="nil"/>
              <w:left w:val="nil"/>
              <w:bottom w:val="single" w:color="auto" w:sz="4" w:space="0"/>
              <w:right w:val="single" w:color="auto" w:sz="4" w:space="0"/>
            </w:tcBorders>
            <w:vAlign w:val="center"/>
          </w:tcPr>
          <w:p w14:paraId="5E6C8F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970" w:type="pct"/>
            <w:tcBorders>
              <w:top w:val="nil"/>
              <w:left w:val="nil"/>
              <w:bottom w:val="single" w:color="auto" w:sz="4" w:space="0"/>
              <w:right w:val="single" w:color="auto" w:sz="4" w:space="0"/>
            </w:tcBorders>
            <w:vAlign w:val="center"/>
          </w:tcPr>
          <w:p w14:paraId="42E103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895" w:type="pct"/>
            <w:tcBorders>
              <w:top w:val="nil"/>
              <w:left w:val="nil"/>
              <w:bottom w:val="single" w:color="auto" w:sz="4" w:space="0"/>
              <w:right w:val="single" w:color="auto" w:sz="4" w:space="0"/>
            </w:tcBorders>
            <w:vAlign w:val="center"/>
          </w:tcPr>
          <w:p w14:paraId="194C60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96" w:type="pct"/>
            <w:tcBorders>
              <w:top w:val="nil"/>
              <w:left w:val="nil"/>
              <w:bottom w:val="single" w:color="auto" w:sz="4" w:space="0"/>
              <w:right w:val="single" w:color="auto" w:sz="4" w:space="0"/>
            </w:tcBorders>
            <w:vAlign w:val="center"/>
          </w:tcPr>
          <w:p w14:paraId="38084A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DBB6453">
        <w:tblPrEx>
          <w:tblCellMar>
            <w:top w:w="0" w:type="dxa"/>
            <w:left w:w="108" w:type="dxa"/>
            <w:bottom w:w="0" w:type="dxa"/>
            <w:right w:w="108" w:type="dxa"/>
          </w:tblCellMar>
        </w:tblPrEx>
        <w:trPr>
          <w:trHeight w:val="225" w:hRule="atLeast"/>
        </w:trPr>
        <w:tc>
          <w:tcPr>
            <w:tcW w:w="1044" w:type="pct"/>
            <w:tcBorders>
              <w:top w:val="nil"/>
              <w:left w:val="single" w:color="auto" w:sz="4" w:space="0"/>
              <w:bottom w:val="single" w:color="auto" w:sz="4" w:space="0"/>
              <w:right w:val="single" w:color="auto" w:sz="4" w:space="0"/>
            </w:tcBorders>
            <w:vAlign w:val="bottom"/>
          </w:tcPr>
          <w:p w14:paraId="1CF4F7E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044" w:type="pct"/>
            <w:tcBorders>
              <w:top w:val="nil"/>
              <w:left w:val="nil"/>
              <w:bottom w:val="single" w:color="auto" w:sz="4" w:space="0"/>
              <w:right w:val="single" w:color="auto" w:sz="4" w:space="0"/>
            </w:tcBorders>
            <w:vAlign w:val="center"/>
          </w:tcPr>
          <w:p w14:paraId="402A6E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447" w:type="pct"/>
            <w:tcBorders>
              <w:top w:val="nil"/>
              <w:left w:val="nil"/>
              <w:bottom w:val="single" w:color="auto" w:sz="4" w:space="0"/>
              <w:right w:val="single" w:color="auto" w:sz="4" w:space="0"/>
            </w:tcBorders>
            <w:vAlign w:val="center"/>
          </w:tcPr>
          <w:p w14:paraId="6435D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970" w:type="pct"/>
            <w:tcBorders>
              <w:top w:val="nil"/>
              <w:left w:val="nil"/>
              <w:bottom w:val="single" w:color="auto" w:sz="4" w:space="0"/>
              <w:right w:val="single" w:color="auto" w:sz="4" w:space="0"/>
            </w:tcBorders>
            <w:vAlign w:val="center"/>
          </w:tcPr>
          <w:p w14:paraId="1806C8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895" w:type="pct"/>
            <w:tcBorders>
              <w:top w:val="nil"/>
              <w:left w:val="nil"/>
              <w:bottom w:val="single" w:color="auto" w:sz="4" w:space="0"/>
              <w:right w:val="single" w:color="auto" w:sz="4" w:space="0"/>
            </w:tcBorders>
            <w:vAlign w:val="center"/>
          </w:tcPr>
          <w:p w14:paraId="75166A4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96" w:type="pct"/>
            <w:tcBorders>
              <w:top w:val="nil"/>
              <w:left w:val="nil"/>
              <w:bottom w:val="single" w:color="auto" w:sz="4" w:space="0"/>
              <w:right w:val="single" w:color="auto" w:sz="4" w:space="0"/>
            </w:tcBorders>
            <w:vAlign w:val="center"/>
          </w:tcPr>
          <w:p w14:paraId="27A768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0199D5DD">
      <w:pPr>
        <w:pStyle w:val="9"/>
        <w:rPr>
          <w:color w:val="auto"/>
          <w:highlight w:val="none"/>
        </w:rPr>
      </w:pPr>
    </w:p>
    <w:p w14:paraId="2294D6ED">
      <w:pPr>
        <w:spacing w:line="400" w:lineRule="exact"/>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ABEFAC9">
      <w:pPr>
        <w:widowControl/>
        <w:spacing w:line="400" w:lineRule="exact"/>
        <w:jc w:val="left"/>
        <w:rPr>
          <w:rFonts w:ascii="宋体" w:hAnsi="宋体"/>
          <w:color w:val="auto"/>
          <w:kern w:val="0"/>
          <w:sz w:val="20"/>
          <w:szCs w:val="21"/>
          <w:highlight w:val="none"/>
        </w:rPr>
        <w:sectPr>
          <w:pgSz w:w="11911" w:h="16838"/>
          <w:pgMar w:top="1417" w:right="1417" w:bottom="1417" w:left="1417" w:header="720" w:footer="720" w:gutter="0"/>
          <w:cols w:space="0" w:num="1"/>
          <w:docGrid w:linePitch="331" w:charSpace="0"/>
        </w:sectPr>
      </w:pPr>
    </w:p>
    <w:p w14:paraId="092B792D">
      <w:pPr>
        <w:pStyle w:val="3"/>
        <w:spacing w:before="120" w:after="120" w:line="500" w:lineRule="exact"/>
        <w:jc w:val="center"/>
        <w:rPr>
          <w:color w:val="auto"/>
          <w:highlight w:val="none"/>
        </w:rPr>
      </w:pPr>
      <w:bookmarkStart w:id="29" w:name="_Toc11561"/>
      <w:r>
        <w:rPr>
          <w:rFonts w:hint="eastAsia" w:ascii="Cambria" w:hAnsi="Cambria"/>
          <w:bCs w:val="0"/>
          <w:color w:val="auto"/>
          <w:sz w:val="32"/>
          <w:szCs w:val="32"/>
          <w:highlight w:val="none"/>
        </w:rPr>
        <w:t>第三章</w:t>
      </w:r>
      <w:r>
        <w:rPr>
          <w:rFonts w:ascii="Cambria" w:hAnsi="Cambria"/>
          <w:bCs w:val="0"/>
          <w:color w:val="auto"/>
          <w:sz w:val="32"/>
          <w:szCs w:val="32"/>
          <w:highlight w:val="none"/>
        </w:rPr>
        <w:t xml:space="preserve"> </w:t>
      </w:r>
      <w:r>
        <w:rPr>
          <w:rFonts w:hint="eastAsia" w:ascii="Cambria" w:hAnsi="Cambria"/>
          <w:bCs w:val="0"/>
          <w:color w:val="auto"/>
          <w:sz w:val="32"/>
          <w:szCs w:val="32"/>
          <w:highlight w:val="none"/>
        </w:rPr>
        <w:t>供应商须知</w:t>
      </w:r>
      <w:bookmarkEnd w:id="29"/>
    </w:p>
    <w:p w14:paraId="013E1F1C">
      <w:pPr>
        <w:pStyle w:val="4"/>
        <w:jc w:val="center"/>
        <w:rPr>
          <w:rFonts w:ascii="宋体" w:hAnsi="宋体"/>
          <w:b w:val="0"/>
          <w:color w:val="auto"/>
          <w:highlight w:val="none"/>
        </w:rPr>
      </w:pPr>
      <w:bookmarkStart w:id="30" w:name="_Toc25061"/>
      <w:r>
        <w:rPr>
          <w:rFonts w:hint="eastAsia" w:ascii="宋体" w:hAnsi="宋体"/>
          <w:b w:val="0"/>
          <w:color w:val="auto"/>
          <w:highlight w:val="none"/>
        </w:rPr>
        <w:t>第一节 供应商须知前附表</w:t>
      </w:r>
      <w:bookmarkEnd w:id="30"/>
    </w:p>
    <w:tbl>
      <w:tblPr>
        <w:tblStyle w:val="2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2394"/>
        <w:gridCol w:w="6046"/>
      </w:tblGrid>
      <w:tr w14:paraId="25CE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6FEB52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1289" w:type="pct"/>
            <w:tcBorders>
              <w:top w:val="single" w:color="000000" w:sz="4" w:space="0"/>
              <w:left w:val="single" w:color="000000" w:sz="4" w:space="0"/>
              <w:bottom w:val="single" w:color="000000" w:sz="4" w:space="0"/>
              <w:right w:val="single" w:color="000000" w:sz="4" w:space="0"/>
            </w:tcBorders>
            <w:vAlign w:val="center"/>
          </w:tcPr>
          <w:p w14:paraId="76F782AD">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3254" w:type="pct"/>
            <w:tcBorders>
              <w:top w:val="single" w:color="000000" w:sz="4" w:space="0"/>
              <w:left w:val="single" w:color="000000" w:sz="4" w:space="0"/>
              <w:bottom w:val="single" w:color="000000" w:sz="4" w:space="0"/>
              <w:right w:val="single" w:color="000000" w:sz="4" w:space="0"/>
            </w:tcBorders>
            <w:vAlign w:val="center"/>
          </w:tcPr>
          <w:p w14:paraId="5DC38362">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12A1F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65D1B3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1289" w:type="pct"/>
            <w:tcBorders>
              <w:top w:val="single" w:color="000000" w:sz="4" w:space="0"/>
              <w:left w:val="single" w:color="000000" w:sz="4" w:space="0"/>
              <w:bottom w:val="single" w:color="000000" w:sz="4" w:space="0"/>
              <w:right w:val="single" w:color="000000" w:sz="4" w:space="0"/>
            </w:tcBorders>
            <w:vAlign w:val="center"/>
          </w:tcPr>
          <w:p w14:paraId="2C7027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3254" w:type="pct"/>
            <w:tcBorders>
              <w:top w:val="single" w:color="000000" w:sz="4" w:space="0"/>
              <w:left w:val="single" w:color="000000" w:sz="4" w:space="0"/>
              <w:bottom w:val="single" w:color="000000" w:sz="4" w:space="0"/>
              <w:right w:val="single" w:color="000000" w:sz="4" w:space="0"/>
            </w:tcBorders>
          </w:tcPr>
          <w:p w14:paraId="06CA0E34">
            <w:pPr>
              <w:spacing w:line="360" w:lineRule="auto"/>
              <w:rPr>
                <w:rFonts w:ascii="宋体" w:hAnsi="宋体"/>
                <w:color w:val="auto"/>
                <w:szCs w:val="21"/>
                <w:highlight w:val="none"/>
              </w:rPr>
            </w:pPr>
            <w:r>
              <w:rPr>
                <w:rFonts w:hint="eastAsia" w:ascii="宋体" w:hAnsi="宋体"/>
                <w:color w:val="auto"/>
                <w:szCs w:val="21"/>
                <w:highlight w:val="none"/>
              </w:rPr>
              <w:t>供应商资格条件要求详见公告。</w:t>
            </w:r>
          </w:p>
        </w:tc>
      </w:tr>
      <w:tr w14:paraId="29B7B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05C505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89" w:type="pct"/>
            <w:tcBorders>
              <w:top w:val="single" w:color="000000" w:sz="4" w:space="0"/>
              <w:left w:val="single" w:color="000000" w:sz="4" w:space="0"/>
              <w:bottom w:val="single" w:color="000000" w:sz="4" w:space="0"/>
              <w:right w:val="single" w:color="000000" w:sz="4" w:space="0"/>
            </w:tcBorders>
            <w:vAlign w:val="center"/>
          </w:tcPr>
          <w:p w14:paraId="19C99A0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3254" w:type="pct"/>
            <w:tcBorders>
              <w:top w:val="single" w:color="000000" w:sz="4" w:space="0"/>
              <w:left w:val="single" w:color="000000" w:sz="4" w:space="0"/>
              <w:bottom w:val="single" w:color="000000" w:sz="4" w:space="0"/>
              <w:right w:val="single" w:color="000000" w:sz="4" w:space="0"/>
            </w:tcBorders>
            <w:vAlign w:val="center"/>
          </w:tcPr>
          <w:p w14:paraId="264E075B">
            <w:pPr>
              <w:spacing w:line="360" w:lineRule="auto"/>
              <w:rPr>
                <w:rFonts w:ascii="宋体" w:hAnsi="宋体" w:cs="宋体"/>
                <w:color w:val="auto"/>
                <w:szCs w:val="21"/>
                <w:highlight w:val="none"/>
              </w:rPr>
            </w:pPr>
            <w:bookmarkStart w:id="31" w:name="PO_3000001868_PM007"/>
            <w:r>
              <w:rPr>
                <w:rFonts w:hint="eastAsia" w:ascii="宋体" w:hAnsi="宋体"/>
                <w:color w:val="auto"/>
                <w:szCs w:val="21"/>
                <w:highlight w:val="none"/>
              </w:rPr>
              <w:t>不允许联合体</w:t>
            </w:r>
            <w:bookmarkEnd w:id="31"/>
            <w:r>
              <w:rPr>
                <w:rFonts w:hint="eastAsia" w:ascii="宋体" w:hAnsi="宋体"/>
                <w:color w:val="auto"/>
                <w:szCs w:val="21"/>
                <w:highlight w:val="none"/>
              </w:rPr>
              <w:t>竞标</w:t>
            </w:r>
          </w:p>
        </w:tc>
      </w:tr>
      <w:tr w14:paraId="46D86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6B53C9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89" w:type="pct"/>
            <w:tcBorders>
              <w:top w:val="single" w:color="000000" w:sz="4" w:space="0"/>
              <w:left w:val="single" w:color="000000" w:sz="4" w:space="0"/>
              <w:bottom w:val="single" w:color="000000" w:sz="4" w:space="0"/>
              <w:right w:val="single" w:color="000000" w:sz="4" w:space="0"/>
            </w:tcBorders>
            <w:vAlign w:val="center"/>
          </w:tcPr>
          <w:p w14:paraId="49D837A3">
            <w:pPr>
              <w:spacing w:line="360" w:lineRule="auto"/>
              <w:jc w:val="center"/>
              <w:rPr>
                <w:rFonts w:ascii="宋体" w:hAnsi="宋体" w:cs="宋体"/>
                <w:color w:val="auto"/>
                <w:szCs w:val="21"/>
                <w:highlight w:val="none"/>
              </w:rPr>
            </w:pPr>
            <w:r>
              <w:rPr>
                <w:rFonts w:hint="eastAsia" w:ascii="宋体" w:hAnsi="宋体"/>
                <w:color w:val="auto"/>
                <w:szCs w:val="21"/>
                <w:highlight w:val="none"/>
              </w:rPr>
              <w:t>联合体竞标要求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0DBDE716">
            <w:pPr>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25F7E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CD81E4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6.1</w:t>
            </w:r>
          </w:p>
        </w:tc>
        <w:tc>
          <w:tcPr>
            <w:tcW w:w="1289" w:type="pct"/>
            <w:tcBorders>
              <w:top w:val="single" w:color="000000" w:sz="4" w:space="0"/>
              <w:left w:val="single" w:color="000000" w:sz="4" w:space="0"/>
              <w:bottom w:val="single" w:color="000000" w:sz="4" w:space="0"/>
              <w:right w:val="single" w:color="000000" w:sz="4" w:space="0"/>
            </w:tcBorders>
            <w:vAlign w:val="center"/>
          </w:tcPr>
          <w:p w14:paraId="5178E94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3254" w:type="pct"/>
            <w:tcBorders>
              <w:top w:val="single" w:color="000000" w:sz="4" w:space="0"/>
              <w:left w:val="single" w:color="000000" w:sz="4" w:space="0"/>
              <w:bottom w:val="single" w:color="000000" w:sz="4" w:space="0"/>
              <w:right w:val="single" w:color="000000" w:sz="4" w:space="0"/>
            </w:tcBorders>
            <w:vAlign w:val="center"/>
          </w:tcPr>
          <w:p w14:paraId="7A4EACAB">
            <w:pPr>
              <w:spacing w:line="360" w:lineRule="auto"/>
              <w:rPr>
                <w:rFonts w:ascii="宋体" w:hAnsi="宋体" w:cs="宋体"/>
                <w:color w:val="auto"/>
                <w:kern w:val="0"/>
                <w:sz w:val="24"/>
                <w:szCs w:val="21"/>
                <w:highlight w:val="none"/>
              </w:rPr>
            </w:pPr>
            <w:bookmarkStart w:id="32" w:name="PO_3000001868_PM044"/>
            <w:r>
              <w:rPr>
                <w:rFonts w:hint="eastAsia" w:ascii="宋体" w:hAnsi="宋体"/>
                <w:color w:val="auto"/>
                <w:szCs w:val="21"/>
                <w:highlight w:val="none"/>
              </w:rPr>
              <w:t>不允许分包</w:t>
            </w:r>
            <w:bookmarkEnd w:id="32"/>
          </w:p>
        </w:tc>
      </w:tr>
      <w:tr w14:paraId="002AC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1FC85D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1289" w:type="pct"/>
            <w:tcBorders>
              <w:top w:val="single" w:color="000000" w:sz="4" w:space="0"/>
              <w:left w:val="single" w:color="000000" w:sz="4" w:space="0"/>
              <w:bottom w:val="single" w:color="000000" w:sz="4" w:space="0"/>
              <w:right w:val="single" w:color="000000" w:sz="4" w:space="0"/>
            </w:tcBorders>
            <w:vAlign w:val="center"/>
          </w:tcPr>
          <w:p w14:paraId="67110C04">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资格证明文件组成</w:t>
            </w:r>
          </w:p>
          <w:p w14:paraId="448F7D31">
            <w:pPr>
              <w:spacing w:line="360" w:lineRule="auto"/>
              <w:jc w:val="center"/>
              <w:rPr>
                <w:rFonts w:ascii="宋体" w:hAnsi="宋体" w:cs="宋体"/>
                <w:color w:val="auto"/>
                <w:szCs w:val="21"/>
                <w:highlight w:val="none"/>
              </w:rPr>
            </w:pPr>
          </w:p>
        </w:tc>
        <w:tc>
          <w:tcPr>
            <w:tcW w:w="3254" w:type="pct"/>
            <w:tcBorders>
              <w:top w:val="single" w:color="000000" w:sz="4" w:space="0"/>
              <w:left w:val="single" w:color="000000" w:sz="4" w:space="0"/>
              <w:bottom w:val="single" w:color="000000" w:sz="4" w:space="0"/>
              <w:right w:val="single" w:color="000000" w:sz="4" w:space="0"/>
            </w:tcBorders>
            <w:vAlign w:val="center"/>
          </w:tcPr>
          <w:p w14:paraId="062CC382">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bCs/>
                <w:color w:val="auto"/>
                <w:szCs w:val="21"/>
                <w:highlight w:val="none"/>
              </w:rPr>
              <w:t>（必须提供，否则响应文件按无效响应处理）</w:t>
            </w:r>
          </w:p>
          <w:p w14:paraId="74385E3D">
            <w:pPr>
              <w:snapToGrid w:val="0"/>
              <w:spacing w:line="360" w:lineRule="auto"/>
              <w:ind w:firstLine="411" w:firstLineChars="196"/>
              <w:jc w:val="left"/>
              <w:rPr>
                <w:rFonts w:ascii="宋体" w:hAnsi="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月至 2025年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从取得营业执照时间起到竞标文件提交截止时间为止不足要求月数的，只需提供从取得营业执照起的依法缴纳税收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5692D373">
            <w:pPr>
              <w:snapToGrid w:val="0"/>
              <w:spacing w:line="360" w:lineRule="auto"/>
              <w:ind w:firstLine="411" w:firstLineChars="196"/>
              <w:jc w:val="left"/>
              <w:rPr>
                <w:rFonts w:ascii="宋体" w:hAnsi="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 xml:space="preserve"> 2025年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月至 2025年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rPr>
              <w:t>月</w:t>
            </w:r>
            <w:r>
              <w:rPr>
                <w:rFonts w:hint="eastAsia" w:ascii="宋体" w:hAnsi="宋体" w:cs="宋体"/>
                <w:color w:val="auto"/>
                <w:szCs w:val="21"/>
                <w:highlight w:val="none"/>
              </w:rPr>
              <w:t>]]任意</w:t>
            </w:r>
            <w:r>
              <w:rPr>
                <w:rFonts w:hint="eastAsia" w:ascii="宋体" w:hAnsi="宋体" w:cs="宋体"/>
                <w:color w:val="auto"/>
                <w:szCs w:val="21"/>
                <w:highlight w:val="none"/>
                <w:u w:val="single"/>
              </w:rPr>
              <w:t>1</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从取得营业执照时间起到响应文件提交截止时间为止不足要求月数的只需提供从取得营业执照起的依法缴纳社会保障资金的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5551A9D1">
            <w:pPr>
              <w:snapToGrid w:val="0"/>
              <w:spacing w:line="360" w:lineRule="auto"/>
              <w:ind w:firstLine="411" w:firstLineChars="196"/>
              <w:jc w:val="left"/>
              <w:rPr>
                <w:rFonts w:ascii="宋体" w:hAnsi="宋体"/>
                <w:color w:val="auto"/>
                <w:szCs w:val="21"/>
                <w:highlight w:val="none"/>
                <w:shd w:val="clear" w:color="FFFFFF" w:fill="D9D9D9"/>
              </w:rPr>
            </w:pPr>
            <w:r>
              <w:rPr>
                <w:rFonts w:hint="eastAsia" w:ascii="宋体" w:hAnsi="宋体" w:cs="宋体"/>
                <w:color w:val="auto"/>
                <w:szCs w:val="21"/>
                <w:highlight w:val="none"/>
              </w:rPr>
              <w:t>4. 供应商财务状况报告：</w:t>
            </w:r>
            <w:r>
              <w:rPr>
                <w:rFonts w:hint="eastAsia" w:ascii="宋体" w:hAnsi="宋体" w:cs="宋体"/>
                <w:color w:val="auto"/>
                <w:szCs w:val="21"/>
                <w:highlight w:val="none"/>
                <w:lang w:bidi="ar"/>
              </w:rPr>
              <w:t>【2024年】</w:t>
            </w:r>
            <w:r>
              <w:rPr>
                <w:rFonts w:hint="eastAsia" w:ascii="宋体" w:hAnsi="宋体"/>
                <w:color w:val="auto"/>
                <w:szCs w:val="21"/>
                <w:highlight w:val="none"/>
              </w:rPr>
              <w:t>财务状况报告复印件；供应商成立不满一年的应按提供首次响应文件提交截止时间上一个月的财务状况报告复印件；（</w:t>
            </w:r>
            <w:r>
              <w:rPr>
                <w:rFonts w:hint="eastAsia" w:ascii="宋体" w:hAnsi="宋体"/>
                <w:b/>
                <w:color w:val="auto"/>
                <w:szCs w:val="21"/>
                <w:highlight w:val="none"/>
              </w:rPr>
              <w:t>必须提供，否则作无效竞标处理</w:t>
            </w:r>
            <w:r>
              <w:rPr>
                <w:rFonts w:hint="eastAsia" w:ascii="宋体" w:hAnsi="宋体"/>
                <w:color w:val="auto"/>
                <w:szCs w:val="21"/>
                <w:highlight w:val="none"/>
              </w:rPr>
              <w:t>）</w:t>
            </w:r>
          </w:p>
          <w:p w14:paraId="5A15238E">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99D3565">
            <w:pPr>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6.资格声明；（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99AB17A">
            <w:pPr>
              <w:snapToGrid w:val="0"/>
              <w:spacing w:line="360" w:lineRule="auto"/>
              <w:ind w:firstLine="411" w:firstLineChars="196"/>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bidi="ar"/>
              </w:rPr>
              <w:t>7</w:t>
            </w:r>
            <w:r>
              <w:rPr>
                <w:rFonts w:hint="eastAsia" w:ascii="宋体" w:hAnsi="宋体" w:cs="宋体"/>
                <w:color w:val="auto"/>
                <w:szCs w:val="21"/>
                <w:highlight w:val="none"/>
                <w:lang w:bidi="ar"/>
              </w:rPr>
              <w:t>.联合体协议书；（联合体竞标时必须提供，否则响应文件按无效响应处理）</w:t>
            </w:r>
          </w:p>
          <w:p w14:paraId="3F9E7B0B">
            <w:pPr>
              <w:snapToGrid w:val="0"/>
              <w:spacing w:line="360" w:lineRule="auto"/>
              <w:ind w:firstLine="411" w:firstLineChars="196"/>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r>
              <w:rPr>
                <w:rFonts w:hint="eastAsia" w:ascii="宋体" w:hAnsi="宋体" w:cs="宋体"/>
                <w:color w:val="auto"/>
                <w:szCs w:val="21"/>
                <w:highlight w:val="none"/>
                <w:lang w:val="en-US" w:eastAsia="zh-CN"/>
              </w:rPr>
              <w:t>。</w:t>
            </w:r>
          </w:p>
          <w:p w14:paraId="42D014DC">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注：</w:t>
            </w:r>
          </w:p>
          <w:p w14:paraId="7F9E8A61">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14:paraId="1760F00D">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2.联合体竞标时，第1-5项资格证明文件联合体各方均必须分别提供，联合体各方分别盖章和签字，否则响应文件按无效响应处理。</w:t>
            </w:r>
          </w:p>
        </w:tc>
      </w:tr>
      <w:tr w14:paraId="74E36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824F8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7702398D">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3EBBDB01">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F8161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965464E">
            <w:pPr>
              <w:spacing w:line="360" w:lineRule="auto"/>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3C7FEA7E">
            <w:pPr>
              <w:spacing w:line="360" w:lineRule="auto"/>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0F0780">
            <w:pPr>
              <w:spacing w:line="360" w:lineRule="auto"/>
              <w:rPr>
                <w:rFonts w:ascii="宋体" w:hAnsi="宋体" w:cs="宋体"/>
                <w:color w:val="auto"/>
                <w:szCs w:val="21"/>
                <w:highlight w:val="none"/>
              </w:rPr>
            </w:pPr>
            <w:r>
              <w:rPr>
                <w:rFonts w:hint="eastAsia" w:ascii="宋体" w:hAnsi="宋体" w:cs="宋体"/>
                <w:color w:val="auto"/>
                <w:szCs w:val="21"/>
                <w:highlight w:val="none"/>
              </w:rPr>
              <w:t>5.竞标人情况介绍；</w:t>
            </w:r>
          </w:p>
          <w:p w14:paraId="7B206928">
            <w:pPr>
              <w:spacing w:line="360" w:lineRule="auto"/>
              <w:rPr>
                <w:rFonts w:ascii="宋体" w:hAnsi="宋体" w:cs="宋体"/>
                <w:color w:val="auto"/>
                <w:szCs w:val="21"/>
                <w:highlight w:val="none"/>
              </w:rPr>
            </w:pPr>
            <w:r>
              <w:rPr>
                <w:rFonts w:hint="eastAsia" w:ascii="宋体" w:hAnsi="宋体" w:cs="宋体"/>
                <w:color w:val="auto"/>
                <w:szCs w:val="21"/>
                <w:highlight w:val="none"/>
              </w:rPr>
              <w:t>6.供应商认为需要提供的其他有关资料。</w:t>
            </w:r>
          </w:p>
          <w:p w14:paraId="241889AE">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66109B35">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5BB52DBD">
            <w:pP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2.以上标明“必须提供”的材料属于复印件的扫描件的，必须加盖供应商电子公章，否则响应文件按无效响应处理。</w:t>
            </w:r>
          </w:p>
        </w:tc>
      </w:tr>
      <w:tr w14:paraId="3B73D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418F6E4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6C13AD2E">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0CE14F50">
            <w:pPr>
              <w:spacing w:line="360" w:lineRule="auto"/>
              <w:rPr>
                <w:rFonts w:ascii="宋体" w:hAnsi="宋体" w:cs="宋体"/>
                <w:color w:val="auto"/>
                <w:szCs w:val="21"/>
                <w:highlight w:val="none"/>
              </w:rPr>
            </w:pPr>
            <w:r>
              <w:rPr>
                <w:rFonts w:hint="eastAsia" w:ascii="宋体" w:hAnsi="宋体" w:cs="宋体"/>
                <w:color w:val="auto"/>
                <w:szCs w:val="21"/>
                <w:highlight w:val="none"/>
              </w:rPr>
              <w:t>1.服务需求偏离表；（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8AB26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2.服务承诺；（</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6F873C9">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 xml:space="preserve">项目实施人员一览表； </w:t>
            </w:r>
          </w:p>
          <w:p w14:paraId="20164A60">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.对应采购需求的服务需求、商务条款提供的其他文件资料；</w:t>
            </w:r>
          </w:p>
          <w:p w14:paraId="29ACC2E5">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.供应商认为需要提供的其他有关资料。</w:t>
            </w:r>
          </w:p>
          <w:p w14:paraId="62BB3C0E">
            <w:pPr>
              <w:spacing w:line="360" w:lineRule="auto"/>
              <w:rPr>
                <w:rFonts w:ascii="宋体" w:hAnsi="宋体" w:cs="宋体"/>
                <w:color w:val="auto"/>
                <w:szCs w:val="21"/>
                <w:highlight w:val="none"/>
              </w:rPr>
            </w:pPr>
            <w:r>
              <w:rPr>
                <w:rFonts w:hint="eastAsia" w:ascii="宋体" w:hAnsi="宋体" w:cs="宋体"/>
                <w:b/>
                <w:color w:val="auto"/>
                <w:szCs w:val="21"/>
                <w:highlight w:val="none"/>
              </w:rPr>
              <w:t>注：1.以上标明“必须提供”的材料属于复印件的扫描件的，必须加盖供应商电子公章，否则响应文件按无效响应处理。</w:t>
            </w:r>
          </w:p>
        </w:tc>
      </w:tr>
      <w:tr w14:paraId="325DF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B7EFB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1289" w:type="pct"/>
            <w:tcBorders>
              <w:top w:val="single" w:color="000000" w:sz="4" w:space="0"/>
              <w:left w:val="single" w:color="000000" w:sz="4" w:space="0"/>
              <w:bottom w:val="single" w:color="000000" w:sz="4" w:space="0"/>
              <w:right w:val="single" w:color="000000" w:sz="4" w:space="0"/>
            </w:tcBorders>
            <w:vAlign w:val="center"/>
          </w:tcPr>
          <w:p w14:paraId="61A458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报价文件组成</w:t>
            </w:r>
          </w:p>
        </w:tc>
        <w:tc>
          <w:tcPr>
            <w:tcW w:w="3254" w:type="pct"/>
            <w:tcBorders>
              <w:top w:val="single" w:color="000000" w:sz="4" w:space="0"/>
              <w:left w:val="single" w:color="000000" w:sz="4" w:space="0"/>
              <w:bottom w:val="single" w:color="000000" w:sz="4" w:space="0"/>
              <w:right w:val="single" w:color="000000" w:sz="4" w:space="0"/>
            </w:tcBorders>
            <w:vAlign w:val="center"/>
          </w:tcPr>
          <w:p w14:paraId="4BB3768F">
            <w:pPr>
              <w:spacing w:line="360" w:lineRule="auto"/>
              <w:rPr>
                <w:color w:val="auto"/>
                <w:highlight w:val="none"/>
              </w:rPr>
            </w:pPr>
            <w:r>
              <w:rPr>
                <w:rFonts w:hint="eastAsia"/>
                <w:color w:val="auto"/>
                <w:highlight w:val="none"/>
              </w:rPr>
              <w:t>1.响应函；</w:t>
            </w:r>
            <w:r>
              <w:rPr>
                <w:rFonts w:hint="eastAsia"/>
                <w:b/>
                <w:bCs/>
                <w:color w:val="auto"/>
                <w:highlight w:val="none"/>
              </w:rPr>
              <w:t>（必须提供，否则作无效响应处理）</w:t>
            </w:r>
          </w:p>
          <w:p w14:paraId="2D0B9E61">
            <w:pPr>
              <w:spacing w:line="360" w:lineRule="auto"/>
              <w:rPr>
                <w:color w:val="auto"/>
                <w:highlight w:val="none"/>
              </w:rPr>
            </w:pPr>
            <w:r>
              <w:rPr>
                <w:rFonts w:hint="eastAsia"/>
                <w:color w:val="auto"/>
                <w:highlight w:val="none"/>
              </w:rPr>
              <w:t>2.响应报价表；</w:t>
            </w:r>
            <w:r>
              <w:rPr>
                <w:rFonts w:hint="eastAsia"/>
                <w:b/>
                <w:bCs/>
                <w:color w:val="auto"/>
                <w:highlight w:val="none"/>
              </w:rPr>
              <w:t>（必须提供，否则响应文件按无效响应处理）</w:t>
            </w:r>
          </w:p>
          <w:p w14:paraId="266CD721">
            <w:pPr>
              <w:spacing w:line="360" w:lineRule="auto"/>
              <w:rPr>
                <w:color w:val="auto"/>
                <w:highlight w:val="none"/>
              </w:rPr>
            </w:pPr>
            <w:r>
              <w:rPr>
                <w:rFonts w:hint="eastAsia" w:ascii="宋体" w:hAnsi="宋体"/>
                <w:color w:val="auto"/>
                <w:szCs w:val="21"/>
                <w:highlight w:val="none"/>
              </w:rPr>
              <w:t>3.供应商针对报价需要说明的其他文件和说明（格式自拟）。</w:t>
            </w:r>
          </w:p>
        </w:tc>
      </w:tr>
      <w:tr w14:paraId="1A3EF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9D2F5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12.2</w:t>
            </w:r>
          </w:p>
        </w:tc>
        <w:tc>
          <w:tcPr>
            <w:tcW w:w="1289" w:type="pct"/>
            <w:tcBorders>
              <w:top w:val="single" w:color="000000" w:sz="4" w:space="0"/>
              <w:left w:val="single" w:color="000000" w:sz="4" w:space="0"/>
              <w:bottom w:val="single" w:color="000000" w:sz="4" w:space="0"/>
              <w:right w:val="single" w:color="000000" w:sz="4" w:space="0"/>
            </w:tcBorders>
            <w:vAlign w:val="center"/>
          </w:tcPr>
          <w:p w14:paraId="0BFF4F8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69E650B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2AFA6184">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46F42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16D223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1289" w:type="pct"/>
            <w:tcBorders>
              <w:top w:val="single" w:color="000000" w:sz="4" w:space="0"/>
              <w:left w:val="single" w:color="000000" w:sz="4" w:space="0"/>
              <w:bottom w:val="single" w:color="000000" w:sz="4" w:space="0"/>
              <w:right w:val="single" w:color="000000" w:sz="4" w:space="0"/>
            </w:tcBorders>
            <w:vAlign w:val="center"/>
          </w:tcPr>
          <w:p w14:paraId="3A52624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3254" w:type="pct"/>
            <w:tcBorders>
              <w:top w:val="single" w:color="000000" w:sz="4" w:space="0"/>
              <w:left w:val="single" w:color="000000" w:sz="4" w:space="0"/>
              <w:bottom w:val="single" w:color="000000" w:sz="4" w:space="0"/>
              <w:right w:val="single" w:color="000000" w:sz="4" w:space="0"/>
            </w:tcBorders>
            <w:vAlign w:val="center"/>
          </w:tcPr>
          <w:p w14:paraId="0750527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14:paraId="7E4A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100BC91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16.2</w:t>
            </w:r>
          </w:p>
        </w:tc>
        <w:tc>
          <w:tcPr>
            <w:tcW w:w="1289" w:type="pct"/>
            <w:tcBorders>
              <w:top w:val="single" w:color="000000" w:sz="4" w:space="0"/>
              <w:left w:val="single" w:color="000000" w:sz="4" w:space="0"/>
              <w:bottom w:val="single" w:color="000000" w:sz="4" w:space="0"/>
              <w:right w:val="single" w:color="000000" w:sz="4" w:space="0"/>
            </w:tcBorders>
            <w:vAlign w:val="center"/>
          </w:tcPr>
          <w:p w14:paraId="57DEEE4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3254" w:type="pct"/>
            <w:tcBorders>
              <w:top w:val="single" w:color="000000" w:sz="4" w:space="0"/>
              <w:left w:val="single" w:color="000000" w:sz="4" w:space="0"/>
              <w:bottom w:val="single" w:color="000000" w:sz="4" w:space="0"/>
              <w:right w:val="single" w:color="000000" w:sz="4" w:space="0"/>
            </w:tcBorders>
            <w:vAlign w:val="center"/>
          </w:tcPr>
          <w:p w14:paraId="196EDD88">
            <w:pPr>
              <w:snapToGrid w:val="0"/>
              <w:spacing w:after="120" w:line="360" w:lineRule="auto"/>
              <w:rPr>
                <w:rFonts w:ascii="宋体" w:hAnsi="宋体" w:cs="宋体"/>
                <w:color w:val="auto"/>
                <w:szCs w:val="21"/>
                <w:highlight w:val="none"/>
              </w:rPr>
            </w:pPr>
            <w:r>
              <w:rPr>
                <w:rFonts w:hint="eastAsia" w:ascii="宋体" w:hAnsi="宋体" w:cs="宋体"/>
                <w:color w:val="auto"/>
                <w:szCs w:val="21"/>
                <w:highlight w:val="none"/>
              </w:rPr>
              <w:t>自首次响应文件提交截止之日起</w:t>
            </w:r>
            <w:bookmarkStart w:id="33" w:name="PO_3000001868_PM046"/>
            <w:r>
              <w:rPr>
                <w:rFonts w:hint="eastAsia" w:ascii="宋体" w:hAnsi="宋体" w:cs="宋体"/>
                <w:color w:val="auto"/>
                <w:szCs w:val="21"/>
                <w:highlight w:val="none"/>
                <w:u w:val="single"/>
              </w:rPr>
              <w:t>90</w:t>
            </w:r>
            <w:bookmarkEnd w:id="33"/>
            <w:r>
              <w:rPr>
                <w:rFonts w:hint="eastAsia" w:ascii="宋体" w:hAnsi="宋体" w:cs="宋体"/>
                <w:color w:val="auto"/>
                <w:szCs w:val="21"/>
                <w:highlight w:val="none"/>
              </w:rPr>
              <w:t>日。</w:t>
            </w:r>
          </w:p>
        </w:tc>
      </w:tr>
      <w:tr w14:paraId="62F19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5E138C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289" w:type="pct"/>
            <w:tcBorders>
              <w:top w:val="single" w:color="000000" w:sz="4" w:space="0"/>
              <w:left w:val="single" w:color="000000" w:sz="4" w:space="0"/>
              <w:bottom w:val="single" w:color="000000" w:sz="4" w:space="0"/>
              <w:right w:val="single" w:color="000000" w:sz="4" w:space="0"/>
            </w:tcBorders>
            <w:vAlign w:val="center"/>
          </w:tcPr>
          <w:p w14:paraId="132E694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15B5B3D0">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本项目不收取磋商保证金。</w:t>
            </w:r>
          </w:p>
        </w:tc>
      </w:tr>
      <w:tr w14:paraId="1487D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11A5C9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289" w:type="pct"/>
            <w:tcBorders>
              <w:top w:val="single" w:color="000000" w:sz="4" w:space="0"/>
              <w:left w:val="single" w:color="000000" w:sz="4" w:space="0"/>
              <w:bottom w:val="single" w:color="000000" w:sz="4" w:space="0"/>
              <w:right w:val="single" w:color="000000" w:sz="4" w:space="0"/>
            </w:tcBorders>
            <w:vAlign w:val="center"/>
          </w:tcPr>
          <w:p w14:paraId="7C986B3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28E00DF">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5AE35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5A173FA">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0C10FC7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3254" w:type="pct"/>
            <w:tcBorders>
              <w:top w:val="single" w:color="000000" w:sz="4" w:space="0"/>
              <w:left w:val="single" w:color="000000" w:sz="4" w:space="0"/>
              <w:bottom w:val="single" w:color="000000" w:sz="4" w:space="0"/>
              <w:right w:val="single" w:color="000000" w:sz="4" w:space="0"/>
            </w:tcBorders>
            <w:vAlign w:val="center"/>
          </w:tcPr>
          <w:p w14:paraId="7A20EB06">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03C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54A02DD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20.6</w:t>
            </w:r>
          </w:p>
        </w:tc>
        <w:tc>
          <w:tcPr>
            <w:tcW w:w="1289" w:type="pct"/>
            <w:tcBorders>
              <w:top w:val="single" w:color="000000" w:sz="4" w:space="0"/>
              <w:left w:val="single" w:color="000000" w:sz="4" w:space="0"/>
              <w:bottom w:val="single" w:color="000000" w:sz="4" w:space="0"/>
              <w:right w:val="single" w:color="000000" w:sz="4" w:space="0"/>
            </w:tcBorders>
            <w:vAlign w:val="center"/>
          </w:tcPr>
          <w:p w14:paraId="2E28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3254" w:type="pct"/>
            <w:tcBorders>
              <w:top w:val="single" w:color="000000" w:sz="4" w:space="0"/>
              <w:left w:val="single" w:color="000000" w:sz="4" w:space="0"/>
              <w:bottom w:val="single" w:color="000000" w:sz="4" w:space="0"/>
              <w:right w:val="single" w:color="000000" w:sz="4" w:space="0"/>
            </w:tcBorders>
            <w:vAlign w:val="center"/>
          </w:tcPr>
          <w:p w14:paraId="6EE2E386">
            <w:pPr>
              <w:snapToGrid w:val="0"/>
              <w:spacing w:line="360" w:lineRule="auto"/>
              <w:jc w:val="left"/>
              <w:rPr>
                <w:rFonts w:ascii="宋体" w:hAnsi="宋体" w:cs="宋体"/>
                <w:color w:val="auto"/>
                <w:szCs w:val="21"/>
                <w:highlight w:val="none"/>
              </w:rPr>
            </w:pPr>
            <w:r>
              <w:rPr>
                <w:rFonts w:hint="eastAsia" w:ascii="宋体" w:hAnsi="宋体"/>
                <w:color w:val="auto"/>
                <w:szCs w:val="21"/>
                <w:highlight w:val="none"/>
              </w:rPr>
              <w:t>本项目不接受备份响应文件。</w:t>
            </w:r>
          </w:p>
        </w:tc>
      </w:tr>
      <w:tr w14:paraId="20FFA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34D4D01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1289" w:type="pct"/>
            <w:tcBorders>
              <w:top w:val="single" w:color="000000" w:sz="4" w:space="0"/>
              <w:left w:val="single" w:color="000000" w:sz="4" w:space="0"/>
              <w:bottom w:val="single" w:color="000000" w:sz="4" w:space="0"/>
              <w:right w:val="single" w:color="000000" w:sz="4" w:space="0"/>
            </w:tcBorders>
            <w:vAlign w:val="center"/>
          </w:tcPr>
          <w:p w14:paraId="3FA3C5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3254" w:type="pct"/>
            <w:tcBorders>
              <w:top w:val="single" w:color="000000" w:sz="4" w:space="0"/>
              <w:left w:val="single" w:color="000000" w:sz="4" w:space="0"/>
              <w:bottom w:val="single" w:color="000000" w:sz="4" w:space="0"/>
              <w:right w:val="single" w:color="000000" w:sz="4" w:space="0"/>
            </w:tcBorders>
            <w:vAlign w:val="center"/>
          </w:tcPr>
          <w:p w14:paraId="2FC837F4">
            <w:pPr>
              <w:snapToGrid w:val="0"/>
              <w:spacing w:line="360" w:lineRule="auto"/>
              <w:jc w:val="left"/>
              <w:rPr>
                <w:rFonts w:ascii="宋体" w:hAnsi="宋体"/>
                <w:color w:val="auto"/>
                <w:szCs w:val="21"/>
                <w:highlight w:val="none"/>
              </w:rPr>
            </w:pPr>
            <w:r>
              <w:rPr>
                <w:rFonts w:hint="eastAsia" w:ascii="宋体" w:hAnsi="宋体" w:cs="宋体"/>
                <w:color w:val="auto"/>
                <w:szCs w:val="21"/>
                <w:highlight w:val="none"/>
              </w:rPr>
              <w:t>详见竞争性磋商公告。</w:t>
            </w:r>
          </w:p>
        </w:tc>
      </w:tr>
      <w:tr w14:paraId="23BF9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C4C63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26.2</w:t>
            </w:r>
          </w:p>
        </w:tc>
        <w:tc>
          <w:tcPr>
            <w:tcW w:w="1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BB42">
            <w:pPr>
              <w:snapToGrid w:val="0"/>
              <w:spacing w:line="360" w:lineRule="auto"/>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磋商的顺序</w:t>
            </w:r>
          </w:p>
        </w:tc>
        <w:tc>
          <w:tcPr>
            <w:tcW w:w="3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6ECE">
            <w:pPr>
              <w:pStyle w:val="6"/>
              <w:widowControl/>
              <w:numPr>
                <w:ilvl w:val="0"/>
                <w:numId w:val="0"/>
              </w:numPr>
              <w:tabs>
                <w:tab w:val="left" w:pos="454"/>
                <w:tab w:val="left" w:pos="720"/>
                <w:tab w:val="left" w:pos="840"/>
              </w:tabs>
              <w:spacing w:after="120" w:afterLines="50" w:line="360" w:lineRule="auto"/>
              <w:ind w:left="360" w:hanging="360"/>
              <w:jc w:val="left"/>
              <w:rPr>
                <w:rFonts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53FBEA11">
            <w:pPr>
              <w:snapToGrid w:val="0"/>
              <w:spacing w:line="360" w:lineRule="auto"/>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随机排序。本项目为电子标，所有响应单位在规定的时间内统一进行磋商报价。</w:t>
            </w:r>
          </w:p>
        </w:tc>
      </w:tr>
      <w:tr w14:paraId="0BD6B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0A08C3B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28</w:t>
            </w:r>
          </w:p>
        </w:tc>
        <w:tc>
          <w:tcPr>
            <w:tcW w:w="1289" w:type="pct"/>
            <w:tcBorders>
              <w:top w:val="single" w:color="000000" w:sz="4" w:space="0"/>
              <w:left w:val="single" w:color="000000" w:sz="4" w:space="0"/>
              <w:bottom w:val="single" w:color="000000" w:sz="4" w:space="0"/>
              <w:right w:val="single" w:color="000000" w:sz="4" w:space="0"/>
            </w:tcBorders>
            <w:vAlign w:val="center"/>
          </w:tcPr>
          <w:p w14:paraId="2E54773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3254" w:type="pct"/>
            <w:tcBorders>
              <w:top w:val="single" w:color="000000" w:sz="4" w:space="0"/>
              <w:left w:val="single" w:color="000000" w:sz="4" w:space="0"/>
              <w:bottom w:val="single" w:color="000000" w:sz="4" w:space="0"/>
              <w:right w:val="single" w:color="000000" w:sz="4" w:space="0"/>
            </w:tcBorders>
            <w:vAlign w:val="center"/>
          </w:tcPr>
          <w:p w14:paraId="7DDE5852">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01744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65D70BD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29.5</w:t>
            </w:r>
          </w:p>
        </w:tc>
        <w:tc>
          <w:tcPr>
            <w:tcW w:w="1289" w:type="pct"/>
            <w:tcBorders>
              <w:top w:val="single" w:color="000000" w:sz="4" w:space="0"/>
              <w:left w:val="single" w:color="000000" w:sz="4" w:space="0"/>
              <w:bottom w:val="single" w:color="000000" w:sz="4" w:space="0"/>
              <w:right w:val="single" w:color="000000" w:sz="4" w:space="0"/>
            </w:tcBorders>
            <w:vAlign w:val="center"/>
          </w:tcPr>
          <w:p w14:paraId="0C1ECC54">
            <w:pPr>
              <w:spacing w:line="360" w:lineRule="auto"/>
              <w:jc w:val="center"/>
              <w:rPr>
                <w:rFonts w:ascii="宋体" w:hAnsi="宋体" w:cs="宋体"/>
                <w:color w:val="auto"/>
                <w:szCs w:val="21"/>
                <w:highlight w:val="none"/>
              </w:rPr>
            </w:pPr>
            <w:r>
              <w:rPr>
                <w:rFonts w:hint="eastAsia" w:ascii="宋体" w:hAnsi="宋体"/>
                <w:color w:val="auto"/>
                <w:szCs w:val="21"/>
                <w:highlight w:val="none"/>
              </w:rPr>
              <w:t>签订合同携带的材料</w:t>
            </w:r>
          </w:p>
        </w:tc>
        <w:tc>
          <w:tcPr>
            <w:tcW w:w="3254" w:type="pct"/>
            <w:tcBorders>
              <w:top w:val="single" w:color="000000" w:sz="4" w:space="0"/>
              <w:left w:val="single" w:color="000000" w:sz="4" w:space="0"/>
              <w:bottom w:val="single" w:color="000000" w:sz="4" w:space="0"/>
              <w:right w:val="single" w:color="000000" w:sz="4" w:space="0"/>
            </w:tcBorders>
            <w:vAlign w:val="center"/>
          </w:tcPr>
          <w:p w14:paraId="3EE18C50">
            <w:pPr>
              <w:snapToGrid w:val="0"/>
              <w:spacing w:line="360" w:lineRule="auto"/>
              <w:rPr>
                <w:rFonts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4237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restart"/>
            <w:tcBorders>
              <w:top w:val="single" w:color="000000" w:sz="4" w:space="0"/>
              <w:left w:val="single" w:color="000000" w:sz="4" w:space="0"/>
              <w:bottom w:val="single" w:color="000000" w:sz="4" w:space="0"/>
              <w:right w:val="single" w:color="000000" w:sz="4" w:space="0"/>
            </w:tcBorders>
            <w:vAlign w:val="center"/>
          </w:tcPr>
          <w:p w14:paraId="471571A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31.2</w:t>
            </w:r>
          </w:p>
        </w:tc>
        <w:tc>
          <w:tcPr>
            <w:tcW w:w="1289" w:type="pct"/>
            <w:tcBorders>
              <w:top w:val="single" w:color="000000" w:sz="4" w:space="0"/>
              <w:left w:val="single" w:color="000000" w:sz="4" w:space="0"/>
              <w:bottom w:val="single" w:color="000000" w:sz="4" w:space="0"/>
              <w:right w:val="single" w:color="000000" w:sz="4" w:space="0"/>
            </w:tcBorders>
            <w:vAlign w:val="center"/>
          </w:tcPr>
          <w:p w14:paraId="1433C2CB">
            <w:pPr>
              <w:spacing w:line="380" w:lineRule="exact"/>
              <w:jc w:val="center"/>
              <w:rPr>
                <w:rFonts w:ascii="宋体" w:hAnsi="宋体"/>
                <w:color w:val="auto"/>
                <w:szCs w:val="21"/>
                <w:highlight w:val="none"/>
              </w:rPr>
            </w:pPr>
            <w:r>
              <w:rPr>
                <w:rFonts w:hint="eastAsia" w:ascii="宋体" w:hAnsi="宋体"/>
                <w:color w:val="auto"/>
                <w:szCs w:val="21"/>
                <w:highlight w:val="none"/>
              </w:rPr>
              <w:t>接收质疑函方式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31488AFB">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4740F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69F9821E">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7385A4CD">
            <w:pPr>
              <w:spacing w:line="380" w:lineRule="exact"/>
              <w:jc w:val="center"/>
              <w:rPr>
                <w:rFonts w:ascii="宋体" w:hAnsi="宋体"/>
                <w:color w:val="auto"/>
                <w:szCs w:val="21"/>
                <w:highlight w:val="none"/>
              </w:rPr>
            </w:pPr>
            <w:r>
              <w:rPr>
                <w:rFonts w:hint="eastAsia" w:ascii="宋体" w:hAnsi="宋体"/>
                <w:color w:val="auto"/>
                <w:szCs w:val="21"/>
                <w:highlight w:val="none"/>
              </w:rPr>
              <w:t>质疑联系部门及联系方式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10A3860E">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u w:val="single"/>
              </w:rPr>
              <w:t xml:space="preserve">（1）广西机电设备招标有限公司 </w:t>
            </w:r>
            <w:r>
              <w:rPr>
                <w:rFonts w:hint="eastAsia" w:ascii="宋体" w:hAnsi="宋体"/>
                <w:color w:val="auto"/>
                <w:szCs w:val="21"/>
                <w:highlight w:val="none"/>
              </w:rPr>
              <w:t>部门；</w:t>
            </w:r>
          </w:p>
          <w:p w14:paraId="0ECDD14D">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rPr>
              <w:t>联系电话：0771-2808981，</w:t>
            </w:r>
          </w:p>
          <w:p w14:paraId="37E9252D">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南宁市青秀区金湖路63号金源CBD现代城7层</w:t>
            </w:r>
          </w:p>
          <w:p w14:paraId="6F93ECC5">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南宁市财政局</w:t>
            </w:r>
            <w:r>
              <w:rPr>
                <w:rFonts w:hint="eastAsia" w:ascii="宋体" w:hAnsi="宋体"/>
                <w:color w:val="auto"/>
                <w:szCs w:val="21"/>
                <w:highlight w:val="none"/>
                <w:u w:val="single"/>
              </w:rPr>
              <w:t xml:space="preserve">  </w:t>
            </w:r>
            <w:r>
              <w:rPr>
                <w:rFonts w:hint="eastAsia" w:ascii="宋体" w:hAnsi="宋体"/>
                <w:color w:val="auto"/>
                <w:szCs w:val="21"/>
                <w:highlight w:val="none"/>
              </w:rPr>
              <w:t>部门；</w:t>
            </w:r>
          </w:p>
          <w:p w14:paraId="78E75E28">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rPr>
              <w:t>联系电话：0771-5530512</w:t>
            </w:r>
          </w:p>
          <w:p w14:paraId="5D814F53">
            <w:pPr>
              <w:widowControl/>
              <w:shd w:val="clear" w:color="auto" w:fill="FFFFFF"/>
              <w:snapToGrid/>
              <w:spacing w:line="400" w:lineRule="exact"/>
              <w:jc w:val="lef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s="宋体"/>
                <w:color w:val="auto"/>
                <w:kern w:val="0"/>
                <w:szCs w:val="21"/>
                <w:highlight w:val="none"/>
              </w:rPr>
              <w:t>南宁市青秀区东葛路129号</w:t>
            </w:r>
          </w:p>
        </w:tc>
      </w:tr>
      <w:tr w14:paraId="60DA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455" w:type="pct"/>
            <w:vMerge w:val="continue"/>
            <w:tcBorders>
              <w:top w:val="single" w:color="000000" w:sz="4" w:space="0"/>
              <w:left w:val="single" w:color="000000" w:sz="4" w:space="0"/>
              <w:bottom w:val="single" w:color="000000" w:sz="4" w:space="0"/>
              <w:right w:val="single" w:color="000000" w:sz="4" w:space="0"/>
            </w:tcBorders>
            <w:vAlign w:val="center"/>
          </w:tcPr>
          <w:p w14:paraId="53DAD878">
            <w:pPr>
              <w:widowControl/>
              <w:jc w:val="left"/>
              <w:rPr>
                <w:rFonts w:ascii="宋体" w:hAnsi="宋体" w:cs="宋体"/>
                <w:color w:val="auto"/>
                <w:szCs w:val="21"/>
                <w:highlight w:val="none"/>
              </w:rPr>
            </w:pPr>
          </w:p>
        </w:tc>
        <w:tc>
          <w:tcPr>
            <w:tcW w:w="1289" w:type="pct"/>
            <w:tcBorders>
              <w:top w:val="single" w:color="000000" w:sz="4" w:space="0"/>
              <w:left w:val="single" w:color="000000" w:sz="4" w:space="0"/>
              <w:bottom w:val="single" w:color="000000" w:sz="4" w:space="0"/>
              <w:right w:val="single" w:color="000000" w:sz="4" w:space="0"/>
            </w:tcBorders>
            <w:vAlign w:val="center"/>
          </w:tcPr>
          <w:p w14:paraId="5FF2D541">
            <w:pPr>
              <w:spacing w:line="380" w:lineRule="exact"/>
              <w:jc w:val="center"/>
              <w:rPr>
                <w:rFonts w:ascii="宋体" w:hAnsi="宋体"/>
                <w:color w:val="auto"/>
                <w:szCs w:val="21"/>
                <w:highlight w:val="none"/>
              </w:rPr>
            </w:pPr>
            <w:r>
              <w:rPr>
                <w:rFonts w:hint="eastAsia" w:hAnsi="宋体"/>
                <w:color w:val="auto"/>
                <w:highlight w:val="none"/>
              </w:rPr>
              <w:t>现场提交质疑办理业务时间</w:t>
            </w:r>
          </w:p>
        </w:tc>
        <w:tc>
          <w:tcPr>
            <w:tcW w:w="3254" w:type="pct"/>
            <w:tcBorders>
              <w:top w:val="single" w:color="000000" w:sz="4" w:space="0"/>
              <w:left w:val="single" w:color="000000" w:sz="4" w:space="0"/>
              <w:bottom w:val="single" w:color="000000" w:sz="4" w:space="0"/>
              <w:right w:val="single" w:color="000000" w:sz="4" w:space="0"/>
            </w:tcBorders>
            <w:vAlign w:val="center"/>
          </w:tcPr>
          <w:p w14:paraId="340F99C7">
            <w:pPr>
              <w:snapToGrid w:val="0"/>
              <w:spacing w:line="380" w:lineRule="exact"/>
              <w:rPr>
                <w:rFonts w:ascii="宋体" w:hAnsi="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9时00分到11时30分，15时00分到17 时30分</w:t>
            </w:r>
          </w:p>
        </w:tc>
      </w:tr>
      <w:tr w14:paraId="32B32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E6081E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31.6</w:t>
            </w:r>
          </w:p>
        </w:tc>
        <w:tc>
          <w:tcPr>
            <w:tcW w:w="1289" w:type="pct"/>
            <w:tcBorders>
              <w:top w:val="single" w:color="000000" w:sz="4" w:space="0"/>
              <w:left w:val="single" w:color="000000" w:sz="4" w:space="0"/>
              <w:bottom w:val="single" w:color="000000" w:sz="4" w:space="0"/>
              <w:right w:val="single" w:color="000000" w:sz="4" w:space="0"/>
            </w:tcBorders>
            <w:vAlign w:val="center"/>
          </w:tcPr>
          <w:p w14:paraId="1B81D32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3254" w:type="pct"/>
            <w:tcBorders>
              <w:top w:val="single" w:color="000000" w:sz="4" w:space="0"/>
              <w:left w:val="single" w:color="000000" w:sz="4" w:space="0"/>
              <w:bottom w:val="single" w:color="000000" w:sz="4" w:space="0"/>
              <w:right w:val="single" w:color="000000" w:sz="4" w:space="0"/>
            </w:tcBorders>
            <w:vAlign w:val="center"/>
          </w:tcPr>
          <w:p w14:paraId="0F67F148">
            <w:pPr>
              <w:snapToGrid w:val="0"/>
              <w:spacing w:line="380" w:lineRule="exact"/>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33037B9D">
            <w:pPr>
              <w:snapToGrid w:val="0"/>
              <w:spacing w:line="380" w:lineRule="exact"/>
              <w:rPr>
                <w:rFonts w:ascii="宋体" w:hAnsi="宋体" w:cs="宋体"/>
                <w:color w:val="auto"/>
                <w:highlight w:val="none"/>
              </w:rPr>
            </w:pPr>
            <w:r>
              <w:rPr>
                <w:rFonts w:hint="eastAsia" w:ascii="宋体" w:hAnsi="宋体" w:cs="宋体"/>
                <w:color w:val="auto"/>
                <w:highlight w:val="none"/>
              </w:rPr>
              <w:t>2、邮寄地址：</w:t>
            </w:r>
            <w:bookmarkStart w:id="34" w:name="PO_3000001868_PM038"/>
          </w:p>
          <w:bookmarkEnd w:id="34"/>
          <w:p w14:paraId="63E3838D">
            <w:pPr>
              <w:snapToGrid w:val="0"/>
              <w:spacing w:line="380" w:lineRule="exact"/>
              <w:rPr>
                <w:rFonts w:ascii="宋体" w:hAnsi="宋体" w:cs="宋体"/>
                <w:color w:val="auto"/>
                <w:highlight w:val="none"/>
              </w:rPr>
            </w:pPr>
            <w:r>
              <w:rPr>
                <w:rFonts w:hint="eastAsia" w:ascii="宋体" w:hAnsi="宋体" w:cs="宋体"/>
                <w:color w:val="auto"/>
                <w:highlight w:val="none"/>
              </w:rPr>
              <w:t>名称：南宁市财政局政府采购监督管理科</w:t>
            </w:r>
          </w:p>
          <w:p w14:paraId="4503B044">
            <w:pPr>
              <w:snapToGrid w:val="0"/>
              <w:spacing w:line="380" w:lineRule="exact"/>
              <w:rPr>
                <w:rFonts w:ascii="宋体" w:hAnsi="宋体" w:cs="宋体"/>
                <w:color w:val="auto"/>
                <w:highlight w:val="none"/>
              </w:rPr>
            </w:pPr>
            <w:r>
              <w:rPr>
                <w:rFonts w:hint="eastAsia" w:ascii="宋体" w:hAnsi="宋体" w:cs="宋体"/>
                <w:color w:val="auto"/>
                <w:highlight w:val="none"/>
              </w:rPr>
              <w:t>地址：</w:t>
            </w:r>
            <w:bookmarkStart w:id="35" w:name="PO_3000001866_PM039"/>
            <w:r>
              <w:rPr>
                <w:rFonts w:hint="eastAsia" w:hAnsi="宋体"/>
                <w:color w:val="auto"/>
                <w:highlight w:val="none"/>
              </w:rPr>
              <w:t>南宁市青秀区东葛路129号</w:t>
            </w:r>
            <w:bookmarkEnd w:id="35"/>
          </w:p>
          <w:p w14:paraId="6D0364CE">
            <w:pPr>
              <w:snapToGrid w:val="0"/>
              <w:spacing w:line="380" w:lineRule="exact"/>
              <w:rPr>
                <w:rFonts w:hAnsi="宋体" w:cs="宋体"/>
                <w:color w:val="auto"/>
                <w:highlight w:val="none"/>
              </w:rPr>
            </w:pPr>
            <w:r>
              <w:rPr>
                <w:rFonts w:hint="eastAsia" w:ascii="宋体" w:hAnsi="宋体" w:cs="宋体"/>
                <w:color w:val="auto"/>
                <w:highlight w:val="none"/>
              </w:rPr>
              <w:t>联系电话：</w:t>
            </w:r>
            <w:bookmarkStart w:id="36" w:name="PO_3000001866_PM038_1"/>
            <w:r>
              <w:rPr>
                <w:rFonts w:hint="eastAsia" w:hAnsi="宋体"/>
                <w:color w:val="auto"/>
                <w:highlight w:val="none"/>
              </w:rPr>
              <w:t>0771-2189091</w:t>
            </w:r>
            <w:bookmarkEnd w:id="36"/>
          </w:p>
        </w:tc>
      </w:tr>
      <w:tr w14:paraId="2F697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7AC507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89" w:type="pct"/>
            <w:tcBorders>
              <w:top w:val="single" w:color="000000" w:sz="4" w:space="0"/>
              <w:left w:val="single" w:color="000000" w:sz="4" w:space="0"/>
              <w:bottom w:val="single" w:color="000000" w:sz="4" w:space="0"/>
              <w:right w:val="single" w:color="000000" w:sz="4" w:space="0"/>
            </w:tcBorders>
            <w:vAlign w:val="center"/>
          </w:tcPr>
          <w:p w14:paraId="268E793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3254" w:type="pct"/>
            <w:tcBorders>
              <w:top w:val="single" w:color="000000" w:sz="4" w:space="0"/>
              <w:left w:val="single" w:color="000000" w:sz="4" w:space="0"/>
              <w:bottom w:val="single" w:color="000000" w:sz="4" w:space="0"/>
              <w:right w:val="single" w:color="000000" w:sz="4" w:space="0"/>
            </w:tcBorders>
            <w:vAlign w:val="center"/>
          </w:tcPr>
          <w:p w14:paraId="319F9A06">
            <w:pPr>
              <w:pStyle w:val="12"/>
              <w:snapToGrid w:val="0"/>
              <w:spacing w:line="360" w:lineRule="auto"/>
              <w:ind w:left="0" w:leftChars="0"/>
              <w:rPr>
                <w:rFonts w:hAnsi="宋体" w:cs="宋体"/>
                <w:color w:val="auto"/>
                <w:highlight w:val="none"/>
              </w:rPr>
            </w:pPr>
            <w:r>
              <w:rPr>
                <w:rFonts w:hint="eastAsia" w:hAnsi="宋体" w:cs="宋体"/>
                <w:color w:val="auto"/>
                <w:highlight w:val="none"/>
              </w:rPr>
              <w:t>1. 是否收取采购代理费：</w:t>
            </w:r>
          </w:p>
          <w:p w14:paraId="60484FEE">
            <w:pPr>
              <w:pStyle w:val="12"/>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是    □ 否</w:t>
            </w:r>
          </w:p>
          <w:p w14:paraId="2A554F62">
            <w:pPr>
              <w:pStyle w:val="12"/>
              <w:snapToGrid w:val="0"/>
              <w:spacing w:line="360" w:lineRule="auto"/>
              <w:ind w:left="0" w:leftChars="0"/>
              <w:rPr>
                <w:rFonts w:hAnsi="宋体" w:cs="宋体"/>
                <w:color w:val="auto"/>
                <w:highlight w:val="none"/>
              </w:rPr>
            </w:pPr>
            <w:r>
              <w:rPr>
                <w:rFonts w:hint="eastAsia" w:hAnsi="宋体" w:cs="宋体"/>
                <w:color w:val="auto"/>
                <w:highlight w:val="none"/>
              </w:rPr>
              <w:t>2.采购代理费支付方式：</w:t>
            </w:r>
          </w:p>
          <w:p w14:paraId="26218B95">
            <w:pPr>
              <w:pStyle w:val="12"/>
              <w:snapToGrid w:val="0"/>
              <w:spacing w:line="360" w:lineRule="auto"/>
              <w:ind w:left="0" w:leftChars="0"/>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本项目代理服务费由</w:t>
            </w:r>
            <w:r>
              <w:rPr>
                <w:rFonts w:hint="eastAsia" w:hAnsi="宋体" w:cs="宋体"/>
                <w:color w:val="auto"/>
                <w:highlight w:val="none"/>
                <w:u w:val="single"/>
              </w:rPr>
              <w:t>成交供应商</w:t>
            </w:r>
            <w:r>
              <w:rPr>
                <w:rFonts w:hint="eastAsia" w:hAnsi="宋体" w:cs="宋体"/>
                <w:color w:val="auto"/>
                <w:highlight w:val="none"/>
              </w:rPr>
              <w:t>领取成交通知书前，一次性向采购代理机构支付。</w:t>
            </w:r>
          </w:p>
          <w:p w14:paraId="1E18538C">
            <w:pPr>
              <w:pStyle w:val="12"/>
              <w:snapToGrid w:val="0"/>
              <w:spacing w:line="360" w:lineRule="auto"/>
              <w:ind w:left="0" w:leftChars="0"/>
              <w:rPr>
                <w:rFonts w:hAnsi="宋体" w:cs="宋体"/>
                <w:color w:val="auto"/>
                <w:highlight w:val="none"/>
              </w:rPr>
            </w:pPr>
            <w:r>
              <w:rPr>
                <w:rFonts w:hint="eastAsia" w:hAnsi="宋体" w:cs="宋体"/>
                <w:color w:val="auto"/>
                <w:highlight w:val="none"/>
              </w:rPr>
              <w:t>□采购人支付。</w:t>
            </w:r>
          </w:p>
          <w:p w14:paraId="4333B923">
            <w:pPr>
              <w:pStyle w:val="12"/>
              <w:snapToGrid w:val="0"/>
              <w:spacing w:line="360" w:lineRule="auto"/>
              <w:ind w:left="0" w:leftChars="0"/>
              <w:rPr>
                <w:rFonts w:hAnsi="宋体" w:cs="宋体"/>
                <w:color w:val="auto"/>
                <w:highlight w:val="none"/>
              </w:rPr>
            </w:pPr>
            <w:r>
              <w:rPr>
                <w:rFonts w:hint="eastAsia" w:hAnsi="宋体" w:cs="宋体"/>
                <w:color w:val="auto"/>
                <w:highlight w:val="none"/>
              </w:rPr>
              <w:t>3.采购代理费收取标准：</w:t>
            </w:r>
          </w:p>
          <w:p w14:paraId="2B29DA21">
            <w:pPr>
              <w:spacing w:line="360" w:lineRule="auto"/>
              <w:jc w:val="left"/>
              <w:rPr>
                <w:rFonts w:hint="eastAsia" w:hAnsi="宋体" w:cs="宋体"/>
                <w:color w:val="auto"/>
                <w:highlight w:val="none"/>
              </w:rPr>
            </w:pPr>
            <w:r>
              <w:rPr>
                <w:rFonts w:ascii="Arial" w:hAnsi="Arial" w:cs="Arial"/>
                <w:color w:val="auto"/>
                <w:szCs w:val="21"/>
                <w:highlight w:val="none"/>
              </w:rPr>
              <w:t>按固定金额</w:t>
            </w:r>
            <w:r>
              <w:rPr>
                <w:rFonts w:hint="eastAsia" w:ascii="Arial" w:hAnsi="Arial" w:cs="Arial"/>
                <w:color w:val="auto"/>
                <w:szCs w:val="21"/>
                <w:highlight w:val="none"/>
              </w:rPr>
              <w:t>（人民币）</w:t>
            </w:r>
            <w:r>
              <w:rPr>
                <w:rFonts w:ascii="Arial" w:hAnsi="Arial" w:cs="Arial"/>
                <w:color w:val="auto"/>
                <w:szCs w:val="21"/>
                <w:highlight w:val="none"/>
              </w:rPr>
              <w:t>收取</w:t>
            </w:r>
            <w:r>
              <w:rPr>
                <w:rFonts w:hint="eastAsia" w:ascii="Arial" w:hAnsi="Arial" w:cs="Arial"/>
                <w:color w:val="auto"/>
                <w:szCs w:val="21"/>
                <w:highlight w:val="none"/>
              </w:rPr>
              <w:t>。</w:t>
            </w:r>
            <w:r>
              <w:rPr>
                <w:rFonts w:ascii="Arial" w:hAnsi="Arial" w:cs="Arial"/>
                <w:color w:val="auto"/>
                <w:szCs w:val="21"/>
                <w:highlight w:val="none"/>
              </w:rPr>
              <w:t>金额为：</w:t>
            </w:r>
            <w:r>
              <w:rPr>
                <w:rFonts w:hint="eastAsia" w:ascii="Arial" w:hAnsi="Arial" w:cs="Arial"/>
                <w:color w:val="auto"/>
                <w:szCs w:val="21"/>
                <w:highlight w:val="none"/>
              </w:rPr>
              <w:t>人民币(大写)壹万捌仟伍佰元整(¥18500元)</w:t>
            </w:r>
            <w:r>
              <w:rPr>
                <w:rFonts w:hint="eastAsia" w:ascii="Arial" w:hAnsi="Arial" w:cs="Arial"/>
                <w:color w:val="auto"/>
                <w:szCs w:val="21"/>
                <w:highlight w:val="none"/>
                <w:lang w:eastAsia="zh-CN"/>
              </w:rPr>
              <w:t>。</w:t>
            </w:r>
          </w:p>
          <w:p w14:paraId="3DC6EE1B">
            <w:pPr>
              <w:pStyle w:val="12"/>
              <w:snapToGrid w:val="0"/>
              <w:spacing w:line="360" w:lineRule="auto"/>
              <w:ind w:left="0" w:leftChars="0"/>
              <w:rPr>
                <w:rFonts w:hAnsi="宋体" w:cs="宋体"/>
                <w:color w:val="auto"/>
                <w:highlight w:val="none"/>
              </w:rPr>
            </w:pPr>
            <w:r>
              <w:rPr>
                <w:rFonts w:hint="eastAsia" w:hAnsi="宋体" w:cs="宋体"/>
                <w:color w:val="auto"/>
                <w:highlight w:val="none"/>
              </w:rPr>
              <w:t>4. 采购代理费收取银行账户</w:t>
            </w:r>
          </w:p>
          <w:p w14:paraId="11E37646">
            <w:pPr>
              <w:pStyle w:val="12"/>
              <w:snapToGrid w:val="0"/>
              <w:spacing w:line="360" w:lineRule="auto"/>
              <w:ind w:left="0" w:leftChars="0"/>
              <w:rPr>
                <w:rFonts w:hAnsi="宋体" w:cs="宋体"/>
                <w:color w:val="auto"/>
                <w:highlight w:val="none"/>
              </w:rPr>
            </w:pPr>
            <w:r>
              <w:rPr>
                <w:rFonts w:hint="eastAsia" w:hAnsi="宋体" w:cs="宋体"/>
                <w:color w:val="auto"/>
                <w:highlight w:val="none"/>
              </w:rPr>
              <w:t>开户名称：广西机电设备招标有限公司</w:t>
            </w:r>
          </w:p>
          <w:p w14:paraId="36CADDC6">
            <w:pPr>
              <w:pStyle w:val="12"/>
              <w:snapToGrid w:val="0"/>
              <w:spacing w:line="360" w:lineRule="auto"/>
              <w:ind w:left="0" w:leftChars="0"/>
              <w:rPr>
                <w:rFonts w:hAnsi="宋体" w:cs="宋体"/>
                <w:color w:val="auto"/>
                <w:highlight w:val="none"/>
              </w:rPr>
            </w:pPr>
            <w:r>
              <w:rPr>
                <w:rFonts w:hint="eastAsia" w:hAnsi="宋体" w:cs="宋体"/>
                <w:color w:val="auto"/>
                <w:highlight w:val="none"/>
              </w:rPr>
              <w:t>开户银行：广西北部湾银行南宁市金湖支行</w:t>
            </w:r>
          </w:p>
          <w:p w14:paraId="52B398F6">
            <w:pPr>
              <w:pStyle w:val="12"/>
              <w:snapToGrid w:val="0"/>
              <w:spacing w:line="360" w:lineRule="auto"/>
              <w:ind w:left="0" w:leftChars="0"/>
              <w:rPr>
                <w:rFonts w:hAnsi="宋体" w:cs="宋体"/>
                <w:color w:val="auto"/>
                <w:highlight w:val="none"/>
              </w:rPr>
            </w:pPr>
            <w:r>
              <w:rPr>
                <w:rFonts w:hint="eastAsia" w:hAnsi="宋体" w:cs="宋体"/>
                <w:color w:val="auto"/>
                <w:highlight w:val="none"/>
              </w:rPr>
              <w:t>银行账号：1705012090027723 (联行号 313611017053)</w:t>
            </w:r>
          </w:p>
        </w:tc>
      </w:tr>
      <w:tr w14:paraId="3F685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26F0B0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289" w:type="pct"/>
            <w:tcBorders>
              <w:top w:val="single" w:color="000000" w:sz="4" w:space="0"/>
              <w:left w:val="single" w:color="000000" w:sz="4" w:space="0"/>
              <w:bottom w:val="single" w:color="000000" w:sz="4" w:space="0"/>
              <w:right w:val="single" w:color="000000" w:sz="4" w:space="0"/>
            </w:tcBorders>
            <w:vAlign w:val="center"/>
          </w:tcPr>
          <w:p w14:paraId="779AB28F">
            <w:pPr>
              <w:spacing w:line="360" w:lineRule="auto"/>
              <w:jc w:val="center"/>
              <w:rPr>
                <w:rFonts w:ascii="宋体" w:hAnsi="宋体" w:cs="宋体"/>
                <w:color w:val="auto"/>
                <w:szCs w:val="21"/>
                <w:highlight w:val="none"/>
              </w:rPr>
            </w:pPr>
            <w:r>
              <w:rPr>
                <w:rFonts w:hint="eastAsia" w:hAnsi="宋体"/>
                <w:color w:val="auto"/>
                <w:highlight w:val="none"/>
              </w:rPr>
              <w:t>解释</w:t>
            </w:r>
          </w:p>
        </w:tc>
        <w:tc>
          <w:tcPr>
            <w:tcW w:w="3254" w:type="pct"/>
            <w:tcBorders>
              <w:top w:val="single" w:color="000000" w:sz="4" w:space="0"/>
              <w:left w:val="single" w:color="000000" w:sz="4" w:space="0"/>
              <w:bottom w:val="single" w:color="000000" w:sz="4" w:space="0"/>
              <w:right w:val="single" w:color="000000" w:sz="4" w:space="0"/>
            </w:tcBorders>
            <w:vAlign w:val="center"/>
          </w:tcPr>
          <w:p w14:paraId="2006EBAA">
            <w:pPr>
              <w:pStyle w:val="12"/>
              <w:snapToGrid w:val="0"/>
              <w:spacing w:line="360" w:lineRule="auto"/>
              <w:ind w:left="0" w:leftChars="0"/>
              <w:rPr>
                <w:rFonts w:hAnsi="宋体" w:cs="宋体"/>
                <w:b/>
                <w:color w:val="auto"/>
                <w:highlight w:val="none"/>
              </w:rPr>
            </w:pPr>
            <w:r>
              <w:rPr>
                <w:rFonts w:hint="eastAsia" w:hAnsi="宋体" w:cs="宋体"/>
                <w:b/>
                <w:color w:val="auto"/>
                <w:highlight w:val="none"/>
              </w:rPr>
              <w:t>解释权：</w:t>
            </w:r>
            <w:r>
              <w:rPr>
                <w:rFonts w:hint="eastAsia" w:hAnsi="宋体" w:cs="宋体"/>
                <w:color w:val="auto"/>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highlight w:val="none"/>
              </w:rPr>
              <w:t>由采购人或者采购代理机构负责解释。</w:t>
            </w:r>
          </w:p>
          <w:p w14:paraId="15B8DEBE">
            <w:pPr>
              <w:pStyle w:val="12"/>
              <w:snapToGrid w:val="0"/>
              <w:spacing w:line="360" w:lineRule="auto"/>
              <w:ind w:left="0" w:leftChars="0"/>
              <w:rPr>
                <w:rFonts w:hAnsi="宋体" w:cs="宋体"/>
                <w:b/>
                <w:color w:val="auto"/>
                <w:highlight w:val="none"/>
              </w:rPr>
            </w:pPr>
            <w:r>
              <w:rPr>
                <w:rFonts w:hint="eastAsia" w:hAnsi="宋体" w:cs="宋体"/>
                <w:b/>
                <w:color w:val="auto"/>
                <w:highlight w:val="none"/>
              </w:rPr>
              <w:t>法律责任：</w:t>
            </w:r>
          </w:p>
          <w:p w14:paraId="2DE874F4">
            <w:pPr>
              <w:pStyle w:val="12"/>
              <w:snapToGrid w:val="0"/>
              <w:spacing w:line="360" w:lineRule="auto"/>
              <w:ind w:left="0" w:leftChars="0"/>
              <w:rPr>
                <w:rFonts w:hAnsi="宋体" w:cs="宋体"/>
                <w:color w:val="auto"/>
                <w:highlight w:val="none"/>
              </w:rPr>
            </w:pPr>
            <w:r>
              <w:rPr>
                <w:rFonts w:hint="eastAsia" w:hAnsi="宋体" w:cs="宋体"/>
                <w:b/>
                <w:color w:val="auto"/>
                <w:highlight w:val="none"/>
              </w:rPr>
              <w:t>1.</w:t>
            </w:r>
            <w:r>
              <w:rPr>
                <w:rFonts w:hint="eastAsia" w:hAnsi="宋体" w:cs="宋体"/>
                <w:color w:val="auto"/>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02D9672A">
            <w:pPr>
              <w:spacing w:line="360" w:lineRule="auto"/>
              <w:rPr>
                <w:rFonts w:hAnsi="宋体" w:cs="宋体"/>
                <w:color w:val="auto"/>
                <w:highlight w:val="none"/>
              </w:rPr>
            </w:pPr>
            <w:r>
              <w:rPr>
                <w:rFonts w:hint="eastAsia" w:hAnsi="宋体" w:cs="宋体"/>
                <w:b/>
                <w:color w:val="auto"/>
                <w:highlight w:val="none"/>
              </w:rPr>
              <w:t>2.</w:t>
            </w:r>
            <w:r>
              <w:rPr>
                <w:rFonts w:hint="eastAsia" w:ascii="宋体" w:hAnsi="宋体"/>
                <w:b/>
                <w:color w:val="auto"/>
                <w:szCs w:val="21"/>
                <w:highlight w:val="none"/>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5D6D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5" w:type="pct"/>
            <w:tcBorders>
              <w:top w:val="single" w:color="000000" w:sz="4" w:space="0"/>
              <w:left w:val="single" w:color="000000" w:sz="4" w:space="0"/>
              <w:bottom w:val="single" w:color="000000" w:sz="4" w:space="0"/>
              <w:right w:val="single" w:color="000000" w:sz="4" w:space="0"/>
            </w:tcBorders>
            <w:vAlign w:val="center"/>
          </w:tcPr>
          <w:p w14:paraId="42D4906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1289" w:type="pct"/>
            <w:tcBorders>
              <w:top w:val="single" w:color="000000" w:sz="4" w:space="0"/>
              <w:left w:val="single" w:color="000000" w:sz="4" w:space="0"/>
              <w:bottom w:val="single" w:color="000000" w:sz="4" w:space="0"/>
              <w:right w:val="single" w:color="000000" w:sz="4" w:space="0"/>
            </w:tcBorders>
            <w:vAlign w:val="center"/>
          </w:tcPr>
          <w:p w14:paraId="1A448EC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3254" w:type="pct"/>
            <w:tcBorders>
              <w:top w:val="single" w:color="000000" w:sz="4" w:space="0"/>
              <w:left w:val="single" w:color="000000" w:sz="4" w:space="0"/>
              <w:bottom w:val="single" w:color="000000" w:sz="4" w:space="0"/>
              <w:right w:val="single" w:color="000000" w:sz="4" w:space="0"/>
            </w:tcBorders>
            <w:vAlign w:val="center"/>
          </w:tcPr>
          <w:p w14:paraId="04379DA9">
            <w:pPr>
              <w:pStyle w:val="12"/>
              <w:snapToGrid w:val="0"/>
              <w:spacing w:line="360" w:lineRule="auto"/>
              <w:ind w:left="0" w:leftChars="0"/>
              <w:rPr>
                <w:rFonts w:hAnsi="宋体" w:cs="宋体"/>
                <w:color w:val="auto"/>
                <w:highlight w:val="none"/>
              </w:rPr>
            </w:pPr>
            <w:r>
              <w:rPr>
                <w:rFonts w:hint="eastAsia" w:hAnsi="宋体" w:cs="宋体"/>
                <w:color w:val="auto"/>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C73305C">
            <w:pPr>
              <w:pStyle w:val="12"/>
              <w:snapToGrid w:val="0"/>
              <w:spacing w:line="360" w:lineRule="auto"/>
              <w:ind w:left="0" w:leftChars="0"/>
              <w:rPr>
                <w:rFonts w:hAnsi="宋体" w:cs="宋体"/>
                <w:color w:val="auto"/>
                <w:highlight w:val="none"/>
              </w:rPr>
            </w:pPr>
            <w:r>
              <w:rPr>
                <w:rFonts w:hint="eastAsia" w:hAnsi="宋体" w:cs="宋体"/>
                <w:color w:val="auto"/>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E691558">
            <w:pPr>
              <w:pStyle w:val="12"/>
              <w:snapToGrid w:val="0"/>
              <w:spacing w:line="360" w:lineRule="auto"/>
              <w:ind w:left="0" w:leftChars="0"/>
              <w:rPr>
                <w:rFonts w:hAnsi="宋体" w:cs="宋体"/>
                <w:color w:val="auto"/>
                <w:highlight w:val="none"/>
              </w:rPr>
            </w:pPr>
            <w:r>
              <w:rPr>
                <w:rFonts w:hint="eastAsia" w:hAnsi="宋体" w:cs="宋体"/>
                <w:color w:val="auto"/>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48B2C072">
            <w:pPr>
              <w:pStyle w:val="12"/>
              <w:snapToGrid w:val="0"/>
              <w:spacing w:line="360" w:lineRule="auto"/>
              <w:ind w:left="0" w:leftChars="0"/>
              <w:rPr>
                <w:rFonts w:hAnsi="宋体" w:cs="宋体"/>
                <w:color w:val="auto"/>
                <w:highlight w:val="none"/>
              </w:rPr>
            </w:pPr>
            <w:r>
              <w:rPr>
                <w:rFonts w:hint="eastAsia" w:hAnsi="宋体" w:cs="宋体"/>
                <w:color w:val="auto"/>
                <w:highlight w:val="none"/>
              </w:rPr>
              <w:t>4.自然人竞标的，磋商文件规定盖公章处由自然人摁手指指印。</w:t>
            </w:r>
          </w:p>
          <w:p w14:paraId="04CAA5F2">
            <w:pPr>
              <w:pStyle w:val="12"/>
              <w:snapToGrid w:val="0"/>
              <w:spacing w:line="360" w:lineRule="auto"/>
              <w:ind w:left="0" w:leftChars="0"/>
              <w:rPr>
                <w:rFonts w:hAnsi="宋体" w:cs="宋体"/>
                <w:color w:val="auto"/>
                <w:highlight w:val="none"/>
              </w:rPr>
            </w:pPr>
            <w:r>
              <w:rPr>
                <w:rFonts w:hint="eastAsia" w:hAnsi="宋体" w:cs="宋体"/>
                <w:color w:val="auto"/>
                <w:highlight w:val="none"/>
              </w:rPr>
              <w:t>5.本磋商文件所称的“以上”“以下”“以内”“届满”，包括本数；所称的“不满”“超过”“以外”，不包括本数。</w:t>
            </w:r>
          </w:p>
        </w:tc>
      </w:tr>
    </w:tbl>
    <w:p w14:paraId="4A99BC3F">
      <w:pPr>
        <w:pStyle w:val="4"/>
        <w:spacing w:line="420" w:lineRule="exact"/>
        <w:jc w:val="center"/>
        <w:rPr>
          <w:rFonts w:ascii="宋体" w:hAnsi="宋体" w:cs="宋体"/>
          <w:b w:val="0"/>
          <w:color w:val="auto"/>
          <w:highlight w:val="none"/>
        </w:rPr>
      </w:pPr>
      <w:r>
        <w:rPr>
          <w:rFonts w:hint="eastAsia" w:ascii="宋体" w:hAnsi="宋体"/>
          <w:bCs w:val="0"/>
          <w:color w:val="auto"/>
          <w:highlight w:val="none"/>
        </w:rPr>
        <w:br w:type="page"/>
      </w:r>
      <w:bookmarkStart w:id="37" w:name="_Toc22962"/>
      <w:r>
        <w:rPr>
          <w:rFonts w:hint="eastAsia" w:ascii="宋体" w:hAnsi="宋体"/>
          <w:b w:val="0"/>
          <w:color w:val="auto"/>
          <w:highlight w:val="none"/>
        </w:rPr>
        <w:t>第二节 供应商须知正文</w:t>
      </w:r>
      <w:bookmarkEnd w:id="37"/>
    </w:p>
    <w:p w14:paraId="6BA0B1E8">
      <w:pPr>
        <w:pStyle w:val="5"/>
        <w:spacing w:before="0" w:after="0" w:line="360" w:lineRule="auto"/>
        <w:ind w:firstLine="640" w:firstLineChars="200"/>
        <w:rPr>
          <w:rFonts w:ascii="宋体" w:hAnsi="宋体"/>
          <w:b w:val="0"/>
          <w:color w:val="auto"/>
          <w:highlight w:val="none"/>
        </w:rPr>
      </w:pPr>
      <w:bookmarkStart w:id="38" w:name="_Toc10364"/>
      <w:r>
        <w:rPr>
          <w:rFonts w:hint="eastAsia" w:ascii="宋体" w:hAnsi="宋体"/>
          <w:b w:val="0"/>
          <w:color w:val="auto"/>
          <w:highlight w:val="none"/>
        </w:rPr>
        <w:t>一、总则</w:t>
      </w:r>
      <w:bookmarkEnd w:id="38"/>
    </w:p>
    <w:p w14:paraId="246F0FE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4F9253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159B0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17AEB50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3D1514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BA80B9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35E45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5C0D0B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663064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4B8F5A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1709B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71A5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545898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38B4D0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96FF8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5C9194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6F9490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2D3F32E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B71C7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96F1F4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140BD1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4CC56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48C941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A0AA0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C2495EF">
      <w:pPr>
        <w:spacing w:line="360" w:lineRule="auto"/>
        <w:ind w:firstLine="420" w:firstLineChars="200"/>
        <w:rPr>
          <w:rFonts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3B24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3D7CD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7B7962D9">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136E1C6">
      <w:pPr>
        <w:spacing w:line="360" w:lineRule="auto"/>
        <w:ind w:firstLine="482" w:firstLineChars="200"/>
        <w:rPr>
          <w:rFonts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6618AA14">
      <w:pPr>
        <w:spacing w:line="360" w:lineRule="auto"/>
        <w:ind w:firstLine="420" w:firstLineChars="200"/>
        <w:rPr>
          <w:rFonts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2"/>
    <w:p w14:paraId="3657E2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1C3594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34F6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1BAA24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7BC24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0697B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AD7BD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2DAEBB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0EAF72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E8951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6F3060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78DDF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7074B0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CCC46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684045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B06C1B7">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2D64F2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55C963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9DF89C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04E505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0015DF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0182D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BD584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6419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6060F3EE">
      <w:pPr>
        <w:pStyle w:val="5"/>
        <w:spacing w:before="0" w:after="0" w:line="360" w:lineRule="auto"/>
        <w:ind w:firstLine="640" w:firstLineChars="200"/>
        <w:rPr>
          <w:rFonts w:ascii="宋体" w:hAnsi="宋体"/>
          <w:b w:val="0"/>
          <w:bCs w:val="0"/>
          <w:color w:val="auto"/>
          <w:highlight w:val="none"/>
        </w:rPr>
      </w:pPr>
      <w:bookmarkStart w:id="43" w:name="_Toc28927"/>
      <w:bookmarkStart w:id="44" w:name="_Toc254970675"/>
      <w:bookmarkStart w:id="45" w:name="_Toc254970534"/>
      <w:r>
        <w:rPr>
          <w:rFonts w:hint="eastAsia" w:ascii="宋体" w:hAnsi="宋体"/>
          <w:b w:val="0"/>
          <w:bCs w:val="0"/>
          <w:color w:val="auto"/>
          <w:highlight w:val="none"/>
        </w:rPr>
        <w:t>二、磋商文件</w:t>
      </w:r>
      <w:bookmarkEnd w:id="43"/>
      <w:bookmarkEnd w:id="44"/>
      <w:bookmarkEnd w:id="45"/>
    </w:p>
    <w:p w14:paraId="54D189E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82803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79531DF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第二章 采购需求；</w:t>
      </w:r>
    </w:p>
    <w:p w14:paraId="3162DC5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第三章 供应商须知； </w:t>
      </w:r>
    </w:p>
    <w:p w14:paraId="4F87B54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76E52E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响应文件格式；</w:t>
      </w:r>
    </w:p>
    <w:p w14:paraId="62D0D8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合同文本；</w:t>
      </w:r>
    </w:p>
    <w:p w14:paraId="4FF710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质疑、投诉材料格式。</w:t>
      </w:r>
    </w:p>
    <w:p w14:paraId="5D0E3A9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0D82D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602215D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1AB95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2941ECD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1E50C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22BEEE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3D2CFC0">
      <w:pPr>
        <w:spacing w:line="360" w:lineRule="auto"/>
        <w:ind w:firstLine="420" w:firstLineChars="200"/>
        <w:rPr>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79104917">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2876CF1B">
      <w:pPr>
        <w:pStyle w:val="5"/>
        <w:spacing w:before="0" w:after="0" w:line="360" w:lineRule="auto"/>
        <w:ind w:firstLine="640" w:firstLineChars="200"/>
        <w:rPr>
          <w:rFonts w:ascii="宋体" w:hAnsi="宋体"/>
          <w:b w:val="0"/>
          <w:bCs w:val="0"/>
          <w:color w:val="auto"/>
          <w:highlight w:val="none"/>
        </w:rPr>
      </w:pPr>
      <w:bookmarkStart w:id="46" w:name="_Toc12927"/>
      <w:r>
        <w:rPr>
          <w:rFonts w:hint="eastAsia" w:ascii="宋体" w:hAnsi="宋体"/>
          <w:b w:val="0"/>
          <w:bCs w:val="0"/>
          <w:color w:val="auto"/>
          <w:highlight w:val="none"/>
        </w:rPr>
        <w:t>三、响应文件的编制</w:t>
      </w:r>
      <w:bookmarkEnd w:id="46"/>
    </w:p>
    <w:p w14:paraId="5A8BA17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74A2B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8AF37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CB053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2EF11E8D">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0AF1C8B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1DE93B0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41640B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4C3D4B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1C21F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35D80C5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3FF70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8C1CA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553D53E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430D808E">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703A0B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2266E2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07EB5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（1）供应商必须就“采购需求”中所竞标的每个标项的全部内容分别作完整唯一总价报价，不得存在漏项报价；</w:t>
      </w:r>
    </w:p>
    <w:p w14:paraId="7E30D7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（2）供应商必须就所竞标的标项的单项内容作唯一报价。</w:t>
      </w:r>
    </w:p>
    <w:p w14:paraId="74FDD4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15.3.2响应报价（包含首次报价、最后报价）超过所竞标标项规定的采购预算金额或者最高限价的，其响应文件将作无效处理。</w:t>
      </w:r>
    </w:p>
    <w:p w14:paraId="484365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41FC5B1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63B2F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DF9BE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295CB5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4EE729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32D193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55359AF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559053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1167CE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17B05C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588E3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4E700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47FC8D6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2EFDBE67">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E0D5058">
      <w:pPr>
        <w:spacing w:line="360" w:lineRule="auto"/>
        <w:ind w:firstLine="420" w:firstLineChars="20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19.2使用“政采云电子交易客户端”需要提前申领CA数字证书，申领流程见该项目采购公告附件。</w:t>
      </w:r>
    </w:p>
    <w:p w14:paraId="180ECBCD">
      <w:pPr>
        <w:pStyle w:val="12"/>
        <w:spacing w:line="360" w:lineRule="auto"/>
        <w:ind w:left="0" w:leftChars="0" w:firstLine="420" w:firstLineChars="200"/>
        <w:rPr>
          <w:rFonts w:hAnsi="宋体" w:cs="仿宋_GB2312"/>
          <w:color w:val="auto"/>
          <w:highlight w:val="none"/>
        </w:rPr>
      </w:pPr>
      <w:r>
        <w:rPr>
          <w:rFonts w:hint="eastAsia" w:hAnsi="宋体" w:cs="仿宋_GB2312"/>
          <w:color w:val="auto"/>
          <w:highlight w:val="none"/>
        </w:rPr>
        <w:t>19.3为确保网上操作合法、有效和安全，供应商应当在响应文件提交截止时间前完成在“广西政府采购云平台”的身份认证，确保在电子交易过程中能够对相关数据电文进行加密和使用电子签名。</w:t>
      </w:r>
    </w:p>
    <w:p w14:paraId="3F870F6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BAF97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5FD1AB6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2D96D06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 在提交“最后报价”后，供应商不能退出谈判。</w:t>
      </w:r>
    </w:p>
    <w:p w14:paraId="3AF206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D2A286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5D404FA3">
      <w:pPr>
        <w:spacing w:line="360" w:lineRule="auto"/>
        <w:ind w:firstLine="420" w:firstLineChars="200"/>
        <w:rPr>
          <w:rFonts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7843ED2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10209C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2A2C4F2B">
      <w:pPr>
        <w:spacing w:line="360" w:lineRule="auto"/>
        <w:ind w:firstLine="482" w:firstLineChars="200"/>
        <w:rPr>
          <w:rFonts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11D0C7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3D64D13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2DDD2458">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5841D05">
      <w:pPr>
        <w:pStyle w:val="5"/>
        <w:spacing w:before="0" w:after="0" w:line="360" w:lineRule="auto"/>
        <w:ind w:firstLine="640" w:firstLineChars="200"/>
        <w:rPr>
          <w:rFonts w:ascii="宋体" w:hAnsi="宋体"/>
          <w:b w:val="0"/>
          <w:bCs w:val="0"/>
          <w:color w:val="auto"/>
          <w:highlight w:val="none"/>
        </w:rPr>
      </w:pPr>
      <w:bookmarkStart w:id="50" w:name="_Toc12248"/>
      <w:r>
        <w:rPr>
          <w:rFonts w:hint="eastAsia" w:ascii="宋体" w:hAnsi="宋体"/>
          <w:b w:val="0"/>
          <w:bCs w:val="0"/>
          <w:color w:val="auto"/>
          <w:highlight w:val="none"/>
        </w:rPr>
        <w:t>四、评审及磋商</w:t>
      </w:r>
      <w:bookmarkEnd w:id="50"/>
    </w:p>
    <w:p w14:paraId="7B8F68C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EDB47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AB2F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B125F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36CC27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0E7580AD">
      <w:pPr>
        <w:pStyle w:val="12"/>
        <w:spacing w:line="360" w:lineRule="auto"/>
        <w:ind w:left="0" w:leftChars="0" w:firstLine="420" w:firstLineChars="200"/>
        <w:rPr>
          <w:rFonts w:hAnsi="宋体"/>
          <w:bCs/>
          <w:color w:val="auto"/>
          <w:highlight w:val="none"/>
        </w:rPr>
      </w:pPr>
      <w:r>
        <w:rPr>
          <w:rFonts w:hint="eastAsia" w:hAnsi="宋体" w:cs="宋体"/>
          <w:color w:val="auto"/>
          <w:highlight w:val="none"/>
        </w:rPr>
        <w:t xml:space="preserve">25.2 </w:t>
      </w:r>
      <w:r>
        <w:rPr>
          <w:rFonts w:hint="eastAsia" w:hAnsi="宋体"/>
          <w:bCs/>
          <w:color w:val="auto"/>
          <w:highlight w:val="none"/>
        </w:rPr>
        <w:t>响应文件解密</w:t>
      </w:r>
    </w:p>
    <w:p w14:paraId="4657C99C">
      <w:pPr>
        <w:pStyle w:val="12"/>
        <w:snapToGrid w:val="0"/>
        <w:spacing w:line="360" w:lineRule="auto"/>
        <w:ind w:left="0" w:leftChars="0" w:firstLine="420" w:firstLineChars="200"/>
        <w:rPr>
          <w:rFonts w:hAnsi="宋体"/>
          <w:color w:val="auto"/>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间通过电子交易平台组织响应文件开启，采购机构依托电子交易平台发起开始解密指令，供应商的法定代表人或其委托代理人</w:t>
      </w:r>
      <w:r>
        <w:rPr>
          <w:rFonts w:hint="eastAsia" w:hAnsi="宋体"/>
          <w:b/>
          <w:color w:val="auto"/>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highlight w:val="none"/>
        </w:rPr>
        <w:t>视为响应文件无效。</w:t>
      </w:r>
      <w:r>
        <w:rPr>
          <w:rFonts w:hint="eastAsia" w:hAnsi="宋体"/>
          <w:color w:val="auto"/>
          <w:highlight w:val="none"/>
        </w:rPr>
        <w:t>（解密</w:t>
      </w:r>
      <w:r>
        <w:rPr>
          <w:rFonts w:hint="eastAsia" w:hAnsi="宋体"/>
          <w:bCs/>
          <w:color w:val="auto"/>
          <w:highlight w:val="none"/>
        </w:rPr>
        <w:t>异常情况处理：详见本章</w:t>
      </w:r>
      <w:r>
        <w:rPr>
          <w:rFonts w:hint="eastAsia" w:hAnsi="宋体"/>
          <w:color w:val="auto"/>
          <w:highlight w:val="none"/>
        </w:rPr>
        <w:t>26.3 电子交易活动的中止。）</w:t>
      </w:r>
    </w:p>
    <w:p w14:paraId="18773066">
      <w:pPr>
        <w:pStyle w:val="12"/>
        <w:spacing w:line="360" w:lineRule="auto"/>
        <w:ind w:left="0" w:leftChars="0" w:firstLine="420" w:firstLineChars="200"/>
        <w:rPr>
          <w:color w:val="auto"/>
          <w:highlight w:val="none"/>
        </w:rPr>
      </w:pPr>
      <w:r>
        <w:rPr>
          <w:rFonts w:hint="eastAsia" w:hAnsi="宋体"/>
          <w:color w:val="auto"/>
          <w:highlight w:val="none"/>
        </w:rPr>
        <w:t>如</w:t>
      </w:r>
      <w:r>
        <w:rPr>
          <w:rFonts w:hint="eastAsia" w:hAnsi="宋体"/>
          <w:bCs/>
          <w:color w:val="auto"/>
          <w:highlight w:val="none"/>
        </w:rPr>
        <w:t>供应商成功解密响应文件，但未在“广西政府采购云平台”电子开标大厅参加谈判的，视同认可谈判过程和结果，</w:t>
      </w:r>
      <w:r>
        <w:rPr>
          <w:rFonts w:hint="eastAsia" w:hAnsi="宋体"/>
          <w:color w:val="auto"/>
          <w:highlight w:val="none"/>
        </w:rPr>
        <w:t>由此产生的后果由供应商自行负责。 参与谈判的供应商</w:t>
      </w:r>
      <w:r>
        <w:rPr>
          <w:rFonts w:hint="eastAsia"/>
          <w:color w:val="auto"/>
          <w:highlight w:val="none"/>
        </w:rPr>
        <w:t>不足3家的，不得谈判。</w:t>
      </w:r>
    </w:p>
    <w:p w14:paraId="11A050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4EB3C0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10E930C8">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1E0F233D">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09417EB4">
      <w:pPr>
        <w:spacing w:line="360" w:lineRule="auto"/>
        <w:ind w:firstLine="420" w:firstLineChars="200"/>
        <w:rPr>
          <w:rFonts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4F665852">
      <w:pPr>
        <w:spacing w:line="360" w:lineRule="auto"/>
        <w:ind w:firstLine="420" w:firstLineChars="200"/>
        <w:rPr>
          <w:rFonts w:ascii="宋体" w:hAnsi="宋体"/>
          <w:color w:val="auto"/>
          <w:highlight w:val="none"/>
        </w:rPr>
      </w:pPr>
      <w:r>
        <w:rPr>
          <w:rFonts w:hint="eastAsia" w:ascii="宋体" w:hAnsi="宋体"/>
          <w:color w:val="auto"/>
          <w:highlight w:val="none"/>
        </w:rPr>
        <w:t xml:space="preserve">（1）电子交易平台发生故障而无法登录访问的； </w:t>
      </w:r>
    </w:p>
    <w:p w14:paraId="1F44A02C">
      <w:pPr>
        <w:spacing w:line="360" w:lineRule="auto"/>
        <w:ind w:firstLine="420" w:firstLineChars="200"/>
        <w:rPr>
          <w:rFonts w:ascii="宋体" w:hAnsi="宋体"/>
          <w:color w:val="auto"/>
          <w:highlight w:val="none"/>
        </w:rPr>
      </w:pPr>
      <w:r>
        <w:rPr>
          <w:rFonts w:hint="eastAsia" w:ascii="宋体" w:hAnsi="宋体"/>
          <w:color w:val="auto"/>
          <w:highlight w:val="none"/>
        </w:rPr>
        <w:t>（2）电子交易平台应用或数据库出现错误，不能进行正常操作的；</w:t>
      </w:r>
    </w:p>
    <w:p w14:paraId="22E2D7CA">
      <w:pPr>
        <w:spacing w:line="360" w:lineRule="auto"/>
        <w:ind w:firstLine="420" w:firstLineChars="200"/>
        <w:rPr>
          <w:rFonts w:ascii="宋体" w:hAnsi="宋体"/>
          <w:color w:val="auto"/>
          <w:highlight w:val="none"/>
        </w:rPr>
      </w:pPr>
      <w:r>
        <w:rPr>
          <w:rFonts w:hint="eastAsia" w:ascii="宋体" w:hAnsi="宋体"/>
          <w:color w:val="auto"/>
          <w:highlight w:val="none"/>
        </w:rPr>
        <w:t>（3）电子交易平台发现严重安全漏洞，有潜在泄密危险的；</w:t>
      </w:r>
    </w:p>
    <w:p w14:paraId="733F7BA8">
      <w:pPr>
        <w:spacing w:line="360" w:lineRule="auto"/>
        <w:ind w:firstLine="420" w:firstLineChars="200"/>
        <w:rPr>
          <w:rFonts w:ascii="宋体" w:hAnsi="宋体"/>
          <w:color w:val="auto"/>
          <w:highlight w:val="none"/>
        </w:rPr>
      </w:pPr>
      <w:r>
        <w:rPr>
          <w:rFonts w:hint="eastAsia" w:ascii="宋体" w:hAnsi="宋体"/>
          <w:color w:val="auto"/>
          <w:highlight w:val="none"/>
        </w:rPr>
        <w:t xml:space="preserve">（4）病毒发作导致不能进行正常操作的； </w:t>
      </w:r>
    </w:p>
    <w:p w14:paraId="1CB0B22B">
      <w:pPr>
        <w:spacing w:line="360" w:lineRule="auto"/>
        <w:ind w:firstLine="420" w:firstLineChars="200"/>
        <w:rPr>
          <w:rFonts w:ascii="宋体" w:hAnsi="宋体"/>
          <w:color w:val="auto"/>
          <w:highlight w:val="none"/>
        </w:rPr>
      </w:pPr>
      <w:r>
        <w:rPr>
          <w:rFonts w:hint="eastAsia" w:ascii="宋体" w:hAnsi="宋体"/>
          <w:color w:val="auto"/>
          <w:highlight w:val="none"/>
        </w:rPr>
        <w:t>（5）其他无法保证电子交易的公平、公正和安全的情况。</w:t>
      </w:r>
    </w:p>
    <w:p w14:paraId="0959EE6C">
      <w:pPr>
        <w:spacing w:line="360" w:lineRule="auto"/>
        <w:ind w:firstLine="420" w:firstLineChars="200"/>
        <w:rPr>
          <w:rFonts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D7D5E53">
      <w:pPr>
        <w:pStyle w:val="5"/>
        <w:spacing w:before="0" w:after="0" w:line="360" w:lineRule="auto"/>
        <w:ind w:firstLine="480" w:firstLineChars="150"/>
        <w:rPr>
          <w:rFonts w:ascii="宋体" w:hAnsi="宋体"/>
          <w:b w:val="0"/>
          <w:bCs w:val="0"/>
          <w:color w:val="auto"/>
          <w:highlight w:val="none"/>
        </w:rPr>
      </w:pPr>
      <w:bookmarkStart w:id="51" w:name="_Toc31092"/>
      <w:r>
        <w:rPr>
          <w:rFonts w:hint="eastAsia" w:ascii="宋体" w:hAnsi="宋体"/>
          <w:b w:val="0"/>
          <w:bCs w:val="0"/>
          <w:color w:val="auto"/>
          <w:highlight w:val="none"/>
        </w:rPr>
        <w:t>五、成交及合同</w:t>
      </w:r>
      <w:bookmarkEnd w:id="51"/>
    </w:p>
    <w:p w14:paraId="3CE9107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5CD794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71D11D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0685CEDD">
      <w:pPr>
        <w:spacing w:line="360" w:lineRule="auto"/>
        <w:ind w:firstLine="420" w:firstLineChars="200"/>
        <w:rPr>
          <w:rFonts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7BC2F2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FA6653">
      <w:pPr>
        <w:spacing w:line="360" w:lineRule="auto"/>
        <w:ind w:firstLine="420" w:firstLineChars="200"/>
        <w:rPr>
          <w:rFonts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D77D9A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696270D1">
      <w:pPr>
        <w:spacing w:line="360" w:lineRule="auto"/>
        <w:ind w:firstLine="420" w:firstLineChars="200"/>
        <w:rPr>
          <w:rFonts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218CB34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7F8B1D3">
      <w:pPr>
        <w:snapToGrid w:val="0"/>
        <w:ind w:firstLine="420"/>
        <w:rPr>
          <w:rFonts w:ascii="宋体" w:hAnsi="宋体"/>
          <w:color w:val="auto"/>
          <w:szCs w:val="21"/>
          <w:highlight w:val="none"/>
          <w:lang w:val="zh-CN"/>
        </w:rPr>
      </w:pPr>
      <w:r>
        <w:rPr>
          <w:rFonts w:hint="eastAsia" w:ascii="宋体" w:hAnsi="宋体" w:cs="宋体"/>
          <w:color w:val="auto"/>
          <w:szCs w:val="21"/>
          <w:highlight w:val="none"/>
        </w:rPr>
        <w:t>29.1</w:t>
      </w:r>
      <w:r>
        <w:rPr>
          <w:rFonts w:hint="eastAsia" w:ascii="宋体" w:hAnsi="宋体"/>
          <w:color w:val="auto"/>
          <w:szCs w:val="21"/>
          <w:highlight w:val="none"/>
        </w:rPr>
        <w:t>采购人与成交供应商应当在</w:t>
      </w:r>
      <w:r>
        <w:rPr>
          <w:rFonts w:hint="eastAsia" w:ascii="宋体" w:hAnsi="宋体" w:cs="宋体"/>
          <w:color w:val="auto"/>
          <w:szCs w:val="21"/>
          <w:highlight w:val="none"/>
        </w:rPr>
        <w:t>成交通知书规定的时间内</w:t>
      </w:r>
      <w:r>
        <w:rPr>
          <w:rFonts w:hint="eastAsia" w:ascii="宋体" w:hAnsi="宋体"/>
          <w:color w:val="auto"/>
          <w:szCs w:val="21"/>
          <w:highlight w:val="none"/>
        </w:rPr>
        <w:t>，按照磋商文件确定的合同文本以及采购标的、服务技术、采购金额、采购数量、技术和服务要求等事项签订政府采购合同。</w:t>
      </w:r>
      <w:r>
        <w:rPr>
          <w:rFonts w:hint="eastAsia" w:ascii="宋体" w:hAnsi="宋体"/>
          <w:color w:val="auto"/>
          <w:szCs w:val="21"/>
          <w:highlight w:val="none"/>
          <w:lang w:val="zh-CN"/>
        </w:rPr>
        <w:t>如成交供应商为联合体的，由联合体成员各方法定代表人或其授权代表与采购人代表签订合同。</w:t>
      </w:r>
    </w:p>
    <w:p w14:paraId="73E4BB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3253D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2F1491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5A3F56B0">
      <w:pPr>
        <w:ind w:firstLine="420"/>
        <w:rPr>
          <w:rFonts w:ascii="宋体" w:hAnsi="宋体" w:cs="宋体"/>
          <w:color w:val="auto"/>
          <w:szCs w:val="21"/>
          <w:highlight w:val="none"/>
        </w:rPr>
      </w:pPr>
      <w:r>
        <w:rPr>
          <w:rFonts w:hint="eastAsia" w:ascii="宋体" w:hAnsi="宋体" w:cs="仿宋_GB2312"/>
          <w:color w:val="auto"/>
          <w:szCs w:val="21"/>
          <w:highlight w:val="none"/>
        </w:rPr>
        <w:t>29.5采购合同由采购人与成交供应商根据</w:t>
      </w:r>
      <w:r>
        <w:rPr>
          <w:rFonts w:hint="eastAsia" w:ascii="宋体" w:hAnsi="宋体"/>
          <w:color w:val="auto"/>
          <w:szCs w:val="21"/>
          <w:highlight w:val="none"/>
        </w:rPr>
        <w:t>磋商文件</w:t>
      </w:r>
      <w:r>
        <w:rPr>
          <w:rFonts w:hint="eastAsia" w:ascii="宋体" w:hAnsi="宋体" w:cs="仿宋_GB2312"/>
          <w:color w:val="auto"/>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Cs w:val="21"/>
          <w:highlight w:val="none"/>
        </w:rPr>
        <w:t>供应商须</w:t>
      </w:r>
      <w:r>
        <w:rPr>
          <w:rFonts w:hint="eastAsia" w:ascii="宋体" w:hAnsi="宋体"/>
          <w:color w:val="auto"/>
          <w:szCs w:val="21"/>
          <w:highlight w:val="none"/>
        </w:rPr>
        <w:t>知前附表</w:t>
      </w:r>
      <w:r>
        <w:rPr>
          <w:rFonts w:hint="eastAsia" w:ascii="宋体" w:hAnsi="宋体" w:cs="仿宋_GB2312"/>
          <w:color w:val="auto"/>
          <w:szCs w:val="21"/>
          <w:highlight w:val="none"/>
        </w:rPr>
        <w:t>”。</w:t>
      </w:r>
    </w:p>
    <w:p w14:paraId="76A1BC3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2379BDFF">
      <w:pPr>
        <w:spacing w:line="360" w:lineRule="auto"/>
        <w:ind w:firstLine="420" w:firstLineChars="200"/>
        <w:rPr>
          <w:rFonts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309FB9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407CABC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5887961">
      <w:pPr>
        <w:spacing w:line="360" w:lineRule="auto"/>
        <w:ind w:firstLine="420" w:firstLineChars="200"/>
        <w:rPr>
          <w:rFonts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7CF79A8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1A02EB0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D0745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5A1928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66968A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C50C92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6A262E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52C23D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08274D8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648418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34486C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A2C635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F095D3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C1D16C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7BFA73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4FD5E3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ACBAC6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424B4C18">
      <w:pPr>
        <w:pStyle w:val="5"/>
        <w:spacing w:before="0" w:after="0" w:line="360" w:lineRule="auto"/>
        <w:ind w:firstLine="315" w:firstLineChars="98"/>
        <w:rPr>
          <w:rFonts w:ascii="宋体" w:hAnsi="宋体"/>
          <w:b w:val="0"/>
          <w:color w:val="auto"/>
          <w:highlight w:val="none"/>
        </w:rPr>
      </w:pPr>
      <w:bookmarkStart w:id="53" w:name="_Toc536"/>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764A5CE3">
      <w:pPr>
        <w:tabs>
          <w:tab w:val="left" w:pos="0"/>
        </w:tabs>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173369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848F224">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0EEACD4E">
      <w:pPr>
        <w:tabs>
          <w:tab w:val="left" w:pos="0"/>
        </w:tabs>
        <w:spacing w:line="360" w:lineRule="auto"/>
        <w:ind w:firstLine="420" w:firstLineChars="200"/>
        <w:rPr>
          <w:rFonts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7247EC2">
      <w:pPr>
        <w:tabs>
          <w:tab w:val="left" w:pos="0"/>
        </w:tabs>
        <w:spacing w:line="360" w:lineRule="auto"/>
        <w:ind w:firstLine="420" w:firstLineChars="200"/>
        <w:rPr>
          <w:rFonts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01BE833">
      <w:pPr>
        <w:pStyle w:val="5"/>
        <w:spacing w:before="0" w:after="0" w:line="360" w:lineRule="auto"/>
        <w:ind w:firstLine="320" w:firstLineChars="100"/>
        <w:rPr>
          <w:rFonts w:ascii="宋体" w:hAnsi="宋体"/>
          <w:b w:val="0"/>
          <w:bCs w:val="0"/>
          <w:color w:val="auto"/>
          <w:highlight w:val="none"/>
        </w:rPr>
      </w:pPr>
      <w:bookmarkStart w:id="54" w:name="_Toc30836"/>
      <w:r>
        <w:rPr>
          <w:rFonts w:hint="eastAsia" w:ascii="宋体" w:hAnsi="宋体"/>
          <w:b w:val="0"/>
          <w:bCs w:val="0"/>
          <w:color w:val="auto"/>
          <w:highlight w:val="none"/>
        </w:rPr>
        <w:t>七、其他事项</w:t>
      </w:r>
      <w:bookmarkEnd w:id="54"/>
    </w:p>
    <w:p w14:paraId="7C097D2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612C95B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1544A47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34EB572F">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34.1本磋商文件解释规则详见“供应商须知前附表”。</w:t>
      </w:r>
    </w:p>
    <w:p w14:paraId="3ECD30C4">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34.2 其他事项详见“供应商须知前附表”。</w:t>
      </w:r>
    </w:p>
    <w:p w14:paraId="1C71A76A">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34.3本文件所称中小企业，是指在中华人民共和国境内依法设立，依据国务院批准的中小企业划标项准确定的中型企业、小型企业和微型企业，但与大企业的负责人为同一人，或者与大企业存在直接控股、管理关系的除外。符合中小企业划标项准的个体工商户，在政府采购活动中视同中小企业。在政府采购活动中，供应商提供的</w:t>
      </w:r>
      <w:r>
        <w:rPr>
          <w:rFonts w:hint="eastAsia" w:hAnsi="宋体"/>
          <w:color w:val="auto"/>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highlight w:val="none"/>
        </w:rPr>
        <w:t>，享受本文件规定的中小企业扶持政策。</w:t>
      </w:r>
    </w:p>
    <w:p w14:paraId="1322DCBB">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以联合体形式参加政府采购活动，联合体各方均为中小企业的，联合体视同中小企业。其中，联合体各方均为小微企业的，联合体视同小微企业。</w:t>
      </w:r>
    </w:p>
    <w:p w14:paraId="6A3080D8">
      <w:pPr>
        <w:pStyle w:val="12"/>
        <w:spacing w:line="360" w:lineRule="auto"/>
        <w:ind w:left="0" w:leftChars="0" w:firstLine="420" w:firstLineChars="200"/>
        <w:textAlignment w:val="center"/>
        <w:rPr>
          <w:rFonts w:hAnsi="宋体" w:cs="宋体"/>
          <w:color w:val="auto"/>
          <w:highlight w:val="none"/>
        </w:rPr>
      </w:pPr>
      <w:r>
        <w:rPr>
          <w:rFonts w:hint="eastAsia" w:hAnsi="宋体" w:cs="宋体"/>
          <w:color w:val="auto"/>
          <w:highlight w:val="none"/>
        </w:rPr>
        <w:t>依据本文件规定享受扶持政策获得政府采购合同的，小微企业不得将合同分包给大中型企业，中型企业不得将合同分包给大型企业。</w:t>
      </w:r>
    </w:p>
    <w:p w14:paraId="0AB9BEB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 政采贷相关说明</w:t>
      </w:r>
    </w:p>
    <w:p w14:paraId="07EBAC7B">
      <w:pPr>
        <w:pStyle w:val="12"/>
        <w:spacing w:line="360" w:lineRule="auto"/>
        <w:ind w:left="0" w:leftChars="0" w:firstLine="420" w:firstLineChars="200"/>
        <w:textAlignment w:val="center"/>
        <w:rPr>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2D69411A">
      <w:pPr>
        <w:pStyle w:val="12"/>
        <w:spacing w:line="360" w:lineRule="auto"/>
        <w:ind w:left="0" w:leftChars="0" w:firstLine="420" w:firstLineChars="200"/>
        <w:textAlignment w:val="center"/>
        <w:rPr>
          <w:rStyle w:val="27"/>
          <w:rFonts w:hint="eastAsia" w:hAnsi="宋体"/>
          <w:color w:val="auto"/>
          <w:highlight w:val="none"/>
        </w:rPr>
      </w:pPr>
      <w:r>
        <w:rPr>
          <w:rFonts w:hint="eastAsia" w:hAnsi="宋体"/>
          <w:color w:val="auto"/>
          <w:highlight w:val="none"/>
        </w:rPr>
        <w:t>（1）线下渠道：在“南宁市公共资源交易中心”官网（网址：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7"/>
          <w:rFonts w:hint="eastAsia" w:hAnsi="宋体"/>
          <w:color w:val="auto"/>
          <w:highlight w:val="none"/>
        </w:rPr>
        <w:t>http://www.nnggzy.org.cn）“交易信息-政府采购-政府采购信用融资”中融资银行和南宁市企业融资服务中心专栏信息申请政府采购信用融资。</w:t>
      </w:r>
      <w:r>
        <w:rPr>
          <w:rStyle w:val="27"/>
          <w:rFonts w:hint="eastAsia" w:hAnsi="宋体"/>
          <w:color w:val="auto"/>
          <w:highlight w:val="none"/>
        </w:rPr>
        <w:fldChar w:fldCharType="end"/>
      </w:r>
    </w:p>
    <w:p w14:paraId="7121C7E4">
      <w:pPr>
        <w:pStyle w:val="12"/>
        <w:spacing w:line="360" w:lineRule="auto"/>
        <w:ind w:left="0" w:leftChars="0" w:firstLine="420" w:firstLineChars="200"/>
        <w:textAlignment w:val="center"/>
        <w:rPr>
          <w:color w:val="auto"/>
          <w:highlight w:val="none"/>
        </w:rPr>
      </w:pPr>
      <w:r>
        <w:rPr>
          <w:color w:val="auto"/>
          <w:highlight w:val="none"/>
        </w:rPr>
        <w:t>（2）</w:t>
      </w:r>
      <w:r>
        <w:rPr>
          <w:rFonts w:hint="eastAsia" w:hAnsi="宋体"/>
          <w:b/>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auto"/>
          <w:highlight w:val="none"/>
        </w:rPr>
        <w:br w:type="page"/>
      </w:r>
    </w:p>
    <w:p w14:paraId="50EF2CF1">
      <w:pPr>
        <w:pStyle w:val="3"/>
        <w:spacing w:before="120" w:after="120" w:line="500" w:lineRule="exact"/>
        <w:jc w:val="center"/>
        <w:rPr>
          <w:color w:val="auto"/>
          <w:highlight w:val="none"/>
        </w:rPr>
      </w:pPr>
      <w:bookmarkStart w:id="55" w:name="_Toc25211"/>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44E6FF77">
      <w:pPr>
        <w:pStyle w:val="4"/>
        <w:jc w:val="center"/>
        <w:rPr>
          <w:rFonts w:ascii="宋体" w:hAnsi="宋体"/>
          <w:b w:val="0"/>
          <w:color w:val="auto"/>
          <w:highlight w:val="none"/>
        </w:rPr>
      </w:pPr>
      <w:bookmarkStart w:id="56" w:name="_Toc833"/>
      <w:r>
        <w:rPr>
          <w:rFonts w:hint="eastAsia" w:ascii="宋体" w:hAnsi="宋体"/>
          <w:b w:val="0"/>
          <w:color w:val="auto"/>
          <w:highlight w:val="none"/>
        </w:rPr>
        <w:t>第一节 评审程序和评审方法</w:t>
      </w:r>
      <w:bookmarkEnd w:id="56"/>
    </w:p>
    <w:p w14:paraId="5CA6564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4BCA8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5922B82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730C3A81">
      <w:pPr>
        <w:snapToGrid w:val="0"/>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556730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008B93ED">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7"/>
          <w:rFonts w:hAnsi="宋体" w:cs="宋体"/>
          <w:color w:val="auto"/>
          <w:highlight w:val="none"/>
        </w:rPr>
        <w:t>www.creditchina.gov.cn</w:t>
      </w:r>
      <w:r>
        <w:rPr>
          <w:rStyle w:val="27"/>
          <w:rFonts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7"/>
          <w:rFonts w:hAnsi="宋体" w:cs="宋体"/>
          <w:color w:val="auto"/>
          <w:highlight w:val="none"/>
        </w:rPr>
        <w:t>www.ccgp.gov.cn</w:t>
      </w:r>
      <w:r>
        <w:rPr>
          <w:rStyle w:val="27"/>
          <w:rFonts w:hAnsi="宋体" w:cs="宋体"/>
          <w:color w:val="auto"/>
          <w:highlight w:val="none"/>
        </w:rPr>
        <w:fldChar w:fldCharType="end"/>
      </w:r>
      <w:r>
        <w:rPr>
          <w:rFonts w:hint="eastAsia" w:ascii="宋体" w:hAnsi="宋体" w:cs="宋体"/>
          <w:color w:val="auto"/>
          <w:szCs w:val="21"/>
          <w:highlight w:val="none"/>
        </w:rPr>
        <w:t>)链接入口。</w:t>
      </w:r>
    </w:p>
    <w:p w14:paraId="3F8C3EE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09DE3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225532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503C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4AC6B9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5D99583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43DB5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E8684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72F0564A">
      <w:pPr>
        <w:spacing w:line="360" w:lineRule="auto"/>
        <w:ind w:firstLine="420" w:firstLineChars="200"/>
        <w:rPr>
          <w:rFonts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3EB1CC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6E057C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4EDB16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175747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E083688">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36426DC6">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0A0E5B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7BF2D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68D5E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2DB624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866DC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061A8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557391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8C6F6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17A8DD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12D945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55BF70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8D249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w:t>
      </w:r>
      <w:bookmarkStart w:id="58" w:name="OLE_LINK15"/>
      <w:r>
        <w:rPr>
          <w:rFonts w:hint="eastAsia" w:ascii="宋体" w:hAnsi="宋体" w:cs="宋体"/>
          <w:color w:val="auto"/>
          <w:szCs w:val="21"/>
          <w:highlight w:val="none"/>
        </w:rPr>
        <w:t>▲</w:t>
      </w:r>
      <w:bookmarkEnd w:id="58"/>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66CCF3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473E78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28FEB7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26C6A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1DD500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312584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435FD9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3D0630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4D9269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BDC7A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4548B9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2E7C0D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090972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6174A9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5E9F70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标项进行报价或者存在漏项报价；供应商未就所竞标标项的单项内容作唯一报价；供应商未就所竞标标项的全部内容作唯一总价报价；供应商响应文件中存在有选择、有条件报价的（磋商文件允许有备选方案或者其他约定的除外）；</w:t>
      </w:r>
    </w:p>
    <w:p w14:paraId="196CCF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标项规定的采购预算金额或者最高限价的（如本项目公布了最高限价）；响应报价（包含首次报价、最后报价）超过磋商文件分项采购预算金额或者最高限价的（如本项目公布了最高限价）；</w:t>
      </w:r>
    </w:p>
    <w:p w14:paraId="38D1C4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标项规定的采购预算金额或者最高限价（如本项目公布了最高限价）；或者经供应商确认修正后响应报价（包含首次报价、最后报价）超过磋商文件分项采购预算金额或者最高限价的（如本项目公布了最高限价）。</w:t>
      </w:r>
    </w:p>
    <w:p w14:paraId="2A1B5E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69A786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2E29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4F36DAA">
      <w:pPr>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F1AA0E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A25F6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677E1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30B54D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150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46002C54">
      <w:pPr>
        <w:widowControl/>
        <w:tabs>
          <w:tab w:val="left" w:pos="540"/>
        </w:tabs>
        <w:spacing w:line="360" w:lineRule="auto"/>
        <w:ind w:firstLine="420" w:firstLineChars="200"/>
        <w:jc w:val="left"/>
        <w:rPr>
          <w:rFonts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7BE03F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（1）按照相关规定进行公示的，公示情况说明；</w:t>
      </w:r>
    </w:p>
    <w:p w14:paraId="5BF9495E">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（2）磋商日期和地点，磋商人员名单；</w:t>
      </w:r>
    </w:p>
    <w:p w14:paraId="3AEAF064">
      <w:pPr>
        <w:ind w:firstLine="396"/>
        <w:rPr>
          <w:rFonts w:ascii="宋体" w:hAnsi="宋体" w:cs="宋体"/>
          <w:color w:val="auto"/>
          <w:spacing w:val="-6"/>
          <w:szCs w:val="21"/>
          <w:highlight w:val="none"/>
        </w:rPr>
      </w:pPr>
      <w:r>
        <w:rPr>
          <w:rFonts w:hint="eastAsia" w:ascii="宋体" w:hAnsi="宋体" w:cs="宋体"/>
          <w:color w:val="auto"/>
          <w:spacing w:val="-6"/>
          <w:szCs w:val="21"/>
          <w:highlight w:val="none"/>
        </w:rPr>
        <w:t>（3）合同主要条款及价格商定情况。</w:t>
      </w:r>
    </w:p>
    <w:p w14:paraId="0959CA06">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52CC158">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3E3D1710">
      <w:pPr>
        <w:ind w:firstLine="200"/>
        <w:rPr>
          <w:rFonts w:ascii="宋体" w:hAnsi="宋体" w:cs="宋体"/>
          <w:color w:val="auto"/>
          <w:szCs w:val="21"/>
          <w:highlight w:val="none"/>
        </w:rPr>
      </w:pPr>
      <w:r>
        <w:rPr>
          <w:rFonts w:hint="eastAsia" w:ascii="黑体" w:hAnsi="黑体" w:eastAsia="黑体" w:cs="宋体"/>
          <w:b/>
          <w:bCs/>
          <w:color w:val="auto"/>
          <w:sz w:val="24"/>
          <w:highlight w:val="none"/>
        </w:rPr>
        <w:t>5. 最后报价</w:t>
      </w:r>
    </w:p>
    <w:p w14:paraId="24BF9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59CF38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67FBD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02910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4D6AF5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254A91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5.6磋商小组收齐某一标项最后报价后统一开启，磋商小组对最后报价进行有效性、完整性和响应程度的审查。</w:t>
      </w:r>
    </w:p>
    <w:p w14:paraId="79A73A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774D09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599586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6D8EF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（2）经供应商确认修正后的响应报价（包含首次报价、最后报价）超过所竞标标项规定的采购预算金额或者最高限价的（如本项目公布了最高限价）；</w:t>
      </w:r>
    </w:p>
    <w:p w14:paraId="1D21AD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7945B8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9E1F6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F4149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52207131">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62B9FA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59F8CB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360337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41CBB6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61FA0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238ADE3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7395A1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0C80428A">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07816021">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A74BB7C">
      <w:pPr>
        <w:spacing w:line="360" w:lineRule="auto"/>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115984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2F22B4DA">
      <w:pPr>
        <w:widowControl/>
        <w:spacing w:line="360" w:lineRule="auto"/>
        <w:ind w:firstLine="420" w:firstLineChars="200"/>
        <w:jc w:val="left"/>
        <w:rPr>
          <w:rFonts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标项准范围、客观分评分不一致、经评审委员会一致认定评分畸高、畸低的情形除外。出现上述除外情形的，评审委员会应当现场修改评审结果，并在评审报告中明确记载。</w:t>
      </w:r>
    </w:p>
    <w:p w14:paraId="253640F3">
      <w:pPr>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55628A9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8.1评审依据：磋商小组将以磋商响应文件为评审依据，对供应商的报价、技术、商务等方面内容按百分制打分。（计分方法按四舍五入取至百分位）</w:t>
      </w:r>
    </w:p>
    <w:p w14:paraId="2561BF2A">
      <w:pPr>
        <w:rPr>
          <w:rFonts w:ascii="仿宋" w:hAnsi="仿宋" w:eastAsia="仿宋" w:cs="仿宋"/>
          <w:color w:val="auto"/>
          <w:highlight w:val="none"/>
        </w:rPr>
      </w:pPr>
    </w:p>
    <w:p w14:paraId="70F15412">
      <w:pPr>
        <w:spacing w:line="360" w:lineRule="auto"/>
        <w:ind w:firstLine="420" w:firstLineChars="200"/>
        <w:rPr>
          <w:rFonts w:ascii="宋体" w:hAnsi="宋体"/>
          <w:bCs/>
          <w:color w:val="auto"/>
          <w:highlight w:val="none"/>
        </w:rPr>
      </w:pPr>
      <w:r>
        <w:rPr>
          <w:rFonts w:hint="eastAsia" w:ascii="宋体" w:hAnsi="宋体"/>
          <w:bCs/>
          <w:color w:val="auto"/>
          <w:highlight w:val="none"/>
        </w:rPr>
        <w:t>8.2商务技术评审因素为客观评分项的，应在评分项目或评标项准中予以标注为“客观分”。对供应商的客观评分项目，各评审专家评分应当一致。</w:t>
      </w:r>
    </w:p>
    <w:p w14:paraId="25F1DF1F">
      <w:pPr>
        <w:spacing w:line="360" w:lineRule="auto"/>
        <w:ind w:firstLine="420" w:firstLineChars="200"/>
        <w:rPr>
          <w:rFonts w:ascii="宋体" w:hAnsi="宋体"/>
          <w:bCs/>
          <w:color w:val="auto"/>
          <w:highlight w:val="none"/>
        </w:rPr>
      </w:pPr>
      <w:r>
        <w:rPr>
          <w:rFonts w:hint="eastAsia" w:ascii="宋体" w:hAnsi="宋体"/>
          <w:bCs/>
          <w:color w:val="auto"/>
          <w:highlight w:val="none"/>
        </w:rPr>
        <w:t>8.3.终止竞争性磋商采购活动</w:t>
      </w:r>
    </w:p>
    <w:p w14:paraId="31A07E4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26B1AAD">
      <w:pPr>
        <w:rPr>
          <w:rFonts w:ascii="仿宋" w:hAnsi="仿宋" w:eastAsia="仿宋" w:cs="仿宋"/>
          <w:color w:val="auto"/>
          <w:highlight w:val="none"/>
        </w:rPr>
        <w:sectPr>
          <w:footerReference r:id="rId8" w:type="default"/>
          <w:pgSz w:w="11911" w:h="16838"/>
          <w:pgMar w:top="1417" w:right="1417" w:bottom="1417" w:left="1417" w:header="720" w:footer="720" w:gutter="0"/>
          <w:cols w:space="0" w:num="1"/>
        </w:sectPr>
      </w:pPr>
    </w:p>
    <w:p w14:paraId="34713A94">
      <w:pPr>
        <w:pStyle w:val="9"/>
        <w:spacing w:after="0" w:line="480" w:lineRule="auto"/>
        <w:rPr>
          <w:color w:val="auto"/>
          <w:highlight w:val="none"/>
        </w:rPr>
      </w:pPr>
      <w:r>
        <w:rPr>
          <w:rFonts w:hint="eastAsia"/>
          <w:color w:val="auto"/>
          <w:highlight w:val="none"/>
        </w:rPr>
        <w:t>具体评分标准如下：</w:t>
      </w:r>
    </w:p>
    <w:tbl>
      <w:tblPr>
        <w:tblStyle w:val="23"/>
        <w:tblW w:w="508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8"/>
        <w:gridCol w:w="1255"/>
        <w:gridCol w:w="6875"/>
        <w:gridCol w:w="7"/>
        <w:gridCol w:w="548"/>
      </w:tblGrid>
      <w:tr w14:paraId="47DA6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378CE6">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b/>
                <w:bCs/>
                <w:snapToGrid w:val="0"/>
                <w:color w:val="auto"/>
                <w:spacing w:val="2"/>
                <w:kern w:val="0"/>
                <w:szCs w:val="21"/>
                <w:highlight w:val="none"/>
                <w:lang w:bidi="ar"/>
              </w:rPr>
              <w:t>序号</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ACB3CA8">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b/>
                <w:bCs/>
                <w:snapToGrid w:val="0"/>
                <w:color w:val="auto"/>
                <w:spacing w:val="7"/>
                <w:kern w:val="0"/>
                <w:szCs w:val="21"/>
                <w:highlight w:val="none"/>
                <w:lang w:bidi="ar"/>
              </w:rPr>
              <w:t>评</w:t>
            </w:r>
            <w:r>
              <w:rPr>
                <w:rFonts w:hint="eastAsia" w:ascii="宋体" w:hAnsi="宋体" w:cs="宋体"/>
                <w:b/>
                <w:bCs/>
                <w:snapToGrid w:val="0"/>
                <w:color w:val="auto"/>
                <w:spacing w:val="6"/>
                <w:kern w:val="0"/>
                <w:szCs w:val="21"/>
                <w:highlight w:val="none"/>
                <w:lang w:bidi="ar"/>
              </w:rPr>
              <w:t>审因素</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9D1DE2F">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b/>
                <w:bCs/>
                <w:snapToGrid w:val="0"/>
                <w:color w:val="auto"/>
                <w:spacing w:val="14"/>
                <w:kern w:val="0"/>
                <w:szCs w:val="21"/>
                <w:highlight w:val="none"/>
                <w:lang w:bidi="ar"/>
              </w:rPr>
              <w:t>评</w:t>
            </w:r>
            <w:r>
              <w:rPr>
                <w:rFonts w:hint="eastAsia" w:ascii="宋体" w:hAnsi="宋体" w:cs="宋体"/>
                <w:b/>
                <w:bCs/>
                <w:snapToGrid w:val="0"/>
                <w:color w:val="auto"/>
                <w:spacing w:val="8"/>
                <w:kern w:val="0"/>
                <w:szCs w:val="21"/>
                <w:highlight w:val="none"/>
                <w:lang w:bidi="ar"/>
              </w:rPr>
              <w:t>审因素具体内容</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1DA07A9">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b/>
                <w:bCs/>
                <w:snapToGrid w:val="0"/>
                <w:color w:val="auto"/>
                <w:spacing w:val="1"/>
                <w:kern w:val="0"/>
                <w:szCs w:val="21"/>
                <w:highlight w:val="none"/>
                <w:lang w:bidi="ar"/>
              </w:rPr>
              <w:t>分</w:t>
            </w:r>
            <w:r>
              <w:rPr>
                <w:rFonts w:hint="eastAsia" w:ascii="宋体" w:hAnsi="宋体" w:cs="宋体"/>
                <w:b/>
                <w:bCs/>
                <w:snapToGrid w:val="0"/>
                <w:color w:val="auto"/>
                <w:kern w:val="0"/>
                <w:szCs w:val="21"/>
                <w:highlight w:val="none"/>
                <w:lang w:bidi="ar"/>
              </w:rPr>
              <w:t>值</w:t>
            </w:r>
          </w:p>
        </w:tc>
      </w:tr>
      <w:tr w14:paraId="65435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B5B4E3B">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snapToGrid w:val="0"/>
                <w:color w:val="auto"/>
                <w:kern w:val="0"/>
                <w:szCs w:val="21"/>
                <w:highlight w:val="none"/>
                <w:lang w:bidi="ar"/>
              </w:rPr>
              <w:t>1</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C25A44F">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spacing w:val="5"/>
                <w:kern w:val="0"/>
                <w:szCs w:val="21"/>
                <w:highlight w:val="none"/>
              </w:rPr>
            </w:pPr>
            <w:r>
              <w:rPr>
                <w:rFonts w:hint="eastAsia" w:ascii="宋体" w:hAnsi="宋体" w:cs="宋体"/>
                <w:snapToGrid w:val="0"/>
                <w:color w:val="auto"/>
                <w:kern w:val="0"/>
                <w:szCs w:val="21"/>
                <w:highlight w:val="none"/>
                <w:lang w:bidi="ar"/>
              </w:rPr>
              <w:t>报价分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4F4D88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1.</w:t>
            </w:r>
            <w:r>
              <w:rPr>
                <w:rFonts w:hint="eastAsia" w:ascii="宋体" w:hAnsi="宋体" w:eastAsia="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51667503">
            <w:pPr>
              <w:pStyle w:val="13"/>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bCs/>
                <w:color w:val="auto"/>
                <w:kern w:val="2"/>
                <w:sz w:val="21"/>
                <w:highlight w:val="none"/>
                <w:lang w:val="en-US" w:eastAsia="zh-CN"/>
              </w:rPr>
              <w:t>2.</w:t>
            </w:r>
            <w:r>
              <w:rPr>
                <w:rFonts w:hint="eastAsia" w:ascii="宋体" w:hAnsi="宋体" w:eastAsia="宋体" w:cs="宋体"/>
                <w:bCs/>
                <w:color w:val="auto"/>
                <w:kern w:val="2"/>
                <w:sz w:val="21"/>
                <w:highlight w:val="none"/>
              </w:rPr>
              <w:t>政府采购政策性扣除计算方法</w:t>
            </w:r>
          </w:p>
          <w:p w14:paraId="01A52D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①</w:t>
            </w:r>
            <w:r>
              <w:rPr>
                <w:rFonts w:hint="eastAsia" w:ascii="宋体" w:hAnsi="宋体" w:eastAsia="宋体" w:cs="宋体"/>
                <w:color w:val="auto"/>
                <w:szCs w:val="21"/>
                <w:highlight w:val="none"/>
              </w:rPr>
              <w:t>按照《政府采购促进中小企业发展管理办法》（财库〔2020〕46号）的规定，供应商为小型和微型企业，并在其响应文件中提供《中小企业声明函》，且其所</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rPr>
              <w:t>产品全部为小型和微型企业产品的，对其最后报价给予</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0%的扣除。</w:t>
            </w:r>
          </w:p>
          <w:p w14:paraId="5D5C491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②</w:t>
            </w:r>
            <w:r>
              <w:rPr>
                <w:rFonts w:hint="eastAsia" w:ascii="宋体" w:hAnsi="宋体" w:eastAsia="宋体" w:cs="宋体"/>
                <w:color w:val="auto"/>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A2FA8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③</w:t>
            </w:r>
            <w:r>
              <w:rPr>
                <w:rFonts w:hint="eastAsia" w:ascii="宋体" w:hAnsi="宋体" w:eastAsia="宋体" w:cs="宋体"/>
                <w:color w:val="auto"/>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C8578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④</w:t>
            </w:r>
            <w:r>
              <w:rPr>
                <w:rFonts w:hint="eastAsia" w:ascii="宋体" w:hAnsi="宋体" w:eastAsia="宋体" w:cs="宋体"/>
                <w:color w:val="auto"/>
                <w:szCs w:val="21"/>
                <w:highlight w:val="none"/>
              </w:rPr>
              <w:t>政策性扣除计算方法。</w:t>
            </w:r>
          </w:p>
          <w:p w14:paraId="4515EF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被评定为监狱企业或者残疾人福利性单位或者小型和微型企业且其所竞标全部产品为小型和微型企业产品的，该供应商的最后报价给予10%的扣除，扣除后的价格为评审价，即评审价=最后报价×（1-10%）；大中型企业和其他自然人、法人或者其他组织与小型、微型企业组成联合体竞标，且联合体协议中约定小型、微型企业的协议合同金额占到联合体协议合同总金额30%以上的，联合体最后报价给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%的扣除，扣除后的价格为评审价，即评审价=最后报价×（1-</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BFDF153">
            <w:pPr>
              <w:spacing w:line="360" w:lineRule="auto"/>
              <w:ind w:firstLine="420" w:firstLineChars="200"/>
              <w:jc w:val="left"/>
              <w:outlineLvl w:val="9"/>
              <w:rPr>
                <w:rFonts w:ascii="宋体" w:hAnsi="宋体" w:cs="宋体"/>
                <w:b/>
                <w:color w:val="auto"/>
                <w:szCs w:val="21"/>
                <w:highlight w:val="none"/>
              </w:rPr>
            </w:pPr>
            <w:r>
              <w:rPr>
                <w:rFonts w:hint="eastAsia" w:ascii="宋体" w:hAnsi="宋体" w:eastAsia="宋体" w:cs="宋体"/>
                <w:color w:val="auto"/>
                <w:szCs w:val="21"/>
                <w:highlight w:val="none"/>
                <w:lang w:val="en-US" w:eastAsia="zh-CN"/>
              </w:rPr>
              <w:t>⑤</w:t>
            </w:r>
            <w:r>
              <w:rPr>
                <w:rFonts w:hint="eastAsia" w:ascii="宋体" w:hAnsi="宋体" w:eastAsia="宋体" w:cs="宋体"/>
                <w:color w:val="auto"/>
                <w:szCs w:val="21"/>
                <w:highlight w:val="none"/>
              </w:rPr>
              <w:t>除上述情况外，评审价＝最后报价。</w:t>
            </w:r>
          </w:p>
          <w:p w14:paraId="2497A6A4">
            <w:pPr>
              <w:snapToGrid w:val="0"/>
              <w:spacing w:line="340" w:lineRule="exact"/>
              <w:ind w:firstLine="233" w:firstLineChars="111"/>
              <w:jc w:val="left"/>
              <w:rPr>
                <w:rFonts w:ascii="宋体" w:hAnsi="宋体" w:cs="宋体"/>
                <w:bCs/>
                <w:color w:val="auto"/>
                <w:szCs w:val="21"/>
                <w:highlight w:val="none"/>
              </w:rPr>
            </w:pPr>
            <w:r>
              <w:rPr>
                <w:rFonts w:hint="eastAsia" w:ascii="宋体" w:hAnsi="宋体" w:cs="宋体"/>
                <w:bCs/>
                <w:color w:val="auto"/>
                <w:szCs w:val="21"/>
                <w:highlight w:val="none"/>
                <w:lang w:val="en-US" w:eastAsia="zh-CN" w:bidi="ar"/>
              </w:rPr>
              <w:t>3.</w:t>
            </w:r>
            <w:r>
              <w:rPr>
                <w:rFonts w:hint="eastAsia" w:ascii="宋体" w:hAnsi="宋体" w:cs="宋体"/>
                <w:bCs/>
                <w:color w:val="auto"/>
                <w:szCs w:val="21"/>
                <w:highlight w:val="none"/>
                <w:lang w:bidi="ar"/>
              </w:rPr>
              <w:t>满足采购文件要求且评审报价最低的评审报价为评审基准价，其价格分为满分。</w:t>
            </w:r>
          </w:p>
          <w:p w14:paraId="713DEEC2">
            <w:pPr>
              <w:spacing w:line="340" w:lineRule="exact"/>
              <w:ind w:firstLine="233" w:firstLineChars="111"/>
              <w:jc w:val="left"/>
              <w:rPr>
                <w:rFonts w:ascii="宋体" w:hAnsi="宋体" w:cs="宋体"/>
                <w:bCs/>
                <w:color w:val="auto"/>
                <w:szCs w:val="21"/>
                <w:highlight w:val="none"/>
              </w:rPr>
            </w:pPr>
            <w:r>
              <w:rPr>
                <w:rFonts w:hint="eastAsia" w:ascii="宋体" w:hAnsi="宋体" w:cs="宋体"/>
                <w:bCs/>
                <w:color w:val="auto"/>
                <w:szCs w:val="21"/>
                <w:highlight w:val="none"/>
                <w:lang w:val="en-US" w:eastAsia="zh-CN" w:bidi="ar"/>
              </w:rPr>
              <w:t>4.</w:t>
            </w:r>
            <w:r>
              <w:rPr>
                <w:rFonts w:hint="eastAsia" w:ascii="宋体" w:hAnsi="宋体" w:cs="宋体"/>
                <w:bCs/>
                <w:color w:val="auto"/>
                <w:szCs w:val="21"/>
                <w:highlight w:val="none"/>
                <w:lang w:bidi="ar"/>
              </w:rPr>
              <w:t xml:space="preserve">价格分计算公式：        </w:t>
            </w:r>
          </w:p>
          <w:p w14:paraId="37A6B8F7">
            <w:pPr>
              <w:widowControl/>
              <w:kinsoku w:val="0"/>
              <w:autoSpaceDE w:val="0"/>
              <w:autoSpaceDN w:val="0"/>
              <w:adjustRightInd w:val="0"/>
              <w:snapToGrid w:val="0"/>
              <w:spacing w:line="340" w:lineRule="exact"/>
              <w:ind w:firstLine="420"/>
              <w:jc w:val="left"/>
              <w:textAlignment w:val="baseline"/>
              <w:rPr>
                <w:rFonts w:ascii="宋体" w:hAnsi="宋体" w:cs="宋体"/>
                <w:b/>
                <w:bCs/>
                <w:snapToGrid w:val="0"/>
                <w:color w:val="auto"/>
                <w:spacing w:val="7"/>
                <w:kern w:val="0"/>
                <w:szCs w:val="21"/>
                <w:highlight w:val="none"/>
              </w:rPr>
            </w:pPr>
            <w:r>
              <w:rPr>
                <w:rFonts w:hint="eastAsia" w:ascii="宋体" w:hAnsi="宋体" w:cs="宋体"/>
                <w:bCs/>
                <w:color w:val="auto"/>
                <w:szCs w:val="21"/>
                <w:highlight w:val="none"/>
                <w:lang w:bidi="ar"/>
              </w:rPr>
              <w:t>价格分=(评审基准价／供应商响应报价)×</w:t>
            </w:r>
            <w:r>
              <w:rPr>
                <w:rFonts w:hint="eastAsia" w:ascii="宋体" w:hAnsi="宋体" w:cs="宋体"/>
                <w:bCs/>
                <w:color w:val="auto"/>
                <w:szCs w:val="21"/>
                <w:highlight w:val="none"/>
                <w:u w:val="single"/>
                <w:lang w:bidi="ar"/>
              </w:rPr>
              <w:t xml:space="preserve"> </w:t>
            </w:r>
            <w:r>
              <w:rPr>
                <w:rFonts w:hint="eastAsia" w:ascii="宋体" w:hAnsi="宋体" w:cs="宋体"/>
                <w:bCs/>
                <w:color w:val="auto"/>
                <w:szCs w:val="21"/>
                <w:highlight w:val="none"/>
                <w:u w:val="single"/>
                <w:lang w:val="en-US" w:eastAsia="zh-CN" w:bidi="ar"/>
              </w:rPr>
              <w:t>15</w:t>
            </w:r>
            <w:r>
              <w:rPr>
                <w:rFonts w:hint="eastAsia" w:ascii="宋体" w:hAnsi="宋体" w:cs="宋体"/>
                <w:bCs/>
                <w:color w:val="auto"/>
                <w:szCs w:val="21"/>
                <w:highlight w:val="none"/>
                <w:u w:val="single"/>
                <w:lang w:bidi="ar"/>
              </w:rPr>
              <w:t xml:space="preserve"> </w:t>
            </w:r>
            <w:r>
              <w:rPr>
                <w:rFonts w:hint="eastAsia" w:ascii="宋体" w:hAnsi="宋体" w:cs="宋体"/>
                <w:bCs/>
                <w:color w:val="auto"/>
                <w:szCs w:val="21"/>
                <w:highlight w:val="none"/>
                <w:lang w:bidi="ar"/>
              </w:rPr>
              <w:t>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EF49AC8">
            <w:pPr>
              <w:widowControl/>
              <w:kinsoku w:val="0"/>
              <w:autoSpaceDE w:val="0"/>
              <w:autoSpaceDN w:val="0"/>
              <w:adjustRightInd w:val="0"/>
              <w:snapToGrid w:val="0"/>
              <w:spacing w:line="340" w:lineRule="exact"/>
              <w:jc w:val="center"/>
              <w:textAlignment w:val="baseline"/>
              <w:rPr>
                <w:rFonts w:ascii="宋体" w:hAnsi="宋体" w:cs="宋体"/>
                <w:b/>
                <w:bCs/>
                <w:color w:val="auto"/>
                <w:spacing w:val="-11"/>
                <w:kern w:val="0"/>
                <w:szCs w:val="21"/>
                <w:highlight w:val="none"/>
              </w:rPr>
            </w:pPr>
            <w:r>
              <w:rPr>
                <w:rFonts w:hint="eastAsia" w:ascii="宋体" w:hAnsi="宋体" w:cs="宋体"/>
                <w:snapToGrid w:val="0"/>
                <w:color w:val="auto"/>
                <w:kern w:val="0"/>
                <w:szCs w:val="21"/>
                <w:highlight w:val="none"/>
                <w:lang w:val="en-US" w:eastAsia="zh-CN" w:bidi="ar"/>
              </w:rPr>
              <w:t>15</w:t>
            </w:r>
            <w:r>
              <w:rPr>
                <w:rFonts w:hint="eastAsia" w:ascii="宋体" w:hAnsi="宋体" w:cs="宋体"/>
                <w:snapToGrid w:val="0"/>
                <w:color w:val="auto"/>
                <w:kern w:val="0"/>
                <w:szCs w:val="21"/>
                <w:highlight w:val="none"/>
                <w:lang w:bidi="ar"/>
              </w:rPr>
              <w:t>分</w:t>
            </w:r>
          </w:p>
        </w:tc>
      </w:tr>
      <w:tr w14:paraId="64D7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99873C3">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lang w:bidi="ar"/>
              </w:rPr>
              <w:t>2</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04CD68">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b/>
                <w:bCs/>
                <w:snapToGrid w:val="0"/>
                <w:color w:val="auto"/>
                <w:spacing w:val="5"/>
                <w:kern w:val="0"/>
                <w:szCs w:val="21"/>
                <w:highlight w:val="none"/>
                <w:lang w:bidi="ar"/>
              </w:rPr>
              <w:t>技术分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E5F0B6C">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b/>
                <w:bCs/>
                <w:snapToGrid w:val="0"/>
                <w:color w:val="auto"/>
                <w:spacing w:val="7"/>
                <w:kern w:val="0"/>
                <w:szCs w:val="21"/>
                <w:highlight w:val="none"/>
                <w:lang w:bidi="ar"/>
              </w:rPr>
              <w:t>评</w:t>
            </w:r>
            <w:r>
              <w:rPr>
                <w:rFonts w:hint="eastAsia" w:ascii="宋体" w:hAnsi="宋体" w:cs="宋体"/>
                <w:b/>
                <w:bCs/>
                <w:snapToGrid w:val="0"/>
                <w:color w:val="auto"/>
                <w:spacing w:val="6"/>
                <w:kern w:val="0"/>
                <w:szCs w:val="21"/>
                <w:highlight w:val="none"/>
                <w:lang w:bidi="ar"/>
              </w:rPr>
              <w:t>审因素</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6BB0AF0">
            <w:pPr>
              <w:widowControl/>
              <w:kinsoku w:val="0"/>
              <w:autoSpaceDE w:val="0"/>
              <w:autoSpaceDN w:val="0"/>
              <w:adjustRightInd w:val="0"/>
              <w:snapToGrid w:val="0"/>
              <w:spacing w:line="340" w:lineRule="exact"/>
              <w:jc w:val="center"/>
              <w:textAlignment w:val="baseline"/>
              <w:rPr>
                <w:rFonts w:ascii="宋体" w:hAnsi="宋体" w:cs="宋体"/>
                <w:b/>
                <w:bCs/>
                <w:color w:val="auto"/>
                <w:spacing w:val="1"/>
                <w:kern w:val="0"/>
                <w:position w:val="5"/>
                <w:szCs w:val="21"/>
                <w:highlight w:val="none"/>
              </w:rPr>
            </w:pPr>
            <w:r>
              <w:rPr>
                <w:rFonts w:hint="eastAsia" w:ascii="宋体" w:hAnsi="宋体" w:cs="宋体"/>
                <w:b/>
                <w:bCs/>
                <w:snapToGrid w:val="0"/>
                <w:color w:val="auto"/>
                <w:spacing w:val="2"/>
                <w:kern w:val="0"/>
                <w:position w:val="5"/>
                <w:szCs w:val="21"/>
                <w:highlight w:val="none"/>
                <w:lang w:bidi="ar"/>
              </w:rPr>
              <w:t>满</w:t>
            </w:r>
            <w:r>
              <w:rPr>
                <w:rFonts w:hint="eastAsia" w:ascii="宋体" w:hAnsi="宋体" w:cs="宋体"/>
                <w:b/>
                <w:bCs/>
                <w:snapToGrid w:val="0"/>
                <w:color w:val="auto"/>
                <w:spacing w:val="1"/>
                <w:kern w:val="0"/>
                <w:position w:val="5"/>
                <w:szCs w:val="21"/>
                <w:highlight w:val="none"/>
                <w:lang w:bidi="ar"/>
              </w:rPr>
              <w:t>分</w:t>
            </w:r>
          </w:p>
          <w:p w14:paraId="27EE48AB">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b/>
                <w:bCs/>
                <w:snapToGrid w:val="0"/>
                <w:color w:val="auto"/>
                <w:spacing w:val="-11"/>
                <w:kern w:val="0"/>
                <w:szCs w:val="21"/>
                <w:highlight w:val="none"/>
                <w:lang w:val="en-US" w:eastAsia="zh-CN" w:bidi="ar"/>
              </w:rPr>
              <w:t>80</w:t>
            </w:r>
            <w:r>
              <w:rPr>
                <w:rFonts w:hint="eastAsia" w:ascii="宋体" w:hAnsi="宋体" w:cs="宋体"/>
                <w:b/>
                <w:bCs/>
                <w:snapToGrid w:val="0"/>
                <w:color w:val="auto"/>
                <w:spacing w:val="-10"/>
                <w:kern w:val="0"/>
                <w:szCs w:val="21"/>
                <w:highlight w:val="none"/>
                <w:lang w:bidi="ar"/>
              </w:rPr>
              <w:t>分</w:t>
            </w:r>
          </w:p>
        </w:tc>
      </w:tr>
      <w:tr w14:paraId="6990D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6"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71EEEBE">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bidi="ar"/>
              </w:rPr>
              <w:t>2.1</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0213DC">
            <w:pPr>
              <w:spacing w:line="340" w:lineRule="exact"/>
              <w:jc w:val="center"/>
              <w:rPr>
                <w:rFonts w:ascii="宋体" w:hAnsi="宋体" w:cs="宋体"/>
                <w:snapToGrid w:val="0"/>
                <w:color w:val="auto"/>
                <w:kern w:val="0"/>
                <w:szCs w:val="21"/>
                <w:highlight w:val="none"/>
              </w:rPr>
            </w:pPr>
            <w:r>
              <w:rPr>
                <w:rFonts w:hint="eastAsia" w:ascii="宋体" w:hAnsi="宋体" w:cs="宋体"/>
                <w:color w:val="auto"/>
                <w:szCs w:val="21"/>
                <w:highlight w:val="none"/>
                <w:lang w:bidi="ar"/>
              </w:rPr>
              <w:t>项目实施方案分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A37AFA7">
            <w:pPr>
              <w:spacing w:line="360" w:lineRule="auto"/>
              <w:ind w:firstLine="420" w:firstLineChars="200"/>
              <w:rPr>
                <w:rFonts w:hint="eastAsia"/>
              </w:rPr>
            </w:pPr>
            <w:r>
              <w:rPr>
                <w:rFonts w:hint="eastAsia"/>
              </w:rPr>
              <w:t>一档（</w:t>
            </w:r>
            <w:r>
              <w:rPr>
                <w:rFonts w:hint="eastAsia"/>
                <w:lang w:val="en-US" w:eastAsia="zh-CN"/>
              </w:rPr>
              <w:t>4</w:t>
            </w:r>
            <w:r>
              <w:rPr>
                <w:rFonts w:hint="eastAsia"/>
              </w:rPr>
              <w:t>分）：供应商提供的项目实施方案符合采购需求，</w:t>
            </w:r>
            <w:r>
              <w:rPr>
                <w:rFonts w:hint="eastAsia"/>
                <w:lang w:val="en-US" w:eastAsia="zh-CN"/>
              </w:rPr>
              <w:t>有</w:t>
            </w:r>
            <w:r>
              <w:rPr>
                <w:rFonts w:hint="eastAsia"/>
              </w:rPr>
              <w:t>技术力量和人力资源安排、技术服务方案</w:t>
            </w:r>
            <w:r>
              <w:rPr>
                <w:rFonts w:hint="eastAsia"/>
                <w:lang w:val="en-US" w:eastAsia="zh-CN"/>
              </w:rPr>
              <w:t>内容</w:t>
            </w:r>
            <w:r>
              <w:rPr>
                <w:rFonts w:hint="eastAsia"/>
              </w:rPr>
              <w:t>。</w:t>
            </w:r>
          </w:p>
          <w:p w14:paraId="4EB39DB2">
            <w:pPr>
              <w:spacing w:line="360" w:lineRule="auto"/>
              <w:ind w:firstLine="420" w:firstLineChars="200"/>
              <w:rPr>
                <w:rFonts w:hint="eastAsia"/>
              </w:rPr>
            </w:pPr>
            <w:r>
              <w:rPr>
                <w:rFonts w:hint="eastAsia"/>
              </w:rPr>
              <w:t>二档（</w:t>
            </w:r>
            <w:r>
              <w:rPr>
                <w:rFonts w:hint="eastAsia"/>
                <w:lang w:val="en-US" w:eastAsia="zh-CN"/>
              </w:rPr>
              <w:t>7</w:t>
            </w:r>
            <w:r>
              <w:rPr>
                <w:rFonts w:hint="eastAsia"/>
              </w:rPr>
              <w:t xml:space="preserve"> 分）：供应商提供的项目实施方案内容方案详细，技术力量和人力资源安排周全，分工明确，能保障项目实施质量；能切合本项目提供具体的实施对接方案，方案能表明对本项目的熟悉程度，技术路线；能提供服务交付时间保证措施、技术服务等内容。</w:t>
            </w:r>
          </w:p>
          <w:p w14:paraId="31C4596B">
            <w:pPr>
              <w:spacing w:line="360" w:lineRule="auto"/>
              <w:ind w:firstLine="420" w:firstLineChars="200"/>
              <w:rPr>
                <w:rFonts w:hint="eastAsia"/>
              </w:rPr>
            </w:pPr>
            <w:r>
              <w:rPr>
                <w:rFonts w:hint="eastAsia"/>
              </w:rPr>
              <w:t>三档（</w:t>
            </w:r>
            <w:r>
              <w:rPr>
                <w:rFonts w:hint="eastAsia"/>
                <w:lang w:val="en-US" w:eastAsia="zh-CN"/>
              </w:rPr>
              <w:t>12</w:t>
            </w:r>
            <w:r>
              <w:rPr>
                <w:rFonts w:hint="eastAsia"/>
              </w:rPr>
              <w:t>分）：供应商提供的项目实施方案内容切合实际，实施方案、技术力量和人力资源安排、技术服务方案完整周全；组织机构健全，分工明确，能保障项目实施质量；能切合本项目实际提供具体的实施对接方案，</w:t>
            </w:r>
            <w:r>
              <w:rPr>
                <w:rFonts w:hint="eastAsia" w:ascii="宋体" w:hAnsi="宋体" w:cs="宋体"/>
                <w:snapToGrid w:val="0"/>
                <w:color w:val="auto"/>
                <w:kern w:val="0"/>
                <w:szCs w:val="21"/>
                <w:highlight w:val="none"/>
                <w:lang w:bidi="ar"/>
              </w:rPr>
              <w:t>实施方案能紧密结合采购人的服务需求</w:t>
            </w:r>
            <w:r>
              <w:rPr>
                <w:rFonts w:hint="eastAsia" w:ascii="宋体" w:hAnsi="宋体" w:cs="宋体"/>
                <w:snapToGrid w:val="0"/>
                <w:color w:val="auto"/>
                <w:kern w:val="0"/>
                <w:szCs w:val="21"/>
                <w:highlight w:val="none"/>
                <w:lang w:eastAsia="zh-CN" w:bidi="ar"/>
              </w:rPr>
              <w:t>，</w:t>
            </w:r>
            <w:r>
              <w:rPr>
                <w:rFonts w:hint="eastAsia" w:ascii="宋体" w:hAnsi="宋体" w:cs="宋体"/>
                <w:snapToGrid w:val="0"/>
                <w:color w:val="auto"/>
                <w:kern w:val="0"/>
                <w:szCs w:val="21"/>
                <w:highlight w:val="none"/>
                <w:lang w:bidi="ar"/>
              </w:rPr>
              <w:t>以</w:t>
            </w:r>
            <w:r>
              <w:rPr>
                <w:rFonts w:ascii="宋体" w:hAnsi="宋体" w:cs="宋体"/>
                <w:snapToGrid w:val="0"/>
                <w:color w:val="auto"/>
                <w:kern w:val="0"/>
                <w:szCs w:val="21"/>
                <w:highlight w:val="none"/>
                <w:lang w:bidi="ar"/>
              </w:rPr>
              <w:t>问题为导向，</w:t>
            </w:r>
            <w:r>
              <w:rPr>
                <w:rFonts w:hint="eastAsia" w:ascii="宋体" w:hAnsi="宋体" w:cs="宋体"/>
                <w:snapToGrid w:val="0"/>
                <w:color w:val="auto"/>
                <w:kern w:val="0"/>
                <w:szCs w:val="21"/>
                <w:highlight w:val="none"/>
                <w:lang w:bidi="ar"/>
              </w:rPr>
              <w:t>项目计划、项目进度及关键工作安排合理；能提供服务交付时间保证措施、</w:t>
            </w:r>
            <w:r>
              <w:rPr>
                <w:rFonts w:hint="eastAsia" w:ascii="宋体" w:hAnsi="宋体" w:cs="宋体"/>
                <w:snapToGrid w:val="0"/>
                <w:color w:val="auto"/>
                <w:kern w:val="0"/>
                <w:szCs w:val="21"/>
                <w:highlight w:val="none"/>
                <w:lang w:val="en-US" w:eastAsia="zh-CN" w:bidi="ar"/>
              </w:rPr>
              <w:t>安全保障措施</w:t>
            </w:r>
            <w:r>
              <w:rPr>
                <w:rFonts w:hint="eastAsia" w:ascii="宋体" w:hAnsi="宋体" w:cs="宋体"/>
                <w:snapToGrid w:val="0"/>
                <w:color w:val="auto"/>
                <w:kern w:val="0"/>
                <w:szCs w:val="21"/>
                <w:highlight w:val="none"/>
                <w:lang w:bidi="ar"/>
              </w:rPr>
              <w:t>等内容；服务落实措施合理，</w:t>
            </w:r>
            <w:r>
              <w:rPr>
                <w:rFonts w:hint="eastAsia" w:ascii="宋体" w:hAnsi="宋体" w:cs="宋体"/>
                <w:snapToGrid w:val="0"/>
                <w:color w:val="auto"/>
                <w:kern w:val="0"/>
                <w:szCs w:val="21"/>
                <w:highlight w:val="none"/>
                <w:lang w:val="en-US" w:eastAsia="zh-CN" w:bidi="ar"/>
              </w:rPr>
              <w:t>人员</w:t>
            </w:r>
            <w:r>
              <w:rPr>
                <w:rFonts w:hint="eastAsia" w:ascii="宋体" w:hAnsi="宋体" w:cs="宋体"/>
                <w:snapToGrid w:val="0"/>
                <w:color w:val="auto"/>
                <w:kern w:val="0"/>
                <w:szCs w:val="21"/>
                <w:highlight w:val="none"/>
                <w:lang w:bidi="ar"/>
              </w:rPr>
              <w:t>分工与职责明确</w:t>
            </w:r>
            <w:r>
              <w:rPr>
                <w:rFonts w:hint="eastAsia"/>
              </w:rPr>
              <w:t>，技术路线清晰；能提供服务交付时间保证措施、技术服务等内容；</w:t>
            </w:r>
            <w:r>
              <w:rPr>
                <w:rFonts w:hint="eastAsia"/>
                <w:lang w:val="en-US" w:eastAsia="zh-CN"/>
              </w:rPr>
              <w:t>人员</w:t>
            </w:r>
            <w:r>
              <w:rPr>
                <w:rFonts w:hint="eastAsia"/>
              </w:rPr>
              <w:t>分工与职责明确，结合行业特点提出具有针对性的方案优化建议。</w:t>
            </w:r>
          </w:p>
          <w:p w14:paraId="0CEA4AD0">
            <w:pPr>
              <w:spacing w:line="360" w:lineRule="auto"/>
              <w:rPr>
                <w:rFonts w:ascii="宋体" w:hAnsi="宋体" w:cs="宋体"/>
                <w:color w:val="auto"/>
                <w:kern w:val="0"/>
                <w:szCs w:val="21"/>
                <w:highlight w:val="none"/>
              </w:rPr>
            </w:pPr>
            <w:r>
              <w:rPr>
                <w:rFonts w:hint="eastAsia"/>
              </w:rPr>
              <w:t>注：不提供项目实施方案或项目实施方案达不到一档要求的得0 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94374EB">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val="en-US" w:eastAsia="zh-CN" w:bidi="ar"/>
              </w:rPr>
              <w:t>12</w:t>
            </w:r>
            <w:r>
              <w:rPr>
                <w:rFonts w:hint="eastAsia" w:ascii="宋体" w:hAnsi="宋体" w:cs="宋体"/>
                <w:snapToGrid w:val="0"/>
                <w:color w:val="auto"/>
                <w:kern w:val="0"/>
                <w:szCs w:val="21"/>
                <w:highlight w:val="none"/>
                <w:lang w:bidi="ar"/>
              </w:rPr>
              <w:t>分</w:t>
            </w:r>
          </w:p>
        </w:tc>
      </w:tr>
      <w:tr w14:paraId="791DA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0EB547F">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bidi="ar"/>
              </w:rPr>
              <w:t>2.2</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4A4E6D9">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管理方案分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3477DEB">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一档（</w:t>
            </w:r>
            <w:r>
              <w:rPr>
                <w:rFonts w:hint="eastAsia" w:ascii="宋体" w:hAnsi="宋体" w:cs="宋体"/>
                <w:color w:val="auto"/>
                <w:kern w:val="0"/>
                <w:szCs w:val="21"/>
                <w:highlight w:val="none"/>
                <w:lang w:val="en-US" w:eastAsia="zh-CN" w:bidi="ar"/>
              </w:rPr>
              <w:t>4</w:t>
            </w:r>
            <w:r>
              <w:rPr>
                <w:rFonts w:hint="eastAsia" w:ascii="宋体" w:hAnsi="宋体" w:cs="宋体"/>
                <w:snapToGrid w:val="0"/>
                <w:color w:val="auto"/>
                <w:kern w:val="0"/>
                <w:szCs w:val="21"/>
                <w:highlight w:val="none"/>
                <w:lang w:bidi="ar"/>
              </w:rPr>
              <w:t>分）：供应商提供的方案</w:t>
            </w:r>
            <w:r>
              <w:rPr>
                <w:rFonts w:hint="eastAsia" w:ascii="宋体" w:hAnsi="宋体" w:cs="宋体"/>
                <w:snapToGrid w:val="0"/>
                <w:color w:val="auto"/>
                <w:kern w:val="0"/>
                <w:szCs w:val="21"/>
                <w:highlight w:val="none"/>
                <w:lang w:val="en-US" w:eastAsia="zh-CN" w:bidi="ar"/>
              </w:rPr>
              <w:t>符合本项目采购需求</w:t>
            </w:r>
            <w:r>
              <w:rPr>
                <w:rFonts w:hint="eastAsia" w:ascii="宋体" w:hAnsi="宋体" w:cs="宋体"/>
                <w:snapToGrid w:val="0"/>
                <w:color w:val="auto"/>
                <w:kern w:val="0"/>
                <w:szCs w:val="21"/>
                <w:highlight w:val="none"/>
                <w:lang w:bidi="ar"/>
              </w:rPr>
              <w:t>，能包含服务实施管理、实施组织等内容，方案中对管理工作的描述没有明显错误。</w:t>
            </w:r>
          </w:p>
          <w:p w14:paraId="7BED41D9">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二档（</w:t>
            </w:r>
            <w:r>
              <w:rPr>
                <w:rFonts w:hint="eastAsia" w:ascii="宋体" w:hAnsi="宋体" w:cs="宋体"/>
                <w:color w:val="auto"/>
                <w:kern w:val="0"/>
                <w:szCs w:val="21"/>
                <w:highlight w:val="none"/>
                <w:lang w:val="en-US" w:eastAsia="zh-CN" w:bidi="ar"/>
              </w:rPr>
              <w:t>8</w:t>
            </w:r>
            <w:r>
              <w:rPr>
                <w:rFonts w:hint="eastAsia" w:ascii="宋体" w:hAnsi="宋体" w:cs="宋体"/>
                <w:snapToGrid w:val="0"/>
                <w:color w:val="auto"/>
                <w:kern w:val="0"/>
                <w:szCs w:val="21"/>
                <w:highlight w:val="none"/>
                <w:lang w:bidi="ar"/>
              </w:rPr>
              <w:t>分）：供应商提供的方案能包含实施管理、实施组织、质量保证、保密管理等内容，管理方案相对合理全面。</w:t>
            </w:r>
          </w:p>
          <w:p w14:paraId="2643DD94">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三档（</w:t>
            </w:r>
            <w:r>
              <w:rPr>
                <w:rFonts w:hint="eastAsia" w:ascii="宋体" w:hAnsi="宋体" w:cs="宋体"/>
                <w:color w:val="auto"/>
                <w:kern w:val="0"/>
                <w:szCs w:val="21"/>
                <w:highlight w:val="none"/>
                <w:lang w:bidi="ar"/>
              </w:rPr>
              <w:t>1</w:t>
            </w:r>
            <w:r>
              <w:rPr>
                <w:rFonts w:hint="eastAsia" w:ascii="宋体" w:hAnsi="宋体" w:cs="宋体"/>
                <w:color w:val="auto"/>
                <w:kern w:val="0"/>
                <w:szCs w:val="21"/>
                <w:highlight w:val="none"/>
                <w:lang w:val="en-US" w:eastAsia="zh-CN" w:bidi="ar"/>
              </w:rPr>
              <w:t>2</w:t>
            </w:r>
            <w:r>
              <w:rPr>
                <w:rFonts w:hint="eastAsia" w:ascii="宋体" w:hAnsi="宋体" w:cs="宋体"/>
                <w:snapToGrid w:val="0"/>
                <w:color w:val="auto"/>
                <w:kern w:val="0"/>
                <w:szCs w:val="21"/>
                <w:highlight w:val="none"/>
                <w:lang w:bidi="ar"/>
              </w:rPr>
              <w:t>分）：供应商提供的方案能包含</w:t>
            </w:r>
            <w:r>
              <w:rPr>
                <w:rFonts w:hint="eastAsia" w:ascii="宋体" w:hAnsi="宋体" w:cs="宋体"/>
                <w:snapToGrid w:val="0"/>
                <w:color w:val="auto"/>
                <w:kern w:val="0"/>
                <w:szCs w:val="21"/>
                <w:highlight w:val="none"/>
                <w:lang w:val="en-US" w:eastAsia="zh-CN" w:bidi="ar"/>
              </w:rPr>
              <w:t>涉案财物处置的</w:t>
            </w:r>
            <w:r>
              <w:rPr>
                <w:rFonts w:hint="eastAsia" w:ascii="宋体" w:hAnsi="宋体" w:cs="宋体"/>
                <w:snapToGrid w:val="0"/>
                <w:color w:val="auto"/>
                <w:kern w:val="0"/>
                <w:szCs w:val="21"/>
                <w:highlight w:val="none"/>
                <w:lang w:bidi="ar"/>
              </w:rPr>
              <w:t>管理理念、实施管理、实施组织、质量保证、保密管理、安全管理</w:t>
            </w:r>
            <w:r>
              <w:rPr>
                <w:rFonts w:hint="eastAsia" w:ascii="宋体" w:hAnsi="宋体" w:cs="宋体"/>
                <w:snapToGrid w:val="0"/>
                <w:color w:val="auto"/>
                <w:kern w:val="0"/>
                <w:szCs w:val="21"/>
                <w:highlight w:val="none"/>
                <w:lang w:eastAsia="zh-CN" w:bidi="ar"/>
              </w:rPr>
              <w:t>、</w:t>
            </w:r>
            <w:r>
              <w:rPr>
                <w:rFonts w:hint="eastAsia" w:ascii="宋体" w:hAnsi="宋体" w:cs="宋体"/>
                <w:snapToGrid w:val="0"/>
                <w:color w:val="auto"/>
                <w:kern w:val="0"/>
                <w:szCs w:val="21"/>
                <w:highlight w:val="none"/>
                <w:lang w:val="en-US" w:eastAsia="zh-CN" w:bidi="ar"/>
              </w:rPr>
              <w:t>操作规范</w:t>
            </w:r>
            <w:r>
              <w:rPr>
                <w:rFonts w:hint="eastAsia" w:ascii="宋体" w:hAnsi="宋体" w:cs="宋体"/>
                <w:snapToGrid w:val="0"/>
                <w:color w:val="auto"/>
                <w:kern w:val="0"/>
                <w:szCs w:val="21"/>
                <w:highlight w:val="none"/>
                <w:lang w:bidi="ar"/>
              </w:rPr>
              <w:t>等内容；能提供对服务人员的内部考核管理机制、培训提升</w:t>
            </w:r>
            <w:r>
              <w:rPr>
                <w:rFonts w:hint="eastAsia" w:ascii="宋体" w:hAnsi="宋体" w:cs="宋体"/>
                <w:snapToGrid w:val="0"/>
                <w:color w:val="auto"/>
                <w:kern w:val="0"/>
                <w:szCs w:val="21"/>
                <w:highlight w:val="none"/>
                <w:lang w:eastAsia="zh-CN" w:bidi="ar"/>
              </w:rPr>
              <w:t>、</w:t>
            </w:r>
            <w:r>
              <w:rPr>
                <w:rFonts w:hint="eastAsia" w:ascii="宋体" w:hAnsi="宋体" w:cs="宋体"/>
                <w:snapToGrid w:val="0"/>
                <w:color w:val="auto"/>
                <w:kern w:val="0"/>
                <w:szCs w:val="21"/>
                <w:highlight w:val="none"/>
                <w:lang w:bidi="ar"/>
              </w:rPr>
              <w:t>激励机制，管理方案合理全面、思路清晰。</w:t>
            </w:r>
          </w:p>
          <w:p w14:paraId="5B73461D">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注：不提供管理方案或不满足一档不得分。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5E37D22E">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1</w:t>
            </w:r>
            <w:r>
              <w:rPr>
                <w:rFonts w:hint="eastAsia" w:ascii="宋体" w:hAnsi="宋体" w:cs="宋体"/>
                <w:snapToGrid w:val="0"/>
                <w:color w:val="auto"/>
                <w:kern w:val="0"/>
                <w:szCs w:val="21"/>
                <w:highlight w:val="none"/>
                <w:lang w:val="en-US" w:eastAsia="zh-CN" w:bidi="ar"/>
              </w:rPr>
              <w:t>2</w:t>
            </w:r>
            <w:r>
              <w:rPr>
                <w:rFonts w:hint="eastAsia" w:ascii="宋体" w:hAnsi="宋体" w:cs="宋体"/>
                <w:snapToGrid w:val="0"/>
                <w:color w:val="auto"/>
                <w:kern w:val="0"/>
                <w:szCs w:val="21"/>
                <w:highlight w:val="none"/>
                <w:lang w:bidi="ar"/>
              </w:rPr>
              <w:t>分</w:t>
            </w:r>
          </w:p>
        </w:tc>
      </w:tr>
      <w:tr w14:paraId="5C710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85EA62">
            <w:pPr>
              <w:widowControl/>
              <w:kinsoku w:val="0"/>
              <w:autoSpaceDE w:val="0"/>
              <w:autoSpaceDN w:val="0"/>
              <w:adjustRightInd w:val="0"/>
              <w:snapToGrid w:val="0"/>
              <w:spacing w:line="340" w:lineRule="exact"/>
              <w:jc w:val="center"/>
              <w:textAlignment w:val="baseline"/>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Cs w:val="21"/>
                <w:highlight w:val="none"/>
                <w:lang w:bidi="ar"/>
              </w:rPr>
              <w:t>2.3</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6ECEC33">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系统建设方案分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8156A42">
            <w:pPr>
              <w:spacing w:line="288" w:lineRule="auto"/>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snapToGrid w:val="0"/>
                <w:color w:val="auto"/>
                <w:kern w:val="0"/>
                <w:szCs w:val="21"/>
                <w:highlight w:val="none"/>
                <w:lang w:bidi="ar"/>
              </w:rPr>
              <w:t>一档（</w:t>
            </w:r>
            <w:r>
              <w:rPr>
                <w:rFonts w:hint="eastAsia" w:ascii="宋体" w:hAnsi="宋体" w:cs="宋体"/>
                <w:snapToGrid w:val="0"/>
                <w:color w:val="auto"/>
                <w:kern w:val="0"/>
                <w:szCs w:val="21"/>
                <w:highlight w:val="none"/>
                <w:lang w:val="en-US" w:eastAsia="zh-CN" w:bidi="ar"/>
              </w:rPr>
              <w:t>3</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有基本的系统</w:t>
            </w:r>
            <w:r>
              <w:rPr>
                <w:rFonts w:hint="eastAsia" w:ascii="宋体" w:hAnsi="宋体" w:cs="宋体"/>
                <w:color w:val="auto"/>
                <w:kern w:val="0"/>
                <w:szCs w:val="21"/>
                <w:highlight w:val="none"/>
              </w:rPr>
              <w:t>建设思路</w:t>
            </w:r>
            <w:r>
              <w:rPr>
                <w:rFonts w:hint="eastAsia" w:ascii="宋体" w:hAnsi="宋体" w:cs="宋体"/>
                <w:color w:val="auto"/>
                <w:kern w:val="0"/>
                <w:szCs w:val="21"/>
                <w:highlight w:val="none"/>
                <w:lang w:eastAsia="zh-CN"/>
              </w:rPr>
              <w:t>、</w:t>
            </w:r>
            <w:r>
              <w:rPr>
                <w:rFonts w:hint="eastAsia" w:ascii="宋体" w:hAnsi="宋体" w:cs="宋体"/>
                <w:snapToGrid w:val="0"/>
                <w:color w:val="auto"/>
                <w:kern w:val="0"/>
                <w:szCs w:val="21"/>
                <w:highlight w:val="none"/>
                <w:lang w:val="en-US" w:eastAsia="zh-CN" w:bidi="ar"/>
              </w:rPr>
              <w:t>系统</w:t>
            </w:r>
            <w:r>
              <w:rPr>
                <w:rFonts w:hint="eastAsia" w:ascii="宋体" w:hAnsi="宋体" w:cs="宋体"/>
                <w:color w:val="auto"/>
                <w:kern w:val="0"/>
                <w:szCs w:val="21"/>
                <w:highlight w:val="none"/>
              </w:rPr>
              <w:t>总体架构</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系统功能等方案</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但响应</w:t>
            </w:r>
            <w:r>
              <w:rPr>
                <w:rFonts w:hint="eastAsia" w:ascii="宋体" w:hAnsi="宋体" w:cs="宋体"/>
                <w:color w:val="auto"/>
                <w:kern w:val="0"/>
                <w:szCs w:val="21"/>
                <w:highlight w:val="none"/>
              </w:rPr>
              <w:t>欠合理，可行性较低</w:t>
            </w:r>
            <w:r>
              <w:rPr>
                <w:rFonts w:hint="eastAsia" w:ascii="宋体" w:hAnsi="宋体" w:cs="宋体"/>
                <w:color w:val="auto"/>
                <w:kern w:val="0"/>
                <w:szCs w:val="21"/>
                <w:highlight w:val="none"/>
                <w:lang w:eastAsia="zh-CN"/>
              </w:rPr>
              <w:t>；</w:t>
            </w:r>
          </w:p>
          <w:p w14:paraId="7DB7AD86">
            <w:pPr>
              <w:spacing w:line="288" w:lineRule="auto"/>
              <w:ind w:firstLine="420" w:firstLineChars="200"/>
              <w:jc w:val="left"/>
              <w:rPr>
                <w:rFonts w:hint="eastAsia" w:ascii="宋体" w:hAnsi="宋体" w:eastAsia="宋体" w:cs="宋体"/>
                <w:color w:val="auto"/>
                <w:kern w:val="0"/>
                <w:szCs w:val="21"/>
                <w:highlight w:val="none"/>
                <w:lang w:eastAsia="zh-CN"/>
              </w:rPr>
            </w:pPr>
            <w:r>
              <w:rPr>
                <w:rFonts w:hint="eastAsia" w:ascii="宋体" w:hAnsi="宋体" w:cs="宋体"/>
                <w:snapToGrid w:val="0"/>
                <w:color w:val="auto"/>
                <w:kern w:val="0"/>
                <w:szCs w:val="21"/>
                <w:highlight w:val="none"/>
                <w:lang w:val="en-US" w:eastAsia="zh-CN" w:bidi="ar"/>
              </w:rPr>
              <w:t>二</w:t>
            </w:r>
            <w:r>
              <w:rPr>
                <w:rFonts w:hint="eastAsia" w:ascii="宋体" w:hAnsi="宋体" w:cs="宋体"/>
                <w:snapToGrid w:val="0"/>
                <w:color w:val="auto"/>
                <w:kern w:val="0"/>
                <w:szCs w:val="21"/>
                <w:highlight w:val="none"/>
                <w:lang w:bidi="ar"/>
              </w:rPr>
              <w:t>档（</w:t>
            </w:r>
            <w:r>
              <w:rPr>
                <w:rFonts w:hint="eastAsia" w:ascii="宋体" w:hAnsi="宋体" w:cs="宋体"/>
                <w:snapToGrid w:val="0"/>
                <w:color w:val="auto"/>
                <w:kern w:val="0"/>
                <w:szCs w:val="21"/>
                <w:highlight w:val="none"/>
                <w:lang w:val="en-US" w:eastAsia="zh-CN" w:bidi="ar"/>
              </w:rPr>
              <w:t>6</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在满足一档的基础上，有满足采购要求的系统</w:t>
            </w:r>
            <w:r>
              <w:rPr>
                <w:rFonts w:hint="eastAsia" w:ascii="宋体" w:hAnsi="宋体" w:cs="宋体"/>
                <w:color w:val="auto"/>
                <w:kern w:val="0"/>
                <w:szCs w:val="21"/>
                <w:highlight w:val="none"/>
              </w:rPr>
              <w:t>技术路线</w:t>
            </w:r>
            <w:r>
              <w:rPr>
                <w:rFonts w:hint="eastAsia" w:ascii="宋体" w:hAnsi="宋体" w:cs="宋体"/>
                <w:color w:val="auto"/>
                <w:kern w:val="0"/>
                <w:szCs w:val="21"/>
                <w:highlight w:val="none"/>
                <w:lang w:eastAsia="zh-CN"/>
              </w:rPr>
              <w:t>、</w:t>
            </w:r>
            <w:r>
              <w:rPr>
                <w:rFonts w:hint="eastAsia" w:ascii="宋体" w:hAnsi="宋体" w:cs="宋体"/>
                <w:snapToGrid w:val="0"/>
                <w:color w:val="auto"/>
                <w:kern w:val="0"/>
                <w:szCs w:val="21"/>
                <w:highlight w:val="none"/>
                <w:lang w:val="en-US" w:eastAsia="zh-CN" w:bidi="ar"/>
              </w:rPr>
              <w:t>系统</w:t>
            </w:r>
            <w:r>
              <w:rPr>
                <w:rFonts w:hint="eastAsia" w:ascii="宋体" w:hAnsi="宋体" w:cs="宋体"/>
                <w:color w:val="auto"/>
                <w:kern w:val="0"/>
                <w:szCs w:val="21"/>
                <w:highlight w:val="none"/>
              </w:rPr>
              <w:t>功能</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安全性</w:t>
            </w:r>
            <w:r>
              <w:rPr>
                <w:rFonts w:hint="eastAsia" w:ascii="宋体" w:hAnsi="宋体" w:cs="宋体"/>
                <w:color w:val="auto"/>
                <w:kern w:val="0"/>
                <w:szCs w:val="21"/>
                <w:highlight w:val="none"/>
              </w:rPr>
              <w:t>响应方案，</w:t>
            </w:r>
            <w:r>
              <w:rPr>
                <w:rFonts w:hint="eastAsia" w:ascii="宋体" w:hAnsi="宋体" w:cs="宋体"/>
                <w:snapToGrid w:val="0"/>
                <w:color w:val="auto"/>
                <w:kern w:val="0"/>
                <w:szCs w:val="21"/>
                <w:highlight w:val="none"/>
                <w:lang w:val="en-US" w:eastAsia="zh-CN" w:bidi="ar"/>
              </w:rPr>
              <w:t>具备自有的信息化管理平台</w:t>
            </w:r>
            <w:r>
              <w:rPr>
                <w:rFonts w:hint="eastAsia" w:ascii="宋体" w:hAnsi="宋体" w:cs="宋体"/>
                <w:color w:val="auto"/>
                <w:kern w:val="0"/>
                <w:szCs w:val="21"/>
                <w:highlight w:val="none"/>
                <w:lang w:eastAsia="zh-CN"/>
              </w:rPr>
              <w:t>；</w:t>
            </w:r>
          </w:p>
          <w:p w14:paraId="1006A1BF">
            <w:pPr>
              <w:spacing w:line="288" w:lineRule="auto"/>
              <w:ind w:firstLine="420" w:firstLineChars="200"/>
              <w:jc w:val="left"/>
              <w:rPr>
                <w:rFonts w:hint="eastAsia" w:ascii="宋体" w:hAnsi="宋体" w:cs="宋体"/>
                <w:color w:val="auto"/>
                <w:kern w:val="0"/>
                <w:szCs w:val="21"/>
                <w:highlight w:val="none"/>
              </w:rPr>
            </w:pPr>
            <w:r>
              <w:rPr>
                <w:rFonts w:hint="eastAsia" w:ascii="宋体" w:hAnsi="宋体" w:cs="宋体"/>
                <w:snapToGrid w:val="0"/>
                <w:color w:val="auto"/>
                <w:kern w:val="0"/>
                <w:szCs w:val="21"/>
                <w:highlight w:val="none"/>
                <w:lang w:bidi="ar"/>
              </w:rPr>
              <w:t>三档（</w:t>
            </w: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在满足二档的基础上，</w:t>
            </w:r>
            <w:r>
              <w:rPr>
                <w:rFonts w:hint="eastAsia" w:ascii="宋体" w:hAnsi="宋体" w:cs="宋体"/>
                <w:color w:val="auto"/>
                <w:kern w:val="0"/>
                <w:szCs w:val="21"/>
                <w:highlight w:val="none"/>
              </w:rPr>
              <w:t>方案内容完整，设计科学合理，</w:t>
            </w:r>
            <w:r>
              <w:rPr>
                <w:rFonts w:hint="eastAsia" w:ascii="宋体" w:hAnsi="宋体" w:cs="宋体"/>
                <w:color w:val="auto"/>
                <w:kern w:val="0"/>
                <w:szCs w:val="21"/>
                <w:highlight w:val="none"/>
                <w:lang w:val="en-US" w:eastAsia="zh-CN"/>
              </w:rPr>
              <w:t>有</w:t>
            </w:r>
            <w:r>
              <w:rPr>
                <w:rFonts w:hint="eastAsia" w:ascii="宋体" w:hAnsi="宋体" w:cs="宋体"/>
                <w:color w:val="auto"/>
                <w:kern w:val="0"/>
                <w:szCs w:val="21"/>
                <w:highlight w:val="none"/>
              </w:rPr>
              <w:t>项目重难点分析及应对措施</w:t>
            </w:r>
            <w:r>
              <w:rPr>
                <w:rFonts w:hint="eastAsia" w:ascii="宋体" w:hAnsi="宋体" w:cs="宋体"/>
                <w:color w:val="auto"/>
                <w:kern w:val="0"/>
                <w:szCs w:val="21"/>
                <w:highlight w:val="none"/>
                <w:lang w:val="en-US" w:eastAsia="zh-CN"/>
              </w:rPr>
              <w:t>及系统</w:t>
            </w:r>
            <w:r>
              <w:rPr>
                <w:rFonts w:hint="eastAsia" w:ascii="宋体" w:hAnsi="宋体" w:cs="宋体"/>
                <w:color w:val="auto"/>
                <w:kern w:val="0"/>
                <w:szCs w:val="21"/>
                <w:highlight w:val="none"/>
              </w:rPr>
              <w:t>建设相关合理化建议</w:t>
            </w:r>
            <w:r>
              <w:rPr>
                <w:rFonts w:hint="eastAsia" w:ascii="宋体" w:hAnsi="宋体" w:cs="宋体"/>
                <w:color w:val="auto"/>
                <w:kern w:val="0"/>
                <w:szCs w:val="21"/>
                <w:highlight w:val="none"/>
                <w:lang w:val="en-US" w:eastAsia="zh-CN"/>
              </w:rPr>
              <w:t>自有的信息化管理平台能</w:t>
            </w:r>
            <w:r>
              <w:rPr>
                <w:rFonts w:hint="eastAsia" w:ascii="宋体" w:hAnsi="宋体" w:cs="宋体"/>
                <w:snapToGrid w:val="0"/>
                <w:color w:val="auto"/>
                <w:kern w:val="0"/>
                <w:szCs w:val="21"/>
                <w:highlight w:val="none"/>
                <w:lang w:val="en-US" w:eastAsia="zh-CN" w:bidi="ar"/>
              </w:rPr>
              <w:t>实现公检法等相关部门信息共享与业务协同</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能</w:t>
            </w:r>
            <w:r>
              <w:rPr>
                <w:rFonts w:hint="eastAsia" w:ascii="宋体" w:hAnsi="宋体" w:cs="宋体"/>
                <w:color w:val="auto"/>
                <w:szCs w:val="21"/>
                <w:highlight w:val="none"/>
              </w:rPr>
              <w:t>实行</w:t>
            </w:r>
            <w:r>
              <w:rPr>
                <w:rFonts w:hint="eastAsia" w:ascii="宋体" w:hAnsi="宋体" w:cs="宋体"/>
                <w:color w:val="auto"/>
                <w:szCs w:val="21"/>
                <w:highlight w:val="none"/>
                <w:lang w:eastAsia="zh-CN"/>
              </w:rPr>
              <w:t>“</w:t>
            </w:r>
            <w:r>
              <w:rPr>
                <w:rFonts w:hint="eastAsia" w:ascii="宋体" w:hAnsi="宋体" w:cs="宋体"/>
                <w:color w:val="auto"/>
                <w:szCs w:val="21"/>
                <w:highlight w:val="none"/>
              </w:rPr>
              <w:t>实物不动、物权流转</w:t>
            </w:r>
            <w:r>
              <w:rPr>
                <w:rFonts w:hint="eastAsia" w:ascii="宋体" w:hAnsi="宋体" w:cs="宋体"/>
                <w:color w:val="auto"/>
                <w:szCs w:val="21"/>
                <w:highlight w:val="none"/>
                <w:lang w:eastAsia="zh-CN"/>
              </w:rPr>
              <w:t>”</w:t>
            </w:r>
            <w:r>
              <w:rPr>
                <w:rFonts w:hint="eastAsia" w:ascii="宋体" w:hAnsi="宋体" w:cs="宋体"/>
                <w:color w:val="auto"/>
                <w:szCs w:val="21"/>
                <w:highlight w:val="none"/>
              </w:rPr>
              <w:t>的换押式管理模式</w:t>
            </w:r>
            <w:r>
              <w:rPr>
                <w:rFonts w:hint="eastAsia" w:ascii="宋体" w:hAnsi="宋体" w:cs="宋体"/>
                <w:color w:val="auto"/>
                <w:kern w:val="0"/>
                <w:szCs w:val="21"/>
                <w:highlight w:val="none"/>
              </w:rPr>
              <w:t>。</w:t>
            </w:r>
          </w:p>
          <w:p w14:paraId="3CB2E7EE">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注：不提供</w:t>
            </w:r>
            <w:r>
              <w:rPr>
                <w:rFonts w:hint="eastAsia" w:ascii="宋体" w:hAnsi="宋体" w:cs="宋体"/>
                <w:snapToGrid w:val="0"/>
                <w:color w:val="auto"/>
                <w:kern w:val="0"/>
                <w:szCs w:val="21"/>
                <w:highlight w:val="none"/>
                <w:lang w:val="en-US" w:eastAsia="zh-CN" w:bidi="ar"/>
              </w:rPr>
              <w:t>系统建设方案</w:t>
            </w:r>
            <w:r>
              <w:rPr>
                <w:rFonts w:hint="eastAsia" w:ascii="宋体" w:hAnsi="宋体" w:cs="宋体"/>
                <w:snapToGrid w:val="0"/>
                <w:color w:val="auto"/>
                <w:kern w:val="0"/>
                <w:szCs w:val="21"/>
                <w:highlight w:val="none"/>
                <w:lang w:bidi="ar"/>
              </w:rPr>
              <w:t>或</w:t>
            </w:r>
            <w:r>
              <w:rPr>
                <w:rFonts w:hint="eastAsia" w:ascii="宋体" w:hAnsi="宋体" w:cs="宋体"/>
                <w:snapToGrid w:val="0"/>
                <w:color w:val="auto"/>
                <w:kern w:val="0"/>
                <w:szCs w:val="21"/>
                <w:highlight w:val="none"/>
                <w:lang w:val="en-US" w:eastAsia="zh-CN" w:bidi="ar"/>
              </w:rPr>
              <w:t>方案</w:t>
            </w:r>
            <w:r>
              <w:rPr>
                <w:rFonts w:hint="eastAsia" w:ascii="宋体" w:hAnsi="宋体" w:cs="宋体"/>
                <w:snapToGrid w:val="0"/>
                <w:color w:val="auto"/>
                <w:kern w:val="0"/>
                <w:szCs w:val="21"/>
                <w:highlight w:val="none"/>
                <w:lang w:bidi="ar"/>
              </w:rPr>
              <w:t>达不到一档要求的得 0 分</w:t>
            </w:r>
            <w:r>
              <w:rPr>
                <w:rFonts w:hint="eastAsia" w:ascii="宋体" w:hAnsi="宋体" w:cs="宋体"/>
                <w:snapToGrid w:val="0"/>
                <w:color w:val="auto"/>
                <w:kern w:val="0"/>
                <w:szCs w:val="21"/>
                <w:highlight w:val="none"/>
                <w:lang w:eastAsia="zh-CN" w:bidi="ar"/>
              </w:rPr>
              <w:t>。</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ED85F2A">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9分</w:t>
            </w:r>
          </w:p>
        </w:tc>
      </w:tr>
      <w:tr w14:paraId="42BBD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F88615E">
            <w:pPr>
              <w:widowControl/>
              <w:kinsoku w:val="0"/>
              <w:autoSpaceDE w:val="0"/>
              <w:autoSpaceDN w:val="0"/>
              <w:adjustRightInd w:val="0"/>
              <w:snapToGrid w:val="0"/>
              <w:spacing w:line="340" w:lineRule="exact"/>
              <w:jc w:val="center"/>
              <w:textAlignment w:val="baseline"/>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Cs w:val="21"/>
                <w:highlight w:val="none"/>
                <w:lang w:bidi="ar"/>
              </w:rPr>
              <w:t>2.4</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88DDFD">
            <w:pPr>
              <w:widowControl/>
              <w:kinsoku w:val="0"/>
              <w:autoSpaceDE w:val="0"/>
              <w:autoSpaceDN w:val="0"/>
              <w:adjustRightInd w:val="0"/>
              <w:snapToGrid w:val="0"/>
              <w:spacing w:line="340" w:lineRule="exact"/>
              <w:jc w:val="center"/>
              <w:textAlignment w:val="baseline"/>
              <w:rPr>
                <w:rFonts w:hint="eastAsia" w:ascii="宋体" w:hAnsi="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服务场地硬件配置分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BD8BC47">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一档（</w:t>
            </w:r>
            <w:r>
              <w:rPr>
                <w:rFonts w:hint="eastAsia" w:ascii="宋体" w:hAnsi="宋体" w:cs="宋体"/>
                <w:snapToGrid w:val="0"/>
                <w:color w:val="auto"/>
                <w:kern w:val="0"/>
                <w:szCs w:val="21"/>
                <w:highlight w:val="none"/>
                <w:lang w:val="en-US" w:eastAsia="zh-CN" w:bidi="ar"/>
              </w:rPr>
              <w:t>3</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有采购分区分类管理要求</w:t>
            </w:r>
            <w:r>
              <w:rPr>
                <w:rFonts w:hint="eastAsia" w:ascii="宋体" w:hAnsi="宋体" w:cs="宋体"/>
                <w:snapToGrid w:val="0"/>
                <w:color w:val="auto"/>
                <w:kern w:val="0"/>
                <w:szCs w:val="21"/>
                <w:highlight w:val="none"/>
                <w:lang w:bidi="ar"/>
              </w:rPr>
              <w:t>；</w:t>
            </w:r>
            <w:r>
              <w:rPr>
                <w:rFonts w:hint="eastAsia" w:ascii="宋体" w:hAnsi="宋体" w:cs="宋体"/>
                <w:snapToGrid w:val="0"/>
                <w:color w:val="auto"/>
                <w:kern w:val="0"/>
                <w:szCs w:val="21"/>
                <w:highlight w:val="none"/>
                <w:lang w:val="en-US" w:eastAsia="zh-CN" w:bidi="ar"/>
              </w:rPr>
              <w:t>场地</w:t>
            </w:r>
            <w:r>
              <w:rPr>
                <w:rFonts w:hint="eastAsia" w:ascii="宋体" w:hAnsi="宋体" w:cs="宋体"/>
                <w:snapToGrid w:val="0"/>
                <w:color w:val="auto"/>
                <w:kern w:val="0"/>
                <w:szCs w:val="21"/>
                <w:highlight w:val="none"/>
                <w:lang w:bidi="ar"/>
              </w:rPr>
              <w:t>使用面积</w:t>
            </w:r>
            <w:r>
              <w:rPr>
                <w:rFonts w:hint="eastAsia" w:ascii="宋体" w:hAnsi="宋体" w:cs="宋体"/>
                <w:snapToGrid w:val="0"/>
                <w:color w:val="auto"/>
                <w:kern w:val="0"/>
                <w:szCs w:val="21"/>
                <w:highlight w:val="none"/>
                <w:lang w:val="en-US" w:eastAsia="zh-CN" w:bidi="ar"/>
              </w:rPr>
              <w:t>≥5000㎡</w:t>
            </w:r>
            <w:r>
              <w:rPr>
                <w:rFonts w:hint="eastAsia" w:ascii="宋体" w:hAnsi="宋体" w:cs="宋体"/>
                <w:snapToGrid w:val="0"/>
                <w:color w:val="auto"/>
                <w:kern w:val="0"/>
                <w:szCs w:val="21"/>
                <w:highlight w:val="none"/>
                <w:lang w:bidi="ar"/>
              </w:rPr>
              <w:t>，</w:t>
            </w:r>
            <w:r>
              <w:rPr>
                <w:rFonts w:hint="eastAsia" w:ascii="宋体" w:hAnsi="宋体" w:cs="宋体"/>
                <w:snapToGrid w:val="0"/>
                <w:color w:val="auto"/>
                <w:kern w:val="0"/>
                <w:szCs w:val="21"/>
                <w:highlight w:val="none"/>
                <w:lang w:val="en-US" w:eastAsia="zh-CN" w:bidi="ar"/>
              </w:rPr>
              <w:t>监控</w:t>
            </w:r>
            <w:r>
              <w:rPr>
                <w:rFonts w:hint="eastAsia" w:ascii="宋体" w:hAnsi="宋体" w:cs="宋体"/>
                <w:snapToGrid w:val="0"/>
                <w:color w:val="auto"/>
                <w:kern w:val="0"/>
                <w:szCs w:val="21"/>
                <w:highlight w:val="none"/>
                <w:lang w:bidi="ar"/>
              </w:rPr>
              <w:t>设备</w:t>
            </w:r>
            <w:r>
              <w:rPr>
                <w:rFonts w:hint="eastAsia" w:ascii="宋体" w:hAnsi="宋体" w:cs="宋体"/>
                <w:snapToGrid w:val="0"/>
                <w:color w:val="auto"/>
                <w:kern w:val="0"/>
                <w:szCs w:val="21"/>
                <w:highlight w:val="none"/>
                <w:lang w:val="en-US" w:eastAsia="zh-CN" w:bidi="ar"/>
              </w:rPr>
              <w:t>及环境控制满足采购需求</w:t>
            </w:r>
            <w:r>
              <w:rPr>
                <w:rFonts w:hint="eastAsia" w:ascii="宋体" w:hAnsi="宋体" w:cs="宋体"/>
                <w:snapToGrid w:val="0"/>
                <w:color w:val="auto"/>
                <w:kern w:val="0"/>
                <w:szCs w:val="21"/>
                <w:highlight w:val="none"/>
                <w:lang w:bidi="ar"/>
              </w:rPr>
              <w:t>；</w:t>
            </w:r>
          </w:p>
          <w:p w14:paraId="74B18E83">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二档（</w:t>
            </w:r>
            <w:r>
              <w:rPr>
                <w:rFonts w:hint="eastAsia" w:ascii="宋体" w:hAnsi="宋体" w:cs="宋体"/>
                <w:snapToGrid w:val="0"/>
                <w:color w:val="auto"/>
                <w:kern w:val="0"/>
                <w:szCs w:val="21"/>
                <w:highlight w:val="none"/>
                <w:lang w:val="en-US" w:eastAsia="zh-CN" w:bidi="ar"/>
              </w:rPr>
              <w:t>6</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在满足一档的基础上，分区分类管理明确</w:t>
            </w:r>
            <w:r>
              <w:rPr>
                <w:rFonts w:hint="eastAsia" w:ascii="宋体" w:hAnsi="宋体" w:cs="宋体"/>
                <w:snapToGrid w:val="0"/>
                <w:color w:val="auto"/>
                <w:kern w:val="0"/>
                <w:szCs w:val="21"/>
                <w:highlight w:val="none"/>
                <w:lang w:bidi="ar"/>
              </w:rPr>
              <w:t>；</w:t>
            </w:r>
            <w:r>
              <w:rPr>
                <w:rFonts w:hint="eastAsia" w:ascii="宋体" w:hAnsi="宋体" w:cs="宋体"/>
                <w:snapToGrid w:val="0"/>
                <w:color w:val="auto"/>
                <w:kern w:val="0"/>
                <w:szCs w:val="21"/>
                <w:highlight w:val="none"/>
                <w:lang w:val="en-US" w:eastAsia="zh-CN" w:bidi="ar"/>
              </w:rPr>
              <w:t>场所安全防护优于采购需求，场地</w:t>
            </w:r>
            <w:r>
              <w:rPr>
                <w:rFonts w:hint="eastAsia" w:ascii="宋体" w:hAnsi="宋体" w:cs="宋体"/>
                <w:snapToGrid w:val="0"/>
                <w:color w:val="auto"/>
                <w:kern w:val="0"/>
                <w:szCs w:val="21"/>
                <w:highlight w:val="none"/>
                <w:lang w:bidi="ar"/>
              </w:rPr>
              <w:t>使用面积</w:t>
            </w:r>
            <w:r>
              <w:rPr>
                <w:rFonts w:hint="eastAsia" w:ascii="宋体" w:hAnsi="宋体" w:cs="宋体"/>
                <w:snapToGrid w:val="0"/>
                <w:color w:val="auto"/>
                <w:kern w:val="0"/>
                <w:szCs w:val="21"/>
                <w:highlight w:val="none"/>
                <w:lang w:val="en-US" w:eastAsia="zh-CN" w:bidi="ar"/>
              </w:rPr>
              <w:t>≤10000㎡</w:t>
            </w:r>
            <w:r>
              <w:rPr>
                <w:rFonts w:hint="eastAsia" w:ascii="宋体" w:hAnsi="宋体" w:cs="宋体"/>
                <w:snapToGrid w:val="0"/>
                <w:color w:val="auto"/>
                <w:kern w:val="0"/>
                <w:szCs w:val="21"/>
                <w:highlight w:val="none"/>
                <w:lang w:bidi="ar"/>
              </w:rPr>
              <w:t>，</w:t>
            </w:r>
            <w:r>
              <w:rPr>
                <w:rFonts w:hint="eastAsia" w:ascii="宋体" w:hAnsi="宋体" w:cs="宋体"/>
                <w:snapToGrid w:val="0"/>
                <w:color w:val="auto"/>
                <w:kern w:val="0"/>
                <w:szCs w:val="21"/>
                <w:highlight w:val="none"/>
                <w:lang w:val="en-US" w:eastAsia="zh-CN" w:bidi="ar"/>
              </w:rPr>
              <w:t>特殊保管设备配备齐全</w:t>
            </w:r>
            <w:r>
              <w:rPr>
                <w:rFonts w:hint="eastAsia" w:ascii="宋体" w:hAnsi="宋体" w:cs="宋体"/>
                <w:snapToGrid w:val="0"/>
                <w:color w:val="auto"/>
                <w:kern w:val="0"/>
                <w:szCs w:val="21"/>
                <w:highlight w:val="none"/>
                <w:lang w:bidi="ar"/>
              </w:rPr>
              <w:t>；</w:t>
            </w:r>
          </w:p>
          <w:p w14:paraId="365D4DEA">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三档（</w:t>
            </w: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在 满足二档的基础上，场地使用面积＞10000㎡且有符合&lt;GA-38(2021)&gt;标准</w:t>
            </w:r>
            <w:r>
              <w:rPr>
                <w:rFonts w:hint="eastAsia"/>
                <w:lang w:val="en-US" w:eastAsia="zh-CN"/>
              </w:rPr>
              <w:t>建设并验收合格的专业库房</w:t>
            </w:r>
            <w:r>
              <w:rPr>
                <w:rFonts w:hint="eastAsia" w:ascii="宋体" w:hAnsi="宋体" w:cs="宋体"/>
                <w:snapToGrid w:val="0"/>
                <w:color w:val="auto"/>
                <w:kern w:val="0"/>
                <w:szCs w:val="21"/>
                <w:highlight w:val="none"/>
                <w:lang w:bidi="ar"/>
              </w:rPr>
              <w:t>，保障</w:t>
            </w:r>
            <w:r>
              <w:rPr>
                <w:rFonts w:hint="eastAsia" w:ascii="宋体" w:hAnsi="宋体" w:cs="宋体"/>
                <w:snapToGrid w:val="0"/>
                <w:color w:val="auto"/>
                <w:kern w:val="0"/>
                <w:szCs w:val="21"/>
                <w:highlight w:val="none"/>
                <w:lang w:val="en-US" w:eastAsia="zh-CN" w:bidi="ar"/>
              </w:rPr>
              <w:t>能</w:t>
            </w:r>
            <w:r>
              <w:rPr>
                <w:rFonts w:hint="eastAsia" w:ascii="宋体" w:hAnsi="宋体" w:cs="宋体"/>
                <w:snapToGrid w:val="0"/>
                <w:color w:val="auto"/>
                <w:kern w:val="0"/>
                <w:szCs w:val="21"/>
                <w:highlight w:val="none"/>
                <w:lang w:bidi="ar"/>
              </w:rPr>
              <w:t>应对突发状况</w:t>
            </w:r>
            <w:r>
              <w:rPr>
                <w:rFonts w:hint="eastAsia" w:ascii="宋体" w:hAnsi="宋体" w:cs="宋体"/>
                <w:snapToGrid w:val="0"/>
                <w:color w:val="auto"/>
                <w:kern w:val="0"/>
                <w:szCs w:val="21"/>
                <w:highlight w:val="none"/>
                <w:lang w:eastAsia="zh-CN" w:bidi="ar"/>
              </w:rPr>
              <w:t>；</w:t>
            </w:r>
            <w:r>
              <w:rPr>
                <w:rFonts w:hint="eastAsia" w:ascii="宋体" w:hAnsi="宋体" w:cs="宋体"/>
                <w:snapToGrid w:val="0"/>
                <w:color w:val="auto"/>
                <w:kern w:val="0"/>
                <w:szCs w:val="21"/>
                <w:highlight w:val="none"/>
                <w:lang w:val="en-US" w:eastAsia="zh-CN" w:bidi="ar"/>
              </w:rPr>
              <w:t>配有完善的安保系统和保密室，配备有充足的重型货架及搬运设备</w:t>
            </w:r>
            <w:r>
              <w:rPr>
                <w:rFonts w:hint="eastAsia" w:ascii="宋体" w:hAnsi="宋体" w:cs="宋体"/>
                <w:snapToGrid w:val="0"/>
                <w:color w:val="auto"/>
                <w:kern w:val="0"/>
                <w:szCs w:val="21"/>
                <w:highlight w:val="none"/>
                <w:lang w:bidi="ar"/>
              </w:rPr>
              <w:t>。</w:t>
            </w:r>
          </w:p>
          <w:p w14:paraId="7CDC3906">
            <w:pPr>
              <w:widowControl/>
              <w:kinsoku w:val="0"/>
              <w:autoSpaceDE w:val="0"/>
              <w:autoSpaceDN w:val="0"/>
              <w:adjustRightInd w:val="0"/>
              <w:snapToGrid w:val="0"/>
              <w:spacing w:line="340" w:lineRule="exact"/>
              <w:ind w:firstLine="420" w:firstLineChars="200"/>
              <w:jc w:val="left"/>
              <w:textAlignment w:val="baseline"/>
              <w:rPr>
                <w:rFonts w:hint="eastAsia"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bidi="ar"/>
              </w:rPr>
              <w:t>注：不提供服务场地硬件配置或服务场地硬件配置达不到一档要求的得 0 分</w:t>
            </w:r>
            <w:r>
              <w:rPr>
                <w:rFonts w:hint="eastAsia" w:ascii="宋体" w:hAnsi="宋体" w:cs="宋体"/>
                <w:snapToGrid w:val="0"/>
                <w:color w:val="auto"/>
                <w:kern w:val="0"/>
                <w:szCs w:val="21"/>
                <w:highlight w:val="none"/>
                <w:lang w:eastAsia="zh-CN" w:bidi="ar"/>
              </w:rPr>
              <w:t>。</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7EFD70A">
            <w:pPr>
              <w:widowControl/>
              <w:kinsoku w:val="0"/>
              <w:autoSpaceDE w:val="0"/>
              <w:autoSpaceDN w:val="0"/>
              <w:adjustRightInd w:val="0"/>
              <w:snapToGrid w:val="0"/>
              <w:spacing w:line="340" w:lineRule="exact"/>
              <w:jc w:val="center"/>
              <w:textAlignment w:val="baseline"/>
              <w:rPr>
                <w:rFonts w:hint="default" w:ascii="宋体" w:hAnsi="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9分</w:t>
            </w:r>
          </w:p>
        </w:tc>
      </w:tr>
      <w:tr w14:paraId="45992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5AA6ABE">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Cs w:val="21"/>
                <w:highlight w:val="none"/>
                <w:lang w:val="en-US" w:eastAsia="zh-CN" w:bidi="ar"/>
              </w:rPr>
              <w:t>2.5</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BA17A5E">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服务承诺</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2D5DB80">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一档（</w:t>
            </w:r>
            <w:r>
              <w:rPr>
                <w:rFonts w:hint="eastAsia" w:ascii="宋体" w:hAnsi="宋体" w:cs="宋体"/>
                <w:color w:val="auto"/>
                <w:kern w:val="0"/>
                <w:szCs w:val="21"/>
                <w:highlight w:val="none"/>
                <w:lang w:val="en-US" w:eastAsia="zh-CN" w:bidi="ar"/>
              </w:rPr>
              <w:t>3</w:t>
            </w:r>
            <w:r>
              <w:rPr>
                <w:rFonts w:hint="eastAsia" w:ascii="宋体" w:hAnsi="宋体" w:cs="宋体"/>
                <w:snapToGrid w:val="0"/>
                <w:color w:val="auto"/>
                <w:kern w:val="0"/>
                <w:szCs w:val="21"/>
                <w:highlight w:val="none"/>
                <w:lang w:bidi="ar"/>
              </w:rPr>
              <w:t>分）：服务承诺基本满足采购需求；</w:t>
            </w:r>
          </w:p>
          <w:p w14:paraId="745345EC">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二档（</w:t>
            </w:r>
            <w:r>
              <w:rPr>
                <w:rFonts w:hint="eastAsia" w:ascii="宋体" w:hAnsi="宋体" w:cs="宋体"/>
                <w:color w:val="auto"/>
                <w:kern w:val="0"/>
                <w:szCs w:val="21"/>
                <w:highlight w:val="none"/>
                <w:lang w:val="en-US" w:eastAsia="zh-CN" w:bidi="ar"/>
              </w:rPr>
              <w:t>6</w:t>
            </w:r>
            <w:r>
              <w:rPr>
                <w:rFonts w:hint="eastAsia" w:ascii="宋体" w:hAnsi="宋体" w:cs="宋体"/>
                <w:snapToGrid w:val="0"/>
                <w:color w:val="auto"/>
                <w:kern w:val="0"/>
                <w:szCs w:val="21"/>
                <w:highlight w:val="none"/>
                <w:lang w:bidi="ar"/>
              </w:rPr>
              <w:t>分）：服务承诺内容比较全面，略优于采购需求，对服务措施、</w:t>
            </w:r>
            <w:r>
              <w:rPr>
                <w:rFonts w:hint="eastAsia" w:ascii="宋体" w:hAnsi="宋体" w:cs="宋体"/>
                <w:snapToGrid w:val="0"/>
                <w:color w:val="auto"/>
                <w:kern w:val="0"/>
                <w:szCs w:val="21"/>
                <w:highlight w:val="none"/>
                <w:lang w:val="en-US" w:eastAsia="zh-CN" w:bidi="ar"/>
              </w:rPr>
              <w:t>服务标准、</w:t>
            </w:r>
            <w:r>
              <w:rPr>
                <w:rFonts w:hint="eastAsia" w:ascii="宋体" w:hAnsi="宋体" w:cs="宋体"/>
                <w:snapToGrid w:val="0"/>
                <w:color w:val="auto"/>
                <w:kern w:val="0"/>
                <w:szCs w:val="21"/>
                <w:highlight w:val="none"/>
                <w:lang w:bidi="ar"/>
              </w:rPr>
              <w:t>培训计划、响应时间等有较详细的承诺，承诺内容可行，针对性较强；</w:t>
            </w:r>
          </w:p>
          <w:p w14:paraId="01EEED2D">
            <w:pPr>
              <w:widowControl/>
              <w:kinsoku w:val="0"/>
              <w:autoSpaceDE w:val="0"/>
              <w:autoSpaceDN w:val="0"/>
              <w:adjustRightInd w:val="0"/>
              <w:snapToGrid w:val="0"/>
              <w:spacing w:line="340" w:lineRule="exact"/>
              <w:ind w:firstLine="420" w:firstLineChars="200"/>
              <w:jc w:val="left"/>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三档（</w:t>
            </w: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分）：在</w:t>
            </w:r>
            <w:r>
              <w:rPr>
                <w:rFonts w:hint="eastAsia" w:ascii="宋体" w:hAnsi="宋体" w:cs="宋体"/>
                <w:snapToGrid w:val="0"/>
                <w:color w:val="auto"/>
                <w:kern w:val="0"/>
                <w:szCs w:val="21"/>
                <w:highlight w:val="none"/>
                <w:lang w:val="en-US" w:eastAsia="zh-CN" w:bidi="ar"/>
              </w:rPr>
              <w:t>满足</w:t>
            </w:r>
            <w:r>
              <w:rPr>
                <w:rFonts w:hint="eastAsia" w:ascii="宋体" w:hAnsi="宋体" w:cs="宋体"/>
                <w:snapToGrid w:val="0"/>
                <w:color w:val="auto"/>
                <w:kern w:val="0"/>
                <w:szCs w:val="21"/>
                <w:highlight w:val="none"/>
                <w:lang w:bidi="ar"/>
              </w:rPr>
              <w:t>二档的基础上，有相应详细的服务流程、满意度提升方案、服务质量保障措施等，有针对本项目特点提供专门的服务承诺。</w:t>
            </w:r>
          </w:p>
          <w:p w14:paraId="3C0E542C">
            <w:pPr>
              <w:widowControl/>
              <w:kinsoku w:val="0"/>
              <w:autoSpaceDE w:val="0"/>
              <w:autoSpaceDN w:val="0"/>
              <w:adjustRightInd w:val="0"/>
              <w:snapToGrid w:val="0"/>
              <w:spacing w:line="340" w:lineRule="exact"/>
              <w:ind w:firstLine="420" w:firstLineChars="200"/>
              <w:jc w:val="left"/>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注：不提供承诺或不满足一档不得分。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4A45AF94">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w:t>
            </w:r>
          </w:p>
        </w:tc>
      </w:tr>
      <w:tr w14:paraId="2BD9A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E8D766">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Cs w:val="21"/>
                <w:highlight w:val="none"/>
                <w:lang w:val="en-US" w:eastAsia="zh-CN" w:bidi="ar"/>
              </w:rPr>
              <w:t>2.6</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517443">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应急方案</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D905053">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一档（</w:t>
            </w:r>
            <w:r>
              <w:rPr>
                <w:rFonts w:hint="eastAsia" w:ascii="宋体" w:hAnsi="宋体" w:cs="宋体"/>
                <w:snapToGrid w:val="0"/>
                <w:color w:val="auto"/>
                <w:kern w:val="0"/>
                <w:szCs w:val="21"/>
                <w:highlight w:val="none"/>
                <w:lang w:val="en-US" w:eastAsia="zh-CN" w:bidi="ar"/>
              </w:rPr>
              <w:t>3</w:t>
            </w:r>
            <w:r>
              <w:rPr>
                <w:rFonts w:hint="eastAsia" w:ascii="宋体" w:hAnsi="宋体" w:cs="宋体"/>
                <w:snapToGrid w:val="0"/>
                <w:color w:val="auto"/>
                <w:kern w:val="0"/>
                <w:szCs w:val="21"/>
                <w:highlight w:val="none"/>
                <w:lang w:bidi="ar"/>
              </w:rPr>
              <w:t>分）：应急方案内容表述完整，针对本项目有针对性的优化，能满足本项目采购需求的；</w:t>
            </w:r>
          </w:p>
          <w:p w14:paraId="209976C9">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二档（</w:t>
            </w:r>
            <w:r>
              <w:rPr>
                <w:rFonts w:hint="eastAsia" w:ascii="宋体" w:hAnsi="宋体" w:cs="宋体"/>
                <w:snapToGrid w:val="0"/>
                <w:color w:val="auto"/>
                <w:kern w:val="0"/>
                <w:szCs w:val="21"/>
                <w:highlight w:val="none"/>
                <w:lang w:val="en-US" w:eastAsia="zh-CN" w:bidi="ar"/>
              </w:rPr>
              <w:t>6</w:t>
            </w:r>
            <w:r>
              <w:rPr>
                <w:rFonts w:hint="eastAsia" w:ascii="宋体" w:hAnsi="宋体" w:cs="宋体"/>
                <w:snapToGrid w:val="0"/>
                <w:color w:val="auto"/>
                <w:kern w:val="0"/>
                <w:szCs w:val="21"/>
                <w:highlight w:val="none"/>
                <w:lang w:bidi="ar"/>
              </w:rPr>
              <w:t>分）：在</w:t>
            </w:r>
            <w:r>
              <w:rPr>
                <w:rFonts w:hint="eastAsia" w:ascii="宋体" w:hAnsi="宋体" w:cs="宋体"/>
                <w:snapToGrid w:val="0"/>
                <w:color w:val="auto"/>
                <w:kern w:val="0"/>
                <w:szCs w:val="21"/>
                <w:highlight w:val="none"/>
                <w:lang w:val="en-US" w:eastAsia="zh-CN" w:bidi="ar"/>
              </w:rPr>
              <w:t>满足</w:t>
            </w:r>
            <w:r>
              <w:rPr>
                <w:rFonts w:hint="eastAsia" w:ascii="宋体" w:hAnsi="宋体" w:cs="宋体"/>
                <w:snapToGrid w:val="0"/>
                <w:color w:val="auto"/>
                <w:kern w:val="0"/>
                <w:szCs w:val="21"/>
                <w:highlight w:val="none"/>
                <w:lang w:bidi="ar"/>
              </w:rPr>
              <w:t>一档的基础上，应急方案能针对各个流程提出预案，且能罗列具有针对性的措施；至少包含人员应急预案、安全应急预案等内容。</w:t>
            </w:r>
          </w:p>
          <w:p w14:paraId="7A91AEF1">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三档（</w:t>
            </w: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w:t>
            </w:r>
            <w:r>
              <w:rPr>
                <w:rFonts w:hint="eastAsia" w:ascii="宋体" w:hAnsi="宋体" w:cs="宋体"/>
                <w:snapToGrid w:val="0"/>
                <w:color w:val="auto"/>
                <w:kern w:val="0"/>
                <w:szCs w:val="21"/>
                <w:highlight w:val="none"/>
                <w:lang w:val="en-US" w:eastAsia="zh-CN" w:bidi="ar"/>
              </w:rPr>
              <w:t>在满足二档的</w:t>
            </w:r>
            <w:r>
              <w:rPr>
                <w:rFonts w:hint="eastAsia" w:ascii="宋体" w:hAnsi="宋体" w:cs="宋体"/>
                <w:snapToGrid w:val="0"/>
                <w:color w:val="auto"/>
                <w:kern w:val="0"/>
                <w:szCs w:val="21"/>
                <w:highlight w:val="none"/>
                <w:lang w:bidi="ar"/>
              </w:rPr>
              <w:t>基础上，应急方案能针对各个流程列明负责人，并提供响应人员的职责；还至少包括</w:t>
            </w:r>
            <w:r>
              <w:rPr>
                <w:rFonts w:hint="eastAsia" w:ascii="宋体" w:hAnsi="宋体" w:cs="宋体"/>
                <w:snapToGrid w:val="0"/>
                <w:color w:val="auto"/>
                <w:kern w:val="0"/>
                <w:szCs w:val="21"/>
                <w:highlight w:val="none"/>
                <w:lang w:val="en-US" w:eastAsia="zh-CN" w:bidi="ar"/>
              </w:rPr>
              <w:t>押运过程应急预案、</w:t>
            </w:r>
            <w:r>
              <w:rPr>
                <w:rFonts w:hint="eastAsia" w:ascii="宋体" w:hAnsi="宋体" w:cs="宋体"/>
                <w:snapToGrid w:val="0"/>
                <w:color w:val="auto"/>
                <w:kern w:val="0"/>
                <w:szCs w:val="21"/>
                <w:highlight w:val="none"/>
                <w:lang w:bidi="ar"/>
              </w:rPr>
              <w:t>入库过程应急预案、防盗应急处理预案、仓储应急预案。有针对性的应急处理和应急预案流程图，有机动人员用于对应急事件处理，人员配备充裕。</w:t>
            </w:r>
          </w:p>
          <w:p w14:paraId="18A6D6AC">
            <w:pPr>
              <w:widowControl/>
              <w:kinsoku w:val="0"/>
              <w:autoSpaceDE w:val="0"/>
              <w:autoSpaceDN w:val="0"/>
              <w:adjustRightInd w:val="0"/>
              <w:snapToGrid w:val="0"/>
              <w:spacing w:line="340" w:lineRule="exact"/>
              <w:ind w:firstLine="420" w:firstLineChars="200"/>
              <w:jc w:val="left"/>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bidi="ar"/>
              </w:rPr>
              <w:t>注：不提供应急方案或应急方案达不到一档要求的得 0 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4C4C05A">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lang w:bidi="ar"/>
              </w:rPr>
            </w:pPr>
            <w:r>
              <w:rPr>
                <w:rFonts w:hint="eastAsia" w:ascii="宋体" w:hAnsi="宋体" w:cs="宋体"/>
                <w:snapToGrid w:val="0"/>
                <w:color w:val="auto"/>
                <w:kern w:val="0"/>
                <w:szCs w:val="21"/>
                <w:highlight w:val="none"/>
                <w:lang w:val="en-US" w:eastAsia="zh-CN" w:bidi="ar"/>
              </w:rPr>
              <w:t>9</w:t>
            </w:r>
            <w:r>
              <w:rPr>
                <w:rFonts w:hint="eastAsia" w:ascii="宋体" w:hAnsi="宋体" w:cs="宋体"/>
                <w:snapToGrid w:val="0"/>
                <w:color w:val="auto"/>
                <w:kern w:val="0"/>
                <w:szCs w:val="21"/>
                <w:highlight w:val="none"/>
                <w:lang w:bidi="ar"/>
              </w:rPr>
              <w:t>分</w:t>
            </w:r>
          </w:p>
        </w:tc>
      </w:tr>
      <w:tr w14:paraId="6057B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DDB34A9">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2.7</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A3E9FB8">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项目配置</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0201B46">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拟投入的项目经理具有3年以上相关管理经验，大专学历，得1分；拟投入的项目经理具有5年以上相关管理经验，本科及以上学历，得2分，本项满分2分。</w:t>
            </w:r>
          </w:p>
          <w:p w14:paraId="65CBE944">
            <w:pPr>
              <w:widowControl/>
              <w:kinsoku w:val="0"/>
              <w:autoSpaceDE w:val="0"/>
              <w:autoSpaceDN w:val="0"/>
              <w:adjustRightInd w:val="0"/>
              <w:snapToGrid w:val="0"/>
              <w:spacing w:line="340" w:lineRule="exact"/>
              <w:ind w:firstLine="420" w:firstLineChars="200"/>
              <w:jc w:val="left"/>
              <w:textAlignment w:val="baseline"/>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lang w:val="en-US" w:eastAsia="zh-CN"/>
              </w:rPr>
              <w:t>拟投入的押运员具有保安员证的，每人得0.5分，满分6分；团队成员</w:t>
            </w:r>
            <w:r>
              <w:rPr>
                <w:rFonts w:hint="eastAsia"/>
                <w:highlight w:val="none"/>
                <w:lang w:val="en-US" w:eastAsia="zh-CN"/>
              </w:rPr>
              <w:t>有持枪证的，每人1分，满分3分。本项满分9分。</w:t>
            </w:r>
          </w:p>
          <w:p w14:paraId="0BB10050">
            <w:pPr>
              <w:widowControl/>
              <w:kinsoku w:val="0"/>
              <w:autoSpaceDE w:val="0"/>
              <w:autoSpaceDN w:val="0"/>
              <w:adjustRightInd w:val="0"/>
              <w:snapToGrid w:val="0"/>
              <w:spacing w:line="340" w:lineRule="exact"/>
              <w:ind w:firstLine="420" w:firstLineChars="200"/>
              <w:jc w:val="left"/>
              <w:textAlignment w:val="baseline"/>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r>
              <w:rPr>
                <w:rFonts w:hint="eastAsia"/>
                <w:highlight w:val="none"/>
                <w:lang w:val="en-US" w:eastAsia="zh-CN"/>
              </w:rPr>
              <w:t>拟投入本项目的车辆（具备卫星定位、实时监控功能），每提供1辆，得1分，满分6分；在满足卫星定位、实时监控功能的基础上具有防弹装置的，每提供1辆，得1分，满分3分。本项满分9分。</w:t>
            </w:r>
          </w:p>
          <w:p w14:paraId="7DD968CD">
            <w:pPr>
              <w:widowControl/>
              <w:kinsoku w:val="0"/>
              <w:autoSpaceDE w:val="0"/>
              <w:autoSpaceDN w:val="0"/>
              <w:adjustRightInd w:val="0"/>
              <w:snapToGrid w:val="0"/>
              <w:spacing w:line="340" w:lineRule="exact"/>
              <w:ind w:firstLine="420" w:firstLineChars="200"/>
              <w:jc w:val="left"/>
              <w:textAlignment w:val="baseline"/>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注：以上人员需</w:t>
            </w:r>
            <w:r>
              <w:rPr>
                <w:rFonts w:hint="eastAsia" w:ascii="宋体" w:hAnsi="宋体" w:cs="宋体"/>
                <w:color w:val="auto"/>
                <w:kern w:val="0"/>
                <w:szCs w:val="21"/>
                <w:highlight w:val="none"/>
              </w:rPr>
              <w:t>提供身份证复印件</w:t>
            </w:r>
            <w:r>
              <w:rPr>
                <w:rFonts w:hint="eastAsia" w:ascii="宋体" w:hAnsi="宋体" w:cs="宋体"/>
                <w:color w:val="auto"/>
                <w:kern w:val="0"/>
                <w:szCs w:val="21"/>
                <w:highlight w:val="none"/>
                <w:lang w:val="en-US" w:eastAsia="zh-CN"/>
              </w:rPr>
              <w:t>、供应商近半年任意一个月为其缴纳社保的证明材料复印件或劳动合同、相关证件，学历以学历证书为准</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类似工作经验以项目合同书复印件或任命书或供应商出具的证明材料为准</w:t>
            </w:r>
            <w:r>
              <w:rPr>
                <w:rFonts w:hint="eastAsia" w:ascii="宋体" w:hAnsi="宋体" w:cs="宋体"/>
                <w:color w:val="auto"/>
                <w:kern w:val="0"/>
                <w:szCs w:val="21"/>
                <w:highlight w:val="none"/>
                <w:lang w:eastAsia="zh-CN"/>
              </w:rPr>
              <w:t>；</w:t>
            </w:r>
            <w:r>
              <w:rPr>
                <w:rFonts w:hint="eastAsia" w:ascii="宋体" w:hAnsi="宋体" w:eastAsia="宋体" w:cs="MS Mincho"/>
                <w:color w:val="auto"/>
                <w:kern w:val="1"/>
                <w:sz w:val="21"/>
                <w:szCs w:val="21"/>
                <w:highlight w:val="none"/>
              </w:rPr>
              <w:t>车辆</w:t>
            </w:r>
            <w:r>
              <w:rPr>
                <w:rFonts w:hint="eastAsia" w:ascii="宋体" w:hAnsi="宋体" w:eastAsia="宋体" w:cs="MS Mincho"/>
                <w:color w:val="auto"/>
                <w:kern w:val="1"/>
                <w:sz w:val="21"/>
                <w:szCs w:val="21"/>
                <w:highlight w:val="none"/>
                <w:lang w:val="en-US" w:eastAsia="zh-CN"/>
              </w:rPr>
              <w:t>须提供</w:t>
            </w:r>
            <w:r>
              <w:rPr>
                <w:rFonts w:hint="eastAsia" w:ascii="宋体" w:hAnsi="宋体" w:eastAsia="宋体" w:cs="MS Mincho"/>
                <w:color w:val="auto"/>
                <w:kern w:val="1"/>
                <w:sz w:val="21"/>
                <w:szCs w:val="21"/>
                <w:highlight w:val="none"/>
              </w:rPr>
              <w:t>《机动车登记证书》及机动车行驶证正反双面清晰的原件扫描件</w:t>
            </w:r>
            <w:r>
              <w:rPr>
                <w:rFonts w:hint="eastAsia" w:ascii="宋体" w:hAnsi="宋体" w:eastAsia="宋体" w:cs="MS Mincho"/>
                <w:color w:val="auto"/>
                <w:kern w:val="1"/>
                <w:sz w:val="21"/>
                <w:szCs w:val="21"/>
                <w:highlight w:val="none"/>
                <w:lang w:eastAsia="zh-CN"/>
              </w:rPr>
              <w:t>、</w:t>
            </w:r>
            <w:r>
              <w:rPr>
                <w:rFonts w:hint="eastAsia" w:ascii="宋体" w:hAnsi="宋体" w:eastAsia="宋体" w:cs="MS Mincho"/>
                <w:color w:val="auto"/>
                <w:kern w:val="1"/>
                <w:sz w:val="21"/>
                <w:szCs w:val="21"/>
                <w:highlight w:val="none"/>
              </w:rPr>
              <w:t>最新车辆彩色图片(包括外型、车厢环境和车牌号码)</w:t>
            </w:r>
            <w:r>
              <w:rPr>
                <w:rFonts w:hint="eastAsia" w:ascii="宋体" w:hAnsi="宋体" w:eastAsia="宋体" w:cs="MS Mincho"/>
                <w:color w:val="auto"/>
                <w:kern w:val="1"/>
                <w:sz w:val="21"/>
                <w:szCs w:val="21"/>
                <w:highlight w:val="none"/>
                <w:lang w:eastAsia="zh-CN"/>
              </w:rPr>
              <w:t>、</w:t>
            </w:r>
            <w:r>
              <w:rPr>
                <w:rFonts w:hint="eastAsia" w:ascii="宋体" w:hAnsi="宋体" w:eastAsia="宋体" w:cs="MS Mincho"/>
                <w:color w:val="auto"/>
                <w:kern w:val="1"/>
                <w:sz w:val="21"/>
                <w:szCs w:val="21"/>
                <w:highlight w:val="none"/>
              </w:rPr>
              <w:t>车牌号码等资料，若为租赁的还需提供租赁合同。</w:t>
            </w:r>
            <w:r>
              <w:rPr>
                <w:rFonts w:hint="eastAsia" w:ascii="宋体" w:hAnsi="宋体" w:cs="宋体"/>
                <w:color w:val="auto"/>
                <w:kern w:val="0"/>
                <w:szCs w:val="21"/>
                <w:highlight w:val="none"/>
                <w:lang w:val="en-US" w:eastAsia="zh-CN"/>
              </w:rPr>
              <w:t>未提供相关证明材料或无法根据材料认定的</w:t>
            </w:r>
            <w:r>
              <w:rPr>
                <w:rFonts w:hint="eastAsia" w:ascii="宋体" w:hAnsi="宋体" w:cs="宋体"/>
                <w:color w:val="auto"/>
                <w:kern w:val="0"/>
                <w:szCs w:val="21"/>
                <w:highlight w:val="none"/>
              </w:rPr>
              <w:t>不得分）。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E40333E">
            <w:pPr>
              <w:widowControl/>
              <w:kinsoku w:val="0"/>
              <w:autoSpaceDE w:val="0"/>
              <w:autoSpaceDN w:val="0"/>
              <w:adjustRightInd w:val="0"/>
              <w:snapToGrid w:val="0"/>
              <w:spacing w:line="340" w:lineRule="exact"/>
              <w:jc w:val="center"/>
              <w:textAlignment w:val="baseline"/>
              <w:rPr>
                <w:rFonts w:hint="default" w:ascii="宋体" w:hAnsi="宋体" w:eastAsia="宋体" w:cs="宋体"/>
                <w:snapToGrid w:val="0"/>
                <w:color w:val="auto"/>
                <w:kern w:val="0"/>
                <w:szCs w:val="21"/>
                <w:highlight w:val="none"/>
                <w:lang w:val="en-US" w:eastAsia="zh-CN" w:bidi="ar"/>
              </w:rPr>
            </w:pPr>
            <w:r>
              <w:rPr>
                <w:rFonts w:hint="eastAsia" w:ascii="宋体" w:hAnsi="宋体" w:cs="宋体"/>
                <w:snapToGrid w:val="0"/>
                <w:color w:val="auto"/>
                <w:kern w:val="0"/>
                <w:szCs w:val="21"/>
                <w:highlight w:val="none"/>
                <w:lang w:val="en-US" w:eastAsia="zh-CN" w:bidi="ar"/>
              </w:rPr>
              <w:t>20分</w:t>
            </w:r>
          </w:p>
        </w:tc>
      </w:tr>
      <w:tr w14:paraId="1C878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D32C2AB">
            <w:pPr>
              <w:widowControl/>
              <w:kinsoku w:val="0"/>
              <w:autoSpaceDE w:val="0"/>
              <w:autoSpaceDN w:val="0"/>
              <w:adjustRightInd w:val="0"/>
              <w:snapToGrid w:val="0"/>
              <w:spacing w:line="340" w:lineRule="exact"/>
              <w:jc w:val="center"/>
              <w:textAlignment w:val="baseline"/>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lang w:bidi="ar"/>
              </w:rPr>
              <w:t>3</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E325DB3">
            <w:pPr>
              <w:widowControl/>
              <w:kinsoku w:val="0"/>
              <w:autoSpaceDE w:val="0"/>
              <w:autoSpaceDN w:val="0"/>
              <w:adjustRightInd w:val="0"/>
              <w:snapToGrid w:val="0"/>
              <w:spacing w:line="340" w:lineRule="exact"/>
              <w:jc w:val="center"/>
              <w:textAlignment w:val="baseline"/>
              <w:rPr>
                <w:rFonts w:ascii="宋体" w:hAnsi="宋体" w:cs="宋体"/>
                <w:b/>
                <w:bCs/>
                <w:color w:val="auto"/>
                <w:kern w:val="0"/>
                <w:szCs w:val="21"/>
                <w:highlight w:val="none"/>
              </w:rPr>
            </w:pPr>
            <w:r>
              <w:rPr>
                <w:rFonts w:hint="eastAsia" w:ascii="宋体" w:hAnsi="宋体" w:cs="宋体"/>
                <w:b/>
                <w:bCs/>
                <w:snapToGrid w:val="0"/>
                <w:color w:val="auto"/>
                <w:kern w:val="0"/>
                <w:szCs w:val="21"/>
                <w:highlight w:val="none"/>
                <w:lang w:bidi="ar"/>
              </w:rPr>
              <w:t>商务资信</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49F3BD">
            <w:pPr>
              <w:widowControl/>
              <w:kinsoku w:val="0"/>
              <w:autoSpaceDE w:val="0"/>
              <w:autoSpaceDN w:val="0"/>
              <w:adjustRightInd w:val="0"/>
              <w:snapToGrid w:val="0"/>
              <w:spacing w:line="340" w:lineRule="exact"/>
              <w:jc w:val="center"/>
              <w:textAlignment w:val="baseline"/>
              <w:rPr>
                <w:rFonts w:ascii="宋体" w:hAnsi="宋体" w:cs="宋体"/>
                <w:b/>
                <w:bCs/>
                <w:color w:val="auto"/>
                <w:kern w:val="0"/>
                <w:szCs w:val="21"/>
                <w:highlight w:val="none"/>
              </w:rPr>
            </w:pPr>
            <w:r>
              <w:rPr>
                <w:rFonts w:hint="eastAsia" w:ascii="宋体" w:hAnsi="宋体" w:cs="宋体"/>
                <w:b/>
                <w:bCs/>
                <w:snapToGrid w:val="0"/>
                <w:color w:val="auto"/>
                <w:kern w:val="0"/>
                <w:szCs w:val="21"/>
                <w:highlight w:val="none"/>
                <w:lang w:bidi="ar"/>
              </w:rPr>
              <w:t>评审因素</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91FC0F4">
            <w:pPr>
              <w:widowControl/>
              <w:kinsoku w:val="0"/>
              <w:autoSpaceDE w:val="0"/>
              <w:autoSpaceDN w:val="0"/>
              <w:adjustRightInd w:val="0"/>
              <w:snapToGrid w:val="0"/>
              <w:spacing w:line="340" w:lineRule="exact"/>
              <w:jc w:val="center"/>
              <w:textAlignment w:val="baseline"/>
              <w:rPr>
                <w:rFonts w:ascii="宋体" w:hAnsi="宋体" w:cs="宋体"/>
                <w:b/>
                <w:bCs/>
                <w:color w:val="auto"/>
                <w:kern w:val="0"/>
                <w:szCs w:val="21"/>
                <w:highlight w:val="none"/>
              </w:rPr>
            </w:pPr>
            <w:r>
              <w:rPr>
                <w:rFonts w:hint="eastAsia" w:ascii="宋体" w:hAnsi="宋体" w:cs="宋体"/>
                <w:b/>
                <w:bCs/>
                <w:snapToGrid w:val="0"/>
                <w:color w:val="auto"/>
                <w:kern w:val="0"/>
                <w:szCs w:val="21"/>
                <w:highlight w:val="none"/>
                <w:lang w:bidi="ar"/>
              </w:rPr>
              <w:t>满分</w:t>
            </w:r>
            <w:r>
              <w:rPr>
                <w:rFonts w:hint="eastAsia" w:ascii="宋体" w:hAnsi="宋体" w:cs="宋体"/>
                <w:b/>
                <w:bCs/>
                <w:color w:val="auto"/>
                <w:kern w:val="0"/>
                <w:szCs w:val="21"/>
                <w:highlight w:val="none"/>
                <w:lang w:val="en-US" w:eastAsia="zh-CN" w:bidi="ar"/>
              </w:rPr>
              <w:t>5</w:t>
            </w:r>
            <w:r>
              <w:rPr>
                <w:rFonts w:hint="eastAsia" w:ascii="宋体" w:hAnsi="宋体" w:cs="宋体"/>
                <w:b/>
                <w:bCs/>
                <w:snapToGrid w:val="0"/>
                <w:color w:val="auto"/>
                <w:kern w:val="0"/>
                <w:szCs w:val="21"/>
                <w:highlight w:val="none"/>
                <w:lang w:bidi="ar"/>
              </w:rPr>
              <w:t>分</w:t>
            </w:r>
          </w:p>
        </w:tc>
      </w:tr>
      <w:tr w14:paraId="319CB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1A88F4">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bidi="ar"/>
              </w:rPr>
              <w:t>3.1</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739527E">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信誉分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C4805EC">
            <w:pPr>
              <w:widowControl/>
              <w:kinsoku w:val="0"/>
              <w:autoSpaceDE w:val="0"/>
              <w:autoSpaceDN w:val="0"/>
              <w:adjustRightInd w:val="0"/>
              <w:snapToGrid w:val="0"/>
              <w:spacing w:line="340" w:lineRule="exact"/>
              <w:ind w:firstLine="420" w:firstLineChars="200"/>
              <w:jc w:val="left"/>
              <w:textAlignment w:val="baseline"/>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供应商具有有效的质量管理体系认证、环境管理体系认证、职业健康安全管理体系认证，每有一项得</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分，满分</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分。（供应商需提供有效认证证书复印件及提供上述证书对应的在全国认证认可信息公共服务平台上(http://cx.cnca.cn)查询结果的截图，并加盖供应商单位公章，不提供或证书状态非“有效”均不得分。）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6B5FC784">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val="en-US" w:eastAsia="zh-CN" w:bidi="ar"/>
              </w:rPr>
              <w:t>3</w:t>
            </w:r>
            <w:r>
              <w:rPr>
                <w:rFonts w:hint="eastAsia" w:ascii="宋体" w:hAnsi="宋体" w:cs="宋体"/>
                <w:snapToGrid w:val="0"/>
                <w:color w:val="auto"/>
                <w:kern w:val="0"/>
                <w:szCs w:val="21"/>
                <w:highlight w:val="none"/>
                <w:lang w:bidi="ar"/>
              </w:rPr>
              <w:t>分</w:t>
            </w:r>
          </w:p>
        </w:tc>
      </w:tr>
      <w:tr w14:paraId="429C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DA43897">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lang w:bidi="ar"/>
              </w:rPr>
              <w:t>3.2</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814F07C">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业绩分</w:t>
            </w:r>
          </w:p>
        </w:tc>
        <w:tc>
          <w:tcPr>
            <w:tcW w:w="371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18FAB1">
            <w:pPr>
              <w:widowControl/>
              <w:kinsoku w:val="0"/>
              <w:autoSpaceDE w:val="0"/>
              <w:autoSpaceDN w:val="0"/>
              <w:adjustRightInd w:val="0"/>
              <w:snapToGrid w:val="0"/>
              <w:spacing w:line="340" w:lineRule="exact"/>
              <w:ind w:firstLine="420" w:firstLineChars="200"/>
              <w:jc w:val="left"/>
              <w:textAlignment w:val="baseline"/>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供应商</w:t>
            </w:r>
            <w:r>
              <w:rPr>
                <w:rFonts w:hint="eastAsia" w:ascii="宋体" w:hAnsi="宋体" w:cs="宋体"/>
                <w:color w:val="auto"/>
                <w:kern w:val="0"/>
                <w:szCs w:val="21"/>
                <w:highlight w:val="none"/>
                <w:lang w:val="en-US" w:eastAsia="zh-CN"/>
              </w:rPr>
              <w:t>自</w:t>
            </w:r>
            <w:r>
              <w:rPr>
                <w:rFonts w:hint="eastAsia" w:ascii="宋体" w:hAnsi="宋体" w:cs="宋体"/>
                <w:color w:val="auto"/>
                <w:kern w:val="0"/>
                <w:szCs w:val="21"/>
                <w:highlight w:val="none"/>
              </w:rPr>
              <w:t>2022年1月1日至响应文件提交截止时间止，</w:t>
            </w:r>
            <w:r>
              <w:rPr>
                <w:rFonts w:hint="eastAsia" w:ascii="宋体" w:hAnsi="宋体" w:cs="宋体"/>
                <w:color w:val="auto"/>
                <w:kern w:val="0"/>
                <w:szCs w:val="21"/>
                <w:highlight w:val="none"/>
                <w:lang w:val="en-US" w:eastAsia="zh-CN"/>
              </w:rPr>
              <w:t>具有</w:t>
            </w:r>
            <w:r>
              <w:rPr>
                <w:rFonts w:hint="eastAsia" w:ascii="宋体" w:hAnsi="宋体" w:cs="宋体"/>
                <w:color w:val="auto"/>
                <w:kern w:val="0"/>
                <w:szCs w:val="21"/>
                <w:highlight w:val="none"/>
              </w:rPr>
              <w:t>类似项目（</w:t>
            </w:r>
            <w:r>
              <w:rPr>
                <w:rFonts w:hint="eastAsia" w:ascii="宋体" w:hAnsi="宋体" w:cs="宋体"/>
                <w:color w:val="auto"/>
                <w:kern w:val="0"/>
                <w:szCs w:val="21"/>
                <w:highlight w:val="none"/>
                <w:lang w:val="en-US" w:eastAsia="zh-CN"/>
              </w:rPr>
              <w:t>类似</w:t>
            </w:r>
            <w:r>
              <w:rPr>
                <w:rFonts w:hint="eastAsia" w:ascii="宋体" w:hAnsi="宋体" w:cs="宋体"/>
                <w:color w:val="auto"/>
                <w:kern w:val="0"/>
                <w:szCs w:val="21"/>
                <w:highlight w:val="none"/>
              </w:rPr>
              <w:t>财物管理或</w:t>
            </w:r>
            <w:r>
              <w:rPr>
                <w:rFonts w:hint="eastAsia" w:ascii="宋体" w:hAnsi="宋体" w:cs="宋体"/>
                <w:color w:val="auto"/>
                <w:kern w:val="0"/>
                <w:szCs w:val="21"/>
                <w:highlight w:val="none"/>
                <w:lang w:val="en-US" w:eastAsia="zh-CN"/>
              </w:rPr>
              <w:t>处置</w:t>
            </w:r>
            <w:r>
              <w:rPr>
                <w:rFonts w:hint="eastAsia" w:ascii="宋体" w:hAnsi="宋体" w:cs="宋体"/>
                <w:color w:val="auto"/>
                <w:kern w:val="0"/>
                <w:szCs w:val="21"/>
                <w:highlight w:val="none"/>
              </w:rPr>
              <w:t>经验</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业绩</w:t>
            </w:r>
            <w:r>
              <w:rPr>
                <w:rFonts w:hint="eastAsia" w:ascii="宋体" w:hAnsi="宋体" w:cs="宋体"/>
                <w:color w:val="auto"/>
                <w:kern w:val="0"/>
                <w:szCs w:val="21"/>
                <w:highlight w:val="none"/>
                <w:lang w:val="en-US" w:eastAsia="zh-CN"/>
              </w:rPr>
              <w:t>的</w:t>
            </w:r>
            <w:r>
              <w:rPr>
                <w:rFonts w:hint="eastAsia" w:ascii="宋体" w:hAnsi="宋体" w:cs="宋体"/>
                <w:color w:val="auto"/>
                <w:kern w:val="0"/>
                <w:szCs w:val="21"/>
                <w:highlight w:val="none"/>
              </w:rPr>
              <w:t>，每个有效业绩得</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分，本项满分</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val="en-US" w:eastAsia="zh-CN"/>
              </w:rPr>
              <w:t>。</w:t>
            </w:r>
          </w:p>
          <w:p w14:paraId="3D22EE95">
            <w:pPr>
              <w:widowControl/>
              <w:kinsoku w:val="0"/>
              <w:autoSpaceDE w:val="0"/>
              <w:autoSpaceDN w:val="0"/>
              <w:adjustRightInd w:val="0"/>
              <w:snapToGrid w:val="0"/>
              <w:spacing w:line="340" w:lineRule="exact"/>
              <w:ind w:firstLine="420" w:firstLineChars="200"/>
              <w:jc w:val="left"/>
              <w:textAlignment w:val="baseline"/>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注：业绩证明材料</w:t>
            </w:r>
            <w:r>
              <w:rPr>
                <w:rFonts w:hint="eastAsia" w:ascii="宋体" w:hAnsi="宋体" w:cs="宋体"/>
                <w:color w:val="auto"/>
                <w:kern w:val="0"/>
                <w:szCs w:val="21"/>
                <w:highlight w:val="none"/>
              </w:rPr>
              <w:t>须体现为类似项目。</w:t>
            </w:r>
            <w:r>
              <w:rPr>
                <w:rFonts w:hint="eastAsia" w:ascii="宋体" w:hAnsi="宋体" w:cs="宋体"/>
                <w:color w:val="auto"/>
                <w:kern w:val="0"/>
                <w:szCs w:val="21"/>
                <w:highlight w:val="none"/>
                <w:lang w:val="en-US" w:eastAsia="zh-CN"/>
              </w:rPr>
              <w:t>业绩证明材料以中标（成交）通知书或合同复印件为准。</w:t>
            </w:r>
          </w:p>
        </w:tc>
        <w:tc>
          <w:tcPr>
            <w:tcW w:w="298"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1A78E537">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分</w:t>
            </w:r>
          </w:p>
        </w:tc>
      </w:tr>
      <w:tr w14:paraId="0E9D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jc w:val="center"/>
        </w:trPr>
        <w:tc>
          <w:tcPr>
            <w:tcW w:w="302"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31BCA0">
            <w:pPr>
              <w:widowControl/>
              <w:kinsoku w:val="0"/>
              <w:autoSpaceDE w:val="0"/>
              <w:autoSpaceDN w:val="0"/>
              <w:adjustRightInd w:val="0"/>
              <w:snapToGrid w:val="0"/>
              <w:spacing w:line="340" w:lineRule="exact"/>
              <w:jc w:val="center"/>
              <w:textAlignment w:val="baseline"/>
              <w:rPr>
                <w:rFonts w:hint="eastAsia" w:ascii="宋体" w:hAnsi="宋体" w:eastAsia="宋体" w:cs="宋体"/>
                <w:snapToGrid w:val="0"/>
                <w:color w:val="auto"/>
                <w:kern w:val="0"/>
                <w:szCs w:val="21"/>
                <w:highlight w:val="none"/>
                <w:lang w:eastAsia="zh-CN"/>
              </w:rPr>
            </w:pPr>
            <w:r>
              <w:rPr>
                <w:rFonts w:hint="eastAsia" w:ascii="宋体" w:hAnsi="宋体" w:cs="宋体"/>
                <w:snapToGrid w:val="0"/>
                <w:color w:val="auto"/>
                <w:kern w:val="0"/>
                <w:szCs w:val="21"/>
                <w:highlight w:val="none"/>
                <w:lang w:bidi="ar"/>
              </w:rPr>
              <w:t>3.</w:t>
            </w:r>
            <w:r>
              <w:rPr>
                <w:rFonts w:hint="eastAsia" w:ascii="宋体" w:hAnsi="宋体" w:cs="宋体"/>
                <w:snapToGrid w:val="0"/>
                <w:color w:val="auto"/>
                <w:kern w:val="0"/>
                <w:szCs w:val="21"/>
                <w:highlight w:val="none"/>
                <w:lang w:val="en-US" w:eastAsia="zh-CN" w:bidi="ar"/>
              </w:rPr>
              <w:t>2</w:t>
            </w:r>
          </w:p>
        </w:tc>
        <w:tc>
          <w:tcPr>
            <w:tcW w:w="679"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E3F7C36">
            <w:pPr>
              <w:spacing w:line="340" w:lineRule="exact"/>
              <w:jc w:val="center"/>
              <w:rPr>
                <w:rFonts w:ascii="宋体" w:hAnsi="宋体" w:cs="宋体"/>
                <w:color w:val="auto"/>
                <w:szCs w:val="21"/>
                <w:highlight w:val="none"/>
              </w:rPr>
            </w:pPr>
            <w:r>
              <w:rPr>
                <w:rFonts w:hint="eastAsia" w:ascii="宋体" w:hAnsi="宋体" w:cs="宋体"/>
                <w:color w:val="auto"/>
                <w:szCs w:val="21"/>
                <w:highlight w:val="none"/>
                <w:lang w:bidi="ar"/>
              </w:rPr>
              <w:t>诚信分</w:t>
            </w:r>
          </w:p>
        </w:tc>
        <w:tc>
          <w:tcPr>
            <w:tcW w:w="372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25AD989B">
            <w:pPr>
              <w:pStyle w:val="8"/>
              <w:ind w:firstLine="210" w:firstLineChars="100"/>
              <w:rPr>
                <w:rFonts w:ascii="宋体" w:hAnsi="宋体" w:cs="宋体"/>
                <w:snapToGrid w:val="0"/>
                <w:color w:val="auto"/>
                <w:kern w:val="0"/>
                <w:szCs w:val="21"/>
                <w:highlight w:val="none"/>
              </w:rPr>
            </w:pPr>
            <w:r>
              <w:rPr>
                <w:rFonts w:hint="eastAsia" w:ascii="宋体" w:hAnsi="宋体" w:cs="宋体"/>
                <w:bCs w:val="0"/>
                <w:color w:val="auto"/>
                <w:kern w:val="0"/>
                <w:szCs w:val="21"/>
                <w:highlight w:val="none"/>
                <w:lang w:val="en-US" w:eastAsia="zh-CN"/>
              </w:rPr>
              <w:t>供应商</w:t>
            </w:r>
            <w:r>
              <w:rPr>
                <w:rFonts w:hint="eastAsia" w:ascii="宋体" w:hAnsi="宋体" w:cs="宋体"/>
                <w:bCs w:val="0"/>
                <w:color w:val="auto"/>
                <w:kern w:val="0"/>
                <w:szCs w:val="21"/>
                <w:highlight w:val="none"/>
              </w:rPr>
              <w:t>在截标日前一年内在政府采购活动中存在违约违规情形的（以财政部门书面认定材料为评分依据），每次扣除3分，最高扣6分。(若存在违约违规情形，由</w:t>
            </w:r>
            <w:r>
              <w:rPr>
                <w:rFonts w:hint="eastAsia" w:ascii="宋体" w:hAnsi="宋体" w:cs="宋体"/>
                <w:bCs w:val="0"/>
                <w:color w:val="auto"/>
                <w:kern w:val="0"/>
                <w:szCs w:val="21"/>
                <w:highlight w:val="none"/>
                <w:lang w:val="en-US" w:eastAsia="zh-CN"/>
              </w:rPr>
              <w:t>供应商</w:t>
            </w:r>
            <w:r>
              <w:rPr>
                <w:rFonts w:hint="eastAsia" w:ascii="宋体" w:hAnsi="宋体" w:cs="宋体"/>
                <w:bCs w:val="0"/>
                <w:color w:val="auto"/>
                <w:kern w:val="0"/>
                <w:szCs w:val="21"/>
                <w:highlight w:val="none"/>
              </w:rPr>
              <w:t>提供认定材料；</w:t>
            </w:r>
            <w:r>
              <w:rPr>
                <w:rFonts w:hint="eastAsia" w:ascii="宋体" w:hAnsi="宋体" w:cs="宋体"/>
                <w:b w:val="0"/>
                <w:bCs w:val="0"/>
                <w:color w:val="auto"/>
                <w:kern w:val="0"/>
                <w:szCs w:val="21"/>
                <w:highlight w:val="none"/>
              </w:rPr>
              <w:t>若不存在违约违规情形，提供无违约违规情形承诺书（格式自拟）</w:t>
            </w:r>
            <w:r>
              <w:rPr>
                <w:rFonts w:hint="eastAsia" w:ascii="宋体" w:hAnsi="宋体" w:cs="宋体"/>
                <w:b w:val="0"/>
                <w:bCs w:val="0"/>
                <w:color w:val="auto"/>
                <w:kern w:val="0"/>
                <w:szCs w:val="21"/>
                <w:highlight w:val="none"/>
                <w:lang w:val="en-US" w:eastAsia="zh-CN"/>
              </w:rPr>
              <w:t>并</w:t>
            </w:r>
            <w:r>
              <w:rPr>
                <w:rFonts w:hint="eastAsia" w:ascii="宋体" w:hAnsi="宋体" w:cs="宋体"/>
                <w:b w:val="0"/>
                <w:bCs w:val="0"/>
                <w:color w:val="auto"/>
                <w:kern w:val="0"/>
                <w:szCs w:val="21"/>
                <w:highlight w:val="none"/>
              </w:rPr>
              <w:t>加盖公章</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无违规违约情形，不提供</w:t>
            </w:r>
            <w:r>
              <w:rPr>
                <w:rFonts w:hint="eastAsia" w:ascii="宋体" w:hAnsi="宋体" w:cs="宋体"/>
                <w:b w:val="0"/>
                <w:bCs w:val="0"/>
                <w:color w:val="auto"/>
                <w:kern w:val="0"/>
                <w:szCs w:val="21"/>
                <w:highlight w:val="none"/>
              </w:rPr>
              <w:t>无违约违规情形承诺书</w:t>
            </w:r>
            <w:r>
              <w:rPr>
                <w:rFonts w:hint="eastAsia" w:ascii="宋体" w:hAnsi="宋体" w:cs="宋体"/>
                <w:b w:val="0"/>
                <w:bCs w:val="0"/>
                <w:color w:val="auto"/>
                <w:kern w:val="0"/>
                <w:szCs w:val="21"/>
                <w:highlight w:val="none"/>
                <w:lang w:val="en-US" w:eastAsia="zh-CN"/>
              </w:rPr>
              <w:t>扣3分</w:t>
            </w:r>
            <w:r>
              <w:rPr>
                <w:rFonts w:hint="eastAsia" w:ascii="宋体" w:hAnsi="宋体" w:cs="宋体"/>
                <w:b w:val="0"/>
                <w:bCs w:val="0"/>
                <w:color w:val="auto"/>
                <w:kern w:val="0"/>
                <w:szCs w:val="21"/>
                <w:highlight w:val="none"/>
              </w:rPr>
              <w:t>。</w:t>
            </w:r>
          </w:p>
        </w:tc>
        <w:tc>
          <w:tcPr>
            <w:tcW w:w="29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E45C7F">
            <w:pPr>
              <w:widowControl/>
              <w:kinsoku w:val="0"/>
              <w:autoSpaceDE w:val="0"/>
              <w:autoSpaceDN w:val="0"/>
              <w:adjustRightInd w:val="0"/>
              <w:snapToGrid w:val="0"/>
              <w:spacing w:line="340" w:lineRule="exact"/>
              <w:jc w:val="center"/>
              <w:textAlignment w:val="baseline"/>
              <w:rPr>
                <w:rFonts w:ascii="宋体" w:hAnsi="宋体" w:cs="宋体"/>
                <w:color w:val="auto"/>
                <w:kern w:val="0"/>
                <w:szCs w:val="21"/>
                <w:highlight w:val="none"/>
              </w:rPr>
            </w:pPr>
            <w:r>
              <w:rPr>
                <w:rFonts w:hint="eastAsia" w:ascii="宋体" w:hAnsi="宋体" w:cs="宋体"/>
                <w:snapToGrid w:val="0"/>
                <w:color w:val="auto"/>
                <w:kern w:val="0"/>
                <w:szCs w:val="21"/>
                <w:highlight w:val="none"/>
                <w:lang w:bidi="ar"/>
              </w:rPr>
              <w:t>-6分</w:t>
            </w:r>
          </w:p>
        </w:tc>
      </w:tr>
      <w:tr w14:paraId="17AD8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000" w:type="pct"/>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6B849268">
            <w:pPr>
              <w:widowControl/>
              <w:kinsoku w:val="0"/>
              <w:autoSpaceDE w:val="0"/>
              <w:autoSpaceDN w:val="0"/>
              <w:adjustRightInd w:val="0"/>
              <w:snapToGrid w:val="0"/>
              <w:spacing w:line="340" w:lineRule="exact"/>
              <w:jc w:val="center"/>
              <w:textAlignment w:val="baseline"/>
              <w:rPr>
                <w:rFonts w:ascii="宋体" w:hAnsi="宋体" w:cs="宋体"/>
                <w:snapToGrid w:val="0"/>
                <w:color w:val="auto"/>
                <w:kern w:val="0"/>
                <w:szCs w:val="21"/>
                <w:highlight w:val="none"/>
              </w:rPr>
            </w:pPr>
            <w:r>
              <w:rPr>
                <w:rFonts w:hint="eastAsia" w:ascii="宋体" w:hAnsi="宋体" w:cs="宋体"/>
                <w:b/>
                <w:bCs/>
                <w:snapToGrid w:val="0"/>
                <w:color w:val="auto"/>
                <w:spacing w:val="10"/>
                <w:kern w:val="0"/>
                <w:szCs w:val="21"/>
                <w:highlight w:val="none"/>
                <w:lang w:bidi="ar"/>
              </w:rPr>
              <w:t>总</w:t>
            </w:r>
            <w:r>
              <w:rPr>
                <w:rFonts w:hint="eastAsia" w:ascii="宋体" w:hAnsi="宋体" w:cs="宋体"/>
                <w:b/>
                <w:bCs/>
                <w:snapToGrid w:val="0"/>
                <w:color w:val="auto"/>
                <w:spacing w:val="6"/>
                <w:kern w:val="0"/>
                <w:szCs w:val="21"/>
                <w:highlight w:val="none"/>
                <w:lang w:bidi="ar"/>
              </w:rPr>
              <w:t>得</w:t>
            </w:r>
            <w:r>
              <w:rPr>
                <w:rFonts w:hint="eastAsia" w:ascii="宋体" w:hAnsi="宋体" w:cs="宋体"/>
                <w:b/>
                <w:bCs/>
                <w:snapToGrid w:val="0"/>
                <w:color w:val="auto"/>
                <w:spacing w:val="5"/>
                <w:kern w:val="0"/>
                <w:szCs w:val="21"/>
                <w:highlight w:val="none"/>
                <w:lang w:bidi="ar"/>
              </w:rPr>
              <w:t>分＝</w:t>
            </w:r>
            <w:r>
              <w:rPr>
                <w:rFonts w:hint="eastAsia" w:ascii="宋体" w:hAnsi="宋体" w:cs="宋体"/>
                <w:b/>
                <w:bCs/>
                <w:color w:val="auto"/>
                <w:spacing w:val="5"/>
                <w:kern w:val="0"/>
                <w:szCs w:val="21"/>
                <w:highlight w:val="none"/>
                <w:lang w:bidi="ar"/>
              </w:rPr>
              <w:t>1</w:t>
            </w:r>
            <w:r>
              <w:rPr>
                <w:rFonts w:hint="eastAsia" w:ascii="宋体" w:hAnsi="宋体" w:cs="宋体"/>
                <w:b/>
                <w:bCs/>
                <w:snapToGrid w:val="0"/>
                <w:color w:val="auto"/>
                <w:spacing w:val="5"/>
                <w:kern w:val="0"/>
                <w:szCs w:val="21"/>
                <w:highlight w:val="none"/>
                <w:lang w:bidi="ar"/>
              </w:rPr>
              <w:t>＋</w:t>
            </w:r>
            <w:r>
              <w:rPr>
                <w:rFonts w:hint="eastAsia" w:ascii="宋体" w:hAnsi="宋体" w:cs="宋体"/>
                <w:b/>
                <w:bCs/>
                <w:color w:val="auto"/>
                <w:spacing w:val="5"/>
                <w:kern w:val="0"/>
                <w:szCs w:val="21"/>
                <w:highlight w:val="none"/>
                <w:lang w:bidi="ar"/>
              </w:rPr>
              <w:t>2+3</w:t>
            </w:r>
          </w:p>
        </w:tc>
      </w:tr>
    </w:tbl>
    <w:p w14:paraId="1F9270AC">
      <w:pPr>
        <w:rPr>
          <w:color w:val="auto"/>
          <w:highlight w:val="none"/>
        </w:rPr>
      </w:pPr>
    </w:p>
    <w:p w14:paraId="4F8D6C1F">
      <w:pPr>
        <w:widowControl/>
        <w:kinsoku w:val="0"/>
        <w:autoSpaceDE w:val="0"/>
        <w:autoSpaceDN w:val="0"/>
        <w:adjustRightInd w:val="0"/>
        <w:snapToGrid w:val="0"/>
        <w:spacing w:line="320" w:lineRule="exact"/>
        <w:jc w:val="center"/>
        <w:textAlignment w:val="baseline"/>
        <w:rPr>
          <w:rFonts w:ascii="仿宋" w:hAnsi="仿宋" w:eastAsia="仿宋" w:cs="仿宋"/>
          <w:snapToGrid w:val="0"/>
          <w:color w:val="auto"/>
          <w:kern w:val="0"/>
          <w:szCs w:val="21"/>
          <w:highlight w:val="none"/>
        </w:rPr>
      </w:pPr>
    </w:p>
    <w:p w14:paraId="201193E1">
      <w:pPr>
        <w:pStyle w:val="9"/>
        <w:rPr>
          <w:color w:val="auto"/>
          <w:highlight w:val="none"/>
        </w:rPr>
        <w:sectPr>
          <w:pgSz w:w="11911" w:h="16838"/>
          <w:pgMar w:top="1417" w:right="1417" w:bottom="1417" w:left="1417" w:header="720" w:footer="720" w:gutter="0"/>
          <w:cols w:space="0" w:num="1"/>
        </w:sectPr>
      </w:pPr>
    </w:p>
    <w:p w14:paraId="3EC91D12">
      <w:pPr>
        <w:rPr>
          <w:rFonts w:ascii="宋体" w:hAnsi="宋体" w:cs="宋体"/>
          <w:b/>
          <w:color w:val="auto"/>
          <w:sz w:val="22"/>
          <w:szCs w:val="22"/>
          <w:highlight w:val="none"/>
        </w:rPr>
      </w:pPr>
      <w:bookmarkStart w:id="59" w:name="_Toc29129"/>
      <w:bookmarkStart w:id="60" w:name="_Toc80205935"/>
    </w:p>
    <w:p w14:paraId="6A836F4F">
      <w:pPr>
        <w:pStyle w:val="4"/>
        <w:spacing w:before="0" w:after="0" w:line="360" w:lineRule="auto"/>
        <w:ind w:firstLine="640" w:firstLineChars="200"/>
        <w:jc w:val="center"/>
        <w:rPr>
          <w:rFonts w:ascii="宋体" w:hAnsi="宋体"/>
          <w:b w:val="0"/>
          <w:color w:val="auto"/>
          <w:highlight w:val="none"/>
        </w:rPr>
      </w:pPr>
      <w:r>
        <w:rPr>
          <w:rFonts w:hint="eastAsia" w:ascii="宋体" w:hAnsi="宋体"/>
          <w:b w:val="0"/>
          <w:color w:val="auto"/>
          <w:highlight w:val="none"/>
        </w:rPr>
        <w:t>第二节 评审报告</w:t>
      </w:r>
      <w:bookmarkEnd w:id="59"/>
      <w:bookmarkEnd w:id="60"/>
    </w:p>
    <w:p w14:paraId="4D7C0738">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4354405">
      <w:pPr>
        <w:spacing w:line="360" w:lineRule="auto"/>
        <w:ind w:firstLine="420" w:firstLineChars="200"/>
        <w:rPr>
          <w:rFonts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7B92826">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7621A5FD">
      <w:pPr>
        <w:ind w:firstLine="420"/>
        <w:rPr>
          <w:rFonts w:ascii="宋体" w:hAnsi="宋体" w:cs="宋体"/>
          <w:color w:val="auto"/>
          <w:highlight w:val="none"/>
        </w:rPr>
      </w:pPr>
      <w:r>
        <w:rPr>
          <w:rFonts w:hint="eastAsia" w:ascii="宋体" w:hAnsi="宋体" w:cs="宋体"/>
          <w:color w:val="auto"/>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01E53593">
      <w:pPr>
        <w:pStyle w:val="4"/>
        <w:spacing w:before="0" w:after="0" w:line="360" w:lineRule="auto"/>
        <w:ind w:firstLine="640" w:firstLineChars="200"/>
        <w:jc w:val="center"/>
        <w:rPr>
          <w:rFonts w:ascii="宋体" w:hAnsi="宋体" w:cs="宋体"/>
          <w:b w:val="0"/>
          <w:color w:val="auto"/>
          <w:highlight w:val="none"/>
        </w:rPr>
      </w:pPr>
      <w:bookmarkStart w:id="61" w:name="_Toc11092"/>
      <w:bookmarkStart w:id="62" w:name="_Toc80205936"/>
      <w:r>
        <w:rPr>
          <w:rFonts w:hint="eastAsia" w:ascii="宋体" w:hAnsi="宋体"/>
          <w:b w:val="0"/>
          <w:color w:val="auto"/>
          <w:highlight w:val="none"/>
        </w:rPr>
        <w:t>第三节 评审过程的保密与录像</w:t>
      </w:r>
      <w:bookmarkEnd w:id="61"/>
      <w:bookmarkEnd w:id="62"/>
    </w:p>
    <w:p w14:paraId="73DB3025">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4C906C64">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462CE44">
      <w:pPr>
        <w:widowControl/>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53BABDCB">
      <w:pPr>
        <w:spacing w:line="360" w:lineRule="auto"/>
        <w:ind w:firstLine="420" w:firstLineChars="200"/>
        <w:rPr>
          <w:rFonts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7AC7D365">
      <w:pPr>
        <w:rPr>
          <w:color w:val="auto"/>
          <w:highlight w:val="none"/>
        </w:rPr>
      </w:pPr>
    </w:p>
    <w:p w14:paraId="5921574D">
      <w:pPr>
        <w:jc w:val="center"/>
        <w:rPr>
          <w:color w:val="auto"/>
          <w:highlight w:val="none"/>
        </w:rPr>
      </w:pPr>
    </w:p>
    <w:p w14:paraId="2843FEF5">
      <w:pPr>
        <w:jc w:val="center"/>
        <w:rPr>
          <w:color w:val="auto"/>
          <w:highlight w:val="none"/>
        </w:rPr>
      </w:pPr>
    </w:p>
    <w:p w14:paraId="7D4D45C1">
      <w:pPr>
        <w:jc w:val="center"/>
        <w:rPr>
          <w:color w:val="auto"/>
          <w:highlight w:val="none"/>
        </w:rPr>
      </w:pPr>
    </w:p>
    <w:p w14:paraId="16FEE28F">
      <w:pPr>
        <w:jc w:val="center"/>
        <w:rPr>
          <w:color w:val="auto"/>
          <w:highlight w:val="none"/>
        </w:rPr>
      </w:pPr>
      <w:r>
        <w:rPr>
          <w:color w:val="auto"/>
          <w:highlight w:val="none"/>
        </w:rPr>
        <w:br w:type="page"/>
      </w:r>
    </w:p>
    <w:p w14:paraId="469B0F0F">
      <w:pPr>
        <w:pStyle w:val="3"/>
        <w:jc w:val="center"/>
        <w:rPr>
          <w:color w:val="auto"/>
          <w:highlight w:val="none"/>
        </w:rPr>
      </w:pPr>
      <w:bookmarkStart w:id="63" w:name="_Toc18495"/>
      <w:r>
        <w:rPr>
          <w:rFonts w:hint="eastAsia"/>
          <w:color w:val="auto"/>
          <w:highlight w:val="none"/>
        </w:rPr>
        <w:t>第五章</w:t>
      </w:r>
      <w:r>
        <w:rPr>
          <w:color w:val="auto"/>
          <w:highlight w:val="none"/>
        </w:rPr>
        <w:t xml:space="preserve"> </w:t>
      </w:r>
      <w:r>
        <w:rPr>
          <w:rFonts w:hint="eastAsia"/>
          <w:color w:val="auto"/>
          <w:highlight w:val="none"/>
        </w:rPr>
        <w:t>响应文件格式</w:t>
      </w:r>
      <w:bookmarkEnd w:id="63"/>
    </w:p>
    <w:p w14:paraId="14777851">
      <w:pPr>
        <w:widowControl/>
        <w:spacing w:line="576" w:lineRule="auto"/>
        <w:jc w:val="left"/>
        <w:rPr>
          <w:b/>
          <w:bCs/>
          <w:color w:val="auto"/>
          <w:kern w:val="44"/>
          <w:sz w:val="44"/>
          <w:szCs w:val="44"/>
          <w:highlight w:val="none"/>
        </w:rPr>
        <w:sectPr>
          <w:pgSz w:w="11911" w:h="16838"/>
          <w:pgMar w:top="1417" w:right="1417" w:bottom="1417" w:left="1417" w:header="720" w:footer="720" w:gutter="0"/>
          <w:cols w:space="0" w:num="1"/>
        </w:sectPr>
      </w:pPr>
    </w:p>
    <w:p w14:paraId="2D89BCDE">
      <w:pPr>
        <w:pStyle w:val="4"/>
        <w:jc w:val="center"/>
        <w:rPr>
          <w:rFonts w:ascii="宋体" w:hAnsi="宋体"/>
          <w:b w:val="0"/>
          <w:color w:val="auto"/>
          <w:highlight w:val="none"/>
        </w:rPr>
      </w:pPr>
      <w:bookmarkStart w:id="64" w:name="_Toc18956"/>
      <w:bookmarkStart w:id="65" w:name="_Toc80205938"/>
      <w:r>
        <w:rPr>
          <w:rFonts w:hint="eastAsia" w:ascii="宋体" w:hAnsi="宋体"/>
          <w:b w:val="0"/>
          <w:color w:val="auto"/>
          <w:highlight w:val="none"/>
        </w:rPr>
        <w:t>第一节 封面格式</w:t>
      </w:r>
      <w:bookmarkEnd w:id="64"/>
      <w:bookmarkEnd w:id="65"/>
    </w:p>
    <w:p w14:paraId="3110A9CC">
      <w:pPr>
        <w:snapToGrid w:val="0"/>
        <w:spacing w:before="120" w:beforeLines="50" w:after="50"/>
        <w:rPr>
          <w:rFonts w:ascii="宋体" w:hAnsi="宋体"/>
          <w:color w:val="auto"/>
          <w:sz w:val="24"/>
          <w:szCs w:val="20"/>
          <w:highlight w:val="none"/>
        </w:rPr>
      </w:pPr>
    </w:p>
    <w:p w14:paraId="1B51B6A6">
      <w:pPr>
        <w:snapToGrid w:val="0"/>
        <w:spacing w:before="120" w:beforeLines="50" w:after="50"/>
        <w:jc w:val="center"/>
        <w:rPr>
          <w:rFonts w:ascii="宋体" w:hAnsi="宋体"/>
          <w:bCs/>
          <w:color w:val="auto"/>
          <w:sz w:val="24"/>
          <w:szCs w:val="20"/>
          <w:highlight w:val="none"/>
        </w:rPr>
      </w:pPr>
    </w:p>
    <w:p w14:paraId="63E7642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44A71F91">
      <w:pPr>
        <w:snapToGrid w:val="0"/>
        <w:spacing w:before="120" w:beforeLines="50" w:after="50"/>
        <w:rPr>
          <w:rFonts w:ascii="宋体" w:hAnsi="宋体"/>
          <w:bCs/>
          <w:color w:val="auto"/>
          <w:sz w:val="24"/>
          <w:szCs w:val="20"/>
          <w:highlight w:val="none"/>
        </w:rPr>
      </w:pPr>
    </w:p>
    <w:p w14:paraId="4880B206">
      <w:pPr>
        <w:snapToGrid w:val="0"/>
        <w:spacing w:before="120" w:beforeLines="50" w:after="50"/>
        <w:rPr>
          <w:rFonts w:ascii="宋体" w:hAnsi="宋体"/>
          <w:bCs/>
          <w:color w:val="auto"/>
          <w:sz w:val="24"/>
          <w:szCs w:val="20"/>
          <w:highlight w:val="none"/>
        </w:rPr>
      </w:pPr>
    </w:p>
    <w:p w14:paraId="30AB0FE2">
      <w:pPr>
        <w:snapToGrid w:val="0"/>
        <w:spacing w:before="120" w:beforeLines="50" w:after="50"/>
        <w:rPr>
          <w:rFonts w:ascii="仿宋_GB2312" w:hAnsi="仿宋_GB2312" w:eastAsia="仿宋_GB2312" w:cs="仿宋_GB2312"/>
          <w:bCs/>
          <w:color w:val="auto"/>
          <w:sz w:val="32"/>
          <w:szCs w:val="32"/>
          <w:highlight w:val="none"/>
        </w:rPr>
      </w:pPr>
    </w:p>
    <w:p w14:paraId="3F45E933">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2026年涉案财物集中委托管理处置服务采购</w:t>
      </w:r>
    </w:p>
    <w:p w14:paraId="27B1D44A">
      <w:pPr>
        <w:snapToGrid w:val="0"/>
        <w:spacing w:before="120" w:beforeLines="50" w:after="50"/>
        <w:ind w:firstLine="480" w:firstLineChars="150"/>
        <w:rPr>
          <w:rFonts w:ascii="宋体" w:hAnsi="宋体" w:cs="仿宋_GB2312"/>
          <w:bCs/>
          <w:color w:val="auto"/>
          <w:sz w:val="32"/>
          <w:szCs w:val="32"/>
          <w:highlight w:val="none"/>
        </w:rPr>
      </w:pPr>
    </w:p>
    <w:p w14:paraId="0F10670A">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E091816">
      <w:pPr>
        <w:snapToGrid w:val="0"/>
        <w:spacing w:before="120" w:beforeLines="50" w:after="50"/>
        <w:ind w:firstLine="480" w:firstLineChars="150"/>
        <w:rPr>
          <w:rFonts w:ascii="宋体" w:hAnsi="宋体" w:cs="仿宋_GB2312"/>
          <w:bCs/>
          <w:color w:val="auto"/>
          <w:sz w:val="32"/>
          <w:szCs w:val="32"/>
          <w:highlight w:val="none"/>
        </w:rPr>
      </w:pPr>
    </w:p>
    <w:p w14:paraId="4C49F01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284598E0">
      <w:pPr>
        <w:snapToGrid w:val="0"/>
        <w:spacing w:before="120" w:beforeLines="50" w:after="50"/>
        <w:rPr>
          <w:rFonts w:ascii="宋体" w:hAnsi="宋体" w:cs="仿宋_GB2312"/>
          <w:bCs/>
          <w:color w:val="auto"/>
          <w:sz w:val="32"/>
          <w:szCs w:val="32"/>
          <w:highlight w:val="none"/>
        </w:rPr>
      </w:pPr>
    </w:p>
    <w:p w14:paraId="69BDFEC4">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6B3B6E1">
      <w:pPr>
        <w:snapToGrid w:val="0"/>
        <w:spacing w:before="120" w:beforeLines="50" w:after="50"/>
        <w:rPr>
          <w:rFonts w:ascii="宋体" w:hAnsi="宋体" w:cs="仿宋_GB2312"/>
          <w:bCs/>
          <w:color w:val="auto"/>
          <w:sz w:val="32"/>
          <w:szCs w:val="32"/>
          <w:highlight w:val="none"/>
        </w:rPr>
      </w:pPr>
    </w:p>
    <w:p w14:paraId="20D654B6">
      <w:pPr>
        <w:snapToGrid w:val="0"/>
        <w:spacing w:before="120" w:beforeLines="50" w:after="50"/>
        <w:ind w:firstLine="480" w:firstLineChars="150"/>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7DF6333">
      <w:pPr>
        <w:snapToGrid w:val="0"/>
        <w:spacing w:before="120" w:beforeLines="50" w:after="50"/>
        <w:ind w:firstLine="5440" w:firstLineChars="1700"/>
        <w:jc w:val="center"/>
        <w:rPr>
          <w:rFonts w:ascii="宋体" w:hAnsi="宋体" w:cs="仿宋_GB2312"/>
          <w:bCs/>
          <w:color w:val="auto"/>
          <w:sz w:val="32"/>
          <w:szCs w:val="32"/>
          <w:highlight w:val="none"/>
        </w:rPr>
      </w:pPr>
    </w:p>
    <w:p w14:paraId="1FE7FFEE">
      <w:pPr>
        <w:snapToGrid w:val="0"/>
        <w:spacing w:before="120" w:beforeLines="50" w:after="50"/>
        <w:ind w:firstLine="645"/>
        <w:jc w:val="center"/>
        <w:rPr>
          <w:rFonts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15E97BA9">
      <w:pPr>
        <w:widowControl/>
        <w:jc w:val="left"/>
        <w:rPr>
          <w:color w:val="auto"/>
          <w:highlight w:val="none"/>
        </w:rPr>
        <w:sectPr>
          <w:pgSz w:w="11911" w:h="16838"/>
          <w:pgMar w:top="1417" w:right="1417" w:bottom="1417" w:left="1417" w:header="720" w:footer="720" w:gutter="0"/>
          <w:cols w:space="0" w:num="1"/>
        </w:sectPr>
      </w:pPr>
    </w:p>
    <w:p w14:paraId="65169AE2">
      <w:pPr>
        <w:pStyle w:val="4"/>
        <w:jc w:val="center"/>
        <w:rPr>
          <w:rFonts w:ascii="宋体" w:hAnsi="宋体" w:cs="宋体"/>
          <w:bCs w:val="0"/>
          <w:color w:val="auto"/>
          <w:highlight w:val="none"/>
        </w:rPr>
      </w:pPr>
      <w:bookmarkStart w:id="66" w:name="_Toc80205939"/>
      <w:bookmarkStart w:id="67" w:name="_Toc23404"/>
      <w:r>
        <w:rPr>
          <w:rFonts w:hint="eastAsia" w:ascii="宋体" w:hAnsi="宋体"/>
          <w:bCs w:val="0"/>
          <w:color w:val="auto"/>
          <w:highlight w:val="none"/>
        </w:rPr>
        <w:t>第二节 资格证明文件格式</w:t>
      </w:r>
      <w:bookmarkEnd w:id="66"/>
      <w:bookmarkEnd w:id="67"/>
    </w:p>
    <w:p w14:paraId="5794A747">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2FB2842D">
      <w:pPr>
        <w:snapToGrid w:val="0"/>
        <w:spacing w:before="120" w:beforeLines="50" w:after="50"/>
        <w:rPr>
          <w:rFonts w:ascii="宋体" w:hAnsi="宋体"/>
          <w:color w:val="auto"/>
          <w:sz w:val="24"/>
          <w:szCs w:val="20"/>
          <w:highlight w:val="none"/>
        </w:rPr>
      </w:pPr>
    </w:p>
    <w:p w14:paraId="4961169A">
      <w:pPr>
        <w:snapToGrid w:val="0"/>
        <w:spacing w:before="120" w:beforeLines="50" w:after="50"/>
        <w:rPr>
          <w:rFonts w:ascii="宋体" w:hAnsi="宋体"/>
          <w:color w:val="auto"/>
          <w:sz w:val="24"/>
          <w:szCs w:val="20"/>
          <w:highlight w:val="none"/>
        </w:rPr>
      </w:pPr>
    </w:p>
    <w:p w14:paraId="7C2B999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5C30A1A">
      <w:pPr>
        <w:snapToGrid w:val="0"/>
        <w:spacing w:before="120" w:beforeLines="50" w:after="50"/>
        <w:rPr>
          <w:rFonts w:ascii="宋体" w:hAnsi="宋体"/>
          <w:bCs/>
          <w:color w:val="auto"/>
          <w:sz w:val="24"/>
          <w:szCs w:val="20"/>
          <w:highlight w:val="none"/>
        </w:rPr>
      </w:pPr>
    </w:p>
    <w:p w14:paraId="5336ECD6">
      <w:pPr>
        <w:snapToGrid w:val="0"/>
        <w:spacing w:before="120" w:beforeLines="50" w:after="50"/>
        <w:rPr>
          <w:rFonts w:ascii="宋体" w:hAnsi="宋体"/>
          <w:bCs/>
          <w:color w:val="auto"/>
          <w:sz w:val="24"/>
          <w:szCs w:val="20"/>
          <w:highlight w:val="none"/>
        </w:rPr>
      </w:pPr>
    </w:p>
    <w:p w14:paraId="0C2B92AF">
      <w:pPr>
        <w:snapToGrid w:val="0"/>
        <w:spacing w:before="120" w:beforeLines="50" w:after="50"/>
        <w:rPr>
          <w:rFonts w:ascii="宋体" w:hAnsi="宋体"/>
          <w:bCs/>
          <w:color w:val="auto"/>
          <w:sz w:val="24"/>
          <w:szCs w:val="20"/>
          <w:highlight w:val="none"/>
        </w:rPr>
      </w:pPr>
    </w:p>
    <w:p w14:paraId="2B4F24AF">
      <w:pPr>
        <w:snapToGrid w:val="0"/>
        <w:spacing w:before="120" w:beforeLines="50" w:after="50"/>
        <w:rPr>
          <w:rFonts w:ascii="宋体" w:hAnsi="宋体"/>
          <w:bCs/>
          <w:color w:val="auto"/>
          <w:sz w:val="24"/>
          <w:szCs w:val="20"/>
          <w:highlight w:val="none"/>
        </w:rPr>
      </w:pPr>
    </w:p>
    <w:p w14:paraId="5CE0AC2B">
      <w:pPr>
        <w:snapToGrid w:val="0"/>
        <w:spacing w:before="120" w:beforeLines="50" w:after="50"/>
        <w:rPr>
          <w:rFonts w:ascii="宋体" w:hAnsi="宋体"/>
          <w:bCs/>
          <w:color w:val="auto"/>
          <w:sz w:val="24"/>
          <w:szCs w:val="20"/>
          <w:highlight w:val="none"/>
        </w:rPr>
      </w:pPr>
    </w:p>
    <w:p w14:paraId="21D08B18">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2026年涉案财物集中委托管理处置服务采购</w:t>
      </w:r>
    </w:p>
    <w:p w14:paraId="05655BB2">
      <w:pPr>
        <w:snapToGrid w:val="0"/>
        <w:spacing w:before="120" w:beforeLines="50" w:after="50"/>
        <w:ind w:firstLine="720" w:firstLineChars="225"/>
        <w:rPr>
          <w:rFonts w:ascii="宋体" w:hAnsi="宋体" w:cs="仿宋_GB2312"/>
          <w:bCs/>
          <w:color w:val="auto"/>
          <w:sz w:val="32"/>
          <w:szCs w:val="32"/>
          <w:highlight w:val="none"/>
        </w:rPr>
      </w:pPr>
    </w:p>
    <w:p w14:paraId="1D41FAB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B719173">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F9A809E">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01F05B3F">
      <w:pPr>
        <w:snapToGrid w:val="0"/>
        <w:spacing w:before="120" w:beforeLines="50" w:after="50"/>
        <w:ind w:firstLine="720" w:firstLineChars="225"/>
        <w:rPr>
          <w:rFonts w:ascii="宋体" w:hAnsi="宋体" w:cs="仿宋_GB2312"/>
          <w:bCs/>
          <w:color w:val="auto"/>
          <w:sz w:val="32"/>
          <w:szCs w:val="32"/>
          <w:highlight w:val="none"/>
        </w:rPr>
      </w:pPr>
    </w:p>
    <w:p w14:paraId="6F7E1FF8">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20B6656">
      <w:pPr>
        <w:pStyle w:val="7"/>
        <w:snapToGrid w:val="0"/>
        <w:spacing w:before="50" w:after="50"/>
        <w:ind w:firstLine="720" w:firstLineChars="225"/>
        <w:rPr>
          <w:rFonts w:ascii="宋体" w:hAnsi="宋体" w:cs="仿宋_GB2312"/>
          <w:bCs/>
          <w:color w:val="auto"/>
          <w:sz w:val="32"/>
          <w:szCs w:val="32"/>
          <w:highlight w:val="none"/>
        </w:rPr>
      </w:pPr>
    </w:p>
    <w:p w14:paraId="1BFFCA15">
      <w:pPr>
        <w:pStyle w:val="7"/>
        <w:snapToGrid w:val="0"/>
        <w:spacing w:before="50" w:after="50"/>
        <w:ind w:firstLine="720" w:firstLineChars="225"/>
        <w:rPr>
          <w:rFonts w:ascii="宋体" w:hAnsi="宋体" w:cs="仿宋_GB2312"/>
          <w:bCs/>
          <w:color w:val="auto"/>
          <w:sz w:val="32"/>
          <w:szCs w:val="32"/>
          <w:highlight w:val="none"/>
        </w:rPr>
      </w:pPr>
    </w:p>
    <w:p w14:paraId="6BBB57E5">
      <w:pPr>
        <w:pStyle w:val="7"/>
        <w:snapToGrid w:val="0"/>
        <w:spacing w:before="50" w:after="50"/>
        <w:ind w:firstLine="720" w:firstLineChars="225"/>
        <w:rPr>
          <w:rFonts w:ascii="宋体" w:hAnsi="宋体" w:cs="仿宋_GB2312"/>
          <w:bCs/>
          <w:color w:val="auto"/>
          <w:sz w:val="32"/>
          <w:szCs w:val="32"/>
          <w:highlight w:val="none"/>
        </w:rPr>
      </w:pPr>
    </w:p>
    <w:p w14:paraId="44B1E5D1">
      <w:pPr>
        <w:pStyle w:val="7"/>
        <w:snapToGrid w:val="0"/>
        <w:spacing w:before="50" w:after="50"/>
        <w:ind w:firstLine="1280" w:firstLineChars="400"/>
        <w:rPr>
          <w:rFonts w:ascii="宋体" w:hAnsi="宋体" w:cs="仿宋_GB2312"/>
          <w:bCs/>
          <w:color w:val="auto"/>
          <w:sz w:val="32"/>
          <w:szCs w:val="32"/>
          <w:highlight w:val="none"/>
        </w:rPr>
      </w:pPr>
    </w:p>
    <w:p w14:paraId="6A022CEB">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EC3184A">
      <w:pPr>
        <w:snapToGrid w:val="0"/>
        <w:spacing w:before="120" w:beforeLines="50" w:after="50" w:line="360" w:lineRule="auto"/>
        <w:jc w:val="left"/>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 xml:space="preserve"> </w:t>
      </w:r>
    </w:p>
    <w:p w14:paraId="61194679">
      <w:pPr>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3AF05F55">
      <w:pPr>
        <w:snapToGrid w:val="0"/>
        <w:spacing w:line="360" w:lineRule="auto"/>
        <w:rPr>
          <w:rFonts w:ascii="仿宋_GB2312" w:hAnsi="仿宋" w:eastAsia="仿宋_GB2312" w:cs="仿宋_GB2312"/>
          <w:color w:val="auto"/>
          <w:kern w:val="0"/>
          <w:sz w:val="24"/>
          <w:highlight w:val="none"/>
        </w:rPr>
      </w:pPr>
    </w:p>
    <w:p w14:paraId="625E1187">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营业执照(或事业法人登记证或其他工商等登记证明材料)复印件（供应商为自然人的，须提供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16986C9D">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20206FD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0E7CA76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四、供应商直接控股股东信息</w:t>
      </w:r>
      <w:r>
        <w:rPr>
          <w:rFonts w:hint="eastAsia" w:ascii="仿宋_GB2312" w:hAnsi="仿宋" w:eastAsia="仿宋_GB2312" w:cs="仿宋_GB2312"/>
          <w:color w:val="auto"/>
          <w:kern w:val="0"/>
          <w:sz w:val="24"/>
          <w:highlight w:val="none"/>
        </w:rPr>
        <w:t>…………………………………………………（页码）</w:t>
      </w:r>
    </w:p>
    <w:p w14:paraId="7786506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五、供应商直接关联关系信息表</w:t>
      </w:r>
      <w:r>
        <w:rPr>
          <w:rFonts w:hint="eastAsia" w:ascii="仿宋_GB2312" w:hAnsi="仿宋" w:eastAsia="仿宋_GB2312" w:cs="仿宋_GB2312"/>
          <w:color w:val="auto"/>
          <w:kern w:val="0"/>
          <w:sz w:val="24"/>
          <w:highlight w:val="none"/>
        </w:rPr>
        <w:t>………………………………………………（页码）</w:t>
      </w:r>
    </w:p>
    <w:p w14:paraId="75B27128">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六、资格声明函…………………………………………………………………（页码）</w:t>
      </w:r>
    </w:p>
    <w:p w14:paraId="4AFC2FB0">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七、联合体协议书（</w:t>
      </w:r>
      <w:r>
        <w:rPr>
          <w:rFonts w:hint="eastAsia" w:ascii="仿宋_GB2312" w:hAnsi="仿宋" w:eastAsia="仿宋_GB2312" w:cs="仿宋_GB2312"/>
          <w:color w:val="auto"/>
          <w:sz w:val="24"/>
          <w:highlight w:val="none"/>
        </w:rPr>
        <w:t>以联合体形式响应的，提供联合体协议；本项目不接受联合体响应或者供应商不以联合体形式响应的，则不需要提供</w:t>
      </w:r>
      <w:r>
        <w:rPr>
          <w:rFonts w:hint="eastAsia" w:ascii="仿宋_GB2312" w:hAnsi="仿宋" w:eastAsia="仿宋_GB2312" w:cs="仿宋_GB2312"/>
          <w:color w:val="auto"/>
          <w:kern w:val="0"/>
          <w:sz w:val="24"/>
          <w:highlight w:val="none"/>
        </w:rPr>
        <w:t>）…………………（页码）</w:t>
      </w:r>
    </w:p>
    <w:p w14:paraId="06EA5A8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lang w:val="en-US" w:eastAsia="zh-CN"/>
        </w:rPr>
        <w:t>八</w:t>
      </w:r>
      <w:r>
        <w:rPr>
          <w:rFonts w:hint="eastAsia" w:ascii="仿宋_GB2312" w:hAnsi="仿宋" w:eastAsia="仿宋_GB2312" w:cs="仿宋_GB2312"/>
          <w:color w:val="auto"/>
          <w:sz w:val="24"/>
          <w:highlight w:val="none"/>
        </w:rPr>
        <w:t>、除磋商文件规定必须提供以外，供应商认为需要提供的其他证明材料</w:t>
      </w:r>
      <w:r>
        <w:rPr>
          <w:rFonts w:hint="eastAsia" w:ascii="仿宋_GB2312" w:hAnsi="仿宋" w:eastAsia="仿宋_GB2312" w:cs="仿宋_GB2312"/>
          <w:color w:val="auto"/>
          <w:kern w:val="0"/>
          <w:sz w:val="24"/>
          <w:highlight w:val="none"/>
        </w:rPr>
        <w:t>…（页码）</w:t>
      </w:r>
    </w:p>
    <w:p w14:paraId="4CB2BE2A">
      <w:pPr>
        <w:spacing w:line="360" w:lineRule="auto"/>
        <w:rPr>
          <w:rFonts w:ascii="仿宋_GB2312" w:hAnsi="仿宋_GB2312" w:eastAsia="仿宋_GB2312" w:cs="仿宋_GB2312"/>
          <w:b/>
          <w:bCs/>
          <w:color w:val="auto"/>
          <w:sz w:val="24"/>
          <w:highlight w:val="none"/>
        </w:rPr>
      </w:pPr>
    </w:p>
    <w:p w14:paraId="4FDAB3E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注：以上目录是编制供应商响应文件的基本格式要求，各供应商可根据自身情况进一步细化。</w:t>
      </w:r>
    </w:p>
    <w:p w14:paraId="2D8F18C9">
      <w:pPr>
        <w:snapToGrid w:val="0"/>
        <w:spacing w:before="120" w:beforeLines="50" w:after="50" w:line="360" w:lineRule="auto"/>
        <w:ind w:left="142" w:firstLine="420" w:firstLineChars="200"/>
        <w:jc w:val="left"/>
        <w:rPr>
          <w:rFonts w:ascii="宋体" w:hAnsi="宋体"/>
          <w:color w:val="auto"/>
          <w:szCs w:val="21"/>
          <w:highlight w:val="none"/>
        </w:rPr>
      </w:pPr>
    </w:p>
    <w:p w14:paraId="2A791819">
      <w:pPr>
        <w:spacing w:line="300" w:lineRule="auto"/>
        <w:rPr>
          <w:rFonts w:ascii="宋体" w:hAnsi="宋体"/>
          <w:color w:val="auto"/>
          <w:szCs w:val="21"/>
          <w:highlight w:val="none"/>
        </w:rPr>
      </w:pPr>
    </w:p>
    <w:p w14:paraId="28B6A831">
      <w:pPr>
        <w:spacing w:line="300" w:lineRule="auto"/>
        <w:rPr>
          <w:rFonts w:ascii="宋体" w:hAnsi="宋体"/>
          <w:color w:val="auto"/>
          <w:szCs w:val="21"/>
          <w:highlight w:val="none"/>
        </w:rPr>
      </w:pPr>
    </w:p>
    <w:p w14:paraId="17287DA4">
      <w:pPr>
        <w:spacing w:line="300" w:lineRule="auto"/>
        <w:rPr>
          <w:rFonts w:ascii="宋体" w:hAnsi="宋体"/>
          <w:color w:val="auto"/>
          <w:szCs w:val="21"/>
          <w:highlight w:val="none"/>
        </w:rPr>
      </w:pPr>
    </w:p>
    <w:p w14:paraId="38712EE8">
      <w:pPr>
        <w:spacing w:line="300" w:lineRule="auto"/>
        <w:rPr>
          <w:rFonts w:ascii="宋体" w:hAnsi="宋体"/>
          <w:color w:val="auto"/>
          <w:szCs w:val="21"/>
          <w:highlight w:val="none"/>
        </w:rPr>
      </w:pPr>
    </w:p>
    <w:p w14:paraId="573FC3B7">
      <w:pPr>
        <w:spacing w:line="300" w:lineRule="auto"/>
        <w:rPr>
          <w:rFonts w:ascii="宋体" w:hAnsi="宋体"/>
          <w:color w:val="auto"/>
          <w:szCs w:val="21"/>
          <w:highlight w:val="none"/>
        </w:rPr>
      </w:pPr>
    </w:p>
    <w:p w14:paraId="746EB62B">
      <w:pPr>
        <w:spacing w:line="300" w:lineRule="auto"/>
        <w:rPr>
          <w:rFonts w:ascii="宋体" w:hAnsi="宋体"/>
          <w:color w:val="auto"/>
          <w:szCs w:val="21"/>
          <w:highlight w:val="none"/>
        </w:rPr>
      </w:pPr>
    </w:p>
    <w:p w14:paraId="7063B6DB">
      <w:pPr>
        <w:spacing w:line="300" w:lineRule="auto"/>
        <w:rPr>
          <w:rFonts w:ascii="宋体" w:hAnsi="宋体"/>
          <w:color w:val="auto"/>
          <w:szCs w:val="21"/>
          <w:highlight w:val="none"/>
        </w:rPr>
      </w:pPr>
    </w:p>
    <w:p w14:paraId="4BC6659E">
      <w:pPr>
        <w:spacing w:line="300" w:lineRule="auto"/>
        <w:rPr>
          <w:rFonts w:ascii="宋体" w:hAnsi="宋体"/>
          <w:color w:val="auto"/>
          <w:szCs w:val="21"/>
          <w:highlight w:val="none"/>
        </w:rPr>
      </w:pPr>
    </w:p>
    <w:p w14:paraId="23F2873D">
      <w:pPr>
        <w:spacing w:line="300" w:lineRule="auto"/>
        <w:rPr>
          <w:rFonts w:ascii="宋体" w:hAnsi="宋体"/>
          <w:color w:val="auto"/>
          <w:szCs w:val="21"/>
          <w:highlight w:val="none"/>
        </w:rPr>
      </w:pPr>
    </w:p>
    <w:p w14:paraId="14F835C7">
      <w:pPr>
        <w:spacing w:line="300" w:lineRule="auto"/>
        <w:rPr>
          <w:rFonts w:ascii="宋体" w:hAnsi="宋体"/>
          <w:color w:val="auto"/>
          <w:szCs w:val="21"/>
          <w:highlight w:val="none"/>
        </w:rPr>
      </w:pPr>
    </w:p>
    <w:p w14:paraId="7DA842FA">
      <w:pPr>
        <w:spacing w:line="300" w:lineRule="auto"/>
        <w:rPr>
          <w:rFonts w:ascii="宋体" w:hAnsi="宋体"/>
          <w:color w:val="auto"/>
          <w:szCs w:val="21"/>
          <w:highlight w:val="none"/>
        </w:rPr>
      </w:pPr>
    </w:p>
    <w:p w14:paraId="3F3FFDF8">
      <w:pPr>
        <w:spacing w:line="240" w:lineRule="auto"/>
        <w:rPr>
          <w:rFonts w:ascii="宋体" w:hAnsi="宋体"/>
          <w:color w:val="auto"/>
          <w:szCs w:val="21"/>
          <w:highlight w:val="none"/>
        </w:rPr>
      </w:pPr>
      <w:r>
        <w:rPr>
          <w:rFonts w:ascii="宋体" w:hAnsi="宋体"/>
          <w:color w:val="auto"/>
          <w:szCs w:val="21"/>
          <w:highlight w:val="none"/>
        </w:rPr>
        <w:br w:type="page"/>
      </w:r>
    </w:p>
    <w:p w14:paraId="27EDA75B">
      <w:pPr>
        <w:pStyle w:val="2"/>
      </w:pPr>
    </w:p>
    <w:p w14:paraId="79CB133F">
      <w:pPr>
        <w:spacing w:line="300" w:lineRule="auto"/>
        <w:rPr>
          <w:rFonts w:ascii="宋体" w:hAnsi="宋体"/>
          <w:color w:val="auto"/>
          <w:szCs w:val="21"/>
          <w:highlight w:val="none"/>
        </w:rPr>
      </w:pPr>
    </w:p>
    <w:p w14:paraId="782C7869">
      <w:pPr>
        <w:pStyle w:val="12"/>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一、营业执照(或事业法人登记证或其他工商等登记证明材料)复印件（供应商为自然人的，提供自然人的身份证明）</w:t>
      </w:r>
    </w:p>
    <w:p w14:paraId="698B411D">
      <w:pPr>
        <w:pStyle w:val="12"/>
        <w:spacing w:line="360" w:lineRule="auto"/>
        <w:ind w:firstLine="602" w:firstLineChars="200"/>
        <w:rPr>
          <w:rFonts w:ascii="仿宋" w:hAnsi="仿宋" w:eastAsia="仿宋" w:cs="仿宋_GB2312"/>
          <w:b/>
          <w:color w:val="auto"/>
          <w:sz w:val="30"/>
          <w:szCs w:val="30"/>
          <w:highlight w:val="none"/>
        </w:rPr>
      </w:pPr>
    </w:p>
    <w:p w14:paraId="16CDC110">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D3491F">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D185EF5">
      <w:pPr>
        <w:snapToGrid w:val="0"/>
        <w:spacing w:before="120" w:beforeLines="50" w:after="50"/>
        <w:rPr>
          <w:rFonts w:ascii="宋体" w:hAnsi="宋体"/>
          <w:color w:val="auto"/>
          <w:sz w:val="24"/>
          <w:szCs w:val="20"/>
          <w:highlight w:val="none"/>
        </w:rPr>
      </w:pPr>
    </w:p>
    <w:p w14:paraId="28DEB605">
      <w:pPr>
        <w:pStyle w:val="12"/>
        <w:spacing w:line="360" w:lineRule="auto"/>
        <w:ind w:left="0" w:leftChars="0"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二、符合参与政府采购活动的资格条件依法缴纳税收、社会保障资金等方面的材料</w:t>
      </w:r>
    </w:p>
    <w:p w14:paraId="776A8A54">
      <w:pPr>
        <w:spacing w:line="300" w:lineRule="auto"/>
        <w:rPr>
          <w:rFonts w:ascii="宋体" w:hAnsi="宋体"/>
          <w:color w:val="auto"/>
          <w:szCs w:val="21"/>
          <w:highlight w:val="none"/>
        </w:rPr>
      </w:pPr>
    </w:p>
    <w:p w14:paraId="28B30021">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42DA8CFD">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C81FD43">
      <w:pPr>
        <w:spacing w:line="300" w:lineRule="auto"/>
        <w:rPr>
          <w:rFonts w:ascii="宋体" w:hAnsi="宋体"/>
          <w:color w:val="auto"/>
          <w:szCs w:val="21"/>
          <w:highlight w:val="none"/>
        </w:rPr>
      </w:pPr>
    </w:p>
    <w:p w14:paraId="481019F1">
      <w:pPr>
        <w:spacing w:line="30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三、财务状况报告方面的材料</w:t>
      </w:r>
    </w:p>
    <w:p w14:paraId="2B624599">
      <w:pPr>
        <w:spacing w:line="300" w:lineRule="auto"/>
        <w:rPr>
          <w:rFonts w:ascii="宋体" w:hAnsi="宋体"/>
          <w:color w:val="auto"/>
          <w:szCs w:val="21"/>
          <w:highlight w:val="none"/>
        </w:rPr>
      </w:pPr>
    </w:p>
    <w:p w14:paraId="6EB705DE">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24C7ABC">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64634BE5">
      <w:pPr>
        <w:spacing w:line="320" w:lineRule="exact"/>
        <w:jc w:val="left"/>
        <w:rPr>
          <w:rFonts w:ascii="宋体" w:hAnsi="宋体"/>
          <w:color w:val="auto"/>
          <w:szCs w:val="21"/>
          <w:highlight w:val="none"/>
        </w:rPr>
      </w:pPr>
      <w:r>
        <w:rPr>
          <w:rFonts w:hint="eastAsia" w:ascii="宋体" w:hAnsi="宋体"/>
          <w:color w:val="auto"/>
          <w:szCs w:val="21"/>
          <w:highlight w:val="none"/>
        </w:rPr>
        <w:t xml:space="preserve"> </w:t>
      </w:r>
    </w:p>
    <w:p w14:paraId="00348291">
      <w:pPr>
        <w:snapToGrid w:val="0"/>
        <w:spacing w:before="120" w:beforeLines="50" w:after="50" w:line="360" w:lineRule="auto"/>
        <w:jc w:val="center"/>
        <w:rPr>
          <w:rFonts w:ascii="宋体" w:hAnsi="宋体"/>
          <w:b/>
          <w:color w:val="auto"/>
          <w:sz w:val="24"/>
          <w:highlight w:val="none"/>
        </w:rPr>
      </w:pPr>
    </w:p>
    <w:p w14:paraId="493F3AAB">
      <w:pPr>
        <w:spacing w:line="360" w:lineRule="auto"/>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四、供应商直接控股股东信息</w:t>
      </w:r>
    </w:p>
    <w:p w14:paraId="16EE14F4">
      <w:pPr>
        <w:spacing w:line="360" w:lineRule="auto"/>
        <w:jc w:val="center"/>
        <w:rPr>
          <w:rFonts w:ascii="宋体" w:hAnsi="宋体"/>
          <w:b/>
          <w:color w:val="auto"/>
          <w:sz w:val="24"/>
          <w:highlight w:val="none"/>
        </w:rPr>
      </w:pPr>
    </w:p>
    <w:tbl>
      <w:tblPr>
        <w:tblStyle w:val="23"/>
        <w:tblW w:w="4999" w:type="pct"/>
        <w:jc w:val="center"/>
        <w:shd w:val="clear" w:color="auto" w:fill="FBFBFB"/>
        <w:tblLayout w:type="autofit"/>
        <w:tblCellMar>
          <w:top w:w="0" w:type="dxa"/>
          <w:left w:w="0" w:type="dxa"/>
          <w:bottom w:w="0" w:type="dxa"/>
          <w:right w:w="0" w:type="dxa"/>
        </w:tblCellMar>
      </w:tblPr>
      <w:tblGrid>
        <w:gridCol w:w="807"/>
        <w:gridCol w:w="2438"/>
        <w:gridCol w:w="1336"/>
        <w:gridCol w:w="3936"/>
        <w:gridCol w:w="798"/>
      </w:tblGrid>
      <w:tr w14:paraId="20A3F1D7">
        <w:tblPrEx>
          <w:shd w:val="clear" w:color="auto" w:fill="FBFBFB"/>
          <w:tblCellMar>
            <w:top w:w="0" w:type="dxa"/>
            <w:left w:w="0" w:type="dxa"/>
            <w:bottom w:w="0" w:type="dxa"/>
            <w:right w:w="0" w:type="dxa"/>
          </w:tblCellMar>
        </w:tblPrEx>
        <w:trPr>
          <w:tblHeade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168EC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0D3AB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D54294">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D3E23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F131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4614303">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2B6FD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C2F184">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A5FF85">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ED560">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76C2CE">
            <w:pPr>
              <w:widowControl/>
              <w:spacing w:line="360" w:lineRule="auto"/>
              <w:jc w:val="center"/>
              <w:rPr>
                <w:rFonts w:ascii="宋体" w:hAnsi="宋体" w:cs="宋体"/>
                <w:color w:val="auto"/>
                <w:kern w:val="0"/>
                <w:sz w:val="24"/>
                <w:highlight w:val="none"/>
              </w:rPr>
            </w:pPr>
          </w:p>
        </w:tc>
      </w:tr>
      <w:tr w14:paraId="73049A0D">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4319B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147E03">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C5C930">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D03778D">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2ECC9F">
            <w:pPr>
              <w:widowControl/>
              <w:spacing w:line="360" w:lineRule="auto"/>
              <w:jc w:val="center"/>
              <w:rPr>
                <w:rFonts w:ascii="宋体" w:hAnsi="宋体" w:cs="宋体"/>
                <w:color w:val="auto"/>
                <w:kern w:val="0"/>
                <w:sz w:val="24"/>
                <w:highlight w:val="none"/>
              </w:rPr>
            </w:pPr>
          </w:p>
        </w:tc>
      </w:tr>
      <w:tr w14:paraId="59544FC1">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AEBAC9">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884F16">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06D57A">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91E6B9">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AFEBEA">
            <w:pPr>
              <w:widowControl/>
              <w:spacing w:line="360" w:lineRule="auto"/>
              <w:jc w:val="center"/>
              <w:rPr>
                <w:rFonts w:ascii="宋体" w:hAnsi="宋体" w:cs="宋体"/>
                <w:color w:val="auto"/>
                <w:kern w:val="0"/>
                <w:sz w:val="24"/>
                <w:highlight w:val="none"/>
              </w:rPr>
            </w:pPr>
          </w:p>
        </w:tc>
      </w:tr>
      <w:tr w14:paraId="591166A4">
        <w:tblPrEx>
          <w:shd w:val="clear" w:color="auto" w:fill="FBFBFB"/>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CB936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30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346DDC">
            <w:pPr>
              <w:widowControl/>
              <w:spacing w:line="360" w:lineRule="auto"/>
              <w:jc w:val="center"/>
              <w:rPr>
                <w:rFonts w:ascii="宋体" w:hAnsi="宋体" w:cs="宋体"/>
                <w:color w:val="auto"/>
                <w:kern w:val="0"/>
                <w:sz w:val="24"/>
                <w:highlight w:val="none"/>
              </w:rPr>
            </w:pPr>
          </w:p>
        </w:tc>
        <w:tc>
          <w:tcPr>
            <w:tcW w:w="717"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A82DF2">
            <w:pPr>
              <w:widowControl/>
              <w:spacing w:line="360" w:lineRule="auto"/>
              <w:jc w:val="center"/>
              <w:rPr>
                <w:rFonts w:ascii="宋体" w:hAnsi="宋体" w:cs="宋体"/>
                <w:color w:val="auto"/>
                <w:kern w:val="0"/>
                <w:sz w:val="24"/>
                <w:highlight w:val="none"/>
              </w:rPr>
            </w:pPr>
          </w:p>
        </w:tc>
        <w:tc>
          <w:tcPr>
            <w:tcW w:w="2112"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77790AB">
            <w:pPr>
              <w:widowControl/>
              <w:spacing w:line="360" w:lineRule="auto"/>
              <w:jc w:val="center"/>
              <w:rPr>
                <w:rFonts w:ascii="宋体" w:hAnsi="宋体" w:cs="宋体"/>
                <w:color w:val="auto"/>
                <w:kern w:val="0"/>
                <w:sz w:val="24"/>
                <w:highlight w:val="none"/>
              </w:rPr>
            </w:pPr>
          </w:p>
        </w:tc>
        <w:tc>
          <w:tcPr>
            <w:tcW w:w="42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59638A">
            <w:pPr>
              <w:widowControl/>
              <w:spacing w:line="360" w:lineRule="auto"/>
              <w:jc w:val="center"/>
              <w:rPr>
                <w:rFonts w:ascii="宋体" w:hAnsi="宋体" w:cs="宋体"/>
                <w:color w:val="auto"/>
                <w:kern w:val="0"/>
                <w:sz w:val="24"/>
                <w:highlight w:val="none"/>
              </w:rPr>
            </w:pPr>
          </w:p>
        </w:tc>
      </w:tr>
    </w:tbl>
    <w:p w14:paraId="2DE249F7">
      <w:pPr>
        <w:spacing w:line="360" w:lineRule="auto"/>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03AEF541">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B1B9F18">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14:paraId="29736D3F">
      <w:pPr>
        <w:spacing w:line="360" w:lineRule="auto"/>
        <w:ind w:firstLine="480" w:firstLineChars="200"/>
        <w:jc w:val="left"/>
        <w:rPr>
          <w:rFonts w:ascii="宋体" w:hAnsi="宋体" w:cs="宋体"/>
          <w:color w:val="auto"/>
          <w:sz w:val="24"/>
          <w:highlight w:val="none"/>
        </w:rPr>
      </w:pPr>
      <w:r>
        <w:rPr>
          <w:rFonts w:hint="eastAsia" w:ascii="仿宋_GB2312" w:hAnsi="仿宋" w:eastAsia="仿宋_GB2312" w:cs="仿宋_GB2312"/>
          <w:color w:val="auto"/>
          <w:kern w:val="0"/>
          <w:sz w:val="24"/>
          <w:highlight w:val="none"/>
        </w:rPr>
        <w:t>3.供应商不存在直接控股股东的，则填“无”。</w:t>
      </w:r>
    </w:p>
    <w:p w14:paraId="34E60299">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DDF7BCE">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3C2D1B4">
      <w:pPr>
        <w:snapToGrid w:val="0"/>
        <w:rPr>
          <w:rFonts w:ascii="仿宋" w:hAnsi="仿宋" w:eastAsia="仿宋" w:cs="仿宋_GB2312"/>
          <w:b/>
          <w:color w:val="auto"/>
          <w:kern w:val="0"/>
          <w:sz w:val="30"/>
          <w:szCs w:val="30"/>
          <w:highlight w:val="none"/>
        </w:rPr>
      </w:pPr>
    </w:p>
    <w:p w14:paraId="16DF1F0F">
      <w:pPr>
        <w:snapToGrid w:val="0"/>
        <w:rPr>
          <w:rFonts w:ascii="仿宋" w:hAnsi="仿宋" w:eastAsia="仿宋" w:cs="仿宋_GB2312"/>
          <w:b/>
          <w:color w:val="auto"/>
          <w:kern w:val="0"/>
          <w:sz w:val="30"/>
          <w:szCs w:val="30"/>
          <w:highlight w:val="none"/>
        </w:rPr>
      </w:pPr>
    </w:p>
    <w:p w14:paraId="1E49471E">
      <w:pPr>
        <w:snapToGrid w:val="0"/>
        <w:ind w:firstLine="596" w:firstLineChars="198"/>
        <w:rPr>
          <w:rFonts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rPr>
        <w:t>五、供应商直接管理关系信息表</w:t>
      </w:r>
    </w:p>
    <w:p w14:paraId="6921DEA3">
      <w:pPr>
        <w:snapToGrid w:val="0"/>
        <w:spacing w:line="360" w:lineRule="auto"/>
        <w:jc w:val="center"/>
        <w:rPr>
          <w:rFonts w:ascii="宋体" w:hAnsi="宋体"/>
          <w:b/>
          <w:color w:val="auto"/>
          <w:sz w:val="24"/>
          <w:highlight w:val="none"/>
        </w:rPr>
      </w:pPr>
    </w:p>
    <w:tbl>
      <w:tblPr>
        <w:tblStyle w:val="23"/>
        <w:tblW w:w="4998" w:type="pct"/>
        <w:jc w:val="center"/>
        <w:shd w:val="clear" w:color="auto" w:fill="FBFBFB"/>
        <w:tblLayout w:type="autofit"/>
        <w:tblCellMar>
          <w:top w:w="0" w:type="dxa"/>
          <w:left w:w="0" w:type="dxa"/>
          <w:bottom w:w="0" w:type="dxa"/>
          <w:right w:w="0" w:type="dxa"/>
        </w:tblCellMar>
      </w:tblPr>
      <w:tblGrid>
        <w:gridCol w:w="779"/>
        <w:gridCol w:w="3473"/>
        <w:gridCol w:w="3431"/>
        <w:gridCol w:w="1630"/>
      </w:tblGrid>
      <w:tr w14:paraId="5F991AA3">
        <w:tblPrEx>
          <w:shd w:val="clear" w:color="auto" w:fill="FBFBFB"/>
          <w:tblCellMar>
            <w:top w:w="0" w:type="dxa"/>
            <w:left w:w="0" w:type="dxa"/>
            <w:bottom w:w="0" w:type="dxa"/>
            <w:right w:w="0" w:type="dxa"/>
          </w:tblCellMar>
        </w:tblPrEx>
        <w:trPr>
          <w:trHeight w:val="899" w:hRule="atLeast"/>
          <w:tblHeade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6806C">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C3877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CC93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AE46E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AA2AF91">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942F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B23FF8">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63B065">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93582A">
            <w:pPr>
              <w:widowControl/>
              <w:spacing w:line="360" w:lineRule="auto"/>
              <w:jc w:val="center"/>
              <w:rPr>
                <w:rFonts w:ascii="宋体" w:hAnsi="宋体" w:cs="宋体"/>
                <w:color w:val="auto"/>
                <w:kern w:val="0"/>
                <w:sz w:val="24"/>
                <w:highlight w:val="none"/>
              </w:rPr>
            </w:pPr>
          </w:p>
        </w:tc>
      </w:tr>
      <w:tr w14:paraId="7E32A889">
        <w:tblPrEx>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7F123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0CECDE">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F2874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2A75A9">
            <w:pPr>
              <w:widowControl/>
              <w:spacing w:line="360" w:lineRule="auto"/>
              <w:jc w:val="center"/>
              <w:rPr>
                <w:rFonts w:ascii="宋体" w:hAnsi="宋体" w:cs="宋体"/>
                <w:color w:val="auto"/>
                <w:kern w:val="0"/>
                <w:sz w:val="24"/>
                <w:highlight w:val="none"/>
              </w:rPr>
            </w:pPr>
          </w:p>
        </w:tc>
      </w:tr>
      <w:tr w14:paraId="6200FA14">
        <w:tblPrEx>
          <w:shd w:val="clear" w:color="auto" w:fill="FBFBFB"/>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7FF025">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8137D5">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8DB317">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C88DD6">
            <w:pPr>
              <w:widowControl/>
              <w:spacing w:line="360" w:lineRule="auto"/>
              <w:jc w:val="center"/>
              <w:rPr>
                <w:rFonts w:ascii="宋体" w:hAnsi="宋体" w:cs="宋体"/>
                <w:color w:val="auto"/>
                <w:kern w:val="0"/>
                <w:sz w:val="24"/>
                <w:highlight w:val="none"/>
              </w:rPr>
            </w:pPr>
          </w:p>
        </w:tc>
      </w:tr>
      <w:tr w14:paraId="050D1FCC">
        <w:tblPrEx>
          <w:shd w:val="clear" w:color="auto" w:fill="FBFBFB"/>
          <w:tblCellMar>
            <w:top w:w="0" w:type="dxa"/>
            <w:left w:w="0" w:type="dxa"/>
            <w:bottom w:w="0" w:type="dxa"/>
            <w:right w:w="0" w:type="dxa"/>
          </w:tblCellMar>
        </w:tblPrEx>
        <w:trPr>
          <w:jc w:val="center"/>
        </w:trPr>
        <w:tc>
          <w:tcPr>
            <w:tcW w:w="418"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36DDA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1864"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1D8461">
            <w:pPr>
              <w:widowControl/>
              <w:spacing w:line="360" w:lineRule="auto"/>
              <w:jc w:val="center"/>
              <w:rPr>
                <w:rFonts w:ascii="宋体" w:hAnsi="宋体" w:cs="宋体"/>
                <w:color w:val="auto"/>
                <w:kern w:val="0"/>
                <w:sz w:val="24"/>
                <w:highlight w:val="none"/>
              </w:rPr>
            </w:pPr>
          </w:p>
        </w:tc>
        <w:tc>
          <w:tcPr>
            <w:tcW w:w="1841"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876ACF">
            <w:pPr>
              <w:widowControl/>
              <w:spacing w:line="360" w:lineRule="auto"/>
              <w:jc w:val="center"/>
              <w:rPr>
                <w:rFonts w:ascii="宋体" w:hAnsi="宋体" w:cs="宋体"/>
                <w:color w:val="auto"/>
                <w:kern w:val="0"/>
                <w:sz w:val="24"/>
                <w:highlight w:val="none"/>
              </w:rPr>
            </w:pPr>
          </w:p>
        </w:tc>
        <w:tc>
          <w:tcPr>
            <w:tcW w:w="875" w:type="pct"/>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FBDDA7">
            <w:pPr>
              <w:widowControl/>
              <w:spacing w:line="360" w:lineRule="auto"/>
              <w:jc w:val="center"/>
              <w:rPr>
                <w:rFonts w:ascii="宋体" w:hAnsi="宋体" w:cs="宋体"/>
                <w:color w:val="auto"/>
                <w:kern w:val="0"/>
                <w:sz w:val="24"/>
                <w:highlight w:val="none"/>
              </w:rPr>
            </w:pPr>
          </w:p>
        </w:tc>
      </w:tr>
    </w:tbl>
    <w:p w14:paraId="0FD780C5">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14:paraId="7BE7A862">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14:paraId="6CE12AB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14:paraId="4588EFC9">
      <w:pPr>
        <w:spacing w:line="360" w:lineRule="auto"/>
        <w:ind w:firstLine="480" w:firstLineChars="20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14:paraId="7634DE71">
      <w:pPr>
        <w:spacing w:line="360" w:lineRule="auto"/>
        <w:jc w:val="left"/>
        <w:rPr>
          <w:color w:val="auto"/>
          <w:sz w:val="24"/>
          <w:highlight w:val="none"/>
        </w:rPr>
      </w:pPr>
    </w:p>
    <w:p w14:paraId="7DEA1932">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12B81B40">
      <w:pPr>
        <w:autoSpaceDE w:val="0"/>
        <w:autoSpaceDN w:val="0"/>
        <w:spacing w:line="360" w:lineRule="auto"/>
        <w:ind w:firstLine="6120" w:firstLineChars="255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47B76452">
      <w:pPr>
        <w:spacing w:line="360" w:lineRule="auto"/>
        <w:ind w:right="480" w:firstLine="301" w:firstLineChars="100"/>
        <w:contextualSpacing/>
        <w:rPr>
          <w:rFonts w:ascii="仿宋" w:hAnsi="仿宋" w:eastAsia="仿宋" w:cs="仿宋_GB2312"/>
          <w:b/>
          <w:color w:val="auto"/>
          <w:kern w:val="0"/>
          <w:sz w:val="30"/>
          <w:szCs w:val="30"/>
          <w:highlight w:val="none"/>
        </w:rPr>
      </w:pPr>
    </w:p>
    <w:p w14:paraId="7514CBF5">
      <w:pPr>
        <w:spacing w:line="360" w:lineRule="auto"/>
        <w:ind w:right="480" w:firstLine="301" w:firstLineChars="100"/>
        <w:contextualSpacing/>
        <w:rPr>
          <w:rFonts w:ascii="宋体" w:hAnsi="宋体"/>
          <w:color w:val="auto"/>
          <w:sz w:val="28"/>
          <w:szCs w:val="28"/>
          <w:highlight w:val="none"/>
        </w:rPr>
      </w:pPr>
      <w:r>
        <w:rPr>
          <w:rFonts w:hint="eastAsia" w:ascii="仿宋" w:hAnsi="仿宋" w:eastAsia="仿宋" w:cs="仿宋_GB2312"/>
          <w:b/>
          <w:color w:val="auto"/>
          <w:kern w:val="0"/>
          <w:sz w:val="30"/>
          <w:szCs w:val="30"/>
          <w:highlight w:val="none"/>
        </w:rPr>
        <w:t>六、资格声明函</w:t>
      </w:r>
    </w:p>
    <w:p w14:paraId="6B7FF7B4">
      <w:pPr>
        <w:spacing w:line="320" w:lineRule="exact"/>
        <w:jc w:val="center"/>
        <w:rPr>
          <w:rFonts w:ascii="宋体" w:hAnsi="宋体"/>
          <w:b/>
          <w:color w:val="auto"/>
          <w:sz w:val="32"/>
          <w:szCs w:val="32"/>
          <w:highlight w:val="none"/>
        </w:rPr>
      </w:pPr>
    </w:p>
    <w:p w14:paraId="69A7B714">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资格声明函</w:t>
      </w:r>
    </w:p>
    <w:p w14:paraId="0959A576">
      <w:pPr>
        <w:spacing w:line="320" w:lineRule="exact"/>
        <w:jc w:val="center"/>
        <w:rPr>
          <w:rFonts w:ascii="宋体" w:hAnsi="宋体"/>
          <w:color w:val="auto"/>
          <w:sz w:val="24"/>
          <w:szCs w:val="20"/>
          <w:highlight w:val="none"/>
        </w:rPr>
      </w:pPr>
    </w:p>
    <w:p w14:paraId="554075A2">
      <w:pPr>
        <w:spacing w:line="360" w:lineRule="auto"/>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致：</w:t>
      </w:r>
      <w:r>
        <w:rPr>
          <w:rFonts w:hint="eastAsia" w:ascii="仿宋_GB2312" w:hAnsi="宋体" w:eastAsia="仿宋_GB2312" w:cs="宋体"/>
          <w:color w:val="auto"/>
          <w:sz w:val="24"/>
          <w:highlight w:val="none"/>
          <w:u w:val="single"/>
        </w:rPr>
        <w:t>广西机电设备招标有限公司</w:t>
      </w:r>
      <w:r>
        <w:rPr>
          <w:rFonts w:hint="eastAsia" w:ascii="仿宋_GB2312" w:hAnsi="宋体" w:eastAsia="仿宋_GB2312" w:cs="宋体"/>
          <w:color w:val="auto"/>
          <w:sz w:val="24"/>
          <w:highlight w:val="none"/>
        </w:rPr>
        <w:t>：</w:t>
      </w:r>
    </w:p>
    <w:p w14:paraId="3C2D75E3">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u w:val="single"/>
        </w:rPr>
        <w:t>（供应商名称）</w:t>
      </w:r>
      <w:r>
        <w:rPr>
          <w:rFonts w:hint="eastAsia" w:ascii="仿宋_GB2312" w:hAnsi="宋体" w:eastAsia="仿宋_GB2312" w:cs="宋体"/>
          <w:color w:val="auto"/>
          <w:sz w:val="24"/>
          <w:highlight w:val="none"/>
        </w:rPr>
        <w:t>系中华人民共和国合法供应商，经营地址</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w:t>
      </w:r>
    </w:p>
    <w:p w14:paraId="5584AB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我方愿意参加贵方组织的</w:t>
      </w:r>
      <w:r>
        <w:rPr>
          <w:rFonts w:hint="eastAsia" w:ascii="仿宋_GB2312" w:hAnsi="宋体" w:eastAsia="仿宋_GB2312" w:cs="宋体"/>
          <w:color w:val="auto"/>
          <w:sz w:val="24"/>
          <w:highlight w:val="none"/>
          <w:u w:val="single"/>
          <w:lang w:eastAsia="zh-CN"/>
        </w:rPr>
        <w:t>2026年涉案财物集中委托管理处置服务采购</w:t>
      </w:r>
      <w:r>
        <w:rPr>
          <w:rFonts w:hint="eastAsia" w:ascii="仿宋_GB2312" w:hAnsi="宋体" w:eastAsia="仿宋_GB2312" w:cs="宋体"/>
          <w:color w:val="auto"/>
          <w:sz w:val="24"/>
          <w:highlight w:val="none"/>
        </w:rPr>
        <w:t>标项</w:t>
      </w:r>
      <w:r>
        <w:rPr>
          <w:rFonts w:hint="eastAsia" w:ascii="仿宋_GB2312" w:hAnsi="宋体" w:eastAsia="仿宋_GB2312" w:cs="宋体"/>
          <w:color w:val="auto"/>
          <w:sz w:val="24"/>
          <w:highlight w:val="none"/>
          <w:u w:val="single"/>
        </w:rPr>
        <w:t>_</w:t>
      </w:r>
      <w:r>
        <w:rPr>
          <w:rFonts w:ascii="仿宋_GB2312" w:hAnsi="宋体" w:eastAsia="仿宋_GB2312" w:cs="宋体"/>
          <w:color w:val="auto"/>
          <w:sz w:val="24"/>
          <w:highlight w:val="none"/>
          <w:u w:val="single"/>
        </w:rPr>
        <w:t>_____</w:t>
      </w:r>
      <w:r>
        <w:rPr>
          <w:rFonts w:hint="eastAsia" w:ascii="仿宋_GB2312" w:hAnsi="宋体" w:eastAsia="仿宋_GB2312" w:cs="宋体"/>
          <w:color w:val="auto"/>
          <w:sz w:val="24"/>
          <w:highlight w:val="none"/>
        </w:rPr>
        <w:t>的竞标，为便于贵方公正、择优地确定成交供应商及其竞标产品和服务，我方就本次竞标有关事项郑重声明如下：</w:t>
      </w:r>
    </w:p>
    <w:p w14:paraId="1194324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1.我方向贵方提交的所有响应文件、资料都是准确的和真实的。</w:t>
      </w:r>
    </w:p>
    <w:p w14:paraId="2B62090E">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2577E7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3.在此，我方宣布同意如下：</w:t>
      </w:r>
    </w:p>
    <w:p w14:paraId="5B431AA4">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（1）将按磋商文件的约定履行合同责任和义务；</w:t>
      </w:r>
    </w:p>
    <w:p w14:paraId="2B9DED76">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（2）已详细审查全部磋商文件，包括澄清或者更正公告（如有）；</w:t>
      </w:r>
    </w:p>
    <w:p w14:paraId="1E2ED138">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（3）同意提供按照贵方可能要求的与谈判有关的一切数据或者资料；</w:t>
      </w:r>
    </w:p>
    <w:p w14:paraId="38638565">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（4）响应磋商文件规定的竞标有效期。</w:t>
      </w:r>
    </w:p>
    <w:p w14:paraId="380353EF">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588E689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E8D9B9D">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FDEE61A">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内容中</w:t>
      </w:r>
      <w:r>
        <w:rPr>
          <w:rFonts w:hint="eastAsia" w:ascii="仿宋_GB2312" w:hAnsi="宋体" w:eastAsia="仿宋_GB2312" w:cs="宋体"/>
          <w:color w:val="auto"/>
          <w:sz w:val="24"/>
          <w:highlight w:val="none"/>
        </w:rPr>
        <w:t>未</w:t>
      </w:r>
      <w:r>
        <w:rPr>
          <w:rFonts w:hint="eastAsia" w:ascii="仿宋_GB2312" w:hAnsi="宋体" w:eastAsia="仿宋_GB2312" w:cs="宋体"/>
          <w:color w:val="auto"/>
          <w:kern w:val="0"/>
          <w:sz w:val="24"/>
          <w:highlight w:val="none"/>
        </w:rPr>
        <w:t>涉及商业秘密；</w:t>
      </w:r>
    </w:p>
    <w:p w14:paraId="2CBB4359">
      <w:pPr>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□我方本次响应文件</w:t>
      </w:r>
      <w:r>
        <w:rPr>
          <w:rFonts w:hint="eastAsia" w:ascii="仿宋_GB2312" w:hAnsi="宋体" w:eastAsia="仿宋_GB2312" w:cs="宋体"/>
          <w:color w:val="auto"/>
          <w:kern w:val="0"/>
          <w:sz w:val="24"/>
          <w:highlight w:val="none"/>
        </w:rPr>
        <w:t>涉及商业秘密的内容有：</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w:t>
      </w:r>
    </w:p>
    <w:p w14:paraId="368BF695">
      <w:pPr>
        <w:pStyle w:val="12"/>
        <w:spacing w:line="360" w:lineRule="auto"/>
        <w:ind w:left="0" w:leftChars="0" w:firstLine="480" w:firstLineChars="200"/>
        <w:rPr>
          <w:rFonts w:ascii="仿宋_GB2312" w:hAnsi="宋体" w:eastAsia="仿宋_GB2312" w:cs="宋体"/>
          <w:color w:val="auto"/>
          <w:sz w:val="24"/>
          <w:highlight w:val="none"/>
          <w:u w:val="single"/>
        </w:rPr>
      </w:pPr>
      <w:r>
        <w:rPr>
          <w:rFonts w:hint="eastAsia" w:ascii="仿宋_GB2312" w:hAnsi="宋体" w:eastAsia="仿宋_GB2312" w:cs="宋体"/>
          <w:color w:val="auto"/>
          <w:sz w:val="24"/>
          <w:highlight w:val="none"/>
        </w:rPr>
        <w:t>7.与本磋商有关的一切正式往来信函请寄：</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邮政编号：</w:t>
      </w:r>
      <w:r>
        <w:rPr>
          <w:rFonts w:hint="eastAsia" w:ascii="仿宋_GB2312" w:hAnsi="宋体" w:eastAsia="仿宋_GB2312" w:cs="宋体"/>
          <w:color w:val="auto"/>
          <w:sz w:val="24"/>
          <w:highlight w:val="none"/>
          <w:u w:val="single"/>
        </w:rPr>
        <w:t xml:space="preserve">        </w:t>
      </w:r>
    </w:p>
    <w:p w14:paraId="1767AB53">
      <w:pPr>
        <w:pStyle w:val="12"/>
        <w:spacing w:line="360" w:lineRule="auto"/>
        <w:ind w:left="0" w:leftChars="0"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电话/传真：</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电子函件：</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w:t>
      </w:r>
    </w:p>
    <w:p w14:paraId="6BCB8E4A">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开户银行：</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rPr>
        <w:t xml:space="preserve">  帐号：</w:t>
      </w:r>
      <w:r>
        <w:rPr>
          <w:rFonts w:hint="eastAsia" w:ascii="仿宋_GB2312" w:hAnsi="宋体" w:eastAsia="仿宋_GB2312" w:cs="宋体"/>
          <w:color w:val="auto"/>
          <w:sz w:val="24"/>
          <w:highlight w:val="none"/>
          <w:u w:val="single"/>
        </w:rPr>
        <w:t xml:space="preserve">                               </w:t>
      </w:r>
    </w:p>
    <w:p w14:paraId="084222CE">
      <w:pPr>
        <w:tabs>
          <w:tab w:val="left" w:pos="939"/>
        </w:tabs>
        <w:spacing w:line="360" w:lineRule="auto"/>
        <w:ind w:firstLine="480" w:firstLineChars="20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8.以上事项如有虚假或者隐瞒，我方愿意承担一切后果，并不再寻求任何旨在减轻或者免除法律责任的辩解。</w:t>
      </w:r>
    </w:p>
    <w:p w14:paraId="4AD8AF77">
      <w:pPr>
        <w:tabs>
          <w:tab w:val="left" w:pos="939"/>
        </w:tabs>
        <w:spacing w:line="360" w:lineRule="auto"/>
        <w:ind w:left="141" w:leftChars="67" w:firstLine="360" w:firstLineChars="150"/>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特此承诺。</w:t>
      </w:r>
    </w:p>
    <w:p w14:paraId="3B7D2D5B">
      <w:pPr>
        <w:tabs>
          <w:tab w:val="left" w:pos="939"/>
        </w:tabs>
        <w:spacing w:line="360" w:lineRule="auto"/>
        <w:ind w:firstLine="480" w:firstLineChars="200"/>
        <w:rPr>
          <w:rFonts w:ascii="宋体" w:hAnsi="宋体" w:cs="宋体"/>
          <w:color w:val="auto"/>
          <w:sz w:val="24"/>
          <w:highlight w:val="none"/>
        </w:rPr>
      </w:pPr>
      <w:r>
        <w:rPr>
          <w:rFonts w:hint="eastAsia" w:ascii="仿宋_GB2312" w:hAnsi="宋体" w:eastAsia="仿宋_GB2312" w:cs="宋体"/>
          <w:color w:val="auto"/>
          <w:sz w:val="24"/>
          <w:highlight w:val="none"/>
        </w:rPr>
        <w:t>注：如为联合体竞标，盖章处须加盖联合体各方公章并由联合体各方法定代表人签署，否则其响应文件按无效响应处理。</w:t>
      </w:r>
    </w:p>
    <w:p w14:paraId="108CDF01">
      <w:pPr>
        <w:tabs>
          <w:tab w:val="left" w:pos="939"/>
        </w:tabs>
        <w:spacing w:line="360" w:lineRule="auto"/>
        <w:ind w:firstLine="480" w:firstLineChars="200"/>
        <w:rPr>
          <w:rFonts w:ascii="宋体" w:hAnsi="宋体" w:cs="宋体"/>
          <w:color w:val="auto"/>
          <w:sz w:val="24"/>
          <w:highlight w:val="none"/>
        </w:rPr>
      </w:pPr>
    </w:p>
    <w:p w14:paraId="37092C2F">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4AC87B6">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19015BE3">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6869B44D">
      <w:pPr>
        <w:pStyle w:val="7"/>
        <w:overflowPunct w:val="0"/>
        <w:spacing w:line="520" w:lineRule="exact"/>
        <w:ind w:firstLine="0"/>
        <w:rPr>
          <w:rFonts w:ascii="宋体" w:hAnsi="宋体"/>
          <w:b/>
          <w:bCs/>
          <w:color w:val="auto"/>
          <w:sz w:val="32"/>
          <w:szCs w:val="32"/>
          <w:highlight w:val="none"/>
        </w:rPr>
      </w:pPr>
      <w:r>
        <w:rPr>
          <w:rFonts w:hint="eastAsia" w:ascii="仿宋" w:hAnsi="仿宋" w:eastAsia="仿宋" w:cs="仿宋_GB2312"/>
          <w:b/>
          <w:color w:val="auto"/>
          <w:kern w:val="0"/>
          <w:sz w:val="30"/>
          <w:szCs w:val="30"/>
          <w:highlight w:val="none"/>
        </w:rPr>
        <w:t>七、联合体协议书（如有）</w:t>
      </w:r>
    </w:p>
    <w:p w14:paraId="1CEFD1D9">
      <w:pPr>
        <w:pStyle w:val="12"/>
        <w:spacing w:line="600" w:lineRule="exact"/>
        <w:jc w:val="center"/>
        <w:rPr>
          <w:rFonts w:ascii="方正小标宋简体" w:hAnsi="方正小标宋简体" w:eastAsia="方正小标宋简体" w:cs="方正小标宋简体"/>
          <w:color w:val="auto"/>
          <w:sz w:val="44"/>
          <w:szCs w:val="44"/>
          <w:highlight w:val="none"/>
        </w:rPr>
      </w:pPr>
    </w:p>
    <w:p w14:paraId="7A62B890">
      <w:pPr>
        <w:pStyle w:val="12"/>
        <w:spacing w:line="6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联合体竞标协议书（格式）</w:t>
      </w:r>
    </w:p>
    <w:p w14:paraId="5B0F0316">
      <w:pPr>
        <w:autoSpaceDE w:val="0"/>
        <w:autoSpaceDN w:val="0"/>
        <w:adjustRightInd w:val="0"/>
        <w:spacing w:line="360" w:lineRule="auto"/>
        <w:jc w:val="left"/>
        <w:rPr>
          <w:rFonts w:ascii="宋体" w:cs="宋体"/>
          <w:color w:val="auto"/>
          <w:kern w:val="0"/>
          <w:szCs w:val="21"/>
          <w:highlight w:val="none"/>
          <w:u w:val="single"/>
        </w:rPr>
      </w:pPr>
    </w:p>
    <w:p w14:paraId="7997B4EE">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（所有成员单位名称）自愿组成联合体，共同参加</w:t>
      </w:r>
      <w:r>
        <w:rPr>
          <w:rFonts w:hint="eastAsia" w:ascii="仿宋_GB2312" w:hAnsi="仿宋_GB2312" w:eastAsia="仿宋_GB2312" w:cs="宋体"/>
          <w:color w:val="auto"/>
          <w:kern w:val="0"/>
          <w:sz w:val="24"/>
          <w:highlight w:val="none"/>
          <w:u w:val="single"/>
        </w:rPr>
        <w:t xml:space="preserve">    广西机电设备招标有限公司   </w:t>
      </w:r>
      <w:r>
        <w:rPr>
          <w:rFonts w:hint="eastAsia" w:ascii="仿宋_GB2312" w:hAnsi="仿宋_GB2312" w:eastAsia="仿宋_GB2312" w:cs="宋体"/>
          <w:color w:val="auto"/>
          <w:kern w:val="0"/>
          <w:sz w:val="24"/>
          <w:highlight w:val="none"/>
        </w:rPr>
        <w:t>组织的</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u w:val="single"/>
          <w:lang w:eastAsia="zh-CN"/>
        </w:rPr>
        <w:t>2026年涉案财物集中委托管理处置服务采购</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（项目编号：</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）竞争性磋商采购。现就联合体竞标事宜订立如下协议：</w:t>
      </w:r>
    </w:p>
    <w:p w14:paraId="2FCC2460">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1</w:t>
      </w:r>
      <w:r>
        <w:rPr>
          <w:rFonts w:hint="eastAsia" w:ascii="仿宋_GB2312" w:hAnsi="宋体" w:eastAsia="仿宋_GB2312" w:cs="宋体"/>
          <w:color w:val="auto"/>
          <w:kern w:val="0"/>
          <w:sz w:val="24"/>
          <w:highlight w:val="none"/>
        </w:rPr>
        <w:t>、</w:t>
      </w:r>
      <w:r>
        <w:rPr>
          <w:rFonts w:hint="eastAsia" w:ascii="仿宋_GB2312" w:hAnsi="仿宋_GB2312" w:eastAsia="仿宋_GB2312"/>
          <w:color w:val="auto"/>
          <w:sz w:val="24"/>
          <w:highlight w:val="none"/>
        </w:rPr>
        <w:t>________________________</w:t>
      </w:r>
      <w:r>
        <w:rPr>
          <w:rFonts w:hint="eastAsia" w:ascii="仿宋_GB2312" w:hAnsi="宋体" w:eastAsia="仿宋_GB2312" w:cs="宋体"/>
          <w:color w:val="auto"/>
          <w:kern w:val="0"/>
          <w:sz w:val="24"/>
          <w:highlight w:val="none"/>
        </w:rPr>
        <w:t>（某成员单位名称）为联合体名称牵头人。</w:t>
      </w:r>
    </w:p>
    <w:p w14:paraId="2A62939E">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2</w:t>
      </w:r>
      <w:r>
        <w:rPr>
          <w:rFonts w:hint="eastAsia" w:ascii="仿宋_GB2312" w:hAnsi="宋体" w:eastAsia="仿宋_GB2312" w:cs="宋体"/>
          <w:color w:val="auto"/>
          <w:kern w:val="0"/>
          <w:sz w:val="24"/>
          <w:highlight w:val="none"/>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2AB149DD">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2CAEF69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4</w:t>
      </w:r>
      <w:r>
        <w:rPr>
          <w:rFonts w:hint="eastAsia" w:ascii="仿宋_GB2312" w:hAnsi="宋体" w:eastAsia="仿宋_GB2312" w:cs="宋体"/>
          <w:color w:val="auto"/>
          <w:kern w:val="0"/>
          <w:sz w:val="24"/>
          <w:highlight w:val="none"/>
        </w:rPr>
        <w:t>、联合体各成员单位内部的职责分工如下</w:t>
      </w:r>
      <w:r>
        <w:rPr>
          <w:rFonts w:hint="eastAsia" w:ascii="仿宋_GB2312" w:hAnsi="宋体" w:eastAsia="仿宋_GB2312" w:cs="宋体"/>
          <w:color w:val="auto"/>
          <w:kern w:val="0"/>
          <w:sz w:val="24"/>
          <w:highlight w:val="none"/>
          <w:u w:val="single"/>
        </w:rPr>
        <w:t>：</w:t>
      </w:r>
      <w:r>
        <w:rPr>
          <w:rFonts w:hint="eastAsia" w:ascii="仿宋_GB2312" w:hAnsi="仿宋_GB2312" w:eastAsia="仿宋_GB2312"/>
          <w:color w:val="auto"/>
          <w:sz w:val="24"/>
          <w:highlight w:val="none"/>
          <w:u w:val="single"/>
        </w:rPr>
        <w:t>________________________________________________</w:t>
      </w:r>
      <w:r>
        <w:rPr>
          <w:rFonts w:hint="eastAsia" w:ascii="仿宋_GB2312" w:hAnsi="宋体" w:eastAsia="仿宋_GB2312" w:cs="宋体"/>
          <w:color w:val="auto"/>
          <w:kern w:val="0"/>
          <w:sz w:val="24"/>
          <w:highlight w:val="none"/>
        </w:rPr>
        <w:t>。</w:t>
      </w:r>
    </w:p>
    <w:p w14:paraId="568E85E5">
      <w:pPr>
        <w:pStyle w:val="12"/>
        <w:spacing w:line="360" w:lineRule="auto"/>
        <w:ind w:left="0" w:leftChars="0" w:firstLine="480" w:firstLineChars="200"/>
        <w:rPr>
          <w:rFonts w:ascii="仿宋_GB2312" w:eastAsia="仿宋_GB2312"/>
          <w:color w:val="auto"/>
          <w:sz w:val="24"/>
          <w:highlight w:val="none"/>
        </w:rPr>
      </w:pPr>
      <w:r>
        <w:rPr>
          <w:rFonts w:hint="eastAsia" w:ascii="仿宋_GB2312" w:hAnsi="宋体" w:eastAsia="仿宋_GB2312" w:cs="宋体"/>
          <w:color w:val="auto"/>
          <w:sz w:val="24"/>
          <w:highlight w:val="none"/>
        </w:rPr>
        <w:t>5、本联合体中</w:t>
      </w:r>
      <w:r>
        <w:rPr>
          <w:rFonts w:hint="eastAsia" w:ascii="仿宋_GB2312" w:hAnsi="宋体" w:eastAsia="仿宋_GB2312" w:cs="宋体"/>
          <w:color w:val="auto"/>
          <w:sz w:val="24"/>
          <w:highlight w:val="none"/>
          <w:u w:val="single"/>
        </w:rPr>
        <w:t>，</w:t>
      </w:r>
      <w:r>
        <w:rPr>
          <w:rFonts w:hint="eastAsia" w:ascii="仿宋_GB2312" w:hAnsi="仿宋_GB2312" w:eastAsia="仿宋_GB2312"/>
          <w:color w:val="auto"/>
          <w:sz w:val="24"/>
          <w:highlight w:val="none"/>
          <w:u w:val="single"/>
        </w:rPr>
        <w:t>________________________</w:t>
      </w:r>
      <w:r>
        <w:rPr>
          <w:rFonts w:hint="eastAsia" w:ascii="仿宋_GB2312" w:hAnsi="宋体" w:eastAsia="仿宋_GB2312" w:cs="宋体"/>
          <w:color w:val="auto"/>
          <w:sz w:val="24"/>
          <w:highlight w:val="none"/>
          <w:u w:val="single"/>
        </w:rPr>
        <w:t>（某成员单位名称）为</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（请填写：中型、小型、微型）企业，其协议合同金额占联合体协议合同总金额的</w:t>
      </w:r>
      <w:r>
        <w:rPr>
          <w:rFonts w:hint="eastAsia" w:ascii="仿宋_GB2312" w:hAnsi="仿宋_GB2312" w:eastAsia="仿宋_GB2312"/>
          <w:color w:val="auto"/>
          <w:sz w:val="24"/>
          <w:highlight w:val="none"/>
          <w:u w:val="single"/>
        </w:rPr>
        <w:t>______</w:t>
      </w:r>
      <w:r>
        <w:rPr>
          <w:rFonts w:hint="eastAsia" w:ascii="仿宋_GB2312" w:hAnsi="仿宋_GB2312" w:eastAsia="仿宋_GB2312"/>
          <w:color w:val="auto"/>
          <w:sz w:val="24"/>
          <w:highlight w:val="none"/>
        </w:rPr>
        <w:t>%。【如联合体成员中有小型、微型企业的，请填写此条，否则无需填写；如联合体成员中有多个小型、微型企业的，请逐一列出。】</w:t>
      </w:r>
    </w:p>
    <w:p w14:paraId="27385181">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6</w:t>
      </w:r>
      <w:r>
        <w:rPr>
          <w:rFonts w:hint="eastAsia" w:ascii="仿宋_GB2312" w:hAnsi="宋体" w:eastAsia="仿宋_GB2312" w:cs="宋体"/>
          <w:color w:val="auto"/>
          <w:kern w:val="0"/>
          <w:sz w:val="24"/>
          <w:highlight w:val="none"/>
        </w:rPr>
        <w:t>、本协议书自签署之日起生效，合同履行完毕后自动失效。</w:t>
      </w:r>
    </w:p>
    <w:p w14:paraId="4C5CF157">
      <w:pPr>
        <w:autoSpaceDE w:val="0"/>
        <w:autoSpaceDN w:val="0"/>
        <w:adjustRightInd w:val="0"/>
        <w:spacing w:line="360" w:lineRule="auto"/>
        <w:ind w:firstLine="420"/>
        <w:jc w:val="left"/>
        <w:rPr>
          <w:rFonts w:ascii="仿宋_GB2312" w:hAnsi="宋体" w:eastAsia="仿宋_GB2312" w:cs="宋体"/>
          <w:color w:val="auto"/>
          <w:kern w:val="0"/>
          <w:sz w:val="24"/>
          <w:highlight w:val="none"/>
        </w:rPr>
      </w:pPr>
      <w:r>
        <w:rPr>
          <w:rFonts w:hint="eastAsia" w:ascii="仿宋_GB2312" w:hAnsi="宋体" w:eastAsia="仿宋_GB2312" w:cs="TimesNewRomanPSMT"/>
          <w:color w:val="auto"/>
          <w:kern w:val="0"/>
          <w:sz w:val="24"/>
          <w:highlight w:val="none"/>
        </w:rPr>
        <w:t>7</w:t>
      </w:r>
      <w:r>
        <w:rPr>
          <w:rFonts w:hint="eastAsia" w:ascii="仿宋_GB2312" w:hAnsi="宋体" w:eastAsia="仿宋_GB2312" w:cs="宋体"/>
          <w:color w:val="auto"/>
          <w:kern w:val="0"/>
          <w:sz w:val="24"/>
          <w:highlight w:val="none"/>
        </w:rPr>
        <w:t>、本协议书一式</w:t>
      </w:r>
      <w:r>
        <w:rPr>
          <w:rFonts w:hint="eastAsia" w:ascii="仿宋_GB2312" w:hAnsi="宋体" w:eastAsia="仿宋_GB2312" w:cs="宋体"/>
          <w:color w:val="auto"/>
          <w:kern w:val="0"/>
          <w:sz w:val="24"/>
          <w:highlight w:val="none"/>
          <w:u w:val="single"/>
        </w:rPr>
        <w:t xml:space="preserve">    </w:t>
      </w:r>
      <w:r>
        <w:rPr>
          <w:rFonts w:hint="eastAsia" w:ascii="仿宋_GB2312" w:hAnsi="宋体" w:eastAsia="仿宋_GB2312" w:cs="宋体"/>
          <w:color w:val="auto"/>
          <w:kern w:val="0"/>
          <w:sz w:val="24"/>
          <w:highlight w:val="none"/>
        </w:rPr>
        <w:t>份，联合体成员和采购代理机构各执一份。</w:t>
      </w:r>
    </w:p>
    <w:p w14:paraId="560B46A1">
      <w:pPr>
        <w:autoSpaceDE w:val="0"/>
        <w:autoSpaceDN w:val="0"/>
        <w:adjustRightInd w:val="0"/>
        <w:spacing w:line="360" w:lineRule="auto"/>
        <w:ind w:firstLine="420"/>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注：本协议书由法定代表人签字的，应附法定代表人身份证明；本协议书由委托代理人签字的，应附法定代表人授权委托书。</w:t>
      </w:r>
    </w:p>
    <w:p w14:paraId="7479902F">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牵头人名称：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3E89300D">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42723AC3">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876D5BB">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成员一名称：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8190924">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（签字或盖章）</w:t>
      </w:r>
    </w:p>
    <w:p w14:paraId="19F63990">
      <w:pPr>
        <w:autoSpaceDE w:val="0"/>
        <w:autoSpaceDN w:val="0"/>
        <w:adjustRightInd w:val="0"/>
        <w:spacing w:line="360" w:lineRule="auto"/>
        <w:jc w:val="left"/>
        <w:rPr>
          <w:rFonts w:ascii="宋体" w:cs="宋体"/>
          <w:color w:val="auto"/>
          <w:kern w:val="0"/>
          <w:szCs w:val="21"/>
          <w:highlight w:val="none"/>
        </w:rPr>
      </w:pPr>
    </w:p>
    <w:p w14:paraId="55CEC166">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成员二名称：</w:t>
      </w:r>
      <w:r>
        <w:rPr>
          <w:rFonts w:hint="eastAsia" w:ascii="仿宋_GB2312" w:hAnsi="仿宋_GB2312" w:eastAsia="仿宋_GB2312" w:cs="宋体"/>
          <w:color w:val="auto"/>
          <w:kern w:val="0"/>
          <w:sz w:val="24"/>
          <w:highlight w:val="none"/>
          <w:u w:val="single"/>
        </w:rPr>
        <w:t xml:space="preserve">                                       </w:t>
      </w:r>
      <w:r>
        <w:rPr>
          <w:rFonts w:hint="eastAsia" w:ascii="仿宋_GB2312" w:hAnsi="仿宋_GB2312" w:eastAsia="仿宋_GB2312" w:cs="宋体"/>
          <w:color w:val="auto"/>
          <w:kern w:val="0"/>
          <w:sz w:val="24"/>
          <w:highlight w:val="none"/>
        </w:rPr>
        <w:t>（盖单位公章）</w:t>
      </w:r>
    </w:p>
    <w:p w14:paraId="557B8EE2">
      <w:pPr>
        <w:autoSpaceDE w:val="0"/>
        <w:autoSpaceDN w:val="0"/>
        <w:adjustRightInd w:val="0"/>
        <w:spacing w:line="360" w:lineRule="auto"/>
        <w:jc w:val="left"/>
        <w:rPr>
          <w:rFonts w:ascii="仿宋_GB2312" w:hAnsi="仿宋_GB2312" w:eastAsia="仿宋_GB2312" w:cs="宋体"/>
          <w:color w:val="auto"/>
          <w:kern w:val="0"/>
          <w:sz w:val="24"/>
          <w:highlight w:val="none"/>
        </w:rPr>
      </w:pPr>
      <w:r>
        <w:rPr>
          <w:rFonts w:hint="eastAsia" w:ascii="仿宋_GB2312" w:hAnsi="仿宋_GB2312" w:eastAsia="仿宋_GB2312" w:cs="宋体"/>
          <w:color w:val="auto"/>
          <w:kern w:val="0"/>
          <w:sz w:val="24"/>
          <w:highlight w:val="none"/>
        </w:rPr>
        <w:t>法定代表人或其委托代理人：                         （签字或盖章）</w:t>
      </w:r>
    </w:p>
    <w:p w14:paraId="24CC844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056AF60B">
      <w:pPr>
        <w:autoSpaceDE w:val="0"/>
        <w:autoSpaceDN w:val="0"/>
        <w:adjustRightInd w:val="0"/>
        <w:spacing w:line="360" w:lineRule="auto"/>
        <w:jc w:val="left"/>
        <w:rPr>
          <w:rFonts w:ascii="仿宋_GB2312" w:hAnsi="仿宋_GB2312" w:eastAsia="仿宋_GB2312" w:cs="宋体"/>
          <w:color w:val="auto"/>
          <w:kern w:val="0"/>
          <w:sz w:val="24"/>
          <w:highlight w:val="none"/>
        </w:rPr>
      </w:pPr>
    </w:p>
    <w:p w14:paraId="3727EE34">
      <w:pPr>
        <w:autoSpaceDE w:val="0"/>
        <w:autoSpaceDN w:val="0"/>
        <w:spacing w:line="360" w:lineRule="auto"/>
        <w:ind w:left="4365" w:leftChars="1850" w:hanging="480" w:hangingChars="2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7A56C02">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CB5A6A9">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68D55194">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77FF38B7">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73C088BD">
      <w:pPr>
        <w:autoSpaceDE w:val="0"/>
        <w:autoSpaceDN w:val="0"/>
        <w:snapToGrid/>
        <w:spacing w:line="360" w:lineRule="auto"/>
        <w:ind w:firstLine="0" w:firstLineChars="0"/>
        <w:rPr>
          <w:rFonts w:hint="eastAsia" w:ascii="仿宋" w:hAnsi="仿宋" w:eastAsia="仿宋" w:cs="仿宋_GB2312"/>
          <w:b/>
          <w:color w:val="auto"/>
          <w:sz w:val="30"/>
          <w:szCs w:val="30"/>
          <w:highlight w:val="none"/>
          <w:lang w:eastAsia="zh-CN"/>
        </w:rPr>
      </w:pPr>
      <w:r>
        <w:rPr>
          <w:rFonts w:ascii="仿宋_GB2312" w:hAnsi="仿宋" w:eastAsia="仿宋_GB2312" w:cs="仿宋_GB2312"/>
          <w:color w:val="auto"/>
          <w:highlight w:val="none"/>
          <w:lang w:val="zh-CN"/>
        </w:rPr>
        <w:br w:type="page"/>
      </w:r>
      <w:r>
        <w:rPr>
          <w:rFonts w:hint="eastAsia" w:ascii="仿宋" w:hAnsi="仿宋" w:eastAsia="仿宋" w:cs="仿宋_GB2312"/>
          <w:b/>
          <w:color w:val="auto"/>
          <w:sz w:val="30"/>
          <w:szCs w:val="30"/>
          <w:highlight w:val="none"/>
          <w:lang w:val="en-US" w:eastAsia="zh-CN"/>
        </w:rPr>
        <w:t>八、</w:t>
      </w:r>
      <w:r>
        <w:rPr>
          <w:rFonts w:hint="eastAsia" w:ascii="仿宋" w:hAnsi="仿宋" w:eastAsia="仿宋" w:cs="仿宋_GB2312"/>
          <w:b/>
          <w:color w:val="auto"/>
          <w:sz w:val="30"/>
          <w:szCs w:val="30"/>
          <w:highlight w:val="none"/>
        </w:rPr>
        <w:t>除磋商文件规定必须提供以外，供应商认为需要提供的其他证明材料</w:t>
      </w:r>
      <w:r>
        <w:rPr>
          <w:rFonts w:hint="eastAsia" w:ascii="仿宋" w:hAnsi="仿宋" w:eastAsia="仿宋" w:cs="仿宋_GB2312"/>
          <w:b/>
          <w:color w:val="auto"/>
          <w:sz w:val="30"/>
          <w:szCs w:val="30"/>
          <w:highlight w:val="none"/>
          <w:lang w:val="en-US" w:eastAsia="zh-CN"/>
        </w:rPr>
        <w:t>。</w:t>
      </w:r>
    </w:p>
    <w:p w14:paraId="3629C2C2">
      <w:pPr>
        <w:snapToGrid w:val="0"/>
        <w:spacing w:line="360" w:lineRule="auto"/>
        <w:ind w:firstLine="602" w:firstLineChars="200"/>
        <w:rPr>
          <w:rFonts w:ascii="仿宋" w:hAnsi="仿宋" w:eastAsia="仿宋" w:cs="仿宋_GB2312"/>
          <w:b/>
          <w:color w:val="auto"/>
          <w:sz w:val="30"/>
          <w:szCs w:val="30"/>
          <w:highlight w:val="none"/>
        </w:rPr>
      </w:pPr>
    </w:p>
    <w:p w14:paraId="65613F47">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8C85DEA">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047AF01D">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3FC03AEF">
      <w:pPr>
        <w:pStyle w:val="4"/>
        <w:jc w:val="center"/>
        <w:rPr>
          <w:rFonts w:ascii="宋体" w:hAnsi="宋体" w:cs="宋体"/>
          <w:b w:val="0"/>
          <w:color w:val="auto"/>
          <w:highlight w:val="none"/>
        </w:rPr>
      </w:pPr>
      <w:bookmarkStart w:id="68" w:name="_Toc80205940"/>
      <w:bookmarkStart w:id="69" w:name="_Toc16804"/>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bookmarkEnd w:id="68"/>
      <w:bookmarkEnd w:id="69"/>
    </w:p>
    <w:p w14:paraId="2024136D">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38E79D0D">
      <w:pPr>
        <w:snapToGrid w:val="0"/>
        <w:spacing w:before="120" w:beforeLines="50" w:after="50"/>
        <w:rPr>
          <w:rFonts w:ascii="宋体" w:hAnsi="宋体"/>
          <w:color w:val="auto"/>
          <w:sz w:val="24"/>
          <w:szCs w:val="20"/>
          <w:highlight w:val="none"/>
        </w:rPr>
      </w:pPr>
    </w:p>
    <w:p w14:paraId="006C7F2B">
      <w:pPr>
        <w:snapToGrid w:val="0"/>
        <w:spacing w:before="120" w:beforeLines="50" w:after="50"/>
        <w:rPr>
          <w:rFonts w:ascii="宋体" w:hAnsi="宋体"/>
          <w:color w:val="auto"/>
          <w:sz w:val="24"/>
          <w:szCs w:val="20"/>
          <w:highlight w:val="none"/>
        </w:rPr>
      </w:pPr>
    </w:p>
    <w:p w14:paraId="453B7342">
      <w:pPr>
        <w:snapToGrid w:val="0"/>
        <w:spacing w:before="120" w:beforeLines="50" w:after="50"/>
        <w:rPr>
          <w:rFonts w:ascii="宋体" w:hAnsi="宋体"/>
          <w:color w:val="auto"/>
          <w:sz w:val="24"/>
          <w:szCs w:val="20"/>
          <w:highlight w:val="none"/>
        </w:rPr>
      </w:pPr>
    </w:p>
    <w:p w14:paraId="7C491C94">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443940C1">
      <w:pPr>
        <w:snapToGrid w:val="0"/>
        <w:spacing w:before="120" w:beforeLines="50" w:after="50"/>
        <w:rPr>
          <w:rFonts w:ascii="宋体" w:hAnsi="宋体"/>
          <w:bCs/>
          <w:color w:val="auto"/>
          <w:sz w:val="24"/>
          <w:szCs w:val="20"/>
          <w:highlight w:val="none"/>
        </w:rPr>
      </w:pPr>
    </w:p>
    <w:p w14:paraId="1B09DBC5">
      <w:pPr>
        <w:snapToGrid w:val="0"/>
        <w:spacing w:before="120" w:beforeLines="50" w:after="50"/>
        <w:rPr>
          <w:rFonts w:ascii="宋体" w:hAnsi="宋体"/>
          <w:bCs/>
          <w:color w:val="auto"/>
          <w:sz w:val="24"/>
          <w:szCs w:val="20"/>
          <w:highlight w:val="none"/>
        </w:rPr>
      </w:pPr>
    </w:p>
    <w:p w14:paraId="4DAE0CAC">
      <w:pPr>
        <w:snapToGrid w:val="0"/>
        <w:spacing w:before="120" w:beforeLines="50" w:after="50"/>
        <w:rPr>
          <w:rFonts w:ascii="宋体" w:hAnsi="宋体"/>
          <w:bCs/>
          <w:color w:val="auto"/>
          <w:sz w:val="24"/>
          <w:szCs w:val="20"/>
          <w:highlight w:val="none"/>
        </w:rPr>
      </w:pPr>
    </w:p>
    <w:p w14:paraId="245DF3F0">
      <w:pPr>
        <w:snapToGrid w:val="0"/>
        <w:spacing w:before="120" w:beforeLines="50" w:after="50"/>
        <w:rPr>
          <w:rFonts w:ascii="宋体" w:hAnsi="宋体"/>
          <w:bCs/>
          <w:color w:val="auto"/>
          <w:sz w:val="24"/>
          <w:szCs w:val="20"/>
          <w:highlight w:val="none"/>
        </w:rPr>
      </w:pPr>
    </w:p>
    <w:p w14:paraId="191CDD0B">
      <w:pPr>
        <w:snapToGrid w:val="0"/>
        <w:spacing w:before="120" w:beforeLines="50" w:after="50"/>
        <w:rPr>
          <w:rFonts w:ascii="宋体" w:hAnsi="宋体"/>
          <w:bCs/>
          <w:color w:val="auto"/>
          <w:sz w:val="24"/>
          <w:szCs w:val="20"/>
          <w:highlight w:val="none"/>
        </w:rPr>
      </w:pPr>
    </w:p>
    <w:p w14:paraId="3A8EA14D">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2026年涉案财物集中委托管理处置服务采购</w:t>
      </w:r>
    </w:p>
    <w:p w14:paraId="0A4A4A07">
      <w:pPr>
        <w:snapToGrid w:val="0"/>
        <w:spacing w:before="120" w:beforeLines="50" w:after="50"/>
        <w:ind w:firstLine="720" w:firstLineChars="225"/>
        <w:rPr>
          <w:rFonts w:ascii="宋体" w:hAnsi="宋体" w:cs="仿宋_GB2312"/>
          <w:bCs/>
          <w:color w:val="auto"/>
          <w:sz w:val="32"/>
          <w:szCs w:val="32"/>
          <w:highlight w:val="none"/>
        </w:rPr>
      </w:pPr>
    </w:p>
    <w:p w14:paraId="2D921F0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A24E017">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4456BFB">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1A1BF0AE">
      <w:pPr>
        <w:snapToGrid w:val="0"/>
        <w:spacing w:before="120" w:beforeLines="50" w:after="50"/>
        <w:ind w:firstLine="720" w:firstLineChars="225"/>
        <w:rPr>
          <w:rFonts w:ascii="宋体" w:hAnsi="宋体" w:cs="仿宋_GB2312"/>
          <w:bCs/>
          <w:color w:val="auto"/>
          <w:sz w:val="32"/>
          <w:szCs w:val="32"/>
          <w:highlight w:val="none"/>
        </w:rPr>
      </w:pPr>
    </w:p>
    <w:p w14:paraId="377AF5CF">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3CCBB98">
      <w:pPr>
        <w:pStyle w:val="7"/>
        <w:snapToGrid w:val="0"/>
        <w:spacing w:before="50" w:after="50"/>
        <w:ind w:firstLine="720" w:firstLineChars="225"/>
        <w:rPr>
          <w:rFonts w:ascii="宋体" w:hAnsi="宋体" w:cs="仿宋_GB2312"/>
          <w:bCs/>
          <w:color w:val="auto"/>
          <w:sz w:val="32"/>
          <w:szCs w:val="32"/>
          <w:highlight w:val="none"/>
        </w:rPr>
      </w:pPr>
    </w:p>
    <w:p w14:paraId="09498583">
      <w:pPr>
        <w:pStyle w:val="7"/>
        <w:snapToGrid w:val="0"/>
        <w:spacing w:before="50" w:after="50"/>
        <w:ind w:firstLine="720" w:firstLineChars="225"/>
        <w:rPr>
          <w:rFonts w:ascii="宋体" w:hAnsi="宋体" w:cs="仿宋_GB2312"/>
          <w:bCs/>
          <w:color w:val="auto"/>
          <w:sz w:val="32"/>
          <w:szCs w:val="32"/>
          <w:highlight w:val="none"/>
        </w:rPr>
      </w:pPr>
    </w:p>
    <w:p w14:paraId="43CD01BD">
      <w:pPr>
        <w:pStyle w:val="7"/>
        <w:snapToGrid w:val="0"/>
        <w:spacing w:before="50" w:after="50"/>
        <w:ind w:firstLine="1280" w:firstLineChars="400"/>
        <w:rPr>
          <w:rFonts w:ascii="宋体" w:hAnsi="宋体" w:cs="仿宋_GB2312"/>
          <w:bCs/>
          <w:color w:val="auto"/>
          <w:sz w:val="32"/>
          <w:szCs w:val="32"/>
          <w:highlight w:val="none"/>
        </w:rPr>
      </w:pPr>
    </w:p>
    <w:p w14:paraId="0E6C8EC2">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5D63567">
      <w:pPr>
        <w:widowControl/>
        <w:spacing w:line="360" w:lineRule="auto"/>
        <w:jc w:val="left"/>
        <w:rPr>
          <w:rFonts w:ascii="宋体" w:hAnsi="宋体"/>
          <w:b/>
          <w:bCs/>
          <w:color w:val="auto"/>
          <w:sz w:val="32"/>
          <w:szCs w:val="32"/>
          <w:highlight w:val="none"/>
        </w:rPr>
        <w:sectPr>
          <w:pgSz w:w="11911" w:h="16838"/>
          <w:pgMar w:top="1417" w:right="1417" w:bottom="1417" w:left="1417" w:header="720" w:footer="720" w:gutter="0"/>
          <w:cols w:space="0" w:num="1"/>
        </w:sectPr>
      </w:pPr>
    </w:p>
    <w:p w14:paraId="5E469CAB">
      <w:pPr>
        <w:jc w:val="center"/>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14:paraId="15F51484">
      <w:pPr>
        <w:jc w:val="center"/>
        <w:rPr>
          <w:rFonts w:ascii="仿宋_GB2312" w:hAnsi="仿宋" w:eastAsia="仿宋_GB2312" w:cs="仿宋_GB2312"/>
          <w:b/>
          <w:color w:val="auto"/>
          <w:kern w:val="0"/>
          <w:sz w:val="28"/>
          <w:szCs w:val="28"/>
          <w:highlight w:val="none"/>
        </w:rPr>
      </w:pPr>
    </w:p>
    <w:p w14:paraId="117F63DE">
      <w:pPr>
        <w:pStyle w:val="39"/>
        <w:spacing w:line="360" w:lineRule="auto"/>
        <w:rPr>
          <w:rFonts w:cs="仿宋_GB2312"/>
          <w:color w:val="auto"/>
          <w:highlight w:val="none"/>
        </w:rPr>
      </w:pPr>
      <w:r>
        <w:rPr>
          <w:rFonts w:hint="eastAsia" w:cs="仿宋_GB2312"/>
          <w:color w:val="auto"/>
          <w:highlight w:val="none"/>
        </w:rPr>
        <w:t>一、</w:t>
      </w:r>
      <w:r>
        <w:rPr>
          <w:rFonts w:hint="eastAsia" w:ascii="宋体" w:hAnsi="宋体" w:cs="宋体"/>
          <w:color w:val="auto"/>
          <w:szCs w:val="21"/>
          <w:highlight w:val="none"/>
        </w:rPr>
        <w:t>无串通竞标行为的承诺函</w:t>
      </w:r>
      <w:r>
        <w:rPr>
          <w:rFonts w:hint="eastAsia" w:cs="仿宋_GB2312"/>
          <w:color w:val="auto"/>
          <w:highlight w:val="none"/>
        </w:rPr>
        <w:t>………………………………………………（页码）</w:t>
      </w:r>
    </w:p>
    <w:p w14:paraId="4971021E">
      <w:pPr>
        <w:pStyle w:val="39"/>
        <w:spacing w:line="360" w:lineRule="auto"/>
        <w:rPr>
          <w:rFonts w:cs="仿宋_GB2312"/>
          <w:color w:val="auto"/>
          <w:highlight w:val="none"/>
        </w:rPr>
      </w:pPr>
      <w:r>
        <w:rPr>
          <w:rFonts w:hint="eastAsia" w:cs="仿宋_GB2312"/>
          <w:color w:val="auto"/>
          <w:highlight w:val="none"/>
        </w:rPr>
        <w:t>二、法定代表人身份证明及法定代表人有效身份证正反面复印件………（页码）</w:t>
      </w:r>
    </w:p>
    <w:p w14:paraId="3948565D">
      <w:pPr>
        <w:pStyle w:val="39"/>
        <w:spacing w:line="360" w:lineRule="auto"/>
        <w:rPr>
          <w:rFonts w:cs="仿宋_GB2312"/>
          <w:color w:val="auto"/>
          <w:highlight w:val="none"/>
        </w:rPr>
      </w:pPr>
      <w:r>
        <w:rPr>
          <w:rFonts w:hint="eastAsia" w:cs="仿宋_GB2312"/>
          <w:color w:val="auto"/>
          <w:highlight w:val="none"/>
        </w:rPr>
        <w:t>三、法定代表人授权委托书（如有委托时）………………………………（页码）</w:t>
      </w:r>
    </w:p>
    <w:p w14:paraId="1839F297">
      <w:pPr>
        <w:pStyle w:val="39"/>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5B2FE51C">
      <w:pPr>
        <w:pStyle w:val="39"/>
        <w:spacing w:line="360" w:lineRule="auto"/>
        <w:rPr>
          <w:rFonts w:cs="仿宋_GB2312"/>
          <w:color w:val="auto"/>
          <w:highlight w:val="none"/>
        </w:rPr>
      </w:pPr>
      <w:bookmarkStart w:id="70" w:name="OLE_LINK6"/>
      <w:bookmarkStart w:id="71" w:name="OLE_LINK7"/>
      <w:bookmarkStart w:id="72" w:name="OLE_LINK5"/>
      <w:r>
        <w:rPr>
          <w:rFonts w:hint="eastAsia" w:cs="仿宋_GB2312"/>
          <w:color w:val="auto"/>
          <w:highlight w:val="none"/>
        </w:rPr>
        <w:t>五、竞标人情况介绍</w:t>
      </w:r>
      <w:r>
        <w:rPr>
          <w:rFonts w:hint="eastAsia" w:cs="仿宋_GB2312"/>
          <w:color w:val="auto"/>
          <w:highlight w:val="none"/>
          <w:lang w:val="zh-CN"/>
        </w:rPr>
        <w:t>………………………………</w:t>
      </w:r>
      <w:r>
        <w:rPr>
          <w:rFonts w:hint="eastAsia" w:cs="仿宋_GB2312"/>
          <w:color w:val="auto"/>
          <w:highlight w:val="none"/>
        </w:rPr>
        <w:t>…………………………（页码）</w:t>
      </w:r>
    </w:p>
    <w:p w14:paraId="4C9EFF76">
      <w:pPr>
        <w:pStyle w:val="39"/>
        <w:spacing w:line="360" w:lineRule="auto"/>
        <w:rPr>
          <w:rFonts w:cs="仿宋_GB2312"/>
          <w:color w:val="auto"/>
          <w:highlight w:val="none"/>
        </w:rPr>
      </w:pPr>
      <w:r>
        <w:rPr>
          <w:rFonts w:hint="eastAsia" w:cs="仿宋_GB2312"/>
          <w:color w:val="auto"/>
          <w:highlight w:val="none"/>
        </w:rPr>
        <w:t>六、供应商类似业绩的证明文件（如有要求）</w:t>
      </w:r>
      <w:r>
        <w:rPr>
          <w:rFonts w:hint="eastAsia" w:cs="仿宋_GB2312"/>
          <w:color w:val="auto"/>
          <w:highlight w:val="none"/>
          <w:lang w:val="zh-CN"/>
        </w:rPr>
        <w:t>……………………………</w:t>
      </w:r>
      <w:r>
        <w:rPr>
          <w:rFonts w:hint="eastAsia" w:cs="仿宋_GB2312"/>
          <w:color w:val="auto"/>
          <w:highlight w:val="none"/>
        </w:rPr>
        <w:t>（页码）</w:t>
      </w:r>
      <w:bookmarkEnd w:id="70"/>
      <w:bookmarkEnd w:id="71"/>
    </w:p>
    <w:bookmarkEnd w:id="72"/>
    <w:p w14:paraId="6D11C891">
      <w:pPr>
        <w:pStyle w:val="39"/>
        <w:spacing w:line="360" w:lineRule="auto"/>
        <w:rPr>
          <w:rFonts w:cs="仿宋_GB2312"/>
          <w:color w:val="auto"/>
          <w:highlight w:val="none"/>
        </w:rPr>
      </w:pPr>
      <w:r>
        <w:rPr>
          <w:rFonts w:hint="eastAsia" w:cs="仿宋_GB2312"/>
          <w:color w:val="auto"/>
          <w:highlight w:val="none"/>
        </w:rPr>
        <w:t>七、服务需求偏离表…………………………………………………………（页码）</w:t>
      </w:r>
    </w:p>
    <w:p w14:paraId="292EC386">
      <w:pPr>
        <w:pStyle w:val="39"/>
        <w:spacing w:line="360" w:lineRule="auto"/>
        <w:rPr>
          <w:rFonts w:cs="仿宋_GB2312"/>
          <w:color w:val="auto"/>
          <w:highlight w:val="none"/>
        </w:rPr>
      </w:pPr>
      <w:r>
        <w:rPr>
          <w:rFonts w:hint="eastAsia" w:cs="仿宋_GB2312"/>
          <w:color w:val="auto"/>
          <w:highlight w:val="none"/>
        </w:rPr>
        <w:t>八、</w:t>
      </w:r>
      <w:r>
        <w:rPr>
          <w:rFonts w:hint="eastAsia" w:cs="仿宋_GB2312"/>
          <w:color w:val="auto"/>
          <w:highlight w:val="none"/>
          <w:lang w:val="en-US" w:eastAsia="zh-CN"/>
        </w:rPr>
        <w:t>服务承诺</w:t>
      </w:r>
      <w:r>
        <w:rPr>
          <w:rFonts w:hint="eastAsia" w:cs="仿宋_GB2312"/>
          <w:color w:val="auto"/>
          <w:highlight w:val="none"/>
        </w:rPr>
        <w:t>…………………………………………………………………（页码）</w:t>
      </w:r>
    </w:p>
    <w:p w14:paraId="4CBBB15C">
      <w:pPr>
        <w:pStyle w:val="39"/>
        <w:spacing w:line="360" w:lineRule="auto"/>
        <w:rPr>
          <w:rFonts w:cs="仿宋_GB2312"/>
          <w:color w:val="auto"/>
          <w:highlight w:val="none"/>
        </w:rPr>
      </w:pPr>
      <w:r>
        <w:rPr>
          <w:rFonts w:hint="eastAsia" w:cs="仿宋_GB2312"/>
          <w:color w:val="auto"/>
          <w:highlight w:val="none"/>
          <w:lang w:val="en-US" w:eastAsia="zh-CN"/>
        </w:rPr>
        <w:t>九</w:t>
      </w:r>
      <w:r>
        <w:rPr>
          <w:rFonts w:hint="eastAsia" w:cs="仿宋_GB2312"/>
          <w:color w:val="auto"/>
          <w:highlight w:val="none"/>
        </w:rPr>
        <w:t>、</w:t>
      </w:r>
      <w:bookmarkStart w:id="73" w:name="OLE_LINK1"/>
      <w:bookmarkStart w:id="74" w:name="OLE_LINK2"/>
      <w:r>
        <w:rPr>
          <w:rFonts w:hint="eastAsia" w:cs="仿宋_GB2312"/>
          <w:color w:val="auto"/>
          <w:highlight w:val="none"/>
          <w:lang w:val="zh-CN"/>
        </w:rPr>
        <w:t>项目实施人员一览表</w:t>
      </w:r>
      <w:bookmarkEnd w:id="73"/>
      <w:bookmarkEnd w:id="74"/>
      <w:r>
        <w:rPr>
          <w:rFonts w:hint="eastAsia" w:cs="仿宋_GB2312"/>
          <w:color w:val="auto"/>
          <w:highlight w:val="none"/>
          <w:lang w:val="zh-CN"/>
        </w:rPr>
        <w:t>………………………………</w:t>
      </w:r>
      <w:r>
        <w:rPr>
          <w:rFonts w:hint="eastAsia" w:cs="仿宋_GB2312"/>
          <w:color w:val="auto"/>
          <w:highlight w:val="none"/>
        </w:rPr>
        <w:t>……………………（页码）</w:t>
      </w:r>
    </w:p>
    <w:p w14:paraId="114DF028">
      <w:pPr>
        <w:pStyle w:val="39"/>
        <w:spacing w:line="360" w:lineRule="auto"/>
        <w:rPr>
          <w:rFonts w:cs="仿宋_GB2312"/>
          <w:color w:val="auto"/>
          <w:highlight w:val="none"/>
        </w:rPr>
      </w:pPr>
      <w:r>
        <w:rPr>
          <w:rFonts w:hint="eastAsia" w:cs="仿宋_GB2312"/>
          <w:color w:val="auto"/>
          <w:highlight w:val="none"/>
        </w:rPr>
        <w:t>十、服务需求、商务条款要求提供的其他材料</w:t>
      </w:r>
      <w:r>
        <w:rPr>
          <w:rFonts w:hint="eastAsia" w:cs="仿宋_GB2312"/>
          <w:color w:val="auto"/>
          <w:highlight w:val="none"/>
          <w:lang w:val="zh-CN"/>
        </w:rPr>
        <w:t>…………………</w:t>
      </w:r>
      <w:r>
        <w:rPr>
          <w:rFonts w:hint="eastAsia" w:cs="仿宋_GB2312"/>
          <w:color w:val="auto"/>
          <w:highlight w:val="none"/>
        </w:rPr>
        <w:t>………（页码）</w:t>
      </w:r>
    </w:p>
    <w:p w14:paraId="767ED6EE">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注：以上目录是基本格式要求，各供应商可根据自身情况进一步向下增加内容或细化。</w:t>
      </w:r>
    </w:p>
    <w:p w14:paraId="63FC8B55">
      <w:pPr>
        <w:spacing w:line="400" w:lineRule="exact"/>
        <w:rPr>
          <w:rFonts w:ascii="仿宋_GB2312" w:hAnsi="仿宋_GB2312" w:eastAsia="仿宋_GB2312" w:cs="仿宋_GB2312"/>
          <w:color w:val="auto"/>
          <w:sz w:val="32"/>
          <w:szCs w:val="32"/>
          <w:highlight w:val="none"/>
        </w:rPr>
      </w:pPr>
    </w:p>
    <w:p w14:paraId="1F3732A1">
      <w:pPr>
        <w:spacing w:line="520" w:lineRule="exact"/>
        <w:ind w:firstLine="880" w:firstLineChars="2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1751A3EC">
      <w:pPr>
        <w:spacing w:line="520" w:lineRule="exact"/>
        <w:jc w:val="center"/>
        <w:rPr>
          <w:rFonts w:ascii="方正小标宋简体" w:hAnsi="方正小标宋简体" w:eastAsia="方正小标宋简体" w:cs="方正小标宋简体"/>
          <w:color w:val="auto"/>
          <w:sz w:val="44"/>
          <w:szCs w:val="44"/>
          <w:highlight w:val="none"/>
        </w:rPr>
      </w:pPr>
    </w:p>
    <w:p w14:paraId="0E2A4ADD">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C93824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E3A81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olor w:val="auto"/>
          <w:sz w:val="24"/>
          <w:highlight w:val="none"/>
        </w:rPr>
        <w:t>或者不同供应商报名的IP地址一致的；或者编制响应文件硬件设备CPU编号、硬盘编号、网卡地址一致的情况。</w:t>
      </w:r>
      <w:r>
        <w:rPr>
          <w:rFonts w:hint="eastAsia" w:ascii="宋体" w:hAnsi="宋体" w:cs="仿宋_GB2312"/>
          <w:color w:val="auto"/>
          <w:sz w:val="24"/>
          <w:highlight w:val="none"/>
        </w:rPr>
        <w:t xml:space="preserve">  </w:t>
      </w:r>
    </w:p>
    <w:p w14:paraId="0A46A33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3F8051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990286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14:paraId="509F445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3D60FF5">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53B413E">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B51918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EAE68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AABDD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40D542D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7EEC1B8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6F8A31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381DB6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7AFA03D">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25BB04DC">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25A7A82">
      <w:pPr>
        <w:spacing w:line="520" w:lineRule="exact"/>
        <w:ind w:left="239" w:leftChars="114"/>
        <w:jc w:val="right"/>
        <w:rPr>
          <w:rFonts w:ascii="方正小标宋简体" w:hAnsi="方正小标宋简体" w:eastAsia="方正小标宋简体" w:cs="方正小标宋简体"/>
          <w:bCs/>
          <w:color w:val="auto"/>
          <w:sz w:val="44"/>
          <w:szCs w:val="44"/>
          <w:highlight w:val="none"/>
        </w:rPr>
      </w:pPr>
      <w:r>
        <w:rPr>
          <w:rFonts w:hint="eastAsia" w:ascii="仿宋_GB2312" w:hAnsi="仿宋" w:eastAsia="仿宋_GB2312" w:cs="仿宋_GB2312"/>
          <w:color w:val="auto"/>
          <w:kern w:val="0"/>
          <w:sz w:val="24"/>
          <w:highlight w:val="none"/>
          <w:lang w:val="zh-CN"/>
        </w:rPr>
        <w:t xml:space="preserve">日期：  年  月   日   </w:t>
      </w:r>
      <w:r>
        <w:rPr>
          <w:rFonts w:hint="eastAsia" w:ascii="宋体" w:hAnsi="宋体"/>
          <w:b/>
          <w:bCs/>
          <w:color w:val="auto"/>
          <w:sz w:val="32"/>
          <w:szCs w:val="32"/>
          <w:highlight w:val="none"/>
        </w:rPr>
        <w:br w:type="page"/>
      </w:r>
      <w:r>
        <w:rPr>
          <w:rFonts w:hint="eastAsia" w:ascii="仿宋" w:hAnsi="仿宋" w:eastAsia="仿宋" w:cs="仿宋_GB2312"/>
          <w:b/>
          <w:color w:val="auto"/>
          <w:sz w:val="30"/>
          <w:szCs w:val="30"/>
          <w:highlight w:val="none"/>
        </w:rPr>
        <w:t>二、法定代表人身份证明及法定代表人有效身份证正反面复印件</w:t>
      </w:r>
    </w:p>
    <w:p w14:paraId="4F697A8F">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6DCF514">
      <w:pPr>
        <w:spacing w:line="360" w:lineRule="auto"/>
        <w:ind w:left="540"/>
        <w:contextualSpacing/>
        <w:rPr>
          <w:rFonts w:ascii="仿宋_GB2312" w:hAnsi="仿宋_GB2312" w:eastAsia="仿宋_GB2312" w:cs="仿宋_GB2312"/>
          <w:color w:val="auto"/>
          <w:sz w:val="32"/>
          <w:szCs w:val="32"/>
          <w:highlight w:val="none"/>
        </w:rPr>
      </w:pPr>
    </w:p>
    <w:p w14:paraId="281D7AA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362F7AC">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63772456">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BC593E1">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86A6AD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522C7FA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5215628A">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3A2D4E60">
      <w:pPr>
        <w:spacing w:line="360" w:lineRule="auto"/>
        <w:ind w:left="540"/>
        <w:contextualSpacing/>
        <w:rPr>
          <w:rFonts w:ascii="宋体" w:hAnsi="宋体" w:cs="仿宋_GB2312"/>
          <w:color w:val="auto"/>
          <w:sz w:val="24"/>
          <w:highlight w:val="none"/>
        </w:rPr>
      </w:pPr>
    </w:p>
    <w:p w14:paraId="144EFD6B">
      <w:pPr>
        <w:spacing w:line="360" w:lineRule="auto"/>
        <w:ind w:left="540"/>
        <w:contextualSpacing/>
        <w:rPr>
          <w:rFonts w:ascii="宋体" w:hAnsi="宋体" w:cs="仿宋_GB2312"/>
          <w:color w:val="auto"/>
          <w:sz w:val="24"/>
          <w:highlight w:val="none"/>
        </w:rPr>
      </w:pPr>
    </w:p>
    <w:p w14:paraId="5CDAA80C">
      <w:pPr>
        <w:spacing w:line="360" w:lineRule="auto"/>
        <w:ind w:left="540"/>
        <w:contextualSpacing/>
        <w:rPr>
          <w:rFonts w:ascii="宋体" w:hAnsi="宋体" w:cs="仿宋_GB2312"/>
          <w:color w:val="auto"/>
          <w:sz w:val="24"/>
          <w:highlight w:val="none"/>
        </w:rPr>
      </w:pPr>
    </w:p>
    <w:p w14:paraId="2F4DC81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2E36E082">
      <w:pPr>
        <w:spacing w:line="360" w:lineRule="auto"/>
        <w:ind w:left="540"/>
        <w:contextualSpacing/>
        <w:rPr>
          <w:rFonts w:ascii="宋体" w:hAnsi="宋体" w:cs="仿宋_GB2312"/>
          <w:color w:val="auto"/>
          <w:sz w:val="24"/>
          <w:highlight w:val="none"/>
        </w:rPr>
      </w:pPr>
    </w:p>
    <w:p w14:paraId="5928FB14">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6162C6A5">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4F07D7B6">
      <w:pPr>
        <w:spacing w:line="360" w:lineRule="auto"/>
        <w:jc w:val="left"/>
        <w:rPr>
          <w:rFonts w:ascii="宋体" w:hAnsi="宋体" w:cs="仿宋_GB2312"/>
          <w:color w:val="auto"/>
          <w:sz w:val="24"/>
          <w:highlight w:val="none"/>
        </w:rPr>
      </w:pPr>
    </w:p>
    <w:p w14:paraId="5C644E07">
      <w:pPr>
        <w:spacing w:line="360" w:lineRule="auto"/>
        <w:jc w:val="left"/>
        <w:rPr>
          <w:rFonts w:ascii="宋体" w:hAnsi="宋体" w:cs="仿宋_GB2312"/>
          <w:color w:val="auto"/>
          <w:sz w:val="24"/>
          <w:highlight w:val="none"/>
        </w:rPr>
      </w:pPr>
      <w:r>
        <w:rPr>
          <w:rFonts w:hint="eastAsia" w:ascii="宋体" w:hAnsi="宋体" w:cs="仿宋_GB2312"/>
          <w:color w:val="auto"/>
          <w:sz w:val="24"/>
          <w:highlight w:val="none"/>
        </w:rPr>
        <w:t>注：1.自然人竞标的无需提供，联合体竞标的只需牵头人出具。</w:t>
      </w:r>
    </w:p>
    <w:p w14:paraId="6EDCA94B">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3E45469">
      <w:pPr>
        <w:widowControl/>
        <w:spacing w:line="360" w:lineRule="auto"/>
        <w:jc w:val="left"/>
        <w:rPr>
          <w:rFonts w:ascii="宋体" w:hAnsi="宋体" w:cs="仿宋_GB2312"/>
          <w:color w:val="auto"/>
          <w:sz w:val="24"/>
          <w:highlight w:val="none"/>
        </w:rPr>
        <w:sectPr>
          <w:pgSz w:w="11911" w:h="16838"/>
          <w:pgMar w:top="1417" w:right="1417" w:bottom="1417" w:left="1417" w:header="720" w:footer="720" w:gutter="0"/>
          <w:cols w:space="0" w:num="1"/>
        </w:sectPr>
      </w:pPr>
    </w:p>
    <w:tbl>
      <w:tblPr>
        <w:tblStyle w:val="23"/>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51C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0" w:type="dxa"/>
            <w:tcBorders>
              <w:top w:val="single" w:color="auto" w:sz="4" w:space="0"/>
              <w:left w:val="single" w:color="auto" w:sz="4" w:space="0"/>
              <w:bottom w:val="single" w:color="auto" w:sz="4" w:space="0"/>
              <w:right w:val="single" w:color="auto" w:sz="4" w:space="0"/>
            </w:tcBorders>
          </w:tcPr>
          <w:p w14:paraId="08956516">
            <w:pPr>
              <w:spacing w:line="360" w:lineRule="auto"/>
              <w:rPr>
                <w:rFonts w:ascii="宋体"/>
                <w:b/>
                <w:color w:val="auto"/>
                <w:sz w:val="24"/>
                <w:highlight w:val="none"/>
              </w:rPr>
            </w:pPr>
          </w:p>
          <w:p w14:paraId="3046BC69">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7285F9A4">
      <w:pPr>
        <w:spacing w:line="360" w:lineRule="auto"/>
        <w:ind w:firstLine="482" w:firstLineChars="200"/>
        <w:jc w:val="left"/>
        <w:rPr>
          <w:rFonts w:ascii="仿宋_GB2312" w:hAnsi="仿宋_GB2312" w:eastAsia="仿宋_GB2312" w:cs="仿宋_GB2312"/>
          <w:b/>
          <w:color w:val="auto"/>
          <w:sz w:val="32"/>
          <w:szCs w:val="32"/>
          <w:highlight w:val="none"/>
        </w:rPr>
      </w:pPr>
      <w:r>
        <w:rPr>
          <w:rFonts w:hint="eastAsia" w:hAnsi="宋体"/>
          <w:b/>
          <w:color w:val="auto"/>
          <w:sz w:val="24"/>
          <w:highlight w:val="none"/>
        </w:rPr>
        <w:t>附件：</w:t>
      </w:r>
    </w:p>
    <w:p w14:paraId="0F9736C8">
      <w:pPr>
        <w:adjustRightInd w:val="0"/>
        <w:snapToGrid w:val="0"/>
        <w:spacing w:line="300" w:lineRule="auto"/>
        <w:jc w:val="left"/>
        <w:rPr>
          <w:rFonts w:ascii="宋体" w:hAnsi="宋体"/>
          <w:b/>
          <w:color w:val="auto"/>
          <w:szCs w:val="21"/>
          <w:highlight w:val="none"/>
        </w:rPr>
      </w:pPr>
    </w:p>
    <w:p w14:paraId="3AD88836">
      <w:pPr>
        <w:spacing w:line="520" w:lineRule="exact"/>
        <w:ind w:firstLine="880"/>
        <w:jc w:val="left"/>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三、法定代表人授权委托书</w:t>
      </w:r>
    </w:p>
    <w:p w14:paraId="5D4500A7">
      <w:pPr>
        <w:spacing w:line="500" w:lineRule="exact"/>
        <w:jc w:val="center"/>
        <w:rPr>
          <w:rFonts w:ascii="方正小标宋简体" w:hAnsi="方正小标宋简体" w:eastAsia="方正小标宋简体" w:cs="方正小标宋简体"/>
          <w:color w:val="auto"/>
          <w:sz w:val="44"/>
          <w:szCs w:val="44"/>
          <w:highlight w:val="none"/>
        </w:rPr>
      </w:pPr>
    </w:p>
    <w:p w14:paraId="64771131">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授权委托书（非联合体竞标格式）</w:t>
      </w:r>
    </w:p>
    <w:p w14:paraId="63BF0EFD">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630222FA">
      <w:pPr>
        <w:spacing w:line="520" w:lineRule="exact"/>
        <w:rPr>
          <w:rFonts w:ascii="仿宋_GB2312" w:hAnsi="仿宋_GB2312" w:eastAsia="仿宋_GB2312" w:cs="仿宋_GB2312"/>
          <w:color w:val="auto"/>
          <w:sz w:val="32"/>
          <w:szCs w:val="32"/>
          <w:highlight w:val="none"/>
        </w:rPr>
      </w:pPr>
    </w:p>
    <w:p w14:paraId="148417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广西机电设备招标有限公司</w:t>
      </w:r>
      <w:r>
        <w:rPr>
          <w:rFonts w:hint="eastAsia" w:ascii="宋体" w:hAnsi="宋体" w:cs="仿宋_GB2312"/>
          <w:color w:val="auto"/>
          <w:sz w:val="24"/>
          <w:highlight w:val="none"/>
        </w:rPr>
        <w:t>：</w:t>
      </w:r>
    </w:p>
    <w:p w14:paraId="0C916AB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lang w:eastAsia="zh-CN"/>
        </w:rPr>
        <w:t>2026年涉案财物集中委托管理处置服务采购</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15DFA35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0F7D0D32">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2891DFE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D22506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42363E19">
      <w:pPr>
        <w:spacing w:line="360" w:lineRule="auto"/>
        <w:rPr>
          <w:rFonts w:ascii="宋体" w:hAnsi="宋体" w:cs="仿宋_GB2312"/>
          <w:color w:val="auto"/>
          <w:sz w:val="24"/>
          <w:highlight w:val="none"/>
        </w:rPr>
      </w:pPr>
    </w:p>
    <w:p w14:paraId="331AC7F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14:paraId="6350C577">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27279B29">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6E77EB9C">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仿宋_GB2312" w:hAnsi="仿宋" w:eastAsia="仿宋_GB2312" w:cs="仿宋_GB2312"/>
          <w:color w:val="auto"/>
          <w:kern w:val="0"/>
          <w:sz w:val="24"/>
          <w:highlight w:val="none"/>
        </w:rPr>
        <w:t>供应商名称（电子签章）：</w:t>
      </w:r>
    </w:p>
    <w:p w14:paraId="63BC468F">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3C1808FF">
      <w:pPr>
        <w:spacing w:line="360" w:lineRule="auto"/>
        <w:rPr>
          <w:rFonts w:ascii="宋体" w:hAnsi="宋体" w:cs="仿宋_GB2312"/>
          <w:color w:val="auto"/>
          <w:sz w:val="24"/>
          <w:highlight w:val="none"/>
        </w:rPr>
      </w:pPr>
    </w:p>
    <w:p w14:paraId="512C86A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37048D1A">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62C1188">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cs="仿宋_GB2312"/>
          <w:color w:val="auto"/>
          <w:sz w:val="24"/>
          <w:highlight w:val="none"/>
        </w:rPr>
        <w:t>3. 法人、其他组织竞标时“我方”是指“我单位”，自然人竞标时“我方”是指“本人”。</w:t>
      </w:r>
    </w:p>
    <w:p w14:paraId="10F95A08">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授权委托书（联合体竞标格式）</w:t>
      </w:r>
    </w:p>
    <w:p w14:paraId="4A679BE7">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21520045">
      <w:pPr>
        <w:spacing w:line="500" w:lineRule="exact"/>
        <w:jc w:val="center"/>
        <w:rPr>
          <w:rFonts w:ascii="方正小标宋简体" w:hAnsi="方正小标宋简体" w:eastAsia="方正小标宋简体" w:cs="方正小标宋简体"/>
          <w:color w:val="auto"/>
          <w:sz w:val="44"/>
          <w:szCs w:val="44"/>
          <w:highlight w:val="none"/>
        </w:rPr>
      </w:pPr>
    </w:p>
    <w:p w14:paraId="3B27DDB3">
      <w:pPr>
        <w:spacing w:line="500" w:lineRule="exact"/>
        <w:jc w:val="center"/>
        <w:rPr>
          <w:rFonts w:ascii="仿宋_GB2312" w:hAnsi="仿宋_GB2312" w:eastAsia="仿宋_GB2312" w:cs="仿宋_GB2312"/>
          <w:color w:val="auto"/>
          <w:sz w:val="32"/>
          <w:szCs w:val="32"/>
          <w:highlight w:val="none"/>
        </w:rPr>
      </w:pPr>
    </w:p>
    <w:p w14:paraId="54E781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（联合体其他成员名称）签订的《联合体竞标协议书》的内容，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4EA5E57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77DCFE5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A9118E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D041E6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37FC1FB5">
      <w:pPr>
        <w:spacing w:line="360" w:lineRule="auto"/>
        <w:ind w:firstLine="1560" w:firstLineChars="650"/>
        <w:rPr>
          <w:rFonts w:ascii="宋体" w:hAnsi="宋体" w:cs="仿宋_GB2312"/>
          <w:color w:val="auto"/>
          <w:sz w:val="24"/>
          <w:highlight w:val="none"/>
        </w:rPr>
      </w:pPr>
      <w:r>
        <w:rPr>
          <w:rFonts w:hint="eastAsia" w:ascii="宋体" w:hAnsi="宋体" w:cs="仿宋_GB2312"/>
          <w:color w:val="auto"/>
          <w:sz w:val="24"/>
          <w:highlight w:val="none"/>
        </w:rPr>
        <w:t>牵头人法定代表人（签字或盖章）：</w:t>
      </w:r>
    </w:p>
    <w:p w14:paraId="712B8275">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2024F9E2">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8A71172">
      <w:pPr>
        <w:spacing w:line="360" w:lineRule="auto"/>
        <w:rPr>
          <w:rFonts w:ascii="宋体" w:hAnsi="宋体" w:cs="仿宋_GB2312"/>
          <w:color w:val="auto"/>
          <w:sz w:val="24"/>
          <w:highlight w:val="none"/>
        </w:rPr>
      </w:pPr>
    </w:p>
    <w:p w14:paraId="78ACBC86">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被授权人（签字）：</w:t>
      </w:r>
    </w:p>
    <w:p w14:paraId="5B4AECD8">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345D3F00">
      <w:pPr>
        <w:spacing w:line="360" w:lineRule="auto"/>
        <w:rPr>
          <w:rFonts w:ascii="宋体" w:hAnsi="宋体" w:cs="仿宋_GB2312"/>
          <w:color w:val="auto"/>
          <w:sz w:val="24"/>
          <w:highlight w:val="none"/>
        </w:rPr>
      </w:pPr>
    </w:p>
    <w:p w14:paraId="2F06B644">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14:paraId="14F09FC8">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2E1EAEF7">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1E929F">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4.法人、其他组织竞标时“我方”是指“我单位”，自然人竞标时“我方”是指“本人”。</w:t>
      </w:r>
    </w:p>
    <w:p w14:paraId="7F7FB02A">
      <w:pPr>
        <w:spacing w:line="360" w:lineRule="auto"/>
        <w:ind w:firstLine="420" w:firstLineChars="200"/>
        <w:jc w:val="left"/>
        <w:rPr>
          <w:rFonts w:ascii="仿宋_GB2312" w:hAnsi="仿宋_GB2312" w:eastAsia="仿宋_GB2312" w:cs="仿宋_GB2312"/>
          <w:color w:val="auto"/>
          <w:szCs w:val="21"/>
          <w:highlight w:val="none"/>
        </w:rPr>
      </w:pPr>
    </w:p>
    <w:p w14:paraId="3B8E1750">
      <w:pPr>
        <w:spacing w:line="520" w:lineRule="exact"/>
        <w:ind w:firstLine="602" w:firstLineChars="200"/>
        <w:jc w:val="left"/>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四、商务条款偏离表</w:t>
      </w:r>
    </w:p>
    <w:p w14:paraId="6E34C5D9">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w:t>
      </w:r>
    </w:p>
    <w:p w14:paraId="2AE7D7AA">
      <w:pPr>
        <w:spacing w:line="520" w:lineRule="exact"/>
        <w:rPr>
          <w:rFonts w:ascii="仿宋_GB2312" w:hAnsi="仿宋_GB2312" w:eastAsia="仿宋_GB2312" w:cs="仿宋_GB2312"/>
          <w:color w:val="auto"/>
          <w:sz w:val="32"/>
          <w:szCs w:val="32"/>
          <w:highlight w:val="none"/>
        </w:rPr>
      </w:pPr>
    </w:p>
    <w:p w14:paraId="5DF2695C">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37C500FB">
      <w:pPr>
        <w:spacing w:line="360" w:lineRule="auto"/>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2026年涉案财物集中委托管理处置服务采购</w:t>
      </w:r>
      <w:r>
        <w:rPr>
          <w:rFonts w:hint="eastAsia" w:ascii="宋体" w:hAnsi="宋体" w:cs="仿宋_GB2312"/>
          <w:color w:val="auto"/>
          <w:sz w:val="24"/>
          <w:highlight w:val="none"/>
          <w:u w:val="single"/>
        </w:rPr>
        <w:t xml:space="preserve"> </w:t>
      </w:r>
    </w:p>
    <w:p w14:paraId="0531FD3F">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标项号</w:t>
      </w:r>
      <w:r>
        <w:rPr>
          <w:rFonts w:hint="eastAsia" w:ascii="宋体" w:hAnsi="宋体"/>
          <w:color w:val="auto"/>
          <w:szCs w:val="21"/>
          <w:highlight w:val="none"/>
        </w:rPr>
        <w:t>（此处有标项时填写具体标项号，无标项时填写“无”）</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p>
    <w:tbl>
      <w:tblPr>
        <w:tblStyle w:val="23"/>
        <w:tblpPr w:leftFromText="180" w:rightFromText="180" w:vertAnchor="text" w:horzAnchor="margin" w:tblpXSpec="center" w:tblpY="9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3680"/>
        <w:gridCol w:w="2553"/>
        <w:gridCol w:w="2380"/>
      </w:tblGrid>
      <w:tr w14:paraId="284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tcBorders>
              <w:top w:val="single" w:color="auto" w:sz="4" w:space="0"/>
              <w:left w:val="single" w:color="auto" w:sz="4" w:space="0"/>
              <w:right w:val="single" w:color="auto" w:sz="4" w:space="0"/>
            </w:tcBorders>
            <w:noWrap/>
          </w:tcPr>
          <w:p w14:paraId="62EB1AA0">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1981" w:type="pct"/>
            <w:tcBorders>
              <w:top w:val="single" w:color="auto" w:sz="4" w:space="0"/>
              <w:left w:val="single" w:color="auto" w:sz="4" w:space="0"/>
              <w:bottom w:val="single" w:color="auto" w:sz="4" w:space="0"/>
              <w:right w:val="single" w:color="auto" w:sz="4" w:space="0"/>
            </w:tcBorders>
            <w:noWrap/>
          </w:tcPr>
          <w:p w14:paraId="640C5E74">
            <w:pPr>
              <w:spacing w:line="340" w:lineRule="exact"/>
              <w:jc w:val="center"/>
              <w:rPr>
                <w:rFonts w:ascii="宋体" w:hAnsi="宋体"/>
                <w:color w:val="auto"/>
                <w:szCs w:val="21"/>
                <w:highlight w:val="none"/>
              </w:rPr>
            </w:pPr>
            <w:r>
              <w:rPr>
                <w:rFonts w:hint="eastAsia" w:ascii="宋体" w:hAnsi="宋体"/>
                <w:color w:val="auto"/>
                <w:szCs w:val="21"/>
                <w:highlight w:val="none"/>
              </w:rPr>
              <w:t>竞争性磋商采购文件的商务需求</w:t>
            </w:r>
          </w:p>
        </w:tc>
        <w:tc>
          <w:tcPr>
            <w:tcW w:w="1374" w:type="pct"/>
            <w:tcBorders>
              <w:top w:val="single" w:color="auto" w:sz="4" w:space="0"/>
              <w:left w:val="single" w:color="auto" w:sz="4" w:space="0"/>
              <w:right w:val="single" w:color="auto" w:sz="4" w:space="0"/>
            </w:tcBorders>
          </w:tcPr>
          <w:p w14:paraId="45884BCC">
            <w:pPr>
              <w:spacing w:line="340" w:lineRule="exact"/>
              <w:jc w:val="center"/>
              <w:rPr>
                <w:rFonts w:ascii="宋体" w:hAnsi="宋体"/>
                <w:color w:val="auto"/>
                <w:szCs w:val="21"/>
                <w:highlight w:val="none"/>
              </w:rPr>
            </w:pPr>
            <w:r>
              <w:rPr>
                <w:rFonts w:hint="eastAsia" w:ascii="宋体" w:hAnsi="宋体"/>
                <w:color w:val="auto"/>
                <w:szCs w:val="21"/>
                <w:highlight w:val="none"/>
              </w:rPr>
              <w:t>响应文件承诺的商务条款</w:t>
            </w:r>
          </w:p>
        </w:tc>
        <w:tc>
          <w:tcPr>
            <w:tcW w:w="1279" w:type="pct"/>
            <w:tcBorders>
              <w:top w:val="single" w:color="auto" w:sz="4" w:space="0"/>
              <w:left w:val="single" w:color="auto" w:sz="4" w:space="0"/>
              <w:right w:val="single" w:color="auto" w:sz="4" w:space="0"/>
            </w:tcBorders>
          </w:tcPr>
          <w:p w14:paraId="5593E47C">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2C76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7ED6E667">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1981" w:type="pct"/>
            <w:tcBorders>
              <w:top w:val="single" w:color="auto" w:sz="4" w:space="0"/>
              <w:left w:val="single" w:color="auto" w:sz="4" w:space="0"/>
              <w:bottom w:val="single" w:color="auto" w:sz="4" w:space="0"/>
              <w:right w:val="single" w:color="auto" w:sz="4" w:space="0"/>
            </w:tcBorders>
            <w:noWrap/>
          </w:tcPr>
          <w:p w14:paraId="3591AC4D">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505FA59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513780A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EBA1AB5">
            <w:pPr>
              <w:spacing w:line="300" w:lineRule="exact"/>
              <w:rPr>
                <w:rFonts w:ascii="宋体" w:hAnsi="宋体"/>
                <w:color w:val="auto"/>
                <w:szCs w:val="21"/>
                <w:highlight w:val="none"/>
              </w:rPr>
            </w:pPr>
          </w:p>
        </w:tc>
      </w:tr>
      <w:tr w14:paraId="01D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C7AEF4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4C64ACB">
            <w:pPr>
              <w:spacing w:line="340" w:lineRule="exact"/>
              <w:rPr>
                <w:rFonts w:ascii="宋体" w:hAnsi="宋体"/>
                <w:color w:val="auto"/>
                <w:szCs w:val="21"/>
                <w:highlight w:val="none"/>
              </w:rPr>
            </w:pPr>
            <w:r>
              <w:rPr>
                <w:rFonts w:hint="eastAsia" w:ascii="宋体" w:hAnsi="宋体"/>
                <w:color w:val="auto"/>
                <w:szCs w:val="21"/>
                <w:highlight w:val="none"/>
              </w:rPr>
              <w:t>2  ……</w:t>
            </w:r>
          </w:p>
          <w:p w14:paraId="6BD3F024">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36EB26D9">
            <w:pPr>
              <w:spacing w:line="340" w:lineRule="exact"/>
              <w:rPr>
                <w:rFonts w:ascii="宋体" w:hAnsi="宋体"/>
                <w:color w:val="auto"/>
                <w:szCs w:val="21"/>
                <w:highlight w:val="none"/>
              </w:rPr>
            </w:pPr>
            <w:r>
              <w:rPr>
                <w:rFonts w:hint="eastAsia" w:ascii="宋体" w:hAnsi="宋体"/>
                <w:color w:val="auto"/>
                <w:szCs w:val="21"/>
                <w:highlight w:val="none"/>
              </w:rPr>
              <w:t>2  ……</w:t>
            </w:r>
          </w:p>
          <w:p w14:paraId="68797C24">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8FBD572">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DABB98">
            <w:pPr>
              <w:spacing w:line="300" w:lineRule="exact"/>
              <w:rPr>
                <w:rFonts w:ascii="宋体" w:hAnsi="宋体"/>
                <w:color w:val="auto"/>
                <w:szCs w:val="21"/>
                <w:highlight w:val="none"/>
              </w:rPr>
            </w:pPr>
          </w:p>
        </w:tc>
      </w:tr>
      <w:tr w14:paraId="7CAD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185A88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217B3A3">
            <w:pPr>
              <w:spacing w:line="340" w:lineRule="exact"/>
              <w:rPr>
                <w:rFonts w:ascii="宋体" w:hAnsi="宋体"/>
                <w:color w:val="auto"/>
                <w:szCs w:val="21"/>
                <w:highlight w:val="none"/>
              </w:rPr>
            </w:pPr>
            <w:r>
              <w:rPr>
                <w:rFonts w:hint="eastAsia" w:ascii="宋体" w:hAnsi="宋体"/>
                <w:color w:val="auto"/>
                <w:szCs w:val="21"/>
                <w:highlight w:val="none"/>
              </w:rPr>
              <w:t>3  ……</w:t>
            </w:r>
          </w:p>
          <w:p w14:paraId="24A6585A">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484D921A">
            <w:pPr>
              <w:spacing w:line="340" w:lineRule="exact"/>
              <w:rPr>
                <w:rFonts w:ascii="宋体" w:hAnsi="宋体"/>
                <w:color w:val="auto"/>
                <w:szCs w:val="21"/>
                <w:highlight w:val="none"/>
              </w:rPr>
            </w:pPr>
            <w:r>
              <w:rPr>
                <w:rFonts w:hint="eastAsia" w:ascii="宋体" w:hAnsi="宋体"/>
                <w:color w:val="auto"/>
                <w:szCs w:val="21"/>
                <w:highlight w:val="none"/>
              </w:rPr>
              <w:t>3  ……</w:t>
            </w:r>
          </w:p>
          <w:p w14:paraId="45A16E01">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45937C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AEDAF04">
            <w:pPr>
              <w:spacing w:line="300" w:lineRule="exact"/>
              <w:rPr>
                <w:rFonts w:ascii="宋体" w:hAnsi="宋体"/>
                <w:color w:val="auto"/>
                <w:szCs w:val="21"/>
                <w:highlight w:val="none"/>
              </w:rPr>
            </w:pPr>
          </w:p>
        </w:tc>
      </w:tr>
      <w:tr w14:paraId="5BD3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6FD318CB">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7B57D2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8098E12">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18F742AC">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08A36B6">
            <w:pPr>
              <w:spacing w:line="300" w:lineRule="exact"/>
              <w:rPr>
                <w:rFonts w:ascii="宋体" w:hAnsi="宋体"/>
                <w:color w:val="auto"/>
                <w:szCs w:val="21"/>
                <w:highlight w:val="none"/>
              </w:rPr>
            </w:pPr>
          </w:p>
        </w:tc>
      </w:tr>
      <w:tr w14:paraId="20F5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DE18BB7">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1981" w:type="pct"/>
            <w:tcBorders>
              <w:top w:val="single" w:color="auto" w:sz="4" w:space="0"/>
              <w:left w:val="single" w:color="auto" w:sz="4" w:space="0"/>
              <w:bottom w:val="single" w:color="auto" w:sz="4" w:space="0"/>
              <w:right w:val="single" w:color="auto" w:sz="4" w:space="0"/>
            </w:tcBorders>
            <w:noWrap/>
          </w:tcPr>
          <w:p w14:paraId="2DD0C918">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7BF09107">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791B015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12B39155">
            <w:pPr>
              <w:spacing w:line="300" w:lineRule="exact"/>
              <w:rPr>
                <w:rFonts w:ascii="宋体" w:hAnsi="宋体"/>
                <w:color w:val="auto"/>
                <w:szCs w:val="21"/>
                <w:highlight w:val="none"/>
              </w:rPr>
            </w:pPr>
          </w:p>
        </w:tc>
      </w:tr>
      <w:tr w14:paraId="42C2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6BA7D9C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31E28028">
            <w:pPr>
              <w:spacing w:line="340" w:lineRule="exact"/>
              <w:rPr>
                <w:rFonts w:ascii="宋体" w:hAnsi="宋体"/>
                <w:color w:val="auto"/>
                <w:szCs w:val="21"/>
                <w:highlight w:val="none"/>
              </w:rPr>
            </w:pPr>
            <w:r>
              <w:rPr>
                <w:rFonts w:hint="eastAsia" w:ascii="宋体" w:hAnsi="宋体"/>
                <w:color w:val="auto"/>
                <w:szCs w:val="21"/>
                <w:highlight w:val="none"/>
              </w:rPr>
              <w:t>2  ……</w:t>
            </w:r>
          </w:p>
          <w:p w14:paraId="4674E1C0">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055E6505">
            <w:pPr>
              <w:spacing w:line="340" w:lineRule="exact"/>
              <w:rPr>
                <w:rFonts w:ascii="宋体" w:hAnsi="宋体"/>
                <w:color w:val="auto"/>
                <w:szCs w:val="21"/>
                <w:highlight w:val="none"/>
              </w:rPr>
            </w:pPr>
            <w:r>
              <w:rPr>
                <w:rFonts w:hint="eastAsia" w:ascii="宋体" w:hAnsi="宋体"/>
                <w:color w:val="auto"/>
                <w:szCs w:val="21"/>
                <w:highlight w:val="none"/>
              </w:rPr>
              <w:t>2  ……</w:t>
            </w:r>
          </w:p>
          <w:p w14:paraId="6873E846">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73A2A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02AF01C">
            <w:pPr>
              <w:spacing w:line="300" w:lineRule="exact"/>
              <w:rPr>
                <w:rFonts w:ascii="宋体" w:hAnsi="宋体"/>
                <w:color w:val="auto"/>
                <w:szCs w:val="21"/>
                <w:highlight w:val="none"/>
              </w:rPr>
            </w:pPr>
          </w:p>
        </w:tc>
      </w:tr>
      <w:tr w14:paraId="1379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42F2B4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291E8EF">
            <w:pPr>
              <w:spacing w:line="340" w:lineRule="exact"/>
              <w:rPr>
                <w:rFonts w:ascii="宋体" w:hAnsi="宋体"/>
                <w:color w:val="auto"/>
                <w:szCs w:val="21"/>
                <w:highlight w:val="none"/>
              </w:rPr>
            </w:pPr>
            <w:r>
              <w:rPr>
                <w:rFonts w:hint="eastAsia" w:ascii="宋体" w:hAnsi="宋体"/>
                <w:color w:val="auto"/>
                <w:szCs w:val="21"/>
                <w:highlight w:val="none"/>
              </w:rPr>
              <w:t>3  ……</w:t>
            </w:r>
          </w:p>
          <w:p w14:paraId="7945231C">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EF35554">
            <w:pPr>
              <w:spacing w:line="340" w:lineRule="exact"/>
              <w:rPr>
                <w:rFonts w:ascii="宋体" w:hAnsi="宋体"/>
                <w:color w:val="auto"/>
                <w:szCs w:val="21"/>
                <w:highlight w:val="none"/>
              </w:rPr>
            </w:pPr>
            <w:r>
              <w:rPr>
                <w:rFonts w:hint="eastAsia" w:ascii="宋体" w:hAnsi="宋体"/>
                <w:color w:val="auto"/>
                <w:szCs w:val="21"/>
                <w:highlight w:val="none"/>
              </w:rPr>
              <w:t>3  ……</w:t>
            </w:r>
          </w:p>
          <w:p w14:paraId="267C3705">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50AAB1A0">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648451E">
            <w:pPr>
              <w:spacing w:line="300" w:lineRule="exact"/>
              <w:rPr>
                <w:rFonts w:ascii="宋体" w:hAnsi="宋体"/>
                <w:color w:val="auto"/>
                <w:szCs w:val="21"/>
                <w:highlight w:val="none"/>
              </w:rPr>
            </w:pPr>
          </w:p>
        </w:tc>
      </w:tr>
      <w:tr w14:paraId="7D69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7041DA96">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53BFF5F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3438E59C">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00BD11C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4074210E">
            <w:pPr>
              <w:spacing w:line="300" w:lineRule="exact"/>
              <w:rPr>
                <w:rFonts w:ascii="宋体" w:hAnsi="宋体"/>
                <w:color w:val="auto"/>
                <w:szCs w:val="21"/>
                <w:highlight w:val="none"/>
              </w:rPr>
            </w:pPr>
          </w:p>
        </w:tc>
      </w:tr>
      <w:tr w14:paraId="467D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64" w:type="pct"/>
            <w:vMerge w:val="restart"/>
            <w:tcBorders>
              <w:top w:val="single" w:color="auto" w:sz="4" w:space="0"/>
              <w:left w:val="single" w:color="auto" w:sz="4" w:space="0"/>
              <w:right w:val="single" w:color="auto" w:sz="4" w:space="0"/>
            </w:tcBorders>
            <w:noWrap/>
          </w:tcPr>
          <w:p w14:paraId="6FD11F5E">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981" w:type="pct"/>
            <w:tcBorders>
              <w:top w:val="single" w:color="auto" w:sz="4" w:space="0"/>
              <w:left w:val="single" w:color="auto" w:sz="4" w:space="0"/>
              <w:bottom w:val="single" w:color="auto" w:sz="4" w:space="0"/>
              <w:right w:val="single" w:color="auto" w:sz="4" w:space="0"/>
            </w:tcBorders>
            <w:noWrap/>
          </w:tcPr>
          <w:p w14:paraId="34811A93">
            <w:pPr>
              <w:rPr>
                <w:rFonts w:ascii="宋体" w:hAnsi="宋体"/>
                <w:color w:val="auto"/>
                <w:szCs w:val="21"/>
                <w:highlight w:val="none"/>
              </w:rPr>
            </w:pPr>
            <w:r>
              <w:rPr>
                <w:rFonts w:hint="eastAsia" w:ascii="宋体" w:hAnsi="宋体"/>
                <w:color w:val="auto"/>
                <w:szCs w:val="21"/>
                <w:highlight w:val="none"/>
              </w:rPr>
              <w:t>1  ……</w:t>
            </w:r>
          </w:p>
        </w:tc>
        <w:tc>
          <w:tcPr>
            <w:tcW w:w="1374" w:type="pct"/>
            <w:tcBorders>
              <w:top w:val="single" w:color="auto" w:sz="4" w:space="0"/>
              <w:left w:val="single" w:color="auto" w:sz="4" w:space="0"/>
              <w:right w:val="single" w:color="auto" w:sz="4" w:space="0"/>
            </w:tcBorders>
          </w:tcPr>
          <w:p w14:paraId="336A18EB">
            <w:pPr>
              <w:rPr>
                <w:rFonts w:ascii="宋体" w:hAnsi="宋体"/>
                <w:color w:val="auto"/>
                <w:szCs w:val="21"/>
                <w:highlight w:val="none"/>
              </w:rPr>
            </w:pPr>
            <w:r>
              <w:rPr>
                <w:rFonts w:hint="eastAsia" w:ascii="宋体" w:hAnsi="宋体"/>
                <w:color w:val="auto"/>
                <w:szCs w:val="21"/>
                <w:highlight w:val="none"/>
              </w:rPr>
              <w:t>1  ……</w:t>
            </w:r>
          </w:p>
        </w:tc>
        <w:tc>
          <w:tcPr>
            <w:tcW w:w="1279" w:type="pct"/>
            <w:tcBorders>
              <w:top w:val="single" w:color="auto" w:sz="4" w:space="0"/>
              <w:left w:val="single" w:color="auto" w:sz="4" w:space="0"/>
              <w:right w:val="single" w:color="auto" w:sz="4" w:space="0"/>
            </w:tcBorders>
          </w:tcPr>
          <w:p w14:paraId="2BC7ADB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FA56FC2">
            <w:pPr>
              <w:spacing w:line="300" w:lineRule="exact"/>
              <w:rPr>
                <w:rFonts w:ascii="宋体" w:hAnsi="宋体"/>
                <w:color w:val="auto"/>
                <w:szCs w:val="21"/>
                <w:highlight w:val="none"/>
              </w:rPr>
            </w:pPr>
          </w:p>
        </w:tc>
      </w:tr>
      <w:tr w14:paraId="1B7E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58759538">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4FE2B656">
            <w:pPr>
              <w:spacing w:line="340" w:lineRule="exact"/>
              <w:rPr>
                <w:rFonts w:ascii="宋体" w:hAnsi="宋体"/>
                <w:color w:val="auto"/>
                <w:szCs w:val="21"/>
                <w:highlight w:val="none"/>
              </w:rPr>
            </w:pPr>
            <w:r>
              <w:rPr>
                <w:rFonts w:hint="eastAsia" w:ascii="宋体" w:hAnsi="宋体"/>
                <w:color w:val="auto"/>
                <w:szCs w:val="21"/>
                <w:highlight w:val="none"/>
              </w:rPr>
              <w:t>2  ……</w:t>
            </w:r>
          </w:p>
          <w:p w14:paraId="4615B51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7F1F0A2C">
            <w:pPr>
              <w:spacing w:line="340" w:lineRule="exact"/>
              <w:rPr>
                <w:rFonts w:ascii="宋体" w:hAnsi="宋体"/>
                <w:color w:val="auto"/>
                <w:szCs w:val="21"/>
                <w:highlight w:val="none"/>
              </w:rPr>
            </w:pPr>
            <w:r>
              <w:rPr>
                <w:rFonts w:hint="eastAsia" w:ascii="宋体" w:hAnsi="宋体"/>
                <w:color w:val="auto"/>
                <w:szCs w:val="21"/>
                <w:highlight w:val="none"/>
              </w:rPr>
              <w:t>2  ……</w:t>
            </w:r>
          </w:p>
          <w:p w14:paraId="0616C462">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27806A0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337B808">
            <w:pPr>
              <w:spacing w:line="300" w:lineRule="exact"/>
              <w:rPr>
                <w:rFonts w:ascii="宋体" w:hAnsi="宋体"/>
                <w:color w:val="auto"/>
                <w:szCs w:val="21"/>
                <w:highlight w:val="none"/>
              </w:rPr>
            </w:pPr>
          </w:p>
        </w:tc>
      </w:tr>
      <w:tr w14:paraId="09D8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right w:val="single" w:color="auto" w:sz="4" w:space="0"/>
            </w:tcBorders>
            <w:noWrap/>
          </w:tcPr>
          <w:p w14:paraId="09D8803C">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B81200F">
            <w:pPr>
              <w:spacing w:line="340" w:lineRule="exact"/>
              <w:rPr>
                <w:rFonts w:ascii="宋体" w:hAnsi="宋体"/>
                <w:color w:val="auto"/>
                <w:szCs w:val="21"/>
                <w:highlight w:val="none"/>
              </w:rPr>
            </w:pPr>
            <w:r>
              <w:rPr>
                <w:rFonts w:hint="eastAsia" w:ascii="宋体" w:hAnsi="宋体"/>
                <w:color w:val="auto"/>
                <w:szCs w:val="21"/>
                <w:highlight w:val="none"/>
              </w:rPr>
              <w:t>3  ……</w:t>
            </w:r>
          </w:p>
          <w:p w14:paraId="07F48932">
            <w:pPr>
              <w:spacing w:line="340" w:lineRule="exact"/>
              <w:rPr>
                <w:rFonts w:ascii="宋体" w:hAnsi="宋体"/>
                <w:color w:val="auto"/>
                <w:szCs w:val="21"/>
                <w:highlight w:val="none"/>
              </w:rPr>
            </w:pPr>
          </w:p>
        </w:tc>
        <w:tc>
          <w:tcPr>
            <w:tcW w:w="1374" w:type="pct"/>
            <w:tcBorders>
              <w:left w:val="single" w:color="auto" w:sz="4" w:space="0"/>
              <w:right w:val="single" w:color="auto" w:sz="4" w:space="0"/>
            </w:tcBorders>
          </w:tcPr>
          <w:p w14:paraId="57F60212">
            <w:pPr>
              <w:spacing w:line="340" w:lineRule="exact"/>
              <w:rPr>
                <w:rFonts w:ascii="宋体" w:hAnsi="宋体"/>
                <w:color w:val="auto"/>
                <w:szCs w:val="21"/>
                <w:highlight w:val="none"/>
              </w:rPr>
            </w:pPr>
            <w:r>
              <w:rPr>
                <w:rFonts w:hint="eastAsia" w:ascii="宋体" w:hAnsi="宋体"/>
                <w:color w:val="auto"/>
                <w:szCs w:val="21"/>
                <w:highlight w:val="none"/>
              </w:rPr>
              <w:t>3  ……</w:t>
            </w:r>
          </w:p>
          <w:p w14:paraId="0F35482E">
            <w:pPr>
              <w:spacing w:line="300" w:lineRule="exact"/>
              <w:rPr>
                <w:rFonts w:ascii="宋体" w:hAnsi="宋体"/>
                <w:color w:val="auto"/>
                <w:szCs w:val="21"/>
                <w:highlight w:val="none"/>
              </w:rPr>
            </w:pPr>
          </w:p>
        </w:tc>
        <w:tc>
          <w:tcPr>
            <w:tcW w:w="1279" w:type="pct"/>
            <w:tcBorders>
              <w:left w:val="single" w:color="auto" w:sz="4" w:space="0"/>
              <w:right w:val="single" w:color="auto" w:sz="4" w:space="0"/>
            </w:tcBorders>
          </w:tcPr>
          <w:p w14:paraId="6D0E109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B8EF5C5">
            <w:pPr>
              <w:spacing w:line="300" w:lineRule="exact"/>
              <w:rPr>
                <w:rFonts w:ascii="宋体" w:hAnsi="宋体"/>
                <w:color w:val="auto"/>
                <w:szCs w:val="21"/>
                <w:highlight w:val="none"/>
              </w:rPr>
            </w:pPr>
          </w:p>
        </w:tc>
      </w:tr>
      <w:tr w14:paraId="4E7D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364" w:type="pct"/>
            <w:vMerge w:val="continue"/>
            <w:tcBorders>
              <w:left w:val="single" w:color="auto" w:sz="4" w:space="0"/>
              <w:bottom w:val="single" w:color="auto" w:sz="4" w:space="0"/>
              <w:right w:val="single" w:color="auto" w:sz="4" w:space="0"/>
            </w:tcBorders>
            <w:noWrap/>
          </w:tcPr>
          <w:p w14:paraId="2F3F90D2">
            <w:pPr>
              <w:spacing w:line="340" w:lineRule="exact"/>
              <w:rPr>
                <w:rFonts w:ascii="宋体" w:hAnsi="宋体"/>
                <w:color w:val="auto"/>
                <w:szCs w:val="21"/>
                <w:highlight w:val="none"/>
              </w:rPr>
            </w:pPr>
          </w:p>
        </w:tc>
        <w:tc>
          <w:tcPr>
            <w:tcW w:w="1981" w:type="pct"/>
            <w:tcBorders>
              <w:top w:val="single" w:color="auto" w:sz="4" w:space="0"/>
              <w:left w:val="single" w:color="auto" w:sz="4" w:space="0"/>
              <w:bottom w:val="single" w:color="auto" w:sz="4" w:space="0"/>
              <w:right w:val="single" w:color="auto" w:sz="4" w:space="0"/>
            </w:tcBorders>
            <w:noWrap/>
          </w:tcPr>
          <w:p w14:paraId="26E70055">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374" w:type="pct"/>
            <w:tcBorders>
              <w:left w:val="single" w:color="auto" w:sz="4" w:space="0"/>
              <w:bottom w:val="single" w:color="auto" w:sz="4" w:space="0"/>
              <w:right w:val="single" w:color="auto" w:sz="4" w:space="0"/>
            </w:tcBorders>
          </w:tcPr>
          <w:p w14:paraId="52E21DEA">
            <w:pPr>
              <w:spacing w:line="300" w:lineRule="exact"/>
              <w:rPr>
                <w:rFonts w:ascii="宋体" w:hAnsi="宋体"/>
                <w:color w:val="auto"/>
                <w:szCs w:val="21"/>
                <w:highlight w:val="none"/>
              </w:rPr>
            </w:pPr>
            <w:r>
              <w:rPr>
                <w:rFonts w:hint="eastAsia" w:ascii="宋体" w:hAnsi="宋体"/>
                <w:color w:val="auto"/>
                <w:szCs w:val="21"/>
                <w:highlight w:val="none"/>
              </w:rPr>
              <w:t>……</w:t>
            </w:r>
          </w:p>
        </w:tc>
        <w:tc>
          <w:tcPr>
            <w:tcW w:w="1279" w:type="pct"/>
            <w:tcBorders>
              <w:left w:val="single" w:color="auto" w:sz="4" w:space="0"/>
              <w:bottom w:val="single" w:color="auto" w:sz="4" w:space="0"/>
              <w:right w:val="single" w:color="auto" w:sz="4" w:space="0"/>
            </w:tcBorders>
          </w:tcPr>
          <w:p w14:paraId="74AABB6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8F30BA0">
            <w:pPr>
              <w:spacing w:line="300" w:lineRule="exact"/>
              <w:rPr>
                <w:rFonts w:ascii="宋体" w:hAnsi="宋体"/>
                <w:color w:val="auto"/>
                <w:szCs w:val="21"/>
                <w:highlight w:val="none"/>
              </w:rPr>
            </w:pPr>
          </w:p>
        </w:tc>
      </w:tr>
      <w:tr w14:paraId="6B44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000" w:type="pct"/>
            <w:gridSpan w:val="4"/>
            <w:tcBorders>
              <w:top w:val="single" w:color="auto" w:sz="4" w:space="0"/>
              <w:left w:val="single" w:color="auto" w:sz="4" w:space="0"/>
              <w:bottom w:val="single" w:color="auto" w:sz="4" w:space="0"/>
              <w:right w:val="single" w:color="auto" w:sz="4" w:space="0"/>
            </w:tcBorders>
            <w:noWrap/>
          </w:tcPr>
          <w:p w14:paraId="3D3D98E7">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标项（此处有标项时填写具体标项号，无标项时填写“无”）</w:t>
            </w:r>
          </w:p>
        </w:tc>
      </w:tr>
    </w:tbl>
    <w:p w14:paraId="68F713D4">
      <w:pPr>
        <w:spacing w:line="400" w:lineRule="exact"/>
        <w:rPr>
          <w:rFonts w:ascii="宋体" w:hAnsi="宋体" w:cs="仿宋_GB2312"/>
          <w:color w:val="auto"/>
          <w:sz w:val="24"/>
          <w:highlight w:val="none"/>
        </w:rPr>
      </w:pPr>
      <w:r>
        <w:rPr>
          <w:rFonts w:hint="eastAsia" w:ascii="宋体" w:hAnsi="宋体" w:cs="仿宋_GB2312"/>
          <w:color w:val="auto"/>
          <w:sz w:val="24"/>
          <w:highlight w:val="none"/>
        </w:rPr>
        <w:t>注：</w:t>
      </w:r>
    </w:p>
    <w:p w14:paraId="035E9693">
      <w:pPr>
        <w:spacing w:line="400" w:lineRule="exact"/>
        <w:rPr>
          <w:rFonts w:ascii="宋体" w:hAnsi="宋体" w:cs="仿宋_GB2312"/>
          <w:color w:val="auto"/>
          <w:sz w:val="24"/>
          <w:highlight w:val="none"/>
        </w:rPr>
      </w:pPr>
      <w:r>
        <w:rPr>
          <w:rFonts w:hint="eastAsia" w:ascii="宋体" w:hAnsi="宋体" w:cs="仿宋_GB2312"/>
          <w:color w:val="auto"/>
          <w:sz w:val="24"/>
          <w:highlight w:val="none"/>
        </w:rPr>
        <w:t>1.说明：应对照磋商文件“第二章 采购需求”中的商务条款逐条作出明确响应，并作出偏离说明。</w:t>
      </w:r>
    </w:p>
    <w:p w14:paraId="389447BE">
      <w:pPr>
        <w:spacing w:line="400" w:lineRule="exact"/>
        <w:rPr>
          <w:rFonts w:ascii="宋体" w:hAnsi="宋体" w:cs="仿宋_GB2312"/>
          <w:color w:val="auto"/>
          <w:sz w:val="24"/>
          <w:highlight w:val="none"/>
        </w:rPr>
      </w:pPr>
      <w:r>
        <w:rPr>
          <w:rFonts w:hint="eastAsia" w:ascii="宋体" w:hAnsi="宋体" w:cs="仿宋_GB2312"/>
          <w:color w:val="auto"/>
          <w:sz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11D9CCFB">
      <w:pPr>
        <w:spacing w:line="400" w:lineRule="exact"/>
        <w:rPr>
          <w:rFonts w:ascii="宋体" w:hAnsi="宋体" w:cs="仿宋_GB2312"/>
          <w:color w:val="auto"/>
          <w:kern w:val="0"/>
          <w:sz w:val="24"/>
          <w:highlight w:val="none"/>
        </w:rPr>
      </w:pPr>
      <w:r>
        <w:rPr>
          <w:rFonts w:hint="eastAsia" w:ascii="宋体" w:hAnsi="宋体" w:cs="仿宋_GB2312"/>
          <w:color w:val="auto"/>
          <w:kern w:val="0"/>
          <w:sz w:val="24"/>
          <w:highlight w:val="none"/>
        </w:rPr>
        <w:t>3.表格内容均需按要求填写，不得留空，否则按竞标无效处理。</w:t>
      </w:r>
    </w:p>
    <w:p w14:paraId="09501980">
      <w:pPr>
        <w:pStyle w:val="12"/>
        <w:spacing w:line="400" w:lineRule="exact"/>
        <w:rPr>
          <w:rFonts w:hAnsi="宋体" w:cs="仿宋_GB2312"/>
          <w:color w:val="auto"/>
          <w:sz w:val="24"/>
          <w:highlight w:val="none"/>
        </w:rPr>
      </w:pPr>
      <w:r>
        <w:rPr>
          <w:rFonts w:hint="eastAsia" w:hAnsi="宋体" w:cs="仿宋_GB2312"/>
          <w:color w:val="auto"/>
          <w:sz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252978A0">
      <w:pPr>
        <w:spacing w:line="360" w:lineRule="auto"/>
        <w:ind w:firstLine="3840" w:firstLineChars="1600"/>
        <w:rPr>
          <w:rFonts w:ascii="宋体" w:hAnsi="宋体" w:cs="仿宋_GB2312"/>
          <w:color w:val="auto"/>
          <w:sz w:val="24"/>
          <w:highlight w:val="none"/>
        </w:rPr>
      </w:pPr>
      <w:r>
        <w:rPr>
          <w:rFonts w:hint="eastAsia" w:ascii="仿宋_GB2312" w:hAnsi="仿宋" w:eastAsia="仿宋_GB2312" w:cs="仿宋_GB2312"/>
          <w:color w:val="auto"/>
          <w:kern w:val="0"/>
          <w:sz w:val="24"/>
          <w:highlight w:val="none"/>
        </w:rPr>
        <w:t>供应商名称（电子签章）：</w:t>
      </w:r>
    </w:p>
    <w:p w14:paraId="78D79963">
      <w:pPr>
        <w:spacing w:line="360" w:lineRule="auto"/>
        <w:jc w:val="center"/>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798CD796">
      <w:pPr>
        <w:spacing w:line="360" w:lineRule="auto"/>
        <w:jc w:val="center"/>
        <w:rPr>
          <w:rFonts w:ascii="宋体" w:hAnsi="宋体" w:cs="仿宋_GB2312"/>
          <w:b/>
          <w:color w:val="auto"/>
          <w:sz w:val="24"/>
          <w:highlight w:val="none"/>
        </w:rPr>
      </w:pPr>
      <w:r>
        <w:rPr>
          <w:rFonts w:hint="eastAsia" w:ascii="仿宋_GB2312" w:hAnsi="仿宋" w:eastAsia="仿宋_GB2312" w:cs="仿宋_GB2312"/>
          <w:color w:val="auto"/>
          <w:kern w:val="0"/>
          <w:sz w:val="24"/>
          <w:highlight w:val="none"/>
          <w:lang w:val="zh-CN"/>
        </w:rPr>
        <w:t xml:space="preserve">                                                 日期：  年  月   日</w:t>
      </w:r>
    </w:p>
    <w:p w14:paraId="703F6E41">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五、竞标人情况介绍</w:t>
      </w:r>
    </w:p>
    <w:p w14:paraId="06001383">
      <w:pPr>
        <w:snapToGrid w:val="0"/>
        <w:spacing w:line="360" w:lineRule="auto"/>
        <w:ind w:firstLine="602" w:firstLineChars="200"/>
        <w:rPr>
          <w:rFonts w:ascii="仿宋" w:hAnsi="仿宋" w:eastAsia="仿宋" w:cs="仿宋_GB2312"/>
          <w:b/>
          <w:color w:val="auto"/>
          <w:sz w:val="30"/>
          <w:szCs w:val="30"/>
          <w:highlight w:val="none"/>
        </w:rPr>
      </w:pPr>
    </w:p>
    <w:p w14:paraId="0D9C8411">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717A2F7">
      <w:pPr>
        <w:autoSpaceDE w:val="0"/>
        <w:autoSpaceDN w:val="0"/>
        <w:spacing w:line="360" w:lineRule="auto"/>
        <w:jc w:val="right"/>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26C40E6E">
      <w:pPr>
        <w:snapToGrid w:val="0"/>
        <w:spacing w:before="120" w:beforeLines="50" w:after="50"/>
        <w:ind w:firstLine="602" w:firstLineChars="200"/>
        <w:rPr>
          <w:rFonts w:ascii="仿宋" w:hAnsi="仿宋" w:eastAsia="仿宋" w:cs="仿宋_GB2312"/>
          <w:b/>
          <w:color w:val="auto"/>
          <w:sz w:val="30"/>
          <w:szCs w:val="30"/>
          <w:highlight w:val="none"/>
        </w:rPr>
      </w:pPr>
    </w:p>
    <w:p w14:paraId="2648DD80">
      <w:pPr>
        <w:snapToGrid w:val="0"/>
        <w:spacing w:before="120" w:beforeLines="50" w:after="50"/>
        <w:ind w:firstLine="602" w:firstLineChars="200"/>
        <w:rPr>
          <w:rFonts w:ascii="仿宋" w:hAnsi="仿宋" w:eastAsia="仿宋" w:cs="仿宋_GB2312"/>
          <w:b/>
          <w:color w:val="auto"/>
          <w:sz w:val="30"/>
          <w:szCs w:val="30"/>
          <w:highlight w:val="none"/>
        </w:rPr>
      </w:pPr>
    </w:p>
    <w:p w14:paraId="18B44AEB">
      <w:pPr>
        <w:snapToGrid w:val="0"/>
        <w:spacing w:before="120" w:beforeLines="50" w:after="50"/>
        <w:ind w:firstLine="602" w:firstLineChars="200"/>
        <w:rPr>
          <w:rFonts w:ascii="仿宋" w:hAnsi="仿宋" w:eastAsia="仿宋" w:cs="仿宋_GB2312"/>
          <w:b/>
          <w:color w:val="auto"/>
          <w:sz w:val="30"/>
          <w:szCs w:val="30"/>
          <w:highlight w:val="none"/>
        </w:rPr>
      </w:pPr>
    </w:p>
    <w:p w14:paraId="4EC13B31">
      <w:pPr>
        <w:snapToGrid w:val="0"/>
        <w:spacing w:before="120" w:beforeLines="50" w:after="50"/>
        <w:ind w:firstLine="602" w:firstLineChars="200"/>
        <w:rPr>
          <w:rFonts w:ascii="仿宋" w:hAnsi="仿宋" w:eastAsia="仿宋" w:cs="仿宋_GB2312"/>
          <w:b/>
          <w:color w:val="auto"/>
          <w:sz w:val="30"/>
          <w:szCs w:val="30"/>
          <w:highlight w:val="none"/>
        </w:rPr>
      </w:pPr>
    </w:p>
    <w:p w14:paraId="615D6269">
      <w:pPr>
        <w:snapToGrid w:val="0"/>
        <w:spacing w:before="120" w:beforeLines="50" w:after="50"/>
        <w:ind w:firstLine="602" w:firstLineChars="200"/>
        <w:rPr>
          <w:rFonts w:ascii="仿宋" w:hAnsi="仿宋" w:eastAsia="仿宋" w:cs="仿宋_GB2312"/>
          <w:b/>
          <w:color w:val="auto"/>
          <w:sz w:val="30"/>
          <w:szCs w:val="30"/>
          <w:highlight w:val="none"/>
        </w:rPr>
      </w:pPr>
    </w:p>
    <w:p w14:paraId="517B8D03">
      <w:pPr>
        <w:snapToGrid w:val="0"/>
        <w:spacing w:before="120" w:beforeLines="50" w:after="50"/>
        <w:ind w:firstLine="602" w:firstLineChars="200"/>
        <w:rPr>
          <w:rFonts w:ascii="仿宋" w:hAnsi="仿宋" w:eastAsia="仿宋" w:cs="仿宋_GB2312"/>
          <w:b/>
          <w:color w:val="auto"/>
          <w:sz w:val="30"/>
          <w:szCs w:val="30"/>
          <w:highlight w:val="none"/>
        </w:rPr>
      </w:pPr>
    </w:p>
    <w:p w14:paraId="2E2ED332">
      <w:pPr>
        <w:snapToGrid w:val="0"/>
        <w:spacing w:before="120" w:beforeLines="50" w:after="50"/>
        <w:ind w:firstLine="602" w:firstLineChars="200"/>
        <w:rPr>
          <w:rFonts w:ascii="仿宋" w:hAnsi="仿宋" w:eastAsia="仿宋" w:cs="仿宋_GB2312"/>
          <w:b/>
          <w:color w:val="auto"/>
          <w:sz w:val="30"/>
          <w:szCs w:val="30"/>
          <w:highlight w:val="none"/>
        </w:rPr>
      </w:pPr>
    </w:p>
    <w:p w14:paraId="311D4E9E">
      <w:pPr>
        <w:snapToGrid w:val="0"/>
        <w:spacing w:before="120" w:beforeLines="50" w:after="50"/>
        <w:ind w:firstLine="602" w:firstLineChars="200"/>
        <w:rPr>
          <w:rFonts w:ascii="仿宋" w:hAnsi="仿宋" w:eastAsia="仿宋" w:cs="仿宋_GB2312"/>
          <w:b/>
          <w:color w:val="auto"/>
          <w:sz w:val="30"/>
          <w:szCs w:val="30"/>
          <w:highlight w:val="none"/>
        </w:rPr>
      </w:pPr>
    </w:p>
    <w:p w14:paraId="15CE71A4">
      <w:pPr>
        <w:snapToGrid w:val="0"/>
        <w:spacing w:before="120" w:beforeLines="50" w:after="50"/>
        <w:ind w:firstLine="602" w:firstLineChars="200"/>
        <w:rPr>
          <w:rFonts w:ascii="仿宋" w:hAnsi="仿宋" w:eastAsia="仿宋" w:cs="仿宋_GB2312"/>
          <w:b/>
          <w:color w:val="auto"/>
          <w:sz w:val="30"/>
          <w:szCs w:val="30"/>
          <w:highlight w:val="none"/>
        </w:rPr>
      </w:pPr>
    </w:p>
    <w:p w14:paraId="47851C26">
      <w:pPr>
        <w:snapToGrid w:val="0"/>
        <w:spacing w:before="120" w:beforeLines="50" w:after="50"/>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六、供应商类似的业绩证明文件</w:t>
      </w:r>
    </w:p>
    <w:tbl>
      <w:tblPr>
        <w:tblStyle w:val="23"/>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45"/>
        <w:gridCol w:w="1660"/>
        <w:gridCol w:w="1020"/>
        <w:gridCol w:w="1020"/>
        <w:gridCol w:w="1531"/>
        <w:gridCol w:w="1154"/>
        <w:gridCol w:w="1659"/>
      </w:tblGrid>
      <w:tr w14:paraId="2C57D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670" w:type="pct"/>
            <w:vMerge w:val="restart"/>
            <w:tcBorders>
              <w:top w:val="single" w:color="auto" w:sz="4" w:space="0"/>
              <w:left w:val="single" w:color="auto" w:sz="4" w:space="0"/>
              <w:bottom w:val="single" w:color="auto" w:sz="4" w:space="0"/>
              <w:right w:val="single" w:color="auto" w:sz="4" w:space="0"/>
            </w:tcBorders>
            <w:vAlign w:val="center"/>
          </w:tcPr>
          <w:p w14:paraId="291AEA84">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893" w:type="pct"/>
            <w:vMerge w:val="restart"/>
            <w:tcBorders>
              <w:top w:val="single" w:color="auto" w:sz="4" w:space="0"/>
              <w:left w:val="single" w:color="auto" w:sz="4" w:space="0"/>
              <w:bottom w:val="single" w:color="auto" w:sz="4" w:space="0"/>
              <w:right w:val="single" w:color="auto" w:sz="4" w:space="0"/>
            </w:tcBorders>
            <w:vAlign w:val="center"/>
          </w:tcPr>
          <w:p w14:paraId="45BB27E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549" w:type="pct"/>
            <w:vMerge w:val="restart"/>
            <w:tcBorders>
              <w:top w:val="single" w:color="auto" w:sz="4" w:space="0"/>
              <w:left w:val="single" w:color="auto" w:sz="4" w:space="0"/>
              <w:bottom w:val="single" w:color="auto" w:sz="4" w:space="0"/>
              <w:right w:val="single" w:color="auto" w:sz="4" w:space="0"/>
            </w:tcBorders>
            <w:vAlign w:val="center"/>
          </w:tcPr>
          <w:p w14:paraId="491775DB">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p w14:paraId="096A672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金额</w:t>
            </w:r>
          </w:p>
          <w:p w14:paraId="125EFF81">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994" w:type="pct"/>
            <w:gridSpan w:val="3"/>
            <w:tcBorders>
              <w:top w:val="single" w:color="auto" w:sz="4" w:space="0"/>
              <w:left w:val="single" w:color="auto" w:sz="4" w:space="0"/>
              <w:bottom w:val="single" w:color="auto" w:sz="4" w:space="0"/>
              <w:right w:val="single" w:color="auto" w:sz="4" w:space="0"/>
            </w:tcBorders>
            <w:vAlign w:val="center"/>
          </w:tcPr>
          <w:p w14:paraId="479B8080">
            <w:pPr>
              <w:snapToGrid w:val="0"/>
              <w:spacing w:line="240" w:lineRule="exact"/>
              <w:jc w:val="center"/>
              <w:rPr>
                <w:rFonts w:ascii="宋体" w:hAnsi="宋体"/>
                <w:color w:val="auto"/>
                <w:sz w:val="24"/>
                <w:highlight w:val="none"/>
              </w:rPr>
            </w:pPr>
            <w:r>
              <w:rPr>
                <w:rFonts w:hint="eastAsia" w:ascii="宋体" w:hAnsi="宋体"/>
                <w:color w:val="auto"/>
                <w:sz w:val="24"/>
                <w:highlight w:val="none"/>
              </w:rPr>
              <w:t>附件在响应文件中页码</w:t>
            </w:r>
          </w:p>
        </w:tc>
        <w:tc>
          <w:tcPr>
            <w:tcW w:w="892" w:type="pct"/>
            <w:vMerge w:val="restart"/>
            <w:tcBorders>
              <w:top w:val="single" w:color="auto" w:sz="4" w:space="0"/>
              <w:left w:val="single" w:color="auto" w:sz="4" w:space="0"/>
              <w:bottom w:val="single" w:color="auto" w:sz="4" w:space="0"/>
              <w:right w:val="single" w:color="auto" w:sz="4" w:space="0"/>
            </w:tcBorders>
            <w:vAlign w:val="center"/>
          </w:tcPr>
          <w:p w14:paraId="0B97767B">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6AEBF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670" w:type="pct"/>
            <w:vMerge w:val="continue"/>
            <w:tcBorders>
              <w:top w:val="single" w:color="auto" w:sz="4" w:space="0"/>
              <w:left w:val="single" w:color="auto" w:sz="4" w:space="0"/>
              <w:bottom w:val="single" w:color="auto" w:sz="4" w:space="0"/>
              <w:right w:val="single" w:color="auto" w:sz="4" w:space="0"/>
            </w:tcBorders>
            <w:vAlign w:val="center"/>
          </w:tcPr>
          <w:p w14:paraId="128B62DF">
            <w:pPr>
              <w:widowControl/>
              <w:jc w:val="left"/>
              <w:rPr>
                <w:rFonts w:ascii="宋体" w:hAnsi="宋体"/>
                <w:color w:val="auto"/>
                <w:sz w:val="24"/>
                <w:highlight w:val="none"/>
              </w:rPr>
            </w:pP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2C531893">
            <w:pPr>
              <w:widowControl/>
              <w:jc w:val="left"/>
              <w:rPr>
                <w:rFonts w:ascii="宋体" w:hAnsi="宋体"/>
                <w:color w:val="auto"/>
                <w:sz w:val="24"/>
                <w:highlight w:val="none"/>
              </w:rPr>
            </w:pPr>
          </w:p>
        </w:tc>
        <w:tc>
          <w:tcPr>
            <w:tcW w:w="549" w:type="pct"/>
            <w:vMerge w:val="continue"/>
            <w:tcBorders>
              <w:top w:val="single" w:color="auto" w:sz="4" w:space="0"/>
              <w:left w:val="single" w:color="auto" w:sz="4" w:space="0"/>
              <w:bottom w:val="single" w:color="auto" w:sz="4" w:space="0"/>
              <w:right w:val="single" w:color="auto" w:sz="4" w:space="0"/>
            </w:tcBorders>
            <w:vAlign w:val="center"/>
          </w:tcPr>
          <w:p w14:paraId="340BC3F6">
            <w:pPr>
              <w:widowControl/>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vAlign w:val="center"/>
          </w:tcPr>
          <w:p w14:paraId="5872A238">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tc>
        <w:tc>
          <w:tcPr>
            <w:tcW w:w="824" w:type="pct"/>
            <w:tcBorders>
              <w:top w:val="single" w:color="auto" w:sz="4" w:space="0"/>
              <w:left w:val="single" w:color="auto" w:sz="4" w:space="0"/>
              <w:bottom w:val="single" w:color="auto" w:sz="4" w:space="0"/>
              <w:right w:val="single" w:color="auto" w:sz="4" w:space="0"/>
            </w:tcBorders>
            <w:vAlign w:val="center"/>
          </w:tcPr>
          <w:p w14:paraId="4623988D">
            <w:pPr>
              <w:snapToGrid w:val="0"/>
              <w:spacing w:line="240" w:lineRule="exact"/>
              <w:jc w:val="center"/>
              <w:rPr>
                <w:rFonts w:ascii="宋体" w:hAnsi="宋体"/>
                <w:color w:val="auto"/>
                <w:sz w:val="24"/>
                <w:highlight w:val="none"/>
              </w:rPr>
            </w:pPr>
            <w:r>
              <w:rPr>
                <w:rFonts w:hint="eastAsia" w:ascii="宋体" w:hAnsi="宋体"/>
                <w:color w:val="auto"/>
                <w:sz w:val="24"/>
                <w:highlight w:val="none"/>
              </w:rPr>
              <w:t>验收报告</w:t>
            </w:r>
          </w:p>
        </w:tc>
        <w:tc>
          <w:tcPr>
            <w:tcW w:w="620" w:type="pct"/>
            <w:tcBorders>
              <w:top w:val="single" w:color="auto" w:sz="4" w:space="0"/>
              <w:left w:val="single" w:color="auto" w:sz="4" w:space="0"/>
              <w:bottom w:val="single" w:color="auto" w:sz="4" w:space="0"/>
              <w:right w:val="single" w:color="auto" w:sz="4" w:space="0"/>
            </w:tcBorders>
            <w:vAlign w:val="center"/>
          </w:tcPr>
          <w:p w14:paraId="02777803">
            <w:pPr>
              <w:snapToGrid w:val="0"/>
              <w:spacing w:line="240" w:lineRule="exact"/>
              <w:jc w:val="center"/>
              <w:rPr>
                <w:rFonts w:ascii="宋体" w:hAnsi="宋体"/>
                <w:color w:val="auto"/>
                <w:sz w:val="24"/>
                <w:highlight w:val="none"/>
              </w:rPr>
            </w:pPr>
            <w:r>
              <w:rPr>
                <w:rFonts w:hint="eastAsia" w:ascii="宋体" w:hAnsi="宋体"/>
                <w:color w:val="auto"/>
                <w:sz w:val="24"/>
                <w:highlight w:val="none"/>
              </w:rPr>
              <w:t>用户评价</w:t>
            </w:r>
          </w:p>
        </w:tc>
        <w:tc>
          <w:tcPr>
            <w:tcW w:w="892" w:type="pct"/>
            <w:vMerge w:val="continue"/>
            <w:tcBorders>
              <w:top w:val="single" w:color="auto" w:sz="4" w:space="0"/>
              <w:left w:val="single" w:color="auto" w:sz="4" w:space="0"/>
              <w:bottom w:val="single" w:color="auto" w:sz="4" w:space="0"/>
              <w:right w:val="single" w:color="auto" w:sz="4" w:space="0"/>
            </w:tcBorders>
            <w:vAlign w:val="center"/>
          </w:tcPr>
          <w:p w14:paraId="5920DE3F">
            <w:pPr>
              <w:widowControl/>
              <w:jc w:val="left"/>
              <w:rPr>
                <w:rFonts w:ascii="宋体" w:hAnsi="宋体"/>
                <w:color w:val="auto"/>
                <w:sz w:val="24"/>
                <w:highlight w:val="none"/>
              </w:rPr>
            </w:pPr>
          </w:p>
        </w:tc>
      </w:tr>
      <w:tr w14:paraId="42350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70" w:type="pct"/>
            <w:tcBorders>
              <w:top w:val="single" w:color="auto" w:sz="4" w:space="0"/>
              <w:left w:val="single" w:color="auto" w:sz="4" w:space="0"/>
              <w:bottom w:val="single" w:color="auto" w:sz="4" w:space="0"/>
              <w:right w:val="single" w:color="auto" w:sz="4" w:space="0"/>
            </w:tcBorders>
          </w:tcPr>
          <w:p w14:paraId="043B2C70">
            <w:pPr>
              <w:snapToGrid w:val="0"/>
              <w:spacing w:line="24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48B03905">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5DD2C23">
            <w:pPr>
              <w:snapToGrid w:val="0"/>
              <w:spacing w:line="24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009904B">
            <w:pPr>
              <w:snapToGrid w:val="0"/>
              <w:spacing w:line="24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03F5923">
            <w:pPr>
              <w:snapToGrid w:val="0"/>
              <w:spacing w:line="24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3355D5DF">
            <w:pPr>
              <w:snapToGrid w:val="0"/>
              <w:spacing w:line="24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47322F0">
            <w:pPr>
              <w:snapToGrid w:val="0"/>
              <w:spacing w:line="240" w:lineRule="exact"/>
              <w:jc w:val="left"/>
              <w:rPr>
                <w:rFonts w:ascii="宋体" w:hAnsi="宋体"/>
                <w:color w:val="auto"/>
                <w:sz w:val="24"/>
                <w:highlight w:val="none"/>
              </w:rPr>
            </w:pPr>
          </w:p>
        </w:tc>
      </w:tr>
      <w:tr w14:paraId="1DD75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CCFAB81">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6BF4FB8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2E3B945">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6410F24">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0C8F7DB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0A0821B0">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4E700D1F">
            <w:pPr>
              <w:snapToGrid w:val="0"/>
              <w:spacing w:before="50" w:after="120" w:afterLines="50" w:line="400" w:lineRule="exact"/>
              <w:jc w:val="left"/>
              <w:rPr>
                <w:rFonts w:ascii="宋体" w:hAnsi="宋体"/>
                <w:color w:val="auto"/>
                <w:sz w:val="24"/>
                <w:highlight w:val="none"/>
              </w:rPr>
            </w:pPr>
          </w:p>
        </w:tc>
      </w:tr>
      <w:tr w14:paraId="609F3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0" w:hRule="atLeast"/>
        </w:trPr>
        <w:tc>
          <w:tcPr>
            <w:tcW w:w="670" w:type="pct"/>
            <w:tcBorders>
              <w:top w:val="single" w:color="auto" w:sz="4" w:space="0"/>
              <w:left w:val="single" w:color="auto" w:sz="4" w:space="0"/>
              <w:bottom w:val="single" w:color="auto" w:sz="4" w:space="0"/>
              <w:right w:val="single" w:color="auto" w:sz="4" w:space="0"/>
            </w:tcBorders>
          </w:tcPr>
          <w:p w14:paraId="45622FEB">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15BF25B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7EF6B0B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4B68A3E6">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1D624C96">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2496F2BC">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312169C9">
            <w:pPr>
              <w:snapToGrid w:val="0"/>
              <w:spacing w:before="50" w:after="120" w:afterLines="50" w:line="400" w:lineRule="exact"/>
              <w:jc w:val="left"/>
              <w:rPr>
                <w:rFonts w:ascii="宋体" w:hAnsi="宋体"/>
                <w:color w:val="auto"/>
                <w:sz w:val="24"/>
                <w:highlight w:val="none"/>
              </w:rPr>
            </w:pPr>
          </w:p>
        </w:tc>
      </w:tr>
      <w:tr w14:paraId="7464C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1E45BC2C">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0C57F1A8">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3B2E86F6">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2FE5A49F">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47C3B311">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714311A7">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722596CE">
            <w:pPr>
              <w:snapToGrid w:val="0"/>
              <w:spacing w:before="50" w:after="120" w:afterLines="50" w:line="400" w:lineRule="exact"/>
              <w:jc w:val="left"/>
              <w:rPr>
                <w:rFonts w:ascii="宋体" w:hAnsi="宋体"/>
                <w:color w:val="auto"/>
                <w:sz w:val="24"/>
                <w:highlight w:val="none"/>
              </w:rPr>
            </w:pPr>
          </w:p>
        </w:tc>
      </w:tr>
      <w:tr w14:paraId="605B4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0" w:type="pct"/>
            <w:tcBorders>
              <w:top w:val="single" w:color="auto" w:sz="4" w:space="0"/>
              <w:left w:val="single" w:color="auto" w:sz="4" w:space="0"/>
              <w:bottom w:val="single" w:color="auto" w:sz="4" w:space="0"/>
              <w:right w:val="single" w:color="auto" w:sz="4" w:space="0"/>
            </w:tcBorders>
          </w:tcPr>
          <w:p w14:paraId="40F84835">
            <w:pPr>
              <w:snapToGrid w:val="0"/>
              <w:spacing w:before="50" w:after="120" w:afterLines="50" w:line="400" w:lineRule="exact"/>
              <w:jc w:val="left"/>
              <w:rPr>
                <w:rFonts w:ascii="宋体" w:hAnsi="宋体"/>
                <w:color w:val="auto"/>
                <w:sz w:val="24"/>
                <w:highlight w:val="none"/>
              </w:rPr>
            </w:pPr>
          </w:p>
        </w:tc>
        <w:tc>
          <w:tcPr>
            <w:tcW w:w="893" w:type="pct"/>
            <w:tcBorders>
              <w:top w:val="single" w:color="auto" w:sz="4" w:space="0"/>
              <w:left w:val="single" w:color="auto" w:sz="4" w:space="0"/>
              <w:bottom w:val="single" w:color="auto" w:sz="4" w:space="0"/>
              <w:right w:val="single" w:color="auto" w:sz="4" w:space="0"/>
            </w:tcBorders>
          </w:tcPr>
          <w:p w14:paraId="76FC2BD4">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1DBAC960">
            <w:pPr>
              <w:snapToGrid w:val="0"/>
              <w:spacing w:before="50" w:after="120" w:afterLines="50" w:line="400" w:lineRule="exact"/>
              <w:jc w:val="left"/>
              <w:rPr>
                <w:rFonts w:ascii="宋体" w:hAnsi="宋体"/>
                <w:color w:val="auto"/>
                <w:sz w:val="24"/>
                <w:highlight w:val="none"/>
              </w:rPr>
            </w:pPr>
          </w:p>
        </w:tc>
        <w:tc>
          <w:tcPr>
            <w:tcW w:w="549" w:type="pct"/>
            <w:tcBorders>
              <w:top w:val="single" w:color="auto" w:sz="4" w:space="0"/>
              <w:left w:val="single" w:color="auto" w:sz="4" w:space="0"/>
              <w:bottom w:val="single" w:color="auto" w:sz="4" w:space="0"/>
              <w:right w:val="single" w:color="auto" w:sz="4" w:space="0"/>
            </w:tcBorders>
          </w:tcPr>
          <w:p w14:paraId="5EFD3A32">
            <w:pPr>
              <w:snapToGrid w:val="0"/>
              <w:spacing w:before="50" w:after="120" w:afterLines="50" w:line="400" w:lineRule="exact"/>
              <w:jc w:val="left"/>
              <w:rPr>
                <w:rFonts w:ascii="宋体" w:hAnsi="宋体"/>
                <w:color w:val="auto"/>
                <w:sz w:val="24"/>
                <w:highlight w:val="none"/>
              </w:rPr>
            </w:pPr>
          </w:p>
        </w:tc>
        <w:tc>
          <w:tcPr>
            <w:tcW w:w="824" w:type="pct"/>
            <w:tcBorders>
              <w:top w:val="single" w:color="auto" w:sz="4" w:space="0"/>
              <w:left w:val="single" w:color="auto" w:sz="4" w:space="0"/>
              <w:bottom w:val="single" w:color="auto" w:sz="4" w:space="0"/>
              <w:right w:val="single" w:color="auto" w:sz="4" w:space="0"/>
            </w:tcBorders>
          </w:tcPr>
          <w:p w14:paraId="252906D9">
            <w:pPr>
              <w:snapToGrid w:val="0"/>
              <w:spacing w:before="50" w:after="120" w:afterLines="50" w:line="400" w:lineRule="exact"/>
              <w:jc w:val="left"/>
              <w:rPr>
                <w:rFonts w:ascii="宋体" w:hAnsi="宋体"/>
                <w:color w:val="auto"/>
                <w:sz w:val="24"/>
                <w:highlight w:val="none"/>
              </w:rPr>
            </w:pPr>
          </w:p>
        </w:tc>
        <w:tc>
          <w:tcPr>
            <w:tcW w:w="620" w:type="pct"/>
            <w:tcBorders>
              <w:top w:val="single" w:color="auto" w:sz="4" w:space="0"/>
              <w:left w:val="single" w:color="auto" w:sz="4" w:space="0"/>
              <w:bottom w:val="single" w:color="auto" w:sz="4" w:space="0"/>
              <w:right w:val="single" w:color="auto" w:sz="4" w:space="0"/>
            </w:tcBorders>
          </w:tcPr>
          <w:p w14:paraId="5D2AC3B3">
            <w:pPr>
              <w:snapToGrid w:val="0"/>
              <w:spacing w:before="50" w:after="120" w:afterLines="50" w:line="400" w:lineRule="exact"/>
              <w:jc w:val="left"/>
              <w:rPr>
                <w:rFonts w:ascii="宋体" w:hAnsi="宋体"/>
                <w:color w:val="auto"/>
                <w:sz w:val="24"/>
                <w:highlight w:val="none"/>
              </w:rPr>
            </w:pPr>
          </w:p>
        </w:tc>
        <w:tc>
          <w:tcPr>
            <w:tcW w:w="892" w:type="pct"/>
            <w:tcBorders>
              <w:top w:val="single" w:color="auto" w:sz="4" w:space="0"/>
              <w:left w:val="single" w:color="auto" w:sz="4" w:space="0"/>
              <w:bottom w:val="single" w:color="auto" w:sz="4" w:space="0"/>
              <w:right w:val="single" w:color="auto" w:sz="4" w:space="0"/>
            </w:tcBorders>
          </w:tcPr>
          <w:p w14:paraId="0C2EA4F5">
            <w:pPr>
              <w:snapToGrid w:val="0"/>
              <w:spacing w:before="50" w:after="120" w:afterLines="50" w:line="400" w:lineRule="exact"/>
              <w:jc w:val="left"/>
              <w:rPr>
                <w:rFonts w:ascii="宋体" w:hAnsi="宋体"/>
                <w:color w:val="auto"/>
                <w:sz w:val="24"/>
                <w:highlight w:val="none"/>
              </w:rPr>
            </w:pPr>
          </w:p>
        </w:tc>
      </w:tr>
    </w:tbl>
    <w:p w14:paraId="26F87418">
      <w:pPr>
        <w:pStyle w:val="17"/>
        <w:snapToGrid w:val="0"/>
        <w:ind w:left="480" w:hanging="480"/>
        <w:rPr>
          <w:rFonts w:ascii="宋体" w:hAnsi="宋体"/>
          <w:color w:val="auto"/>
          <w:sz w:val="24"/>
          <w:highlight w:val="none"/>
        </w:rPr>
      </w:pPr>
    </w:p>
    <w:p w14:paraId="435192A9">
      <w:pPr>
        <w:pStyle w:val="17"/>
        <w:snapToGrid w:val="0"/>
        <w:ind w:left="480" w:hanging="480"/>
        <w:rPr>
          <w:rFonts w:ascii="宋体" w:hAnsi="宋体"/>
          <w:color w:val="auto"/>
          <w:sz w:val="24"/>
          <w:highlight w:val="none"/>
        </w:rPr>
      </w:pPr>
    </w:p>
    <w:p w14:paraId="0D42226C">
      <w:pPr>
        <w:pStyle w:val="17"/>
        <w:snapToGrid w:val="0"/>
        <w:ind w:left="480" w:hanging="480"/>
        <w:rPr>
          <w:rFonts w:ascii="宋体" w:hAnsi="宋体"/>
          <w:color w:val="auto"/>
          <w:sz w:val="24"/>
          <w:highlight w:val="none"/>
        </w:rPr>
      </w:pPr>
    </w:p>
    <w:p w14:paraId="775D20AF">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:相关项目业绩一览表（供应商同类项目合同复印件或中标通知书或单位经费分配单）</w:t>
      </w:r>
    </w:p>
    <w:p w14:paraId="7F1F27EC">
      <w:pPr>
        <w:pStyle w:val="12"/>
        <w:spacing w:line="360" w:lineRule="auto"/>
        <w:rPr>
          <w:color w:val="auto"/>
          <w:highlight w:val="none"/>
        </w:rPr>
      </w:pPr>
      <w:r>
        <w:rPr>
          <w:rFonts w:hint="eastAsia"/>
          <w:color w:val="auto"/>
          <w:highlight w:val="none"/>
        </w:rPr>
        <w:t>注：供应商可按上述的格式自行编制，须随表提交相应的合同复印件并注明所在供应商商务技术文件页码。</w:t>
      </w:r>
    </w:p>
    <w:p w14:paraId="7089A040">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000E01CA">
      <w:pPr>
        <w:snapToGrid w:val="0"/>
        <w:spacing w:line="360" w:lineRule="auto"/>
        <w:ind w:firstLine="4935" w:firstLineChars="2350"/>
        <w:rPr>
          <w:rFonts w:hAnsi="宋体"/>
          <w:color w:val="auto"/>
          <w:szCs w:val="21"/>
          <w:highlight w:val="none"/>
        </w:rPr>
      </w:pPr>
    </w:p>
    <w:p w14:paraId="56A8F14A">
      <w:pPr>
        <w:snapToGrid w:val="0"/>
        <w:spacing w:line="360" w:lineRule="auto"/>
        <w:ind w:left="4410" w:leftChars="2100" w:firstLine="5670" w:firstLineChars="27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7C21B744">
      <w:pPr>
        <w:spacing w:line="500" w:lineRule="exact"/>
        <w:jc w:val="center"/>
        <w:rPr>
          <w:rFonts w:ascii="仿宋_GB2312" w:hAnsi="仿宋_GB2312" w:eastAsia="仿宋_GB2312" w:cs="仿宋_GB2312"/>
          <w:color w:val="auto"/>
          <w:sz w:val="32"/>
          <w:szCs w:val="32"/>
          <w:highlight w:val="none"/>
        </w:rPr>
      </w:pPr>
      <w:r>
        <w:rPr>
          <w:rFonts w:hint="eastAsia" w:ascii="仿宋_GB2312" w:hAnsi="仿宋" w:eastAsia="仿宋_GB2312" w:cs="仿宋_GB2312"/>
          <w:color w:val="auto"/>
          <w:kern w:val="0"/>
          <w:sz w:val="24"/>
          <w:highlight w:val="none"/>
          <w:lang w:val="zh-CN"/>
        </w:rPr>
        <w:t xml:space="preserve">                                                   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0DD014A">
      <w:pPr>
        <w:widowControl/>
        <w:jc w:val="left"/>
        <w:rPr>
          <w:rFonts w:ascii="仿宋_GB2312" w:hAnsi="仿宋_GB2312" w:eastAsia="仿宋_GB2312" w:cs="仿宋_GB2312"/>
          <w:color w:val="auto"/>
          <w:sz w:val="32"/>
          <w:szCs w:val="32"/>
          <w:highlight w:val="none"/>
        </w:rPr>
        <w:sectPr>
          <w:pgSz w:w="11911" w:h="16838"/>
          <w:pgMar w:top="1417" w:right="1417" w:bottom="1417" w:left="1417" w:header="720" w:footer="720" w:gutter="0"/>
          <w:cols w:space="0" w:num="1"/>
        </w:sectPr>
      </w:pPr>
    </w:p>
    <w:p w14:paraId="73FBA91D">
      <w:pPr>
        <w:snapToGrid w:val="0"/>
        <w:spacing w:line="360" w:lineRule="auto"/>
        <w:ind w:firstLine="602" w:firstLineChars="200"/>
        <w:rPr>
          <w:rFonts w:ascii="仿宋_GB2312" w:hAnsi="仿宋_GB2312" w:eastAsia="仿宋_GB2312" w:cs="仿宋_GB2312"/>
          <w:color w:val="auto"/>
          <w:sz w:val="32"/>
          <w:szCs w:val="32"/>
          <w:highlight w:val="none"/>
        </w:rPr>
      </w:pPr>
      <w:r>
        <w:rPr>
          <w:rFonts w:hint="eastAsia" w:ascii="仿宋" w:hAnsi="仿宋" w:eastAsia="仿宋" w:cs="仿宋_GB2312"/>
          <w:b/>
          <w:color w:val="auto"/>
          <w:sz w:val="30"/>
          <w:szCs w:val="30"/>
          <w:highlight w:val="none"/>
        </w:rPr>
        <w:t>七、服务需求偏离表</w:t>
      </w:r>
    </w:p>
    <w:p w14:paraId="044B83D4">
      <w:pPr>
        <w:spacing w:line="500" w:lineRule="exact"/>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竞标产品服务需求偏离表</w:t>
      </w:r>
    </w:p>
    <w:p w14:paraId="5B2F4219">
      <w:pPr>
        <w:spacing w:line="50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(注：按采购需求具体条款修改)</w:t>
      </w:r>
    </w:p>
    <w:p w14:paraId="039ABA0C">
      <w:pPr>
        <w:spacing w:line="360" w:lineRule="auto"/>
        <w:jc w:val="left"/>
        <w:rPr>
          <w:rFonts w:ascii="宋体" w:hAnsi="宋体"/>
          <w:color w:val="auto"/>
          <w:sz w:val="24"/>
          <w:highlight w:val="none"/>
        </w:rPr>
      </w:pPr>
    </w:p>
    <w:p w14:paraId="468A458F">
      <w:pPr>
        <w:pStyle w:val="12"/>
        <w:spacing w:line="360" w:lineRule="auto"/>
        <w:rPr>
          <w:rFonts w:hAnsi="宋体" w:cs="仿宋_GB2312"/>
          <w:color w:val="auto"/>
          <w:sz w:val="24"/>
          <w:highlight w:val="none"/>
        </w:rPr>
      </w:pPr>
      <w:r>
        <w:rPr>
          <w:rFonts w:hint="eastAsia" w:hAnsi="宋体" w:cs="仿宋_GB2312"/>
          <w:color w:val="auto"/>
          <w:sz w:val="24"/>
          <w:highlight w:val="none"/>
        </w:rPr>
        <w:t>所竞标项：</w:t>
      </w:r>
      <w:r>
        <w:rPr>
          <w:rFonts w:hint="eastAsia" w:hAnsi="宋体" w:cs="仿宋_GB2312"/>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50AE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315372F1">
            <w:pPr>
              <w:rPr>
                <w:rFonts w:ascii="宋体" w:hAnsi="宋体"/>
                <w:color w:val="auto"/>
                <w:szCs w:val="21"/>
                <w:highlight w:val="none"/>
              </w:rPr>
            </w:pPr>
            <w:r>
              <w:rPr>
                <w:rFonts w:hint="eastAsia" w:ascii="宋体" w:hAnsi="宋体"/>
                <w:color w:val="auto"/>
                <w:szCs w:val="21"/>
                <w:highlight w:val="none"/>
              </w:rPr>
              <w:t>项号</w:t>
            </w:r>
          </w:p>
        </w:tc>
        <w:tc>
          <w:tcPr>
            <w:tcW w:w="3456" w:type="dxa"/>
            <w:gridSpan w:val="3"/>
            <w:tcBorders>
              <w:top w:val="single" w:color="auto" w:sz="4" w:space="0"/>
              <w:left w:val="single" w:color="auto" w:sz="4" w:space="0"/>
              <w:bottom w:val="single" w:color="auto" w:sz="4" w:space="0"/>
              <w:right w:val="single" w:color="auto" w:sz="4" w:space="0"/>
            </w:tcBorders>
            <w:vAlign w:val="center"/>
          </w:tcPr>
          <w:p w14:paraId="3751E25E">
            <w:pPr>
              <w:jc w:val="center"/>
              <w:rPr>
                <w:rFonts w:ascii="宋体" w:hAnsi="宋体"/>
                <w:color w:val="auto"/>
                <w:szCs w:val="21"/>
                <w:highlight w:val="none"/>
              </w:rPr>
            </w:pPr>
            <w:r>
              <w:rPr>
                <w:rFonts w:hint="eastAsia" w:ascii="宋体" w:hAnsi="宋体"/>
                <w:color w:val="auto"/>
                <w:szCs w:val="21"/>
                <w:highlight w:val="none"/>
              </w:rPr>
              <w:t>竞争性磋商采购文件需求</w:t>
            </w:r>
          </w:p>
        </w:tc>
        <w:tc>
          <w:tcPr>
            <w:tcW w:w="2946" w:type="dxa"/>
            <w:gridSpan w:val="3"/>
            <w:tcBorders>
              <w:top w:val="single" w:color="auto" w:sz="4" w:space="0"/>
              <w:left w:val="single" w:color="auto" w:sz="4" w:space="0"/>
              <w:bottom w:val="single" w:color="auto" w:sz="4" w:space="0"/>
              <w:right w:val="single" w:color="auto" w:sz="4" w:space="0"/>
            </w:tcBorders>
            <w:vAlign w:val="center"/>
          </w:tcPr>
          <w:p w14:paraId="6C5CF3FE">
            <w:pPr>
              <w:jc w:val="center"/>
              <w:rPr>
                <w:rFonts w:ascii="宋体" w:hAnsi="宋体"/>
                <w:color w:val="auto"/>
                <w:szCs w:val="21"/>
                <w:highlight w:val="none"/>
              </w:rPr>
            </w:pPr>
            <w:r>
              <w:rPr>
                <w:rFonts w:hint="eastAsia" w:ascii="宋体" w:hAnsi="宋体"/>
                <w:color w:val="auto"/>
                <w:szCs w:val="21"/>
                <w:highlight w:val="none"/>
              </w:rPr>
              <w:t>响应文件承诺</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14:paraId="7DE32C94">
            <w:pPr>
              <w:rPr>
                <w:rFonts w:ascii="宋体" w:hAnsi="宋体"/>
                <w:color w:val="auto"/>
                <w:szCs w:val="21"/>
                <w:highlight w:val="none"/>
              </w:rPr>
            </w:pPr>
            <w:r>
              <w:rPr>
                <w:rFonts w:hint="eastAsia" w:ascii="宋体" w:hAnsi="宋体"/>
                <w:color w:val="auto"/>
                <w:szCs w:val="21"/>
                <w:highlight w:val="none"/>
              </w:rPr>
              <w:t>偏离说明</w:t>
            </w:r>
          </w:p>
        </w:tc>
      </w:tr>
      <w:tr w14:paraId="104F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75889783">
            <w:pPr>
              <w:widowControl/>
              <w:jc w:val="left"/>
              <w:rPr>
                <w:rFonts w:ascii="宋体" w:hAnsi="宋体"/>
                <w:color w:val="auto"/>
                <w:szCs w:val="21"/>
                <w:highlight w:val="none"/>
              </w:rPr>
            </w:pPr>
          </w:p>
        </w:tc>
        <w:tc>
          <w:tcPr>
            <w:tcW w:w="1143" w:type="dxa"/>
            <w:tcBorders>
              <w:top w:val="single" w:color="auto" w:sz="4" w:space="0"/>
              <w:left w:val="single" w:color="auto" w:sz="4" w:space="0"/>
              <w:bottom w:val="single" w:color="auto" w:sz="4" w:space="0"/>
              <w:right w:val="single" w:color="auto" w:sz="4" w:space="0"/>
            </w:tcBorders>
            <w:vAlign w:val="center"/>
          </w:tcPr>
          <w:p w14:paraId="236318DD">
            <w:pPr>
              <w:rPr>
                <w:rFonts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14:paraId="01B7FA53">
            <w:pPr>
              <w:rPr>
                <w:rFonts w:ascii="宋体" w:hAnsi="宋体"/>
                <w:color w:val="auto"/>
                <w:szCs w:val="21"/>
                <w:highlight w:val="none"/>
              </w:rPr>
            </w:pPr>
            <w:r>
              <w:rPr>
                <w:rFonts w:hint="eastAsia" w:ascii="宋体" w:hAnsi="宋体"/>
                <w:color w:val="auto"/>
                <w:szCs w:val="21"/>
                <w:highlight w:val="none"/>
              </w:rPr>
              <w:t>数量</w:t>
            </w:r>
          </w:p>
        </w:tc>
        <w:tc>
          <w:tcPr>
            <w:tcW w:w="1577" w:type="dxa"/>
            <w:tcBorders>
              <w:top w:val="single" w:color="auto" w:sz="4" w:space="0"/>
              <w:left w:val="single" w:color="auto" w:sz="4" w:space="0"/>
              <w:bottom w:val="single" w:color="auto" w:sz="4" w:space="0"/>
              <w:right w:val="single" w:color="auto" w:sz="4" w:space="0"/>
            </w:tcBorders>
            <w:vAlign w:val="center"/>
          </w:tcPr>
          <w:p w14:paraId="1AD71637">
            <w:pPr>
              <w:rPr>
                <w:rFonts w:ascii="宋体" w:hAnsi="宋体"/>
                <w:color w:val="auto"/>
                <w:szCs w:val="21"/>
                <w:highlight w:val="none"/>
              </w:rPr>
            </w:pPr>
            <w:r>
              <w:rPr>
                <w:rFonts w:hint="eastAsia" w:ascii="宋体" w:hAnsi="宋体"/>
                <w:color w:val="auto"/>
                <w:szCs w:val="21"/>
                <w:highlight w:val="none"/>
              </w:rPr>
              <w:t>服务参数要求</w:t>
            </w:r>
          </w:p>
        </w:tc>
        <w:tc>
          <w:tcPr>
            <w:tcW w:w="1141" w:type="dxa"/>
            <w:tcBorders>
              <w:top w:val="single" w:color="auto" w:sz="4" w:space="0"/>
              <w:left w:val="single" w:color="auto" w:sz="4" w:space="0"/>
              <w:bottom w:val="single" w:color="auto" w:sz="4" w:space="0"/>
              <w:right w:val="single" w:color="auto" w:sz="4" w:space="0"/>
            </w:tcBorders>
            <w:vAlign w:val="center"/>
          </w:tcPr>
          <w:p w14:paraId="297FE07D">
            <w:pPr>
              <w:rPr>
                <w:rFonts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14:paraId="57442BBC">
            <w:pPr>
              <w:rPr>
                <w:rFonts w:ascii="宋体" w:hAnsi="宋体"/>
                <w:color w:val="auto"/>
                <w:szCs w:val="21"/>
                <w:highlight w:val="none"/>
              </w:rPr>
            </w:pPr>
            <w:r>
              <w:rPr>
                <w:rFonts w:hint="eastAsia" w:ascii="宋体" w:hAnsi="宋体"/>
                <w:color w:val="auto"/>
                <w:szCs w:val="21"/>
                <w:highlight w:val="none"/>
              </w:rPr>
              <w:t>数量</w:t>
            </w:r>
          </w:p>
        </w:tc>
        <w:tc>
          <w:tcPr>
            <w:tcW w:w="1147" w:type="dxa"/>
            <w:tcBorders>
              <w:top w:val="single" w:color="auto" w:sz="4" w:space="0"/>
              <w:left w:val="single" w:color="auto" w:sz="4" w:space="0"/>
              <w:bottom w:val="single" w:color="auto" w:sz="4" w:space="0"/>
              <w:right w:val="single" w:color="auto" w:sz="4" w:space="0"/>
            </w:tcBorders>
            <w:vAlign w:val="center"/>
          </w:tcPr>
          <w:p w14:paraId="3A001F22">
            <w:pPr>
              <w:rPr>
                <w:rFonts w:ascii="宋体" w:hAnsi="宋体"/>
                <w:color w:val="auto"/>
                <w:szCs w:val="21"/>
                <w:highlight w:val="none"/>
              </w:rPr>
            </w:pPr>
            <w:r>
              <w:rPr>
                <w:rFonts w:hint="eastAsia" w:ascii="宋体" w:hAnsi="宋体"/>
                <w:color w:val="auto"/>
                <w:szCs w:val="21"/>
                <w:highlight w:val="none"/>
              </w:rPr>
              <w:t>服务参数</w:t>
            </w:r>
          </w:p>
        </w:tc>
        <w:tc>
          <w:tcPr>
            <w:tcW w:w="1096" w:type="dxa"/>
            <w:vMerge w:val="continue"/>
            <w:tcBorders>
              <w:top w:val="single" w:color="auto" w:sz="4" w:space="0"/>
              <w:left w:val="single" w:color="auto" w:sz="4" w:space="0"/>
              <w:bottom w:val="single" w:color="auto" w:sz="4" w:space="0"/>
              <w:right w:val="single" w:color="auto" w:sz="4" w:space="0"/>
            </w:tcBorders>
            <w:vAlign w:val="center"/>
          </w:tcPr>
          <w:p w14:paraId="659AFA37">
            <w:pPr>
              <w:widowControl/>
              <w:jc w:val="left"/>
              <w:rPr>
                <w:rFonts w:ascii="宋体" w:hAnsi="宋体"/>
                <w:color w:val="auto"/>
                <w:szCs w:val="21"/>
                <w:highlight w:val="none"/>
              </w:rPr>
            </w:pPr>
          </w:p>
        </w:tc>
      </w:tr>
      <w:tr w14:paraId="505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B81A8CB">
            <w:pPr>
              <w:rPr>
                <w:rFonts w:ascii="宋体" w:hAnsi="宋体"/>
                <w:color w:val="auto"/>
                <w:szCs w:val="21"/>
                <w:highlight w:val="none"/>
              </w:rPr>
            </w:pPr>
            <w:r>
              <w:rPr>
                <w:rFonts w:hint="eastAsia" w:ascii="宋体" w:hAnsi="宋体"/>
                <w:color w:val="auto"/>
                <w:szCs w:val="21"/>
                <w:highlight w:val="none"/>
              </w:rPr>
              <w:t>1</w:t>
            </w:r>
          </w:p>
        </w:tc>
        <w:tc>
          <w:tcPr>
            <w:tcW w:w="1143" w:type="dxa"/>
            <w:tcBorders>
              <w:top w:val="single" w:color="auto" w:sz="4" w:space="0"/>
              <w:left w:val="single" w:color="auto" w:sz="4" w:space="0"/>
              <w:bottom w:val="single" w:color="auto" w:sz="4" w:space="0"/>
              <w:right w:val="single" w:color="auto" w:sz="4" w:space="0"/>
            </w:tcBorders>
            <w:vAlign w:val="center"/>
          </w:tcPr>
          <w:p w14:paraId="508E350D">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5CEBEED6">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04C42C17">
            <w:pPr>
              <w:rPr>
                <w:rFonts w:ascii="宋体" w:hAnsi="宋体"/>
                <w:color w:val="auto"/>
                <w:szCs w:val="21"/>
                <w:highlight w:val="none"/>
              </w:rPr>
            </w:pPr>
            <w:r>
              <w:rPr>
                <w:rFonts w:hint="eastAsia" w:ascii="宋体" w:hAnsi="宋体"/>
                <w:color w:val="auto"/>
                <w:szCs w:val="21"/>
                <w:highlight w:val="none"/>
              </w:rPr>
              <w:t>1  ……</w:t>
            </w:r>
          </w:p>
          <w:p w14:paraId="0993DC42">
            <w:pPr>
              <w:rPr>
                <w:rFonts w:ascii="宋体" w:hAnsi="宋体"/>
                <w:color w:val="auto"/>
                <w:szCs w:val="21"/>
                <w:highlight w:val="none"/>
              </w:rPr>
            </w:pPr>
            <w:r>
              <w:rPr>
                <w:rFonts w:hint="eastAsia" w:ascii="宋体" w:hAnsi="宋体"/>
                <w:color w:val="auto"/>
                <w:szCs w:val="21"/>
                <w:highlight w:val="none"/>
              </w:rPr>
              <w:t>2  ……</w:t>
            </w:r>
          </w:p>
          <w:p w14:paraId="41E55F04">
            <w:pPr>
              <w:rPr>
                <w:rFonts w:ascii="宋体" w:hAnsi="宋体"/>
                <w:color w:val="auto"/>
                <w:szCs w:val="21"/>
                <w:highlight w:val="none"/>
              </w:rPr>
            </w:pPr>
            <w:r>
              <w:rPr>
                <w:rFonts w:hint="eastAsia" w:ascii="宋体" w:hAnsi="宋体"/>
                <w:color w:val="auto"/>
                <w:szCs w:val="21"/>
                <w:highlight w:val="none"/>
              </w:rPr>
              <w:t>3  ……</w:t>
            </w:r>
          </w:p>
          <w:p w14:paraId="38201AA2">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5618FFDB">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65BA9E62">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764D27B4">
            <w:pPr>
              <w:rPr>
                <w:rFonts w:ascii="宋体" w:hAnsi="宋体"/>
                <w:color w:val="auto"/>
                <w:szCs w:val="21"/>
                <w:highlight w:val="none"/>
              </w:rPr>
            </w:pPr>
            <w:r>
              <w:rPr>
                <w:rFonts w:hint="eastAsia" w:ascii="宋体" w:hAnsi="宋体"/>
                <w:color w:val="auto"/>
                <w:szCs w:val="21"/>
                <w:highlight w:val="none"/>
              </w:rPr>
              <w:t>1  ……</w:t>
            </w:r>
          </w:p>
          <w:p w14:paraId="0252E8DD">
            <w:pPr>
              <w:rPr>
                <w:rFonts w:ascii="宋体" w:hAnsi="宋体"/>
                <w:color w:val="auto"/>
                <w:szCs w:val="21"/>
                <w:highlight w:val="none"/>
              </w:rPr>
            </w:pPr>
            <w:r>
              <w:rPr>
                <w:rFonts w:hint="eastAsia" w:ascii="宋体" w:hAnsi="宋体"/>
                <w:color w:val="auto"/>
                <w:szCs w:val="21"/>
                <w:highlight w:val="none"/>
              </w:rPr>
              <w:t>2  ……</w:t>
            </w:r>
          </w:p>
          <w:p w14:paraId="1D665A41">
            <w:pPr>
              <w:rPr>
                <w:rFonts w:ascii="宋体" w:hAnsi="宋体"/>
                <w:color w:val="auto"/>
                <w:szCs w:val="21"/>
                <w:highlight w:val="none"/>
              </w:rPr>
            </w:pPr>
            <w:r>
              <w:rPr>
                <w:rFonts w:hint="eastAsia" w:ascii="宋体" w:hAnsi="宋体"/>
                <w:color w:val="auto"/>
                <w:szCs w:val="21"/>
                <w:highlight w:val="none"/>
              </w:rPr>
              <w:t>3  ……</w:t>
            </w:r>
          </w:p>
          <w:p w14:paraId="6F24ED6B">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2A87AC3">
            <w:pPr>
              <w:rPr>
                <w:rFonts w:ascii="宋体" w:hAnsi="宋体"/>
                <w:color w:val="auto"/>
                <w:szCs w:val="21"/>
                <w:highlight w:val="none"/>
              </w:rPr>
            </w:pPr>
          </w:p>
        </w:tc>
      </w:tr>
      <w:tr w14:paraId="38EA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A0BFFE4">
            <w:pPr>
              <w:rPr>
                <w:rFonts w:ascii="宋体" w:hAnsi="宋体"/>
                <w:color w:val="auto"/>
                <w:szCs w:val="21"/>
                <w:highlight w:val="none"/>
              </w:rPr>
            </w:pPr>
            <w:r>
              <w:rPr>
                <w:rFonts w:hint="eastAsia" w:ascii="宋体" w:hAnsi="宋体"/>
                <w:color w:val="auto"/>
                <w:szCs w:val="21"/>
                <w:highlight w:val="none"/>
              </w:rPr>
              <w:t>2</w:t>
            </w:r>
          </w:p>
        </w:tc>
        <w:tc>
          <w:tcPr>
            <w:tcW w:w="1143" w:type="dxa"/>
            <w:tcBorders>
              <w:top w:val="single" w:color="auto" w:sz="4" w:space="0"/>
              <w:left w:val="single" w:color="auto" w:sz="4" w:space="0"/>
              <w:bottom w:val="single" w:color="auto" w:sz="4" w:space="0"/>
              <w:right w:val="single" w:color="auto" w:sz="4" w:space="0"/>
            </w:tcBorders>
            <w:vAlign w:val="center"/>
          </w:tcPr>
          <w:p w14:paraId="2D6B00D4">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44AA7707">
            <w:pPr>
              <w:rPr>
                <w:rFonts w:ascii="宋体" w:hAnsi="宋体"/>
                <w:color w:val="auto"/>
                <w:szCs w:val="21"/>
                <w:highlight w:val="none"/>
              </w:rPr>
            </w:pPr>
            <w:r>
              <w:rPr>
                <w:rFonts w:hint="eastAsia" w:ascii="宋体" w:hAnsi="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2153A177">
            <w:pPr>
              <w:rPr>
                <w:rFonts w:ascii="宋体" w:hAnsi="宋体"/>
                <w:color w:val="auto"/>
                <w:szCs w:val="21"/>
                <w:highlight w:val="none"/>
              </w:rPr>
            </w:pPr>
            <w:r>
              <w:rPr>
                <w:rFonts w:hint="eastAsia" w:ascii="宋体" w:hAnsi="宋体"/>
                <w:color w:val="auto"/>
                <w:szCs w:val="21"/>
                <w:highlight w:val="none"/>
              </w:rPr>
              <w:t>1  ……</w:t>
            </w:r>
          </w:p>
          <w:p w14:paraId="24F58DAE">
            <w:pPr>
              <w:rPr>
                <w:rFonts w:ascii="宋体" w:hAnsi="宋体"/>
                <w:color w:val="auto"/>
                <w:szCs w:val="21"/>
                <w:highlight w:val="none"/>
              </w:rPr>
            </w:pPr>
            <w:r>
              <w:rPr>
                <w:rFonts w:hint="eastAsia" w:ascii="宋体" w:hAnsi="宋体"/>
                <w:color w:val="auto"/>
                <w:szCs w:val="21"/>
                <w:highlight w:val="none"/>
              </w:rPr>
              <w:t>2  ……</w:t>
            </w:r>
          </w:p>
          <w:p w14:paraId="775F8E30">
            <w:pPr>
              <w:rPr>
                <w:rFonts w:ascii="宋体" w:hAnsi="宋体"/>
                <w:color w:val="auto"/>
                <w:szCs w:val="21"/>
                <w:highlight w:val="none"/>
              </w:rPr>
            </w:pPr>
            <w:r>
              <w:rPr>
                <w:rFonts w:hint="eastAsia" w:ascii="宋体" w:hAnsi="宋体"/>
                <w:color w:val="auto"/>
                <w:szCs w:val="21"/>
                <w:highlight w:val="none"/>
              </w:rPr>
              <w:t>3  ……</w:t>
            </w:r>
          </w:p>
          <w:p w14:paraId="561395C8">
            <w:pPr>
              <w:rPr>
                <w:rFonts w:ascii="宋体" w:hAnsi="宋体"/>
                <w:color w:val="auto"/>
                <w:szCs w:val="21"/>
                <w:highlight w:val="none"/>
              </w:rPr>
            </w:pPr>
            <w:r>
              <w:rPr>
                <w:rFonts w:hint="eastAsia" w:ascii="宋体" w:hAnsi="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714967F6">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44004991">
            <w:pPr>
              <w:rPr>
                <w:rFonts w:ascii="宋体" w:hAnsi="宋体"/>
                <w:color w:val="auto"/>
                <w:szCs w:val="21"/>
                <w:highlight w:val="none"/>
              </w:rPr>
            </w:pPr>
            <w:r>
              <w:rPr>
                <w:rFonts w:hint="eastAsia" w:ascii="宋体" w:hAnsi="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4B241C96">
            <w:pPr>
              <w:rPr>
                <w:rFonts w:ascii="宋体" w:hAnsi="宋体"/>
                <w:color w:val="auto"/>
                <w:szCs w:val="21"/>
                <w:highlight w:val="none"/>
              </w:rPr>
            </w:pPr>
            <w:r>
              <w:rPr>
                <w:rFonts w:hint="eastAsia" w:ascii="宋体" w:hAnsi="宋体"/>
                <w:color w:val="auto"/>
                <w:szCs w:val="21"/>
                <w:highlight w:val="none"/>
              </w:rPr>
              <w:t>1  ……</w:t>
            </w:r>
          </w:p>
          <w:p w14:paraId="7F3402B6">
            <w:pPr>
              <w:rPr>
                <w:rFonts w:ascii="宋体" w:hAnsi="宋体"/>
                <w:color w:val="auto"/>
                <w:szCs w:val="21"/>
                <w:highlight w:val="none"/>
              </w:rPr>
            </w:pPr>
            <w:r>
              <w:rPr>
                <w:rFonts w:hint="eastAsia" w:ascii="宋体" w:hAnsi="宋体"/>
                <w:color w:val="auto"/>
                <w:szCs w:val="21"/>
                <w:highlight w:val="none"/>
              </w:rPr>
              <w:t>2  ……</w:t>
            </w:r>
          </w:p>
          <w:p w14:paraId="5E570279">
            <w:pPr>
              <w:rPr>
                <w:rFonts w:ascii="宋体" w:hAnsi="宋体"/>
                <w:color w:val="auto"/>
                <w:szCs w:val="21"/>
                <w:highlight w:val="none"/>
              </w:rPr>
            </w:pPr>
            <w:r>
              <w:rPr>
                <w:rFonts w:hint="eastAsia" w:ascii="宋体" w:hAnsi="宋体"/>
                <w:color w:val="auto"/>
                <w:szCs w:val="21"/>
                <w:highlight w:val="none"/>
              </w:rPr>
              <w:t>3  ……</w:t>
            </w:r>
          </w:p>
          <w:p w14:paraId="1AA2CA73">
            <w:pPr>
              <w:rPr>
                <w:rFonts w:ascii="宋体" w:hAnsi="宋体"/>
                <w:color w:val="auto"/>
                <w:szCs w:val="21"/>
                <w:highlight w:val="none"/>
              </w:rPr>
            </w:pPr>
            <w:r>
              <w:rPr>
                <w:rFonts w:hint="eastAsia" w:ascii="宋体" w:hAnsi="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B0747D9">
            <w:pPr>
              <w:rPr>
                <w:rFonts w:ascii="宋体" w:hAnsi="宋体"/>
                <w:color w:val="auto"/>
                <w:szCs w:val="21"/>
                <w:highlight w:val="none"/>
              </w:rPr>
            </w:pPr>
          </w:p>
        </w:tc>
      </w:tr>
      <w:tr w14:paraId="782B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EF337FA">
            <w:pPr>
              <w:rPr>
                <w:rFonts w:ascii="宋体" w:hAnsi="宋体"/>
                <w:color w:val="auto"/>
                <w:szCs w:val="21"/>
                <w:highlight w:val="none"/>
              </w:rPr>
            </w:pPr>
            <w:r>
              <w:rPr>
                <w:rFonts w:hint="eastAsia" w:ascii="宋体" w:hAnsi="宋体"/>
                <w:color w:val="auto"/>
                <w:szCs w:val="21"/>
                <w:highlight w:val="none"/>
              </w:rPr>
              <w:t>...</w:t>
            </w:r>
          </w:p>
        </w:tc>
        <w:tc>
          <w:tcPr>
            <w:tcW w:w="1143" w:type="dxa"/>
            <w:tcBorders>
              <w:top w:val="single" w:color="auto" w:sz="4" w:space="0"/>
              <w:left w:val="single" w:color="auto" w:sz="4" w:space="0"/>
              <w:bottom w:val="single" w:color="auto" w:sz="4" w:space="0"/>
              <w:right w:val="single" w:color="auto" w:sz="4" w:space="0"/>
            </w:tcBorders>
            <w:vAlign w:val="center"/>
          </w:tcPr>
          <w:p w14:paraId="1DD746ED">
            <w:pPr>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14:paraId="69BAF3AE">
            <w:pPr>
              <w:rPr>
                <w:rFonts w:ascii="宋体" w:hAnsi="宋体"/>
                <w:color w:val="auto"/>
                <w:szCs w:val="21"/>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26349DA6">
            <w:pPr>
              <w:rPr>
                <w:rFonts w:ascii="宋体" w:hAnsi="宋体"/>
                <w:color w:val="auto"/>
                <w:szCs w:val="21"/>
                <w:highlight w:val="none"/>
              </w:rPr>
            </w:pPr>
          </w:p>
        </w:tc>
        <w:tc>
          <w:tcPr>
            <w:tcW w:w="1141" w:type="dxa"/>
            <w:tcBorders>
              <w:top w:val="single" w:color="auto" w:sz="4" w:space="0"/>
              <w:left w:val="single" w:color="auto" w:sz="4" w:space="0"/>
              <w:bottom w:val="single" w:color="auto" w:sz="4" w:space="0"/>
              <w:right w:val="single" w:color="auto" w:sz="4" w:space="0"/>
            </w:tcBorders>
            <w:vAlign w:val="center"/>
          </w:tcPr>
          <w:p w14:paraId="64994561">
            <w:pPr>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vAlign w:val="center"/>
          </w:tcPr>
          <w:p w14:paraId="3B361B20">
            <w:pPr>
              <w:rPr>
                <w:rFonts w:ascii="宋体" w:hAnsi="宋体"/>
                <w:color w:val="auto"/>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6C18960D">
            <w:pPr>
              <w:rPr>
                <w:rFonts w:ascii="宋体" w:hAnsi="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vAlign w:val="center"/>
          </w:tcPr>
          <w:p w14:paraId="364C06C3">
            <w:pPr>
              <w:rPr>
                <w:rFonts w:ascii="宋体" w:hAnsi="宋体"/>
                <w:color w:val="auto"/>
                <w:szCs w:val="21"/>
                <w:highlight w:val="none"/>
              </w:rPr>
            </w:pPr>
          </w:p>
        </w:tc>
      </w:tr>
    </w:tbl>
    <w:p w14:paraId="6E92A08B">
      <w:pPr>
        <w:spacing w:line="360" w:lineRule="auto"/>
        <w:contextualSpacing/>
        <w:rPr>
          <w:rFonts w:ascii="宋体" w:hAnsi="宋体"/>
          <w:color w:val="auto"/>
          <w:kern w:val="0"/>
          <w:sz w:val="24"/>
          <w:highlight w:val="none"/>
        </w:rPr>
      </w:pPr>
      <w:r>
        <w:rPr>
          <w:rFonts w:hint="eastAsia" w:ascii="宋体" w:hAnsi="宋体"/>
          <w:color w:val="auto"/>
          <w:kern w:val="0"/>
          <w:sz w:val="24"/>
          <w:highlight w:val="none"/>
        </w:rPr>
        <w:t>注：</w:t>
      </w:r>
    </w:p>
    <w:p w14:paraId="2528ED09">
      <w:pPr>
        <w:spacing w:line="360" w:lineRule="auto"/>
        <w:contextualSpacing/>
        <w:rPr>
          <w:rFonts w:ascii="宋体" w:hAnsi="宋体"/>
          <w:color w:val="auto"/>
          <w:kern w:val="0"/>
          <w:szCs w:val="21"/>
          <w:highlight w:val="none"/>
        </w:rPr>
      </w:pPr>
      <w:r>
        <w:rPr>
          <w:rFonts w:hint="eastAsia" w:ascii="宋体" w:hAnsi="宋体"/>
          <w:color w:val="auto"/>
          <w:kern w:val="0"/>
          <w:szCs w:val="21"/>
          <w:highlight w:val="none"/>
        </w:rPr>
        <w:t>注：</w:t>
      </w:r>
    </w:p>
    <w:p w14:paraId="69F0CEDB">
      <w:pPr>
        <w:spacing w:line="360" w:lineRule="auto"/>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14:paraId="1E494B73">
      <w:pPr>
        <w:spacing w:line="400" w:lineRule="exact"/>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5495FAF9">
      <w:pPr>
        <w:spacing w:line="40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14:paraId="6E2E1369">
      <w:pPr>
        <w:pStyle w:val="12"/>
        <w:spacing w:line="400" w:lineRule="exact"/>
        <w:rPr>
          <w:rFonts w:hAnsi="宋体" w:cs="仿宋_GB2312"/>
          <w:color w:val="auto"/>
          <w:highlight w:val="none"/>
        </w:rPr>
      </w:pPr>
      <w:r>
        <w:rPr>
          <w:rFonts w:hint="eastAsia" w:hAnsi="宋体" w:cs="仿宋_GB2312"/>
          <w:color w:val="auto"/>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6D013FD">
      <w:pPr>
        <w:spacing w:line="360" w:lineRule="auto"/>
        <w:rPr>
          <w:rFonts w:ascii="宋体" w:hAnsi="宋体" w:cs="仿宋_GB2312"/>
          <w:color w:val="auto"/>
          <w:sz w:val="24"/>
          <w:highlight w:val="none"/>
        </w:rPr>
      </w:pPr>
      <w:r>
        <w:rPr>
          <w:rFonts w:hint="eastAsia" w:ascii="宋体" w:hAnsi="宋体" w:cs="仿宋_GB2312"/>
          <w:color w:val="auto"/>
          <w:szCs w:val="21"/>
          <w:highlight w:val="none"/>
        </w:rPr>
        <w:t>5. 如技术偏离表中的竞标响应与佐证材料不一致的，以佐证材料为准。</w:t>
      </w:r>
    </w:p>
    <w:p w14:paraId="35CE205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887B089">
      <w:pPr>
        <w:autoSpaceDE w:val="0"/>
        <w:autoSpaceDN w:val="0"/>
        <w:spacing w:line="360" w:lineRule="auto"/>
        <w:ind w:firstLine="6480" w:firstLineChars="2700"/>
        <w:rPr>
          <w:rFonts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74CF1231">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5132484">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0CDF8298">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540BD41E">
      <w:pPr>
        <w:adjustRightInd w:val="0"/>
        <w:snapToGrid w:val="0"/>
        <w:spacing w:line="520" w:lineRule="exact"/>
        <w:jc w:val="center"/>
        <w:rPr>
          <w:rFonts w:ascii="宋体" w:hAnsi="宋体"/>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服务配置清单（如有）</w:t>
      </w:r>
    </w:p>
    <w:p w14:paraId="3860518C">
      <w:pPr>
        <w:spacing w:line="300" w:lineRule="auto"/>
        <w:rPr>
          <w:rFonts w:ascii="宋体" w:hAnsi="宋体"/>
          <w:color w:val="auto"/>
          <w:szCs w:val="21"/>
          <w:highlight w:val="none"/>
        </w:rPr>
      </w:pPr>
    </w:p>
    <w:p w14:paraId="3FBD8170">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所竞标项：</w:t>
      </w:r>
      <w:r>
        <w:rPr>
          <w:rFonts w:hint="eastAsia" w:ascii="宋体" w:hAnsi="宋体" w:cs="仿宋_GB2312"/>
          <w:color w:val="auto"/>
          <w:sz w:val="24"/>
          <w:highlight w:val="none"/>
          <w:u w:val="single"/>
        </w:rPr>
        <w:t xml:space="preserve">                 </w:t>
      </w: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2C744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60980FE">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5A09FF1C">
            <w:pPr>
              <w:snapToGrid w:val="0"/>
              <w:spacing w:before="50" w:after="50"/>
              <w:jc w:val="center"/>
              <w:rPr>
                <w:rFonts w:ascii="宋体" w:hAnsi="宋体"/>
                <w:color w:val="auto"/>
                <w:sz w:val="24"/>
                <w:highlight w:val="none"/>
              </w:rPr>
            </w:pPr>
            <w:r>
              <w:rPr>
                <w:rFonts w:hint="eastAsia" w:ascii="宋体" w:hAnsi="宋体"/>
                <w:color w:val="auto"/>
                <w:sz w:val="24"/>
                <w:highlight w:val="none"/>
              </w:rPr>
              <w:t>服务名称</w:t>
            </w:r>
          </w:p>
        </w:tc>
        <w:tc>
          <w:tcPr>
            <w:tcW w:w="803" w:type="dxa"/>
            <w:tcBorders>
              <w:top w:val="single" w:color="auto" w:sz="4" w:space="0"/>
              <w:left w:val="single" w:color="auto" w:sz="4" w:space="0"/>
              <w:bottom w:val="single" w:color="auto" w:sz="4" w:space="0"/>
              <w:right w:val="single" w:color="auto" w:sz="4" w:space="0"/>
            </w:tcBorders>
            <w:vAlign w:val="center"/>
          </w:tcPr>
          <w:p w14:paraId="407BFCC2">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4BF22830">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1786" w:type="dxa"/>
            <w:tcBorders>
              <w:top w:val="single" w:color="auto" w:sz="4" w:space="0"/>
              <w:left w:val="single" w:color="auto" w:sz="4" w:space="0"/>
              <w:bottom w:val="single" w:color="auto" w:sz="4" w:space="0"/>
              <w:right w:val="single" w:color="auto" w:sz="4" w:space="0"/>
            </w:tcBorders>
          </w:tcPr>
          <w:p w14:paraId="33DC3468">
            <w:pPr>
              <w:snapToGrid w:val="0"/>
              <w:spacing w:before="50" w:after="50"/>
              <w:jc w:val="center"/>
              <w:rPr>
                <w:rFonts w:ascii="宋体" w:hAnsi="宋体"/>
                <w:color w:val="auto"/>
                <w:sz w:val="24"/>
                <w:highlight w:val="none"/>
              </w:rPr>
            </w:pPr>
          </w:p>
          <w:p w14:paraId="7466E425">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1E34AF9E">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20B8DA72">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26CDA144">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01AAD9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9A5DF43">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33ADBD4">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573CB676">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09B68FF2">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5470CCFF">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5D6CFA8C">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A44B97">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167137E7">
            <w:pPr>
              <w:snapToGrid w:val="0"/>
              <w:spacing w:before="50" w:after="50"/>
              <w:jc w:val="center"/>
              <w:rPr>
                <w:rFonts w:ascii="宋体" w:hAnsi="宋体"/>
                <w:color w:val="auto"/>
                <w:sz w:val="24"/>
                <w:highlight w:val="none"/>
              </w:rPr>
            </w:pPr>
          </w:p>
        </w:tc>
      </w:tr>
      <w:tr w14:paraId="06B0F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634194D">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10C3B9AC">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3B4AA033">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1F5E94DF">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60EC1E51">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FDB64D6">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1C6025C9">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3B4166B2">
            <w:pPr>
              <w:snapToGrid w:val="0"/>
              <w:spacing w:before="50" w:after="50"/>
              <w:jc w:val="center"/>
              <w:rPr>
                <w:rFonts w:ascii="宋体" w:hAnsi="宋体"/>
                <w:color w:val="auto"/>
                <w:sz w:val="24"/>
                <w:highlight w:val="none"/>
              </w:rPr>
            </w:pPr>
          </w:p>
        </w:tc>
      </w:tr>
      <w:tr w14:paraId="02D1D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78F6768B">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C6C24E5">
            <w:pPr>
              <w:snapToGrid w:val="0"/>
              <w:spacing w:before="50" w:after="50"/>
              <w:jc w:val="center"/>
              <w:rPr>
                <w:rFonts w:ascii="宋体" w:hAnsi="宋体"/>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vAlign w:val="center"/>
          </w:tcPr>
          <w:p w14:paraId="63D306A8">
            <w:pPr>
              <w:snapToGrid w:val="0"/>
              <w:spacing w:before="50" w:after="50"/>
              <w:jc w:val="center"/>
              <w:rPr>
                <w:rFonts w:ascii="宋体" w:hAnsi="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center"/>
          </w:tcPr>
          <w:p w14:paraId="374CA2FB">
            <w:pPr>
              <w:snapToGrid w:val="0"/>
              <w:spacing w:before="50" w:after="50"/>
              <w:jc w:val="center"/>
              <w:rPr>
                <w:rFonts w:ascii="宋体" w:hAnsi="宋体"/>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tcPr>
          <w:p w14:paraId="16AB3715">
            <w:pPr>
              <w:snapToGrid w:val="0"/>
              <w:spacing w:before="50" w:after="50"/>
              <w:jc w:val="center"/>
              <w:rPr>
                <w:rFonts w:ascii="宋体" w:hAnsi="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4A25794D">
            <w:pPr>
              <w:snapToGrid w:val="0"/>
              <w:spacing w:before="50" w:after="50"/>
              <w:jc w:val="center"/>
              <w:rPr>
                <w:rFonts w:ascii="宋体" w:hAnsi="宋体"/>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vAlign w:val="center"/>
          </w:tcPr>
          <w:p w14:paraId="35543C6A">
            <w:pPr>
              <w:snapToGrid w:val="0"/>
              <w:spacing w:before="50" w:after="50"/>
              <w:jc w:val="center"/>
              <w:rPr>
                <w:rFonts w:ascii="宋体" w:hAnsi="宋体"/>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0FFBF985">
            <w:pPr>
              <w:snapToGrid w:val="0"/>
              <w:spacing w:before="50" w:after="50"/>
              <w:jc w:val="center"/>
              <w:rPr>
                <w:rFonts w:ascii="宋体" w:hAnsi="宋体"/>
                <w:color w:val="auto"/>
                <w:sz w:val="24"/>
                <w:highlight w:val="none"/>
              </w:rPr>
            </w:pPr>
          </w:p>
        </w:tc>
      </w:tr>
    </w:tbl>
    <w:p w14:paraId="734D11A1">
      <w:pPr>
        <w:spacing w:line="360" w:lineRule="auto"/>
        <w:rPr>
          <w:rFonts w:ascii="宋体" w:hAnsi="宋体"/>
          <w:color w:val="auto"/>
          <w:sz w:val="24"/>
          <w:highlight w:val="none"/>
        </w:rPr>
      </w:pPr>
      <w:r>
        <w:rPr>
          <w:rFonts w:hint="eastAsia" w:ascii="宋体" w:hAnsi="宋体"/>
          <w:color w:val="auto"/>
          <w:sz w:val="24"/>
          <w:highlight w:val="none"/>
        </w:rPr>
        <w:t>备注：</w:t>
      </w:r>
    </w:p>
    <w:p w14:paraId="50DC0A24">
      <w:pPr>
        <w:tabs>
          <w:tab w:val="left" w:pos="1065"/>
        </w:tabs>
        <w:adjustRightInd w:val="0"/>
        <w:spacing w:line="360" w:lineRule="auto"/>
        <w:rPr>
          <w:rFonts w:ascii="宋体" w:hAnsi="宋体" w:cs="仿宋_GB2312"/>
          <w:color w:val="auto"/>
          <w:sz w:val="24"/>
          <w:highlight w:val="none"/>
        </w:rPr>
      </w:pPr>
      <w:r>
        <w:rPr>
          <w:rFonts w:hint="eastAsia" w:ascii="宋体" w:hAnsi="宋体"/>
          <w:b/>
          <w:bCs/>
          <w:color w:val="auto"/>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auto"/>
          <w:sz w:val="24"/>
          <w:highlight w:val="none"/>
        </w:rPr>
        <w:t>。</w:t>
      </w:r>
      <w:r>
        <w:rPr>
          <w:rFonts w:hint="eastAsia" w:ascii="宋体" w:hAnsi="宋体"/>
          <w:color w:val="auto"/>
          <w:sz w:val="24"/>
          <w:highlight w:val="none"/>
        </w:rPr>
        <w:t>服务名称、数量及单位、品牌必须与“服务需求一览表”一致，</w:t>
      </w:r>
      <w:r>
        <w:rPr>
          <w:rFonts w:hint="eastAsia" w:ascii="宋体" w:hAnsi="宋体"/>
          <w:bCs/>
          <w:color w:val="auto"/>
          <w:sz w:val="24"/>
          <w:highlight w:val="none"/>
        </w:rPr>
        <w:t>否则响应文件作无效处理</w:t>
      </w:r>
      <w:r>
        <w:rPr>
          <w:rFonts w:hint="eastAsia" w:ascii="宋体" w:hAnsi="宋体"/>
          <w:b/>
          <w:color w:val="auto"/>
          <w:sz w:val="24"/>
          <w:highlight w:val="none"/>
        </w:rPr>
        <w:t>。</w:t>
      </w:r>
      <w:r>
        <w:rPr>
          <w:rFonts w:hint="eastAsia" w:ascii="宋体" w:hAnsi="宋体" w:cs="仿宋_GB2312"/>
          <w:color w:val="auto"/>
          <w:sz w:val="24"/>
          <w:highlight w:val="none"/>
        </w:rPr>
        <w:tab/>
      </w:r>
    </w:p>
    <w:p w14:paraId="66940557">
      <w:pPr>
        <w:adjustRightInd w:val="0"/>
        <w:spacing w:line="360" w:lineRule="auto"/>
        <w:jc w:val="left"/>
        <w:rPr>
          <w:rFonts w:ascii="宋体" w:hAnsi="宋体" w:cs="仿宋_GB2312"/>
          <w:color w:val="auto"/>
          <w:sz w:val="24"/>
          <w:highlight w:val="none"/>
        </w:rPr>
      </w:pPr>
    </w:p>
    <w:p w14:paraId="7F2560C3">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8E41315">
      <w:pPr>
        <w:spacing w:line="500" w:lineRule="exact"/>
        <w:jc w:val="center"/>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r>
        <w:rPr>
          <w:rFonts w:hint="eastAsia" w:ascii="仿宋_GB2312" w:hAnsi="仿宋" w:eastAsia="仿宋_GB2312" w:cs="仿宋_GB2312"/>
          <w:color w:val="auto"/>
          <w:kern w:val="0"/>
          <w:sz w:val="24"/>
          <w:highlight w:val="none"/>
          <w:lang w:val="zh-CN"/>
        </w:rPr>
        <w:t>日期：  年  月   日</w:t>
      </w:r>
    </w:p>
    <w:p w14:paraId="4A70FBC5">
      <w:pPr>
        <w:snapToGrid w:val="0"/>
        <w:spacing w:before="120" w:beforeLines="50" w:after="50"/>
        <w:rPr>
          <w:rFonts w:hint="default" w:ascii="仿宋" w:hAnsi="仿宋" w:eastAsia="仿宋" w:cs="仿宋_GB2312"/>
          <w:b/>
          <w:color w:val="auto"/>
          <w:sz w:val="30"/>
          <w:szCs w:val="30"/>
          <w:highlight w:val="none"/>
          <w:lang w:val="en-US" w:eastAsia="zh-CN"/>
        </w:rPr>
      </w:pPr>
      <w:r>
        <w:rPr>
          <w:rFonts w:hint="eastAsia" w:ascii="仿宋" w:hAnsi="仿宋" w:eastAsia="仿宋" w:cs="仿宋_GB2312"/>
          <w:b/>
          <w:color w:val="auto"/>
          <w:sz w:val="30"/>
          <w:szCs w:val="30"/>
          <w:highlight w:val="none"/>
          <w:lang w:val="en-US" w:eastAsia="zh-CN"/>
        </w:rPr>
        <w:t>八</w:t>
      </w:r>
      <w:r>
        <w:rPr>
          <w:rFonts w:hint="eastAsia" w:ascii="仿宋" w:hAnsi="仿宋" w:eastAsia="仿宋" w:cs="仿宋_GB2312"/>
          <w:b/>
          <w:color w:val="auto"/>
          <w:sz w:val="30"/>
          <w:szCs w:val="30"/>
          <w:highlight w:val="none"/>
        </w:rPr>
        <w:t>、</w:t>
      </w:r>
      <w:r>
        <w:rPr>
          <w:rFonts w:hint="eastAsia" w:ascii="仿宋" w:hAnsi="仿宋" w:eastAsia="仿宋" w:cs="仿宋_GB2312"/>
          <w:b/>
          <w:color w:val="auto"/>
          <w:sz w:val="30"/>
          <w:szCs w:val="30"/>
          <w:highlight w:val="none"/>
          <w:lang w:val="en-US" w:eastAsia="zh-CN"/>
        </w:rPr>
        <w:t>服务承诺</w:t>
      </w:r>
    </w:p>
    <w:p w14:paraId="34B237E4">
      <w:pPr>
        <w:snapToGrid w:val="0"/>
        <w:spacing w:before="120" w:beforeLines="50" w:after="50"/>
        <w:ind w:left="143" w:leftChars="68" w:firstLine="420" w:firstLineChars="200"/>
        <w:rPr>
          <w:rFonts w:hAnsi="宋体"/>
          <w:color w:val="auto"/>
          <w:highlight w:val="none"/>
        </w:rPr>
      </w:pPr>
      <w:r>
        <w:rPr>
          <w:rFonts w:hint="eastAsia" w:hAnsi="宋体"/>
          <w:color w:val="auto"/>
          <w:highlight w:val="none"/>
        </w:rPr>
        <w:t>由竞标人按本项目竞争性磋商采购文件第二章“服务需求一览表”中商务条款部分的要求自行填写，其中要包含售后服务承诺书。</w:t>
      </w:r>
    </w:p>
    <w:p w14:paraId="725F8D62">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1479D5CF">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486"/>
        <w:gridCol w:w="1162"/>
        <w:gridCol w:w="1322"/>
        <w:gridCol w:w="2103"/>
        <w:gridCol w:w="1339"/>
      </w:tblGrid>
      <w:tr w14:paraId="6CE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14D2B054">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1337" w:type="pct"/>
            <w:tcBorders>
              <w:top w:val="single" w:color="auto" w:sz="4" w:space="0"/>
              <w:left w:val="single" w:color="auto" w:sz="4" w:space="0"/>
              <w:bottom w:val="single" w:color="auto" w:sz="4" w:space="0"/>
              <w:right w:val="single" w:color="auto" w:sz="4" w:space="0"/>
            </w:tcBorders>
          </w:tcPr>
          <w:p w14:paraId="79CEFCBF">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625" w:type="pct"/>
            <w:tcBorders>
              <w:top w:val="single" w:color="auto" w:sz="4" w:space="0"/>
              <w:left w:val="single" w:color="auto" w:sz="4" w:space="0"/>
              <w:bottom w:val="single" w:color="auto" w:sz="4" w:space="0"/>
              <w:right w:val="single" w:color="auto" w:sz="4" w:space="0"/>
            </w:tcBorders>
          </w:tcPr>
          <w:p w14:paraId="0F912303">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711" w:type="pct"/>
            <w:tcBorders>
              <w:top w:val="single" w:color="auto" w:sz="4" w:space="0"/>
              <w:left w:val="single" w:color="auto" w:sz="4" w:space="0"/>
              <w:bottom w:val="single" w:color="auto" w:sz="4" w:space="0"/>
              <w:right w:val="single" w:color="auto" w:sz="4" w:space="0"/>
            </w:tcBorders>
          </w:tcPr>
          <w:p w14:paraId="02B03F76">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131" w:type="pct"/>
            <w:tcBorders>
              <w:top w:val="single" w:color="auto" w:sz="4" w:space="0"/>
              <w:left w:val="single" w:color="auto" w:sz="4" w:space="0"/>
              <w:bottom w:val="single" w:color="auto" w:sz="4" w:space="0"/>
              <w:right w:val="single" w:color="auto" w:sz="4" w:space="0"/>
            </w:tcBorders>
          </w:tcPr>
          <w:p w14:paraId="73D0CCB0">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720" w:type="pct"/>
            <w:tcBorders>
              <w:top w:val="single" w:color="auto" w:sz="4" w:space="0"/>
              <w:left w:val="single" w:color="auto" w:sz="4" w:space="0"/>
              <w:bottom w:val="single" w:color="auto" w:sz="4" w:space="0"/>
              <w:right w:val="single" w:color="auto" w:sz="4" w:space="0"/>
            </w:tcBorders>
          </w:tcPr>
          <w:p w14:paraId="7B6CF672">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4B5C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61DCF0AD">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7CB94321">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2939A574">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32B6811D">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212D993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4130E55">
            <w:pPr>
              <w:autoSpaceDE w:val="0"/>
              <w:autoSpaceDN w:val="0"/>
              <w:spacing w:line="360" w:lineRule="auto"/>
              <w:jc w:val="center"/>
              <w:rPr>
                <w:rFonts w:ascii="仿宋_GB2312" w:hAnsi="仿宋" w:eastAsia="仿宋_GB2312" w:cs="仿宋_GB2312"/>
                <w:color w:val="auto"/>
                <w:sz w:val="24"/>
                <w:highlight w:val="none"/>
              </w:rPr>
            </w:pPr>
          </w:p>
        </w:tc>
      </w:tr>
      <w:tr w14:paraId="4699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4987CDEA">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35F92FB6">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13C0B67E">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86BBA1B">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7FE69099">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DD9B5C3">
            <w:pPr>
              <w:autoSpaceDE w:val="0"/>
              <w:autoSpaceDN w:val="0"/>
              <w:spacing w:line="360" w:lineRule="auto"/>
              <w:jc w:val="center"/>
              <w:rPr>
                <w:rFonts w:ascii="仿宋_GB2312" w:hAnsi="仿宋" w:eastAsia="仿宋_GB2312" w:cs="仿宋_GB2312"/>
                <w:color w:val="auto"/>
                <w:sz w:val="24"/>
                <w:highlight w:val="none"/>
              </w:rPr>
            </w:pPr>
          </w:p>
        </w:tc>
      </w:tr>
      <w:tr w14:paraId="516B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Borders>
              <w:top w:val="single" w:color="auto" w:sz="4" w:space="0"/>
              <w:left w:val="single" w:color="auto" w:sz="4" w:space="0"/>
              <w:bottom w:val="single" w:color="auto" w:sz="4" w:space="0"/>
              <w:right w:val="single" w:color="auto" w:sz="4" w:space="0"/>
            </w:tcBorders>
          </w:tcPr>
          <w:p w14:paraId="543AA397">
            <w:pPr>
              <w:autoSpaceDE w:val="0"/>
              <w:autoSpaceDN w:val="0"/>
              <w:spacing w:line="360" w:lineRule="auto"/>
              <w:jc w:val="center"/>
              <w:rPr>
                <w:rFonts w:ascii="仿宋_GB2312" w:hAnsi="仿宋" w:eastAsia="仿宋_GB2312" w:cs="仿宋_GB2312"/>
                <w:color w:val="auto"/>
                <w:sz w:val="24"/>
                <w:highlight w:val="none"/>
              </w:rPr>
            </w:pPr>
          </w:p>
        </w:tc>
        <w:tc>
          <w:tcPr>
            <w:tcW w:w="1337" w:type="pct"/>
            <w:tcBorders>
              <w:top w:val="single" w:color="auto" w:sz="4" w:space="0"/>
              <w:left w:val="single" w:color="auto" w:sz="4" w:space="0"/>
              <w:bottom w:val="single" w:color="auto" w:sz="4" w:space="0"/>
              <w:right w:val="single" w:color="auto" w:sz="4" w:space="0"/>
            </w:tcBorders>
          </w:tcPr>
          <w:p w14:paraId="040FA55B">
            <w:pPr>
              <w:autoSpaceDE w:val="0"/>
              <w:autoSpaceDN w:val="0"/>
              <w:spacing w:line="360" w:lineRule="auto"/>
              <w:jc w:val="center"/>
              <w:rPr>
                <w:rFonts w:ascii="仿宋_GB2312" w:hAnsi="仿宋" w:eastAsia="仿宋_GB2312" w:cs="仿宋_GB2312"/>
                <w:color w:val="auto"/>
                <w:sz w:val="24"/>
                <w:highlight w:val="none"/>
              </w:rPr>
            </w:pPr>
          </w:p>
        </w:tc>
        <w:tc>
          <w:tcPr>
            <w:tcW w:w="625" w:type="pct"/>
            <w:tcBorders>
              <w:top w:val="single" w:color="auto" w:sz="4" w:space="0"/>
              <w:left w:val="single" w:color="auto" w:sz="4" w:space="0"/>
              <w:bottom w:val="single" w:color="auto" w:sz="4" w:space="0"/>
              <w:right w:val="single" w:color="auto" w:sz="4" w:space="0"/>
            </w:tcBorders>
          </w:tcPr>
          <w:p w14:paraId="46BE9651">
            <w:pPr>
              <w:autoSpaceDE w:val="0"/>
              <w:autoSpaceDN w:val="0"/>
              <w:spacing w:line="360" w:lineRule="auto"/>
              <w:jc w:val="center"/>
              <w:rPr>
                <w:rFonts w:ascii="仿宋_GB2312" w:hAnsi="仿宋" w:eastAsia="仿宋_GB2312" w:cs="仿宋_GB2312"/>
                <w:color w:val="auto"/>
                <w:sz w:val="24"/>
                <w:highlight w:val="none"/>
              </w:rPr>
            </w:pPr>
          </w:p>
        </w:tc>
        <w:tc>
          <w:tcPr>
            <w:tcW w:w="711" w:type="pct"/>
            <w:tcBorders>
              <w:top w:val="single" w:color="auto" w:sz="4" w:space="0"/>
              <w:left w:val="single" w:color="auto" w:sz="4" w:space="0"/>
              <w:bottom w:val="single" w:color="auto" w:sz="4" w:space="0"/>
              <w:right w:val="single" w:color="auto" w:sz="4" w:space="0"/>
            </w:tcBorders>
          </w:tcPr>
          <w:p w14:paraId="692C7409">
            <w:pPr>
              <w:autoSpaceDE w:val="0"/>
              <w:autoSpaceDN w:val="0"/>
              <w:spacing w:line="360" w:lineRule="auto"/>
              <w:jc w:val="center"/>
              <w:rPr>
                <w:rFonts w:ascii="仿宋_GB2312" w:hAnsi="仿宋" w:eastAsia="仿宋_GB2312" w:cs="仿宋_GB2312"/>
                <w:color w:val="auto"/>
                <w:sz w:val="24"/>
                <w:highlight w:val="none"/>
              </w:rPr>
            </w:pPr>
          </w:p>
        </w:tc>
        <w:tc>
          <w:tcPr>
            <w:tcW w:w="1131" w:type="pct"/>
            <w:tcBorders>
              <w:top w:val="single" w:color="auto" w:sz="4" w:space="0"/>
              <w:left w:val="single" w:color="auto" w:sz="4" w:space="0"/>
              <w:bottom w:val="single" w:color="auto" w:sz="4" w:space="0"/>
              <w:right w:val="single" w:color="auto" w:sz="4" w:space="0"/>
            </w:tcBorders>
          </w:tcPr>
          <w:p w14:paraId="1A954FA3">
            <w:pPr>
              <w:autoSpaceDE w:val="0"/>
              <w:autoSpaceDN w:val="0"/>
              <w:spacing w:line="360" w:lineRule="auto"/>
              <w:jc w:val="center"/>
              <w:rPr>
                <w:rFonts w:ascii="仿宋_GB2312" w:hAnsi="仿宋" w:eastAsia="仿宋_GB2312" w:cs="仿宋_GB2312"/>
                <w:color w:val="auto"/>
                <w:sz w:val="24"/>
                <w:highlight w:val="none"/>
              </w:rPr>
            </w:pPr>
          </w:p>
        </w:tc>
        <w:tc>
          <w:tcPr>
            <w:tcW w:w="720" w:type="pct"/>
            <w:tcBorders>
              <w:top w:val="single" w:color="auto" w:sz="4" w:space="0"/>
              <w:left w:val="single" w:color="auto" w:sz="4" w:space="0"/>
              <w:bottom w:val="single" w:color="auto" w:sz="4" w:space="0"/>
              <w:right w:val="single" w:color="auto" w:sz="4" w:space="0"/>
            </w:tcBorders>
          </w:tcPr>
          <w:p w14:paraId="5A76BDF5">
            <w:pPr>
              <w:autoSpaceDE w:val="0"/>
              <w:autoSpaceDN w:val="0"/>
              <w:spacing w:line="360" w:lineRule="auto"/>
              <w:jc w:val="center"/>
              <w:rPr>
                <w:rFonts w:ascii="仿宋_GB2312" w:hAnsi="仿宋" w:eastAsia="仿宋_GB2312" w:cs="仿宋_GB2312"/>
                <w:color w:val="auto"/>
                <w:sz w:val="24"/>
                <w:highlight w:val="none"/>
              </w:rPr>
            </w:pPr>
          </w:p>
        </w:tc>
      </w:tr>
    </w:tbl>
    <w:p w14:paraId="414B1F35">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注：关于项目涉及的所有售后服务机构均在本表注明，包括供应商本单位和符合条件的第三方服务机构；</w:t>
      </w:r>
    </w:p>
    <w:p w14:paraId="008EF26F">
      <w:pPr>
        <w:autoSpaceDE w:val="0"/>
        <w:autoSpaceDN w:val="0"/>
        <w:spacing w:line="360" w:lineRule="auto"/>
        <w:rPr>
          <w:rFonts w:ascii="仿宋_GB2312" w:hAnsi="仿宋" w:eastAsia="仿宋_GB2312" w:cs="仿宋_GB2312"/>
          <w:color w:val="auto"/>
          <w:kern w:val="0"/>
          <w:sz w:val="24"/>
          <w:highlight w:val="none"/>
        </w:rPr>
      </w:pPr>
    </w:p>
    <w:p w14:paraId="4B3707FE">
      <w:pPr>
        <w:autoSpaceDE w:val="0"/>
        <w:autoSpaceDN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23"/>
        <w:tblW w:w="4997" w:type="pct"/>
        <w:jc w:val="center"/>
        <w:tblLayout w:type="autofit"/>
        <w:tblCellMar>
          <w:top w:w="0" w:type="dxa"/>
          <w:left w:w="108" w:type="dxa"/>
          <w:bottom w:w="0" w:type="dxa"/>
          <w:right w:w="108" w:type="dxa"/>
        </w:tblCellMar>
      </w:tblPr>
      <w:tblGrid>
        <w:gridCol w:w="591"/>
        <w:gridCol w:w="684"/>
        <w:gridCol w:w="723"/>
        <w:gridCol w:w="456"/>
        <w:gridCol w:w="829"/>
        <w:gridCol w:w="994"/>
        <w:gridCol w:w="995"/>
        <w:gridCol w:w="995"/>
        <w:gridCol w:w="1165"/>
        <w:gridCol w:w="830"/>
        <w:gridCol w:w="1025"/>
      </w:tblGrid>
      <w:tr w14:paraId="08F6CE0D">
        <w:tblPrEx>
          <w:tblCellMar>
            <w:top w:w="0" w:type="dxa"/>
            <w:left w:w="108" w:type="dxa"/>
            <w:bottom w:w="0" w:type="dxa"/>
            <w:right w:w="108" w:type="dxa"/>
          </w:tblCellMar>
        </w:tblPrEx>
        <w:trPr>
          <w:jc w:val="center"/>
        </w:trPr>
        <w:tc>
          <w:tcPr>
            <w:tcW w:w="322" w:type="pct"/>
            <w:tcBorders>
              <w:top w:val="single" w:color="auto" w:sz="6" w:space="0"/>
              <w:left w:val="single" w:color="auto" w:sz="6" w:space="0"/>
              <w:bottom w:val="single" w:color="auto" w:sz="6" w:space="0"/>
              <w:right w:val="single" w:color="auto" w:sz="4" w:space="0"/>
            </w:tcBorders>
            <w:vAlign w:val="center"/>
          </w:tcPr>
          <w:p w14:paraId="1705CB8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1C715E4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vAlign w:val="center"/>
          </w:tcPr>
          <w:p w14:paraId="3542D87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393" w:type="pct"/>
            <w:tcBorders>
              <w:top w:val="single" w:color="auto" w:sz="6" w:space="0"/>
              <w:left w:val="single" w:color="auto" w:sz="6" w:space="0"/>
              <w:bottom w:val="single" w:color="auto" w:sz="6" w:space="0"/>
              <w:right w:val="single" w:color="auto" w:sz="6" w:space="0"/>
            </w:tcBorders>
            <w:vAlign w:val="center"/>
          </w:tcPr>
          <w:p w14:paraId="7FBCAA7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05" w:type="pct"/>
            <w:tcBorders>
              <w:top w:val="single" w:color="auto" w:sz="6" w:space="0"/>
              <w:left w:val="single" w:color="auto" w:sz="6" w:space="0"/>
              <w:bottom w:val="single" w:color="auto" w:sz="6" w:space="0"/>
              <w:right w:val="single" w:color="auto" w:sz="6" w:space="0"/>
            </w:tcBorders>
            <w:vAlign w:val="center"/>
          </w:tcPr>
          <w:p w14:paraId="7932A67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450" w:type="pct"/>
            <w:tcBorders>
              <w:top w:val="single" w:color="auto" w:sz="6" w:space="0"/>
              <w:left w:val="single" w:color="auto" w:sz="6" w:space="0"/>
              <w:bottom w:val="single" w:color="auto" w:sz="6" w:space="0"/>
              <w:right w:val="single" w:color="auto" w:sz="6" w:space="0"/>
            </w:tcBorders>
            <w:vAlign w:val="center"/>
          </w:tcPr>
          <w:p w14:paraId="5A0C3C7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539" w:type="pct"/>
            <w:tcBorders>
              <w:top w:val="single" w:color="auto" w:sz="6" w:space="0"/>
              <w:left w:val="single" w:color="auto" w:sz="6" w:space="0"/>
              <w:bottom w:val="single" w:color="auto" w:sz="6" w:space="0"/>
              <w:right w:val="single" w:color="auto" w:sz="6" w:space="0"/>
            </w:tcBorders>
            <w:vAlign w:val="center"/>
          </w:tcPr>
          <w:p w14:paraId="3CC1C2A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539" w:type="pct"/>
            <w:tcBorders>
              <w:top w:val="single" w:color="auto" w:sz="6" w:space="0"/>
              <w:left w:val="single" w:color="auto" w:sz="6" w:space="0"/>
              <w:bottom w:val="single" w:color="auto" w:sz="6" w:space="0"/>
              <w:right w:val="single" w:color="auto" w:sz="6" w:space="0"/>
            </w:tcBorders>
            <w:vAlign w:val="center"/>
          </w:tcPr>
          <w:p w14:paraId="4121057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539" w:type="pct"/>
            <w:tcBorders>
              <w:top w:val="single" w:color="auto" w:sz="6" w:space="0"/>
              <w:left w:val="single" w:color="auto" w:sz="6" w:space="0"/>
              <w:bottom w:val="single" w:color="auto" w:sz="6" w:space="0"/>
              <w:right w:val="single" w:color="auto" w:sz="6" w:space="0"/>
            </w:tcBorders>
            <w:vAlign w:val="center"/>
          </w:tcPr>
          <w:p w14:paraId="2FA44AA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630" w:type="pct"/>
            <w:tcBorders>
              <w:top w:val="single" w:color="auto" w:sz="6" w:space="0"/>
              <w:left w:val="single" w:color="auto" w:sz="6" w:space="0"/>
              <w:bottom w:val="single" w:color="auto" w:sz="6" w:space="0"/>
              <w:right w:val="single" w:color="auto" w:sz="6" w:space="0"/>
            </w:tcBorders>
            <w:vAlign w:val="center"/>
          </w:tcPr>
          <w:p w14:paraId="1C656A0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450" w:type="pct"/>
            <w:tcBorders>
              <w:top w:val="single" w:color="auto" w:sz="6" w:space="0"/>
              <w:left w:val="single" w:color="auto" w:sz="6" w:space="0"/>
              <w:bottom w:val="single" w:color="auto" w:sz="6" w:space="0"/>
              <w:right w:val="single" w:color="auto" w:sz="6" w:space="0"/>
            </w:tcBorders>
            <w:vAlign w:val="center"/>
          </w:tcPr>
          <w:p w14:paraId="3252E6D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555" w:type="pct"/>
            <w:tcBorders>
              <w:top w:val="single" w:color="auto" w:sz="6" w:space="0"/>
              <w:left w:val="single" w:color="auto" w:sz="6" w:space="0"/>
              <w:bottom w:val="single" w:color="auto" w:sz="6" w:space="0"/>
              <w:right w:val="single" w:color="auto" w:sz="6" w:space="0"/>
            </w:tcBorders>
            <w:vAlign w:val="center"/>
          </w:tcPr>
          <w:p w14:paraId="1DAD73E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715F0076">
        <w:tblPrEx>
          <w:tblCellMar>
            <w:top w:w="0" w:type="dxa"/>
            <w:left w:w="108" w:type="dxa"/>
            <w:bottom w:w="0" w:type="dxa"/>
            <w:right w:w="108" w:type="dxa"/>
          </w:tblCellMar>
        </w:tblPrEx>
        <w:trPr>
          <w:trHeight w:val="607" w:hRule="atLeast"/>
          <w:jc w:val="center"/>
        </w:trPr>
        <w:tc>
          <w:tcPr>
            <w:tcW w:w="322" w:type="pct"/>
            <w:tcBorders>
              <w:top w:val="single" w:color="auto" w:sz="6" w:space="0"/>
              <w:left w:val="single" w:color="auto" w:sz="6" w:space="0"/>
              <w:bottom w:val="single" w:color="auto" w:sz="6" w:space="0"/>
              <w:right w:val="single" w:color="auto" w:sz="4" w:space="0"/>
            </w:tcBorders>
          </w:tcPr>
          <w:p w14:paraId="121C84B4">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1305978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393" w:type="pct"/>
            <w:tcBorders>
              <w:top w:val="single" w:color="auto" w:sz="6" w:space="0"/>
              <w:left w:val="single" w:color="auto" w:sz="6" w:space="0"/>
              <w:bottom w:val="single" w:color="auto" w:sz="6" w:space="0"/>
              <w:right w:val="single" w:color="auto" w:sz="6" w:space="0"/>
            </w:tcBorders>
          </w:tcPr>
          <w:p w14:paraId="420BCEEE">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5DDE3ED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3A4C161E">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21E38D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214B12">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78F1FD7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273E10D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6DC507D2">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53BE11FB">
            <w:pPr>
              <w:autoSpaceDE w:val="0"/>
              <w:autoSpaceDN w:val="0"/>
              <w:spacing w:line="360" w:lineRule="auto"/>
              <w:rPr>
                <w:rFonts w:ascii="仿宋_GB2312" w:hAnsi="仿宋" w:eastAsia="仿宋_GB2312" w:cs="仿宋_GB2312"/>
                <w:color w:val="auto"/>
                <w:sz w:val="24"/>
                <w:highlight w:val="none"/>
              </w:rPr>
            </w:pPr>
          </w:p>
        </w:tc>
      </w:tr>
      <w:tr w14:paraId="70786976">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5FF0598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59A3D04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393" w:type="pct"/>
            <w:tcBorders>
              <w:top w:val="single" w:color="auto" w:sz="6" w:space="0"/>
              <w:left w:val="single" w:color="auto" w:sz="6" w:space="0"/>
              <w:bottom w:val="single" w:color="auto" w:sz="6" w:space="0"/>
              <w:right w:val="single" w:color="auto" w:sz="6" w:space="0"/>
            </w:tcBorders>
          </w:tcPr>
          <w:p w14:paraId="7D9A2489">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74CB708">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48BA6218">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6686149">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C3F7B0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2B5190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58A565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BCA6599">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212C30F2">
            <w:pPr>
              <w:autoSpaceDE w:val="0"/>
              <w:autoSpaceDN w:val="0"/>
              <w:spacing w:line="360" w:lineRule="auto"/>
              <w:rPr>
                <w:rFonts w:ascii="仿宋_GB2312" w:hAnsi="仿宋" w:eastAsia="仿宋_GB2312" w:cs="仿宋_GB2312"/>
                <w:color w:val="auto"/>
                <w:sz w:val="24"/>
                <w:highlight w:val="none"/>
              </w:rPr>
            </w:pPr>
          </w:p>
        </w:tc>
      </w:tr>
      <w:tr w14:paraId="10FF0C8F">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289C5FB2">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33985D4C">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44B02A7">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7373456C">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320520D">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056AD31A">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66BBCB75">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3494319F">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06762972">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0B903CE3">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6762A446">
            <w:pPr>
              <w:autoSpaceDE w:val="0"/>
              <w:autoSpaceDN w:val="0"/>
              <w:spacing w:line="360" w:lineRule="auto"/>
              <w:rPr>
                <w:rFonts w:ascii="仿宋_GB2312" w:hAnsi="仿宋" w:eastAsia="仿宋_GB2312" w:cs="仿宋_GB2312"/>
                <w:color w:val="auto"/>
                <w:sz w:val="24"/>
                <w:highlight w:val="none"/>
              </w:rPr>
            </w:pPr>
          </w:p>
        </w:tc>
      </w:tr>
      <w:tr w14:paraId="45D9996B">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1906344B">
            <w:pPr>
              <w:autoSpaceDE w:val="0"/>
              <w:autoSpaceDN w:val="0"/>
              <w:spacing w:line="360" w:lineRule="auto"/>
              <w:jc w:val="center"/>
              <w:rPr>
                <w:rFonts w:ascii="仿宋_GB2312" w:hAnsi="仿宋" w:eastAsia="仿宋_GB2312" w:cs="仿宋_GB2312"/>
                <w:color w:val="auto"/>
                <w:sz w:val="24"/>
                <w:highlight w:val="none"/>
              </w:rPr>
            </w:pPr>
          </w:p>
        </w:tc>
        <w:tc>
          <w:tcPr>
            <w:tcW w:w="372" w:type="pct"/>
            <w:tcBorders>
              <w:top w:val="single" w:color="auto" w:sz="6" w:space="0"/>
              <w:left w:val="single" w:color="auto" w:sz="4" w:space="0"/>
              <w:bottom w:val="single" w:color="auto" w:sz="6" w:space="0"/>
              <w:right w:val="single" w:color="auto" w:sz="6" w:space="0"/>
            </w:tcBorders>
          </w:tcPr>
          <w:p w14:paraId="7BCD46D3">
            <w:pPr>
              <w:autoSpaceDE w:val="0"/>
              <w:autoSpaceDN w:val="0"/>
              <w:spacing w:line="360" w:lineRule="auto"/>
              <w:jc w:val="center"/>
              <w:rPr>
                <w:rFonts w:ascii="仿宋_GB2312" w:hAnsi="仿宋" w:eastAsia="仿宋_GB2312" w:cs="仿宋_GB2312"/>
                <w:color w:val="auto"/>
                <w:sz w:val="24"/>
                <w:highlight w:val="none"/>
              </w:rPr>
            </w:pPr>
          </w:p>
        </w:tc>
        <w:tc>
          <w:tcPr>
            <w:tcW w:w="393" w:type="pct"/>
            <w:tcBorders>
              <w:top w:val="single" w:color="auto" w:sz="6" w:space="0"/>
              <w:left w:val="single" w:color="auto" w:sz="6" w:space="0"/>
              <w:bottom w:val="single" w:color="auto" w:sz="6" w:space="0"/>
              <w:right w:val="single" w:color="auto" w:sz="6" w:space="0"/>
            </w:tcBorders>
          </w:tcPr>
          <w:p w14:paraId="2297CF4F">
            <w:pPr>
              <w:autoSpaceDE w:val="0"/>
              <w:autoSpaceDN w:val="0"/>
              <w:spacing w:line="360" w:lineRule="auto"/>
              <w:rPr>
                <w:rFonts w:ascii="仿宋_GB2312" w:hAnsi="仿宋" w:eastAsia="仿宋_GB2312" w:cs="仿宋_GB2312"/>
                <w:color w:val="auto"/>
                <w:sz w:val="24"/>
                <w:highlight w:val="none"/>
              </w:rPr>
            </w:pPr>
          </w:p>
        </w:tc>
        <w:tc>
          <w:tcPr>
            <w:tcW w:w="205" w:type="pct"/>
            <w:tcBorders>
              <w:top w:val="single" w:color="auto" w:sz="6" w:space="0"/>
              <w:left w:val="single" w:color="auto" w:sz="6" w:space="0"/>
              <w:bottom w:val="single" w:color="auto" w:sz="6" w:space="0"/>
              <w:right w:val="single" w:color="auto" w:sz="6" w:space="0"/>
            </w:tcBorders>
          </w:tcPr>
          <w:p w14:paraId="29E5B976">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7A95463C">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19D4E96F">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5E803EE3">
            <w:pPr>
              <w:autoSpaceDE w:val="0"/>
              <w:autoSpaceDN w:val="0"/>
              <w:spacing w:line="360" w:lineRule="auto"/>
              <w:rPr>
                <w:rFonts w:ascii="仿宋_GB2312" w:hAnsi="仿宋" w:eastAsia="仿宋_GB2312" w:cs="仿宋_GB2312"/>
                <w:color w:val="auto"/>
                <w:sz w:val="24"/>
                <w:highlight w:val="none"/>
              </w:rPr>
            </w:pPr>
          </w:p>
        </w:tc>
        <w:tc>
          <w:tcPr>
            <w:tcW w:w="539" w:type="pct"/>
            <w:tcBorders>
              <w:top w:val="single" w:color="auto" w:sz="6" w:space="0"/>
              <w:left w:val="single" w:color="auto" w:sz="6" w:space="0"/>
              <w:bottom w:val="single" w:color="auto" w:sz="6" w:space="0"/>
              <w:right w:val="single" w:color="auto" w:sz="6" w:space="0"/>
            </w:tcBorders>
          </w:tcPr>
          <w:p w14:paraId="41681FD9">
            <w:pPr>
              <w:autoSpaceDE w:val="0"/>
              <w:autoSpaceDN w:val="0"/>
              <w:spacing w:line="360" w:lineRule="auto"/>
              <w:rPr>
                <w:rFonts w:ascii="仿宋_GB2312" w:hAnsi="仿宋" w:eastAsia="仿宋_GB2312" w:cs="仿宋_GB2312"/>
                <w:color w:val="auto"/>
                <w:sz w:val="24"/>
                <w:highlight w:val="none"/>
              </w:rPr>
            </w:pPr>
          </w:p>
        </w:tc>
        <w:tc>
          <w:tcPr>
            <w:tcW w:w="630" w:type="pct"/>
            <w:tcBorders>
              <w:top w:val="single" w:color="auto" w:sz="6" w:space="0"/>
              <w:left w:val="single" w:color="auto" w:sz="6" w:space="0"/>
              <w:bottom w:val="single" w:color="auto" w:sz="6" w:space="0"/>
              <w:right w:val="single" w:color="auto" w:sz="6" w:space="0"/>
            </w:tcBorders>
          </w:tcPr>
          <w:p w14:paraId="43F6DF3F">
            <w:pPr>
              <w:autoSpaceDE w:val="0"/>
              <w:autoSpaceDN w:val="0"/>
              <w:spacing w:line="360" w:lineRule="auto"/>
              <w:rPr>
                <w:rFonts w:ascii="仿宋_GB2312" w:hAnsi="仿宋" w:eastAsia="仿宋_GB2312" w:cs="仿宋_GB2312"/>
                <w:color w:val="auto"/>
                <w:sz w:val="24"/>
                <w:highlight w:val="none"/>
              </w:rPr>
            </w:pPr>
          </w:p>
        </w:tc>
        <w:tc>
          <w:tcPr>
            <w:tcW w:w="450" w:type="pct"/>
            <w:tcBorders>
              <w:top w:val="single" w:color="auto" w:sz="6" w:space="0"/>
              <w:left w:val="single" w:color="auto" w:sz="6" w:space="0"/>
              <w:bottom w:val="single" w:color="auto" w:sz="6" w:space="0"/>
              <w:right w:val="single" w:color="auto" w:sz="6" w:space="0"/>
            </w:tcBorders>
          </w:tcPr>
          <w:p w14:paraId="190FAA05">
            <w:pPr>
              <w:autoSpaceDE w:val="0"/>
              <w:autoSpaceDN w:val="0"/>
              <w:spacing w:line="360" w:lineRule="auto"/>
              <w:rPr>
                <w:rFonts w:ascii="仿宋_GB2312" w:hAnsi="仿宋" w:eastAsia="仿宋_GB2312" w:cs="仿宋_GB2312"/>
                <w:color w:val="auto"/>
                <w:sz w:val="24"/>
                <w:highlight w:val="none"/>
              </w:rPr>
            </w:pPr>
          </w:p>
        </w:tc>
        <w:tc>
          <w:tcPr>
            <w:tcW w:w="555" w:type="pct"/>
            <w:tcBorders>
              <w:top w:val="single" w:color="auto" w:sz="6" w:space="0"/>
              <w:left w:val="single" w:color="auto" w:sz="6" w:space="0"/>
              <w:bottom w:val="single" w:color="auto" w:sz="6" w:space="0"/>
              <w:right w:val="single" w:color="auto" w:sz="6" w:space="0"/>
            </w:tcBorders>
          </w:tcPr>
          <w:p w14:paraId="48792049">
            <w:pPr>
              <w:autoSpaceDE w:val="0"/>
              <w:autoSpaceDN w:val="0"/>
              <w:spacing w:line="360" w:lineRule="auto"/>
              <w:rPr>
                <w:rFonts w:ascii="仿宋_GB2312" w:hAnsi="仿宋" w:eastAsia="仿宋_GB2312" w:cs="仿宋_GB2312"/>
                <w:color w:val="auto"/>
                <w:sz w:val="24"/>
                <w:highlight w:val="none"/>
              </w:rPr>
            </w:pPr>
          </w:p>
        </w:tc>
      </w:tr>
    </w:tbl>
    <w:p w14:paraId="50BD43F0">
      <w:pPr>
        <w:pStyle w:val="12"/>
        <w:spacing w:line="440" w:lineRule="exact"/>
        <w:ind w:firstLine="415" w:firstLineChars="198"/>
        <w:rPr>
          <w:rFonts w:hAnsi="宋体"/>
          <w:color w:val="auto"/>
          <w:highlight w:val="none"/>
        </w:rPr>
      </w:pPr>
    </w:p>
    <w:p w14:paraId="7140946D">
      <w:pPr>
        <w:spacing w:line="500" w:lineRule="exact"/>
        <w:rPr>
          <w:rFonts w:ascii="仿宋_GB2312" w:hAnsi="仿宋_GB2312" w:eastAsia="仿宋_GB2312" w:cs="仿宋_GB2312"/>
          <w:color w:val="auto"/>
          <w:sz w:val="32"/>
          <w:szCs w:val="32"/>
          <w:highlight w:val="none"/>
        </w:rPr>
      </w:pPr>
    </w:p>
    <w:p w14:paraId="0FDF2B9A">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70CFC537">
      <w:pPr>
        <w:snapToGrid w:val="0"/>
        <w:spacing w:line="360" w:lineRule="auto"/>
        <w:ind w:firstLine="6120" w:firstLineChars="25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28E0EFF1">
      <w:pPr>
        <w:snapToGrid w:val="0"/>
        <w:spacing w:line="360" w:lineRule="auto"/>
        <w:ind w:firstLine="602" w:firstLineChars="200"/>
        <w:rPr>
          <w:rFonts w:ascii="仿宋" w:hAnsi="仿宋" w:eastAsia="仿宋" w:cs="仿宋_GB2312"/>
          <w:b/>
          <w:color w:val="auto"/>
          <w:sz w:val="30"/>
          <w:szCs w:val="30"/>
          <w:highlight w:val="none"/>
        </w:rPr>
      </w:pPr>
    </w:p>
    <w:p w14:paraId="2ECE787C">
      <w:pPr>
        <w:snapToGrid w:val="0"/>
        <w:spacing w:line="360" w:lineRule="auto"/>
        <w:ind w:firstLine="602" w:firstLineChars="200"/>
        <w:rPr>
          <w:rFonts w:ascii="仿宋" w:hAnsi="仿宋" w:eastAsia="仿宋" w:cs="仿宋_GB2312"/>
          <w:b/>
          <w:color w:val="auto"/>
          <w:sz w:val="30"/>
          <w:szCs w:val="30"/>
          <w:highlight w:val="none"/>
        </w:rPr>
      </w:pPr>
    </w:p>
    <w:p w14:paraId="2254E8B3">
      <w:pPr>
        <w:snapToGrid w:val="0"/>
        <w:spacing w:line="360" w:lineRule="auto"/>
        <w:ind w:firstLine="602" w:firstLineChars="200"/>
        <w:rPr>
          <w:rFonts w:ascii="仿宋" w:hAnsi="仿宋" w:eastAsia="仿宋" w:cs="仿宋_GB2312"/>
          <w:b/>
          <w:color w:val="auto"/>
          <w:sz w:val="30"/>
          <w:szCs w:val="30"/>
          <w:highlight w:val="none"/>
        </w:rPr>
      </w:pPr>
    </w:p>
    <w:p w14:paraId="445107AF">
      <w:pPr>
        <w:snapToGrid w:val="0"/>
        <w:spacing w:line="360" w:lineRule="auto"/>
        <w:ind w:firstLine="602" w:firstLineChars="200"/>
        <w:rPr>
          <w:rFonts w:ascii="仿宋" w:hAnsi="仿宋" w:eastAsia="仿宋" w:cs="仿宋_GB2312"/>
          <w:b/>
          <w:color w:val="auto"/>
          <w:sz w:val="30"/>
          <w:szCs w:val="30"/>
          <w:highlight w:val="none"/>
        </w:rPr>
      </w:pPr>
    </w:p>
    <w:p w14:paraId="3294220E">
      <w:pPr>
        <w:rPr>
          <w:rFonts w:ascii="仿宋" w:hAnsi="仿宋" w:eastAsia="仿宋" w:cs="仿宋_GB2312"/>
          <w:b/>
          <w:color w:val="auto"/>
          <w:sz w:val="30"/>
          <w:szCs w:val="30"/>
          <w:highlight w:val="none"/>
        </w:rPr>
      </w:pPr>
      <w:r>
        <w:rPr>
          <w:rFonts w:ascii="仿宋" w:hAnsi="仿宋" w:eastAsia="仿宋" w:cs="仿宋_GB2312"/>
          <w:b/>
          <w:color w:val="auto"/>
          <w:sz w:val="30"/>
          <w:szCs w:val="30"/>
          <w:highlight w:val="none"/>
        </w:rPr>
        <w:br w:type="page"/>
      </w:r>
    </w:p>
    <w:p w14:paraId="288A31D5">
      <w:pPr>
        <w:snapToGrid w:val="0"/>
        <w:spacing w:line="360" w:lineRule="auto"/>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lang w:val="en-US" w:eastAsia="zh-CN"/>
        </w:rPr>
        <w:t>九</w:t>
      </w:r>
      <w:r>
        <w:rPr>
          <w:rFonts w:hint="eastAsia" w:ascii="仿宋" w:hAnsi="仿宋" w:eastAsia="仿宋" w:cs="仿宋_GB2312"/>
          <w:b/>
          <w:color w:val="auto"/>
          <w:sz w:val="30"/>
          <w:szCs w:val="30"/>
          <w:highlight w:val="none"/>
        </w:rPr>
        <w:t>、项目实施人员一览表</w:t>
      </w:r>
    </w:p>
    <w:p w14:paraId="3E040ABE">
      <w:pPr>
        <w:spacing w:line="360" w:lineRule="auto"/>
        <w:jc w:val="center"/>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（由供应商根据采购需求及采购文件要求编制）</w:t>
      </w:r>
    </w:p>
    <w:p w14:paraId="3EB1393B">
      <w:pPr>
        <w:pStyle w:val="12"/>
        <w:rPr>
          <w:color w:val="auto"/>
          <w:sz w:val="24"/>
          <w:highlight w:val="none"/>
        </w:rPr>
      </w:pPr>
      <w:r>
        <w:rPr>
          <w:rFonts w:hint="eastAsia"/>
          <w:color w:val="auto"/>
          <w:sz w:val="24"/>
          <w:highlight w:val="none"/>
        </w:rPr>
        <w:t>响应标项：</w:t>
      </w:r>
      <w:r>
        <w:rPr>
          <w:rFonts w:hint="eastAsia"/>
          <w:color w:val="auto"/>
          <w:sz w:val="24"/>
          <w:highlight w:val="none"/>
          <w:u w:val="single"/>
        </w:rPr>
        <w:t xml:space="preserve">     </w:t>
      </w:r>
      <w:r>
        <w:rPr>
          <w:rFonts w:hint="eastAsia"/>
          <w:color w:val="auto"/>
          <w:sz w:val="24"/>
          <w:highlight w:val="none"/>
        </w:rPr>
        <w:t>标项</w:t>
      </w:r>
    </w:p>
    <w:p w14:paraId="24998089">
      <w:pPr>
        <w:keepNext/>
        <w:autoSpaceDE w:val="0"/>
        <w:autoSpaceDN w:val="0"/>
        <w:spacing w:line="360" w:lineRule="auto"/>
        <w:ind w:firstLine="477"/>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附表A:本项目的项目负责人情况表</w:t>
      </w:r>
    </w:p>
    <w:tbl>
      <w:tblPr>
        <w:tblStyle w:val="23"/>
        <w:tblW w:w="4999" w:type="pct"/>
        <w:tblInd w:w="0" w:type="dxa"/>
        <w:tblLayout w:type="autofit"/>
        <w:tblCellMar>
          <w:top w:w="0" w:type="dxa"/>
          <w:left w:w="108" w:type="dxa"/>
          <w:bottom w:w="0" w:type="dxa"/>
          <w:right w:w="108" w:type="dxa"/>
        </w:tblCellMar>
      </w:tblPr>
      <w:tblGrid>
        <w:gridCol w:w="2187"/>
        <w:gridCol w:w="1365"/>
        <w:gridCol w:w="1337"/>
        <w:gridCol w:w="4402"/>
      </w:tblGrid>
      <w:tr w14:paraId="49DBAA2C">
        <w:tblPrEx>
          <w:tblCellMar>
            <w:top w:w="0" w:type="dxa"/>
            <w:left w:w="108" w:type="dxa"/>
            <w:bottom w:w="0" w:type="dxa"/>
            <w:right w:w="108" w:type="dxa"/>
          </w:tblCellMar>
        </w:tblPrEx>
        <w:trPr>
          <w:trHeight w:val="604"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3FD4283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734" w:type="pct"/>
            <w:tcBorders>
              <w:top w:val="single" w:color="auto" w:sz="6" w:space="0"/>
              <w:left w:val="single" w:color="auto" w:sz="6" w:space="0"/>
              <w:bottom w:val="single" w:color="auto" w:sz="6" w:space="0"/>
              <w:right w:val="single" w:color="auto" w:sz="4" w:space="0"/>
            </w:tcBorders>
            <w:shd w:val="clear" w:color="auto" w:fill="B3B3B3"/>
            <w:vAlign w:val="center"/>
          </w:tcPr>
          <w:p w14:paraId="17E2C46D">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6900E71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2368" w:type="pct"/>
            <w:tcBorders>
              <w:top w:val="single" w:color="auto" w:sz="6" w:space="0"/>
              <w:left w:val="single" w:color="auto" w:sz="6" w:space="0"/>
              <w:bottom w:val="single" w:color="auto" w:sz="6" w:space="0"/>
              <w:right w:val="single" w:color="auto" w:sz="6" w:space="0"/>
            </w:tcBorders>
            <w:vAlign w:val="center"/>
          </w:tcPr>
          <w:p w14:paraId="508016D9">
            <w:pPr>
              <w:autoSpaceDE w:val="0"/>
              <w:autoSpaceDN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响应截止时间前三年业绩及承担的主要工作情况，曾担任项目负责人的项目应列明细</w:t>
            </w:r>
          </w:p>
        </w:tc>
      </w:tr>
      <w:tr w14:paraId="5D7CD35F">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34EB2FF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5174C362">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7D010E36">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restart"/>
            <w:tcBorders>
              <w:top w:val="single" w:color="auto" w:sz="6" w:space="0"/>
              <w:left w:val="single" w:color="auto" w:sz="6" w:space="0"/>
              <w:bottom w:val="single" w:color="auto" w:sz="6" w:space="0"/>
              <w:right w:val="single" w:color="auto" w:sz="6" w:space="0"/>
            </w:tcBorders>
            <w:vAlign w:val="center"/>
          </w:tcPr>
          <w:p w14:paraId="69BC951A">
            <w:pPr>
              <w:autoSpaceDE w:val="0"/>
              <w:autoSpaceDN w:val="0"/>
              <w:spacing w:line="360" w:lineRule="auto"/>
              <w:jc w:val="center"/>
              <w:rPr>
                <w:rFonts w:ascii="仿宋_GB2312" w:hAnsi="仿宋" w:eastAsia="仿宋_GB2312" w:cs="仿宋_GB2312"/>
                <w:color w:val="auto"/>
                <w:sz w:val="24"/>
                <w:highlight w:val="none"/>
              </w:rPr>
            </w:pPr>
          </w:p>
        </w:tc>
      </w:tr>
      <w:tr w14:paraId="54E9C251">
        <w:tblPrEx>
          <w:tblCellMar>
            <w:top w:w="0" w:type="dxa"/>
            <w:left w:w="108" w:type="dxa"/>
            <w:bottom w:w="0" w:type="dxa"/>
            <w:right w:w="108" w:type="dxa"/>
          </w:tblCellMar>
        </w:tblPrEx>
        <w:trPr>
          <w:cantSplit/>
          <w:trHeight w:val="337"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08E6F94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0D9C26DD">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1DA0E1C3">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404644F8">
            <w:pPr>
              <w:widowControl/>
              <w:jc w:val="left"/>
              <w:rPr>
                <w:rFonts w:ascii="仿宋_GB2312" w:hAnsi="仿宋" w:eastAsia="仿宋_GB2312" w:cs="仿宋_GB2312"/>
                <w:color w:val="auto"/>
                <w:sz w:val="24"/>
                <w:highlight w:val="none"/>
              </w:rPr>
            </w:pPr>
          </w:p>
        </w:tc>
      </w:tr>
      <w:tr w14:paraId="05918680">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vAlign w:val="center"/>
          </w:tcPr>
          <w:p w14:paraId="57E32FB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734" w:type="pct"/>
            <w:tcBorders>
              <w:top w:val="single" w:color="auto" w:sz="6" w:space="0"/>
              <w:left w:val="single" w:color="auto" w:sz="6" w:space="0"/>
              <w:bottom w:val="single" w:color="auto" w:sz="6" w:space="0"/>
              <w:right w:val="single" w:color="auto" w:sz="4" w:space="0"/>
            </w:tcBorders>
            <w:vAlign w:val="center"/>
          </w:tcPr>
          <w:p w14:paraId="399D58E0">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0831A30E">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5526BF63">
            <w:pPr>
              <w:widowControl/>
              <w:jc w:val="left"/>
              <w:rPr>
                <w:rFonts w:ascii="仿宋_GB2312" w:hAnsi="仿宋" w:eastAsia="仿宋_GB2312" w:cs="仿宋_GB2312"/>
                <w:color w:val="auto"/>
                <w:sz w:val="24"/>
                <w:highlight w:val="none"/>
              </w:rPr>
            </w:pPr>
          </w:p>
        </w:tc>
      </w:tr>
      <w:tr w14:paraId="707F24F7">
        <w:tblPrEx>
          <w:tblCellMar>
            <w:top w:w="0" w:type="dxa"/>
            <w:left w:w="108" w:type="dxa"/>
            <w:bottom w:w="0" w:type="dxa"/>
            <w:right w:w="108" w:type="dxa"/>
          </w:tblCellMar>
        </w:tblPrEx>
        <w:trPr>
          <w:cantSplit/>
          <w:trHeight w:val="345" w:hRule="atLeast"/>
        </w:trPr>
        <w:tc>
          <w:tcPr>
            <w:tcW w:w="1177" w:type="pct"/>
            <w:tcBorders>
              <w:top w:val="single" w:color="auto" w:sz="6" w:space="0"/>
              <w:left w:val="single" w:color="auto" w:sz="6" w:space="0"/>
              <w:bottom w:val="single" w:color="auto" w:sz="6" w:space="0"/>
              <w:right w:val="single" w:color="auto" w:sz="6" w:space="0"/>
            </w:tcBorders>
            <w:vAlign w:val="center"/>
          </w:tcPr>
          <w:p w14:paraId="60869ED8">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734" w:type="pct"/>
            <w:tcBorders>
              <w:top w:val="single" w:color="auto" w:sz="6" w:space="0"/>
              <w:left w:val="single" w:color="auto" w:sz="6" w:space="0"/>
              <w:bottom w:val="single" w:color="auto" w:sz="6" w:space="0"/>
              <w:right w:val="single" w:color="auto" w:sz="4" w:space="0"/>
            </w:tcBorders>
            <w:vAlign w:val="center"/>
          </w:tcPr>
          <w:p w14:paraId="07509616">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31581BBD">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2BECD12F">
            <w:pPr>
              <w:widowControl/>
              <w:jc w:val="left"/>
              <w:rPr>
                <w:rFonts w:ascii="仿宋_GB2312" w:hAnsi="仿宋" w:eastAsia="仿宋_GB2312" w:cs="仿宋_GB2312"/>
                <w:color w:val="auto"/>
                <w:sz w:val="24"/>
                <w:highlight w:val="none"/>
              </w:rPr>
            </w:pPr>
          </w:p>
        </w:tc>
      </w:tr>
      <w:tr w14:paraId="37C130AA">
        <w:tblPrEx>
          <w:tblCellMar>
            <w:top w:w="0" w:type="dxa"/>
            <w:left w:w="108" w:type="dxa"/>
            <w:bottom w:w="0" w:type="dxa"/>
            <w:right w:w="108" w:type="dxa"/>
          </w:tblCellMar>
        </w:tblPrEx>
        <w:trPr>
          <w:cantSplit/>
          <w:trHeight w:val="422" w:hRule="atLeast"/>
        </w:trPr>
        <w:tc>
          <w:tcPr>
            <w:tcW w:w="1177" w:type="pct"/>
            <w:tcBorders>
              <w:top w:val="single" w:color="auto" w:sz="6" w:space="0"/>
              <w:left w:val="single" w:color="auto" w:sz="6" w:space="0"/>
              <w:bottom w:val="single" w:color="auto" w:sz="6" w:space="0"/>
              <w:right w:val="single" w:color="auto" w:sz="6" w:space="0"/>
            </w:tcBorders>
            <w:vAlign w:val="center"/>
          </w:tcPr>
          <w:p w14:paraId="064304C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734" w:type="pct"/>
            <w:tcBorders>
              <w:top w:val="single" w:color="auto" w:sz="6" w:space="0"/>
              <w:left w:val="single" w:color="auto" w:sz="6" w:space="0"/>
              <w:bottom w:val="single" w:color="auto" w:sz="6" w:space="0"/>
              <w:right w:val="single" w:color="auto" w:sz="4" w:space="0"/>
            </w:tcBorders>
            <w:vAlign w:val="center"/>
          </w:tcPr>
          <w:p w14:paraId="2FF09AE5">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4B9B7F49">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77C96E52">
            <w:pPr>
              <w:widowControl/>
              <w:jc w:val="left"/>
              <w:rPr>
                <w:rFonts w:ascii="仿宋_GB2312" w:hAnsi="仿宋" w:eastAsia="仿宋_GB2312" w:cs="仿宋_GB2312"/>
                <w:color w:val="auto"/>
                <w:sz w:val="24"/>
                <w:highlight w:val="none"/>
              </w:rPr>
            </w:pPr>
          </w:p>
        </w:tc>
      </w:tr>
      <w:tr w14:paraId="5B0BBA79">
        <w:tblPrEx>
          <w:tblCellMar>
            <w:top w:w="0" w:type="dxa"/>
            <w:left w:w="108" w:type="dxa"/>
            <w:bottom w:w="0" w:type="dxa"/>
            <w:right w:w="108" w:type="dxa"/>
          </w:tblCellMar>
        </w:tblPrEx>
        <w:trPr>
          <w:cantSplit/>
          <w:trHeight w:val="416" w:hRule="atLeast"/>
        </w:trPr>
        <w:tc>
          <w:tcPr>
            <w:tcW w:w="1177" w:type="pct"/>
            <w:tcBorders>
              <w:top w:val="single" w:color="auto" w:sz="6" w:space="0"/>
              <w:left w:val="single" w:color="auto" w:sz="6" w:space="0"/>
              <w:bottom w:val="single" w:color="auto" w:sz="6" w:space="0"/>
              <w:right w:val="single" w:color="auto" w:sz="6" w:space="0"/>
            </w:tcBorders>
            <w:vAlign w:val="center"/>
          </w:tcPr>
          <w:p w14:paraId="7ED34BA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734" w:type="pct"/>
            <w:tcBorders>
              <w:top w:val="single" w:color="auto" w:sz="6" w:space="0"/>
              <w:left w:val="single" w:color="auto" w:sz="6" w:space="0"/>
              <w:bottom w:val="single" w:color="auto" w:sz="6" w:space="0"/>
              <w:right w:val="single" w:color="auto" w:sz="4" w:space="0"/>
            </w:tcBorders>
            <w:vAlign w:val="center"/>
          </w:tcPr>
          <w:p w14:paraId="52281504">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20F534A5">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2D7E3039">
            <w:pPr>
              <w:widowControl/>
              <w:jc w:val="left"/>
              <w:rPr>
                <w:rFonts w:ascii="仿宋_GB2312" w:hAnsi="仿宋" w:eastAsia="仿宋_GB2312" w:cs="仿宋_GB2312"/>
                <w:color w:val="auto"/>
                <w:sz w:val="24"/>
                <w:highlight w:val="none"/>
              </w:rPr>
            </w:pPr>
          </w:p>
        </w:tc>
      </w:tr>
      <w:tr w14:paraId="7572F9FF">
        <w:tblPrEx>
          <w:tblCellMar>
            <w:top w:w="0" w:type="dxa"/>
            <w:left w:w="108" w:type="dxa"/>
            <w:bottom w:w="0" w:type="dxa"/>
            <w:right w:w="108" w:type="dxa"/>
          </w:tblCellMar>
        </w:tblPrEx>
        <w:trPr>
          <w:cantSplit/>
          <w:trHeight w:val="356" w:hRule="atLeast"/>
        </w:trPr>
        <w:tc>
          <w:tcPr>
            <w:tcW w:w="1177" w:type="pct"/>
            <w:tcBorders>
              <w:top w:val="single" w:color="auto" w:sz="6" w:space="0"/>
              <w:left w:val="single" w:color="auto" w:sz="6" w:space="0"/>
              <w:bottom w:val="single" w:color="auto" w:sz="6" w:space="0"/>
              <w:right w:val="single" w:color="auto" w:sz="6" w:space="0"/>
            </w:tcBorders>
            <w:vAlign w:val="center"/>
          </w:tcPr>
          <w:p w14:paraId="73F79C4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734" w:type="pct"/>
            <w:tcBorders>
              <w:top w:val="single" w:color="auto" w:sz="6" w:space="0"/>
              <w:left w:val="single" w:color="auto" w:sz="6" w:space="0"/>
              <w:bottom w:val="single" w:color="auto" w:sz="6" w:space="0"/>
              <w:right w:val="single" w:color="auto" w:sz="4" w:space="0"/>
            </w:tcBorders>
            <w:vAlign w:val="center"/>
          </w:tcPr>
          <w:p w14:paraId="53274218">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63663110">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6804D123">
            <w:pPr>
              <w:widowControl/>
              <w:jc w:val="left"/>
              <w:rPr>
                <w:rFonts w:ascii="仿宋_GB2312" w:hAnsi="仿宋" w:eastAsia="仿宋_GB2312" w:cs="仿宋_GB2312"/>
                <w:color w:val="auto"/>
                <w:sz w:val="24"/>
                <w:highlight w:val="none"/>
              </w:rPr>
            </w:pPr>
          </w:p>
        </w:tc>
      </w:tr>
      <w:tr w14:paraId="3D407C74">
        <w:tblPrEx>
          <w:tblCellMar>
            <w:top w:w="0" w:type="dxa"/>
            <w:left w:w="108" w:type="dxa"/>
            <w:bottom w:w="0" w:type="dxa"/>
            <w:right w:w="108" w:type="dxa"/>
          </w:tblCellMar>
        </w:tblPrEx>
        <w:trPr>
          <w:cantSplit/>
          <w:trHeight w:val="177" w:hRule="atLeast"/>
        </w:trPr>
        <w:tc>
          <w:tcPr>
            <w:tcW w:w="1177" w:type="pct"/>
            <w:tcBorders>
              <w:top w:val="single" w:color="auto" w:sz="6" w:space="0"/>
              <w:left w:val="single" w:color="auto" w:sz="6" w:space="0"/>
              <w:bottom w:val="single" w:color="auto" w:sz="6" w:space="0"/>
              <w:right w:val="single" w:color="auto" w:sz="6" w:space="0"/>
            </w:tcBorders>
            <w:vAlign w:val="center"/>
          </w:tcPr>
          <w:p w14:paraId="593D288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734" w:type="pct"/>
            <w:tcBorders>
              <w:top w:val="single" w:color="auto" w:sz="6" w:space="0"/>
              <w:left w:val="single" w:color="auto" w:sz="6" w:space="0"/>
              <w:bottom w:val="single" w:color="auto" w:sz="6" w:space="0"/>
              <w:right w:val="single" w:color="auto" w:sz="4" w:space="0"/>
            </w:tcBorders>
            <w:vAlign w:val="center"/>
          </w:tcPr>
          <w:p w14:paraId="5F6AE235">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vAlign w:val="center"/>
          </w:tcPr>
          <w:p w14:paraId="1ACF895B">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31F7A6DF">
            <w:pPr>
              <w:widowControl/>
              <w:jc w:val="left"/>
              <w:rPr>
                <w:rFonts w:ascii="仿宋_GB2312" w:hAnsi="仿宋" w:eastAsia="仿宋_GB2312" w:cs="仿宋_GB2312"/>
                <w:color w:val="auto"/>
                <w:sz w:val="24"/>
                <w:highlight w:val="none"/>
              </w:rPr>
            </w:pPr>
          </w:p>
        </w:tc>
      </w:tr>
      <w:tr w14:paraId="4CBD4F40">
        <w:tblPrEx>
          <w:tblCellMar>
            <w:top w:w="0" w:type="dxa"/>
            <w:left w:w="108" w:type="dxa"/>
            <w:bottom w:w="0" w:type="dxa"/>
            <w:right w:w="108" w:type="dxa"/>
          </w:tblCellMar>
        </w:tblPrEx>
        <w:trPr>
          <w:cantSplit/>
          <w:trHeight w:val="169" w:hRule="atLeast"/>
        </w:trPr>
        <w:tc>
          <w:tcPr>
            <w:tcW w:w="1177" w:type="pct"/>
            <w:tcBorders>
              <w:top w:val="single" w:color="auto" w:sz="6" w:space="0"/>
              <w:left w:val="single" w:color="auto" w:sz="6" w:space="0"/>
              <w:bottom w:val="single" w:color="auto" w:sz="6" w:space="0"/>
              <w:right w:val="single" w:color="auto" w:sz="6" w:space="0"/>
            </w:tcBorders>
            <w:shd w:val="clear" w:color="auto" w:fill="auto"/>
            <w:vAlign w:val="center"/>
          </w:tcPr>
          <w:p w14:paraId="2C4D869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734" w:type="pct"/>
            <w:tcBorders>
              <w:top w:val="single" w:color="auto" w:sz="6" w:space="0"/>
              <w:left w:val="single" w:color="auto" w:sz="6" w:space="0"/>
              <w:bottom w:val="single" w:color="auto" w:sz="6" w:space="0"/>
              <w:right w:val="single" w:color="auto" w:sz="4" w:space="0"/>
            </w:tcBorders>
            <w:shd w:val="clear" w:color="auto" w:fill="auto"/>
            <w:vAlign w:val="center"/>
          </w:tcPr>
          <w:p w14:paraId="24B221A0">
            <w:pPr>
              <w:autoSpaceDE w:val="0"/>
              <w:autoSpaceDN w:val="0"/>
              <w:spacing w:line="360" w:lineRule="auto"/>
              <w:jc w:val="center"/>
              <w:rPr>
                <w:rFonts w:ascii="仿宋_GB2312" w:hAnsi="仿宋" w:eastAsia="仿宋_GB2312" w:cs="仿宋_GB2312"/>
                <w:color w:val="auto"/>
                <w:sz w:val="24"/>
                <w:highlight w:val="none"/>
              </w:rPr>
            </w:pPr>
          </w:p>
        </w:tc>
        <w:tc>
          <w:tcPr>
            <w:tcW w:w="719" w:type="pct"/>
            <w:tcBorders>
              <w:top w:val="single" w:color="auto" w:sz="6" w:space="0"/>
              <w:left w:val="single" w:color="auto" w:sz="4" w:space="0"/>
              <w:bottom w:val="single" w:color="auto" w:sz="6" w:space="0"/>
              <w:right w:val="single" w:color="auto" w:sz="6" w:space="0"/>
            </w:tcBorders>
            <w:shd w:val="clear" w:color="auto" w:fill="B3B3B3"/>
            <w:vAlign w:val="center"/>
          </w:tcPr>
          <w:p w14:paraId="7605E972">
            <w:pPr>
              <w:autoSpaceDE w:val="0"/>
              <w:autoSpaceDN w:val="0"/>
              <w:spacing w:line="360" w:lineRule="auto"/>
              <w:jc w:val="center"/>
              <w:rPr>
                <w:rFonts w:ascii="仿宋_GB2312" w:hAnsi="仿宋" w:eastAsia="仿宋_GB2312" w:cs="仿宋_GB2312"/>
                <w:color w:val="auto"/>
                <w:sz w:val="24"/>
                <w:highlight w:val="none"/>
              </w:rPr>
            </w:pPr>
          </w:p>
        </w:tc>
        <w:tc>
          <w:tcPr>
            <w:tcW w:w="2368" w:type="pct"/>
            <w:vMerge w:val="continue"/>
            <w:tcBorders>
              <w:top w:val="single" w:color="auto" w:sz="6" w:space="0"/>
              <w:left w:val="single" w:color="auto" w:sz="6" w:space="0"/>
              <w:bottom w:val="single" w:color="auto" w:sz="6" w:space="0"/>
              <w:right w:val="single" w:color="auto" w:sz="6" w:space="0"/>
            </w:tcBorders>
            <w:vAlign w:val="center"/>
          </w:tcPr>
          <w:p w14:paraId="78638004">
            <w:pPr>
              <w:widowControl/>
              <w:jc w:val="left"/>
              <w:rPr>
                <w:rFonts w:ascii="仿宋_GB2312" w:hAnsi="仿宋" w:eastAsia="仿宋_GB2312" w:cs="仿宋_GB2312"/>
                <w:color w:val="auto"/>
                <w:sz w:val="24"/>
                <w:highlight w:val="none"/>
              </w:rPr>
            </w:pPr>
          </w:p>
        </w:tc>
      </w:tr>
    </w:tbl>
    <w:p w14:paraId="11DEC446">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注：须随表提交相应的证书复印件并注明所在响应技术文件页码。</w:t>
      </w:r>
    </w:p>
    <w:p w14:paraId="7AA8559A">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23"/>
        <w:tblW w:w="4997" w:type="pct"/>
        <w:tblInd w:w="0" w:type="dxa"/>
        <w:tblLayout w:type="autofit"/>
        <w:tblCellMar>
          <w:top w:w="0" w:type="dxa"/>
          <w:left w:w="108" w:type="dxa"/>
          <w:bottom w:w="0" w:type="dxa"/>
          <w:right w:w="108" w:type="dxa"/>
        </w:tblCellMar>
      </w:tblPr>
      <w:tblGrid>
        <w:gridCol w:w="456"/>
        <w:gridCol w:w="801"/>
        <w:gridCol w:w="456"/>
        <w:gridCol w:w="596"/>
        <w:gridCol w:w="1059"/>
        <w:gridCol w:w="1103"/>
        <w:gridCol w:w="1103"/>
        <w:gridCol w:w="1289"/>
        <w:gridCol w:w="919"/>
        <w:gridCol w:w="1505"/>
      </w:tblGrid>
      <w:tr w14:paraId="2F2B0F33">
        <w:tblPrEx>
          <w:tblCellMar>
            <w:top w:w="0" w:type="dxa"/>
            <w:left w:w="108" w:type="dxa"/>
            <w:bottom w:w="0" w:type="dxa"/>
            <w:right w:w="108" w:type="dxa"/>
          </w:tblCellMar>
        </w:tblPrEx>
        <w:tc>
          <w:tcPr>
            <w:tcW w:w="232" w:type="pct"/>
            <w:tcBorders>
              <w:top w:val="single" w:color="auto" w:sz="6" w:space="0"/>
              <w:left w:val="single" w:color="auto" w:sz="6" w:space="0"/>
              <w:bottom w:val="single" w:color="auto" w:sz="6" w:space="0"/>
              <w:right w:val="single" w:color="auto" w:sz="6" w:space="0"/>
            </w:tcBorders>
            <w:vAlign w:val="center"/>
          </w:tcPr>
          <w:p w14:paraId="66633FF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435" w:type="pct"/>
            <w:tcBorders>
              <w:top w:val="single" w:color="auto" w:sz="6" w:space="0"/>
              <w:left w:val="single" w:color="auto" w:sz="6" w:space="0"/>
              <w:bottom w:val="single" w:color="auto" w:sz="6" w:space="0"/>
              <w:right w:val="single" w:color="auto" w:sz="6" w:space="0"/>
            </w:tcBorders>
            <w:vAlign w:val="center"/>
          </w:tcPr>
          <w:p w14:paraId="4399C4C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28" w:type="pct"/>
            <w:tcBorders>
              <w:top w:val="single" w:color="auto" w:sz="6" w:space="0"/>
              <w:left w:val="single" w:color="auto" w:sz="6" w:space="0"/>
              <w:bottom w:val="single" w:color="auto" w:sz="6" w:space="0"/>
              <w:right w:val="single" w:color="auto" w:sz="6" w:space="0"/>
            </w:tcBorders>
            <w:vAlign w:val="center"/>
          </w:tcPr>
          <w:p w14:paraId="5CBF63C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324" w:type="pct"/>
            <w:tcBorders>
              <w:top w:val="single" w:color="auto" w:sz="6" w:space="0"/>
              <w:left w:val="single" w:color="auto" w:sz="6" w:space="0"/>
              <w:bottom w:val="single" w:color="auto" w:sz="6" w:space="0"/>
              <w:right w:val="single" w:color="auto" w:sz="6" w:space="0"/>
            </w:tcBorders>
            <w:vAlign w:val="center"/>
          </w:tcPr>
          <w:p w14:paraId="7E2C289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573" w:type="pct"/>
            <w:tcBorders>
              <w:top w:val="single" w:color="auto" w:sz="6" w:space="0"/>
              <w:left w:val="single" w:color="auto" w:sz="6" w:space="0"/>
              <w:bottom w:val="single" w:color="auto" w:sz="6" w:space="0"/>
              <w:right w:val="single" w:color="auto" w:sz="6" w:space="0"/>
            </w:tcBorders>
            <w:vAlign w:val="center"/>
          </w:tcPr>
          <w:p w14:paraId="294D859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6C131D5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22011EC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1272571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12C4410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6217D84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697" w:type="pct"/>
            <w:tcBorders>
              <w:top w:val="single" w:color="auto" w:sz="6" w:space="0"/>
              <w:left w:val="single" w:color="auto" w:sz="6" w:space="0"/>
              <w:bottom w:val="single" w:color="auto" w:sz="6" w:space="0"/>
              <w:right w:val="single" w:color="auto" w:sz="6" w:space="0"/>
            </w:tcBorders>
            <w:vAlign w:val="center"/>
          </w:tcPr>
          <w:p w14:paraId="6438EB3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498" w:type="pct"/>
            <w:tcBorders>
              <w:top w:val="single" w:color="auto" w:sz="6" w:space="0"/>
              <w:left w:val="single" w:color="auto" w:sz="6" w:space="0"/>
              <w:bottom w:val="single" w:color="auto" w:sz="6" w:space="0"/>
              <w:right w:val="single" w:color="auto" w:sz="6" w:space="0"/>
            </w:tcBorders>
            <w:vAlign w:val="center"/>
          </w:tcPr>
          <w:p w14:paraId="368E130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813" w:type="pct"/>
            <w:tcBorders>
              <w:top w:val="single" w:color="auto" w:sz="6" w:space="0"/>
              <w:left w:val="single" w:color="auto" w:sz="6" w:space="0"/>
              <w:bottom w:val="single" w:color="auto" w:sz="6" w:space="0"/>
              <w:right w:val="single" w:color="auto" w:sz="6" w:space="0"/>
            </w:tcBorders>
            <w:vAlign w:val="center"/>
          </w:tcPr>
          <w:p w14:paraId="3CCC094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3AC7E651">
        <w:tblPrEx>
          <w:tblCellMar>
            <w:top w:w="0" w:type="dxa"/>
            <w:left w:w="108" w:type="dxa"/>
            <w:bottom w:w="0" w:type="dxa"/>
            <w:right w:w="108" w:type="dxa"/>
          </w:tblCellMar>
        </w:tblPrEx>
        <w:trPr>
          <w:trHeight w:val="479" w:hRule="atLeast"/>
        </w:trPr>
        <w:tc>
          <w:tcPr>
            <w:tcW w:w="232" w:type="pct"/>
            <w:tcBorders>
              <w:top w:val="single" w:color="auto" w:sz="6" w:space="0"/>
              <w:left w:val="single" w:color="auto" w:sz="6" w:space="0"/>
              <w:bottom w:val="single" w:color="auto" w:sz="6" w:space="0"/>
              <w:right w:val="single" w:color="auto" w:sz="6" w:space="0"/>
            </w:tcBorders>
          </w:tcPr>
          <w:p w14:paraId="3C8C14C7">
            <w:pPr>
              <w:autoSpaceDE w:val="0"/>
              <w:autoSpaceDN w:val="0"/>
              <w:spacing w:line="360" w:lineRule="auto"/>
              <w:jc w:val="center"/>
              <w:rPr>
                <w:rFonts w:ascii="仿宋_GB2312" w:hAnsi="仿宋" w:eastAsia="仿宋_GB2312" w:cs="仿宋_GB2312"/>
                <w:color w:val="auto"/>
                <w:sz w:val="24"/>
                <w:highlight w:val="none"/>
              </w:rPr>
            </w:pPr>
          </w:p>
        </w:tc>
        <w:tc>
          <w:tcPr>
            <w:tcW w:w="435" w:type="pct"/>
            <w:tcBorders>
              <w:top w:val="single" w:color="auto" w:sz="6" w:space="0"/>
              <w:left w:val="single" w:color="auto" w:sz="6" w:space="0"/>
              <w:bottom w:val="single" w:color="auto" w:sz="6" w:space="0"/>
              <w:right w:val="single" w:color="auto" w:sz="6" w:space="0"/>
            </w:tcBorders>
          </w:tcPr>
          <w:p w14:paraId="137F53BC">
            <w:pPr>
              <w:autoSpaceDE w:val="0"/>
              <w:autoSpaceDN w:val="0"/>
              <w:spacing w:line="360" w:lineRule="auto"/>
              <w:rPr>
                <w:rFonts w:ascii="仿宋_GB2312" w:hAnsi="仿宋" w:eastAsia="仿宋_GB2312" w:cs="仿宋_GB2312"/>
                <w:color w:val="auto"/>
                <w:sz w:val="24"/>
                <w:highlight w:val="none"/>
              </w:rPr>
            </w:pPr>
          </w:p>
        </w:tc>
        <w:tc>
          <w:tcPr>
            <w:tcW w:w="228" w:type="pct"/>
            <w:tcBorders>
              <w:top w:val="single" w:color="auto" w:sz="6" w:space="0"/>
              <w:left w:val="single" w:color="auto" w:sz="6" w:space="0"/>
              <w:bottom w:val="single" w:color="auto" w:sz="6" w:space="0"/>
              <w:right w:val="single" w:color="auto" w:sz="6" w:space="0"/>
            </w:tcBorders>
          </w:tcPr>
          <w:p w14:paraId="455FFC73">
            <w:pPr>
              <w:autoSpaceDE w:val="0"/>
              <w:autoSpaceDN w:val="0"/>
              <w:spacing w:line="360" w:lineRule="auto"/>
              <w:rPr>
                <w:rFonts w:ascii="仿宋_GB2312" w:hAnsi="仿宋" w:eastAsia="仿宋_GB2312" w:cs="仿宋_GB2312"/>
                <w:color w:val="auto"/>
                <w:sz w:val="24"/>
                <w:highlight w:val="none"/>
              </w:rPr>
            </w:pPr>
          </w:p>
        </w:tc>
        <w:tc>
          <w:tcPr>
            <w:tcW w:w="324" w:type="pct"/>
            <w:tcBorders>
              <w:top w:val="single" w:color="auto" w:sz="6" w:space="0"/>
              <w:left w:val="single" w:color="auto" w:sz="6" w:space="0"/>
              <w:bottom w:val="single" w:color="auto" w:sz="6" w:space="0"/>
              <w:right w:val="single" w:color="auto" w:sz="6" w:space="0"/>
            </w:tcBorders>
          </w:tcPr>
          <w:p w14:paraId="4175EB23">
            <w:pPr>
              <w:autoSpaceDE w:val="0"/>
              <w:autoSpaceDN w:val="0"/>
              <w:spacing w:line="360" w:lineRule="auto"/>
              <w:rPr>
                <w:rFonts w:ascii="仿宋_GB2312" w:hAnsi="仿宋" w:eastAsia="仿宋_GB2312" w:cs="仿宋_GB2312"/>
                <w:color w:val="auto"/>
                <w:sz w:val="24"/>
                <w:highlight w:val="none"/>
              </w:rPr>
            </w:pPr>
          </w:p>
        </w:tc>
        <w:tc>
          <w:tcPr>
            <w:tcW w:w="573" w:type="pct"/>
            <w:tcBorders>
              <w:top w:val="single" w:color="auto" w:sz="6" w:space="0"/>
              <w:left w:val="single" w:color="auto" w:sz="6" w:space="0"/>
              <w:bottom w:val="single" w:color="auto" w:sz="6" w:space="0"/>
              <w:right w:val="single" w:color="auto" w:sz="6" w:space="0"/>
            </w:tcBorders>
          </w:tcPr>
          <w:p w14:paraId="0E05716F">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5F919D41">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12DC381F">
            <w:pPr>
              <w:autoSpaceDE w:val="0"/>
              <w:autoSpaceDN w:val="0"/>
              <w:spacing w:line="360" w:lineRule="auto"/>
              <w:rPr>
                <w:rFonts w:ascii="仿宋_GB2312" w:hAnsi="仿宋" w:eastAsia="仿宋_GB2312" w:cs="仿宋_GB2312"/>
                <w:color w:val="auto"/>
                <w:sz w:val="24"/>
                <w:highlight w:val="none"/>
              </w:rPr>
            </w:pPr>
          </w:p>
        </w:tc>
        <w:tc>
          <w:tcPr>
            <w:tcW w:w="697" w:type="pct"/>
            <w:tcBorders>
              <w:top w:val="single" w:color="auto" w:sz="6" w:space="0"/>
              <w:left w:val="single" w:color="auto" w:sz="6" w:space="0"/>
              <w:bottom w:val="single" w:color="auto" w:sz="6" w:space="0"/>
              <w:right w:val="single" w:color="auto" w:sz="6" w:space="0"/>
            </w:tcBorders>
          </w:tcPr>
          <w:p w14:paraId="678C1A34">
            <w:pPr>
              <w:autoSpaceDE w:val="0"/>
              <w:autoSpaceDN w:val="0"/>
              <w:spacing w:line="360" w:lineRule="auto"/>
              <w:rPr>
                <w:rFonts w:ascii="仿宋_GB2312" w:hAnsi="仿宋" w:eastAsia="仿宋_GB2312" w:cs="仿宋_GB2312"/>
                <w:color w:val="auto"/>
                <w:sz w:val="24"/>
                <w:highlight w:val="none"/>
              </w:rPr>
            </w:pPr>
          </w:p>
        </w:tc>
        <w:tc>
          <w:tcPr>
            <w:tcW w:w="498" w:type="pct"/>
            <w:tcBorders>
              <w:top w:val="single" w:color="auto" w:sz="6" w:space="0"/>
              <w:left w:val="single" w:color="auto" w:sz="6" w:space="0"/>
              <w:bottom w:val="single" w:color="auto" w:sz="6" w:space="0"/>
              <w:right w:val="single" w:color="auto" w:sz="6" w:space="0"/>
            </w:tcBorders>
          </w:tcPr>
          <w:p w14:paraId="33D53969">
            <w:pPr>
              <w:autoSpaceDE w:val="0"/>
              <w:autoSpaceDN w:val="0"/>
              <w:spacing w:line="360" w:lineRule="auto"/>
              <w:rPr>
                <w:rFonts w:ascii="仿宋_GB2312" w:hAnsi="仿宋" w:eastAsia="仿宋_GB2312" w:cs="仿宋_GB2312"/>
                <w:color w:val="auto"/>
                <w:sz w:val="24"/>
                <w:highlight w:val="none"/>
              </w:rPr>
            </w:pPr>
          </w:p>
        </w:tc>
        <w:tc>
          <w:tcPr>
            <w:tcW w:w="813" w:type="pct"/>
            <w:tcBorders>
              <w:top w:val="single" w:color="auto" w:sz="6" w:space="0"/>
              <w:left w:val="single" w:color="auto" w:sz="6" w:space="0"/>
              <w:bottom w:val="single" w:color="auto" w:sz="6" w:space="0"/>
              <w:right w:val="single" w:color="auto" w:sz="6" w:space="0"/>
            </w:tcBorders>
          </w:tcPr>
          <w:p w14:paraId="4C2BCCA4">
            <w:pPr>
              <w:autoSpaceDE w:val="0"/>
              <w:autoSpaceDN w:val="0"/>
              <w:spacing w:line="360" w:lineRule="auto"/>
              <w:rPr>
                <w:rFonts w:ascii="仿宋_GB2312" w:hAnsi="仿宋" w:eastAsia="仿宋_GB2312" w:cs="仿宋_GB2312"/>
                <w:color w:val="auto"/>
                <w:sz w:val="24"/>
                <w:highlight w:val="none"/>
              </w:rPr>
            </w:pPr>
          </w:p>
        </w:tc>
      </w:tr>
      <w:tr w14:paraId="2C92356B">
        <w:tblPrEx>
          <w:tblCellMar>
            <w:top w:w="0" w:type="dxa"/>
            <w:left w:w="108" w:type="dxa"/>
            <w:bottom w:w="0" w:type="dxa"/>
            <w:right w:w="108" w:type="dxa"/>
          </w:tblCellMar>
        </w:tblPrEx>
        <w:trPr>
          <w:trHeight w:val="473" w:hRule="atLeast"/>
        </w:trPr>
        <w:tc>
          <w:tcPr>
            <w:tcW w:w="232" w:type="pct"/>
            <w:tcBorders>
              <w:top w:val="single" w:color="auto" w:sz="6" w:space="0"/>
              <w:left w:val="single" w:color="auto" w:sz="6" w:space="0"/>
              <w:bottom w:val="single" w:color="auto" w:sz="6" w:space="0"/>
              <w:right w:val="single" w:color="auto" w:sz="6" w:space="0"/>
            </w:tcBorders>
          </w:tcPr>
          <w:p w14:paraId="2BC30495">
            <w:pPr>
              <w:autoSpaceDE w:val="0"/>
              <w:autoSpaceDN w:val="0"/>
              <w:spacing w:line="360" w:lineRule="auto"/>
              <w:jc w:val="center"/>
              <w:rPr>
                <w:rFonts w:ascii="仿宋_GB2312" w:hAnsi="仿宋" w:eastAsia="仿宋_GB2312" w:cs="仿宋_GB2312"/>
                <w:color w:val="auto"/>
                <w:sz w:val="24"/>
                <w:highlight w:val="none"/>
              </w:rPr>
            </w:pPr>
          </w:p>
        </w:tc>
        <w:tc>
          <w:tcPr>
            <w:tcW w:w="435" w:type="pct"/>
            <w:tcBorders>
              <w:top w:val="single" w:color="auto" w:sz="6" w:space="0"/>
              <w:left w:val="single" w:color="auto" w:sz="6" w:space="0"/>
              <w:bottom w:val="single" w:color="auto" w:sz="6" w:space="0"/>
              <w:right w:val="single" w:color="auto" w:sz="6" w:space="0"/>
            </w:tcBorders>
          </w:tcPr>
          <w:p w14:paraId="46C82CF3">
            <w:pPr>
              <w:autoSpaceDE w:val="0"/>
              <w:autoSpaceDN w:val="0"/>
              <w:spacing w:line="360" w:lineRule="auto"/>
              <w:rPr>
                <w:rFonts w:ascii="仿宋_GB2312" w:hAnsi="仿宋" w:eastAsia="仿宋_GB2312" w:cs="仿宋_GB2312"/>
                <w:color w:val="auto"/>
                <w:sz w:val="24"/>
                <w:highlight w:val="none"/>
              </w:rPr>
            </w:pPr>
          </w:p>
        </w:tc>
        <w:tc>
          <w:tcPr>
            <w:tcW w:w="228" w:type="pct"/>
            <w:tcBorders>
              <w:top w:val="single" w:color="auto" w:sz="6" w:space="0"/>
              <w:left w:val="single" w:color="auto" w:sz="6" w:space="0"/>
              <w:bottom w:val="single" w:color="auto" w:sz="6" w:space="0"/>
              <w:right w:val="single" w:color="auto" w:sz="6" w:space="0"/>
            </w:tcBorders>
          </w:tcPr>
          <w:p w14:paraId="60B02336">
            <w:pPr>
              <w:autoSpaceDE w:val="0"/>
              <w:autoSpaceDN w:val="0"/>
              <w:spacing w:line="360" w:lineRule="auto"/>
              <w:rPr>
                <w:rFonts w:ascii="仿宋_GB2312" w:hAnsi="仿宋" w:eastAsia="仿宋_GB2312" w:cs="仿宋_GB2312"/>
                <w:color w:val="auto"/>
                <w:sz w:val="24"/>
                <w:highlight w:val="none"/>
              </w:rPr>
            </w:pPr>
          </w:p>
        </w:tc>
        <w:tc>
          <w:tcPr>
            <w:tcW w:w="324" w:type="pct"/>
            <w:tcBorders>
              <w:top w:val="single" w:color="auto" w:sz="6" w:space="0"/>
              <w:left w:val="single" w:color="auto" w:sz="6" w:space="0"/>
              <w:bottom w:val="single" w:color="auto" w:sz="6" w:space="0"/>
              <w:right w:val="single" w:color="auto" w:sz="6" w:space="0"/>
            </w:tcBorders>
          </w:tcPr>
          <w:p w14:paraId="7D17748A">
            <w:pPr>
              <w:autoSpaceDE w:val="0"/>
              <w:autoSpaceDN w:val="0"/>
              <w:spacing w:line="360" w:lineRule="auto"/>
              <w:rPr>
                <w:rFonts w:ascii="仿宋_GB2312" w:hAnsi="仿宋" w:eastAsia="仿宋_GB2312" w:cs="仿宋_GB2312"/>
                <w:color w:val="auto"/>
                <w:sz w:val="24"/>
                <w:highlight w:val="none"/>
              </w:rPr>
            </w:pPr>
          </w:p>
        </w:tc>
        <w:tc>
          <w:tcPr>
            <w:tcW w:w="573" w:type="pct"/>
            <w:tcBorders>
              <w:top w:val="single" w:color="auto" w:sz="6" w:space="0"/>
              <w:left w:val="single" w:color="auto" w:sz="6" w:space="0"/>
              <w:bottom w:val="single" w:color="auto" w:sz="6" w:space="0"/>
              <w:right w:val="single" w:color="auto" w:sz="6" w:space="0"/>
            </w:tcBorders>
          </w:tcPr>
          <w:p w14:paraId="4EB214A6">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10BD9986">
            <w:pPr>
              <w:autoSpaceDE w:val="0"/>
              <w:autoSpaceDN w:val="0"/>
              <w:spacing w:line="360" w:lineRule="auto"/>
              <w:rPr>
                <w:rFonts w:ascii="仿宋_GB2312" w:hAnsi="仿宋" w:eastAsia="仿宋_GB2312" w:cs="仿宋_GB2312"/>
                <w:color w:val="auto"/>
                <w:sz w:val="24"/>
                <w:highlight w:val="none"/>
              </w:rPr>
            </w:pPr>
          </w:p>
        </w:tc>
        <w:tc>
          <w:tcPr>
            <w:tcW w:w="597" w:type="pct"/>
            <w:tcBorders>
              <w:top w:val="single" w:color="auto" w:sz="6" w:space="0"/>
              <w:left w:val="single" w:color="auto" w:sz="6" w:space="0"/>
              <w:bottom w:val="single" w:color="auto" w:sz="6" w:space="0"/>
              <w:right w:val="single" w:color="auto" w:sz="6" w:space="0"/>
            </w:tcBorders>
          </w:tcPr>
          <w:p w14:paraId="6EB93005">
            <w:pPr>
              <w:autoSpaceDE w:val="0"/>
              <w:autoSpaceDN w:val="0"/>
              <w:spacing w:line="360" w:lineRule="auto"/>
              <w:rPr>
                <w:rFonts w:ascii="仿宋_GB2312" w:hAnsi="仿宋" w:eastAsia="仿宋_GB2312" w:cs="仿宋_GB2312"/>
                <w:color w:val="auto"/>
                <w:sz w:val="24"/>
                <w:highlight w:val="none"/>
              </w:rPr>
            </w:pPr>
          </w:p>
        </w:tc>
        <w:tc>
          <w:tcPr>
            <w:tcW w:w="697" w:type="pct"/>
            <w:tcBorders>
              <w:top w:val="single" w:color="auto" w:sz="6" w:space="0"/>
              <w:left w:val="single" w:color="auto" w:sz="6" w:space="0"/>
              <w:bottom w:val="single" w:color="auto" w:sz="6" w:space="0"/>
              <w:right w:val="single" w:color="auto" w:sz="6" w:space="0"/>
            </w:tcBorders>
          </w:tcPr>
          <w:p w14:paraId="5CB408E7">
            <w:pPr>
              <w:autoSpaceDE w:val="0"/>
              <w:autoSpaceDN w:val="0"/>
              <w:spacing w:line="360" w:lineRule="auto"/>
              <w:rPr>
                <w:rFonts w:ascii="仿宋_GB2312" w:hAnsi="仿宋" w:eastAsia="仿宋_GB2312" w:cs="仿宋_GB2312"/>
                <w:color w:val="auto"/>
                <w:sz w:val="24"/>
                <w:highlight w:val="none"/>
              </w:rPr>
            </w:pPr>
          </w:p>
        </w:tc>
        <w:tc>
          <w:tcPr>
            <w:tcW w:w="498" w:type="pct"/>
            <w:tcBorders>
              <w:top w:val="single" w:color="auto" w:sz="6" w:space="0"/>
              <w:left w:val="single" w:color="auto" w:sz="6" w:space="0"/>
              <w:bottom w:val="single" w:color="auto" w:sz="6" w:space="0"/>
              <w:right w:val="single" w:color="auto" w:sz="6" w:space="0"/>
            </w:tcBorders>
          </w:tcPr>
          <w:p w14:paraId="5989F7EF">
            <w:pPr>
              <w:autoSpaceDE w:val="0"/>
              <w:autoSpaceDN w:val="0"/>
              <w:spacing w:line="360" w:lineRule="auto"/>
              <w:rPr>
                <w:rFonts w:ascii="仿宋_GB2312" w:hAnsi="仿宋" w:eastAsia="仿宋_GB2312" w:cs="仿宋_GB2312"/>
                <w:color w:val="auto"/>
                <w:sz w:val="24"/>
                <w:highlight w:val="none"/>
              </w:rPr>
            </w:pPr>
          </w:p>
        </w:tc>
        <w:tc>
          <w:tcPr>
            <w:tcW w:w="813" w:type="pct"/>
            <w:tcBorders>
              <w:top w:val="single" w:color="auto" w:sz="6" w:space="0"/>
              <w:left w:val="single" w:color="auto" w:sz="6" w:space="0"/>
              <w:bottom w:val="single" w:color="auto" w:sz="6" w:space="0"/>
              <w:right w:val="single" w:color="auto" w:sz="6" w:space="0"/>
            </w:tcBorders>
          </w:tcPr>
          <w:p w14:paraId="3055B0C7">
            <w:pPr>
              <w:autoSpaceDE w:val="0"/>
              <w:autoSpaceDN w:val="0"/>
              <w:spacing w:line="360" w:lineRule="auto"/>
              <w:rPr>
                <w:rFonts w:ascii="仿宋_GB2312" w:hAnsi="仿宋" w:eastAsia="仿宋_GB2312" w:cs="仿宋_GB2312"/>
                <w:color w:val="auto"/>
                <w:sz w:val="24"/>
                <w:highlight w:val="none"/>
              </w:rPr>
            </w:pPr>
          </w:p>
        </w:tc>
      </w:tr>
    </w:tbl>
    <w:p w14:paraId="2168585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注：供应商可按上述的格式自行编制，须随表提交相应的证书复印件并注明所在响应技术文件页码。</w:t>
      </w:r>
    </w:p>
    <w:p w14:paraId="4FAD98B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附表C:本项目的项目负责人截标时间前半年内任意一个月交纳社保记录情况表</w:t>
      </w:r>
      <w:r>
        <w:rPr>
          <w:rFonts w:hint="eastAsia" w:ascii="仿宋_GB2312" w:hAnsi="仿宋" w:eastAsia="仿宋_GB2312" w:cs="仿宋_GB2312"/>
          <w:color w:val="auto"/>
          <w:sz w:val="24"/>
          <w:highlight w:val="none"/>
        </w:rPr>
        <w:t>（以社保局缴纳凭证作附件）</w:t>
      </w:r>
    </w:p>
    <w:p w14:paraId="03CEDA08">
      <w:pPr>
        <w:snapToGrid w:val="0"/>
        <w:spacing w:line="360" w:lineRule="auto"/>
        <w:ind w:firstLine="602" w:firstLineChars="200"/>
        <w:rPr>
          <w:rFonts w:ascii="仿宋" w:hAnsi="仿宋" w:eastAsia="仿宋" w:cs="仿宋_GB2312"/>
          <w:b/>
          <w:color w:val="auto"/>
          <w:sz w:val="30"/>
          <w:szCs w:val="30"/>
          <w:highlight w:val="none"/>
        </w:rPr>
      </w:pPr>
    </w:p>
    <w:p w14:paraId="7098C275">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3F27AD84">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57D414E2">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p>
    <w:p w14:paraId="7E1D3499">
      <w:pPr>
        <w:snapToGrid w:val="0"/>
        <w:spacing w:line="360" w:lineRule="auto"/>
        <w:ind w:firstLine="602" w:firstLineChars="200"/>
        <w:rPr>
          <w:rFonts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t>十、服务需求、商务条款要求提供的其他材料</w:t>
      </w:r>
    </w:p>
    <w:p w14:paraId="54896CB1">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p>
    <w:p w14:paraId="738848F4">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5F32672F">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4D75E7F7">
      <w:pPr>
        <w:widowControl/>
        <w:spacing w:line="360" w:lineRule="auto"/>
        <w:jc w:val="left"/>
        <w:rPr>
          <w:rFonts w:ascii="仿宋_GB2312" w:hAnsi="仿宋" w:eastAsia="仿宋_GB2312" w:cs="仿宋_GB2312"/>
          <w:b/>
          <w:bCs/>
          <w:color w:val="auto"/>
          <w:sz w:val="24"/>
          <w:highlight w:val="none"/>
        </w:rPr>
        <w:sectPr>
          <w:pgSz w:w="11911" w:h="16838"/>
          <w:pgMar w:top="1417" w:right="1417" w:bottom="1417" w:left="1417" w:header="720" w:footer="720" w:gutter="0"/>
          <w:cols w:space="0" w:num="1"/>
        </w:sectPr>
      </w:pPr>
    </w:p>
    <w:p w14:paraId="7506582C">
      <w:pPr>
        <w:autoSpaceDE w:val="0"/>
        <w:autoSpaceDN w:val="0"/>
        <w:spacing w:line="360" w:lineRule="auto"/>
        <w:ind w:firstLine="6505" w:firstLineChars="2700"/>
        <w:rPr>
          <w:rFonts w:ascii="仿宋_GB2312" w:hAnsi="仿宋" w:eastAsia="仿宋_GB2312" w:cs="仿宋_GB2312"/>
          <w:b/>
          <w:bCs/>
          <w:color w:val="auto"/>
          <w:sz w:val="24"/>
          <w:highlight w:val="none"/>
        </w:rPr>
      </w:pPr>
    </w:p>
    <w:p w14:paraId="269A2414">
      <w:pPr>
        <w:pStyle w:val="4"/>
        <w:jc w:val="center"/>
        <w:rPr>
          <w:rFonts w:ascii="宋体" w:hAnsi="宋体" w:cs="宋体"/>
          <w:color w:val="auto"/>
          <w:highlight w:val="none"/>
        </w:rPr>
      </w:pPr>
      <w:bookmarkStart w:id="75" w:name="_Toc25570"/>
      <w:bookmarkStart w:id="76" w:name="_Toc80205941"/>
      <w:r>
        <w:rPr>
          <w:rFonts w:hint="eastAsia" w:ascii="宋体" w:hAnsi="宋体"/>
          <w:color w:val="auto"/>
          <w:highlight w:val="none"/>
        </w:rPr>
        <w:t>第四节 报价文件格式</w:t>
      </w:r>
      <w:bookmarkEnd w:id="75"/>
      <w:bookmarkEnd w:id="76"/>
    </w:p>
    <w:p w14:paraId="756AD766">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923920F">
      <w:pPr>
        <w:snapToGrid w:val="0"/>
        <w:spacing w:before="120" w:beforeLines="50" w:after="50"/>
        <w:rPr>
          <w:rFonts w:ascii="宋体" w:hAnsi="宋体"/>
          <w:color w:val="auto"/>
          <w:sz w:val="24"/>
          <w:szCs w:val="20"/>
          <w:highlight w:val="none"/>
        </w:rPr>
      </w:pPr>
    </w:p>
    <w:p w14:paraId="2FE80A19">
      <w:pPr>
        <w:snapToGrid w:val="0"/>
        <w:spacing w:before="120" w:beforeLines="50" w:after="50"/>
        <w:rPr>
          <w:rFonts w:ascii="宋体" w:hAnsi="宋体"/>
          <w:color w:val="auto"/>
          <w:sz w:val="24"/>
          <w:szCs w:val="20"/>
          <w:highlight w:val="none"/>
        </w:rPr>
      </w:pPr>
    </w:p>
    <w:p w14:paraId="1CF5C58B">
      <w:pPr>
        <w:snapToGrid w:val="0"/>
        <w:spacing w:before="120" w:beforeLines="50" w:after="50"/>
        <w:rPr>
          <w:rFonts w:ascii="宋体" w:hAnsi="宋体"/>
          <w:color w:val="auto"/>
          <w:sz w:val="24"/>
          <w:szCs w:val="20"/>
          <w:highlight w:val="none"/>
        </w:rPr>
      </w:pPr>
    </w:p>
    <w:p w14:paraId="56931E12">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0A12CCF5">
      <w:pPr>
        <w:snapToGrid w:val="0"/>
        <w:spacing w:before="120" w:beforeLines="50" w:after="50"/>
        <w:rPr>
          <w:rFonts w:ascii="宋体" w:hAnsi="宋体"/>
          <w:bCs/>
          <w:color w:val="auto"/>
          <w:sz w:val="24"/>
          <w:szCs w:val="20"/>
          <w:highlight w:val="none"/>
        </w:rPr>
      </w:pPr>
    </w:p>
    <w:p w14:paraId="12ED3967">
      <w:pPr>
        <w:snapToGrid w:val="0"/>
        <w:spacing w:before="120" w:beforeLines="50" w:after="50"/>
        <w:rPr>
          <w:rFonts w:ascii="宋体" w:hAnsi="宋体"/>
          <w:bCs/>
          <w:color w:val="auto"/>
          <w:sz w:val="24"/>
          <w:szCs w:val="20"/>
          <w:highlight w:val="none"/>
        </w:rPr>
      </w:pPr>
    </w:p>
    <w:p w14:paraId="29A831A4">
      <w:pPr>
        <w:snapToGrid w:val="0"/>
        <w:spacing w:before="120" w:beforeLines="50" w:after="50"/>
        <w:rPr>
          <w:rFonts w:ascii="宋体" w:hAnsi="宋体"/>
          <w:bCs/>
          <w:color w:val="auto"/>
          <w:sz w:val="24"/>
          <w:szCs w:val="20"/>
          <w:highlight w:val="none"/>
        </w:rPr>
      </w:pPr>
    </w:p>
    <w:p w14:paraId="07661E99">
      <w:pPr>
        <w:snapToGrid w:val="0"/>
        <w:spacing w:before="120" w:beforeLines="50" w:after="50"/>
        <w:rPr>
          <w:rFonts w:ascii="宋体" w:hAnsi="宋体"/>
          <w:bCs/>
          <w:color w:val="auto"/>
          <w:sz w:val="24"/>
          <w:szCs w:val="20"/>
          <w:highlight w:val="none"/>
        </w:rPr>
      </w:pPr>
    </w:p>
    <w:p w14:paraId="022AF350">
      <w:pPr>
        <w:snapToGrid w:val="0"/>
        <w:spacing w:before="120" w:beforeLines="50" w:after="50"/>
        <w:rPr>
          <w:rFonts w:ascii="宋体" w:hAnsi="宋体"/>
          <w:bCs/>
          <w:color w:val="auto"/>
          <w:sz w:val="24"/>
          <w:szCs w:val="20"/>
          <w:highlight w:val="none"/>
        </w:rPr>
      </w:pPr>
    </w:p>
    <w:p w14:paraId="4802D38C">
      <w:pPr>
        <w:snapToGrid w:val="0"/>
        <w:spacing w:before="120" w:beforeLines="50" w:after="50"/>
        <w:ind w:firstLine="640" w:firstLineChars="20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2026年涉案财物集中委托管理处置服务采购</w:t>
      </w:r>
    </w:p>
    <w:p w14:paraId="44B0C78D">
      <w:pPr>
        <w:snapToGrid w:val="0"/>
        <w:spacing w:before="120" w:beforeLines="50" w:after="50"/>
        <w:ind w:firstLine="720" w:firstLineChars="225"/>
        <w:rPr>
          <w:rFonts w:ascii="宋体" w:hAnsi="宋体" w:cs="仿宋_GB2312"/>
          <w:bCs/>
          <w:color w:val="auto"/>
          <w:sz w:val="32"/>
          <w:szCs w:val="32"/>
          <w:highlight w:val="none"/>
        </w:rPr>
      </w:pPr>
    </w:p>
    <w:p w14:paraId="7B7026DD">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A8D79EA">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80607D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所竞标项（如有则填写，无标项时填写“无”或者留空）：</w:t>
      </w:r>
    </w:p>
    <w:p w14:paraId="6ADD54F6">
      <w:pPr>
        <w:snapToGrid w:val="0"/>
        <w:spacing w:before="120" w:beforeLines="50" w:after="50"/>
        <w:ind w:firstLine="720" w:firstLineChars="225"/>
        <w:rPr>
          <w:rFonts w:ascii="宋体" w:hAnsi="宋体" w:cs="仿宋_GB2312"/>
          <w:bCs/>
          <w:color w:val="auto"/>
          <w:sz w:val="32"/>
          <w:szCs w:val="32"/>
          <w:highlight w:val="none"/>
        </w:rPr>
      </w:pPr>
    </w:p>
    <w:p w14:paraId="2294F1AB">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BD3C274">
      <w:pPr>
        <w:pStyle w:val="7"/>
        <w:snapToGrid w:val="0"/>
        <w:spacing w:before="50" w:after="50"/>
        <w:ind w:firstLine="720" w:firstLineChars="225"/>
        <w:rPr>
          <w:rFonts w:ascii="宋体" w:hAnsi="宋体" w:cs="仿宋_GB2312"/>
          <w:bCs/>
          <w:color w:val="auto"/>
          <w:sz w:val="32"/>
          <w:szCs w:val="32"/>
          <w:highlight w:val="none"/>
        </w:rPr>
      </w:pPr>
    </w:p>
    <w:p w14:paraId="5F47BD7B">
      <w:pPr>
        <w:pStyle w:val="7"/>
        <w:snapToGrid w:val="0"/>
        <w:spacing w:before="50" w:after="50"/>
        <w:ind w:firstLine="720" w:firstLineChars="225"/>
        <w:rPr>
          <w:rFonts w:ascii="宋体" w:hAnsi="宋体" w:cs="仿宋_GB2312"/>
          <w:bCs/>
          <w:color w:val="auto"/>
          <w:sz w:val="32"/>
          <w:szCs w:val="32"/>
          <w:highlight w:val="none"/>
        </w:rPr>
      </w:pPr>
    </w:p>
    <w:p w14:paraId="6C80B31D">
      <w:pPr>
        <w:pStyle w:val="7"/>
        <w:snapToGrid w:val="0"/>
        <w:spacing w:before="50" w:after="50"/>
        <w:ind w:firstLine="1280" w:firstLineChars="400"/>
        <w:rPr>
          <w:rFonts w:ascii="宋体" w:hAnsi="宋体" w:cs="仿宋_GB2312"/>
          <w:bCs/>
          <w:color w:val="auto"/>
          <w:sz w:val="32"/>
          <w:szCs w:val="32"/>
          <w:highlight w:val="none"/>
        </w:rPr>
      </w:pPr>
    </w:p>
    <w:p w14:paraId="668CA1C1">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EBBD7C0">
      <w:pPr>
        <w:snapToGrid w:val="0"/>
        <w:spacing w:before="120" w:beforeLines="50" w:after="50" w:line="400" w:lineRule="exact"/>
        <w:jc w:val="center"/>
        <w:rPr>
          <w:rFonts w:ascii="宋体" w:hAnsi="宋体"/>
          <w:b/>
          <w:bCs/>
          <w:color w:val="auto"/>
          <w:sz w:val="32"/>
          <w:szCs w:val="32"/>
          <w:highlight w:val="none"/>
        </w:rPr>
      </w:pPr>
      <w:r>
        <w:rPr>
          <w:rFonts w:hint="eastAsia" w:ascii="宋体" w:hAnsi="宋体"/>
          <w:color w:val="auto"/>
          <w:sz w:val="24"/>
          <w:highlight w:val="none"/>
        </w:rPr>
        <w:br w:type="page"/>
      </w:r>
      <w:r>
        <w:rPr>
          <w:rFonts w:hint="eastAsia" w:ascii="宋体" w:hAnsi="宋体"/>
          <w:b/>
          <w:bCs/>
          <w:color w:val="auto"/>
          <w:sz w:val="32"/>
          <w:szCs w:val="32"/>
          <w:highlight w:val="none"/>
        </w:rPr>
        <w:t>报价文件目录</w:t>
      </w:r>
    </w:p>
    <w:p w14:paraId="4764B578">
      <w:pPr>
        <w:rPr>
          <w:rFonts w:ascii="宋体" w:hAnsi="宋体" w:cs="宋体"/>
          <w:color w:val="auto"/>
          <w:highlight w:val="none"/>
        </w:rPr>
      </w:pPr>
    </w:p>
    <w:p w14:paraId="6D0ED19C">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一、响应函………………………………………………………（页码）</w:t>
      </w:r>
    </w:p>
    <w:p w14:paraId="07958CB3">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二、响应报价表…………………………………………………（页码）</w:t>
      </w:r>
    </w:p>
    <w:p w14:paraId="579A7A40">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5C8328FA">
      <w:pPr>
        <w:snapToGrid w:val="0"/>
        <w:spacing w:before="120" w:beforeLines="50" w:after="50" w:line="360" w:lineRule="auto"/>
        <w:ind w:left="142" w:firstLine="480" w:firstLineChars="200"/>
        <w:jc w:val="left"/>
        <w:rPr>
          <w:rFonts w:hAnsi="宋体" w:cs="仿宋_GB2312"/>
          <w:color w:val="auto"/>
          <w:sz w:val="24"/>
          <w:highlight w:val="none"/>
        </w:rPr>
      </w:pPr>
      <w:r>
        <w:rPr>
          <w:rFonts w:hAnsi="宋体" w:cs="仿宋_GB2312"/>
          <w:color w:val="auto"/>
          <w:sz w:val="24"/>
          <w:highlight w:val="none"/>
        </w:rPr>
        <w:br w:type="page"/>
      </w:r>
      <w:r>
        <w:rPr>
          <w:rFonts w:hint="eastAsia" w:hAnsi="宋体"/>
          <w:b/>
          <w:bCs/>
          <w:color w:val="auto"/>
          <w:sz w:val="32"/>
          <w:szCs w:val="32"/>
          <w:highlight w:val="none"/>
        </w:rPr>
        <w:t>一、响应函</w:t>
      </w:r>
    </w:p>
    <w:p w14:paraId="068DCE05">
      <w:pPr>
        <w:pStyle w:val="12"/>
        <w:spacing w:line="500" w:lineRule="exact"/>
        <w:ind w:left="0" w:leftChars="0"/>
        <w:jc w:val="center"/>
        <w:rPr>
          <w:b/>
          <w:bCs/>
          <w:color w:val="auto"/>
          <w:sz w:val="30"/>
          <w:szCs w:val="30"/>
          <w:highlight w:val="none"/>
        </w:rPr>
      </w:pPr>
      <w:r>
        <w:rPr>
          <w:rFonts w:hint="eastAsia"/>
          <w:b/>
          <w:bCs/>
          <w:color w:val="auto"/>
          <w:sz w:val="30"/>
          <w:szCs w:val="30"/>
          <w:highlight w:val="none"/>
        </w:rPr>
        <w:t>响应函</w:t>
      </w:r>
    </w:p>
    <w:p w14:paraId="1D08A7FC">
      <w:pPr>
        <w:pStyle w:val="12"/>
        <w:spacing w:line="360" w:lineRule="auto"/>
        <w:ind w:left="0" w:leftChars="0"/>
        <w:rPr>
          <w:color w:val="auto"/>
          <w:szCs w:val="20"/>
          <w:highlight w:val="none"/>
        </w:rPr>
      </w:pPr>
      <w:r>
        <w:rPr>
          <w:rFonts w:hint="eastAsia"/>
          <w:color w:val="auto"/>
          <w:szCs w:val="20"/>
          <w:highlight w:val="none"/>
        </w:rPr>
        <w:t>致：</w:t>
      </w:r>
      <w:r>
        <w:rPr>
          <w:color w:val="auto"/>
          <w:szCs w:val="20"/>
          <w:highlight w:val="none"/>
          <w:u w:val="single"/>
        </w:rPr>
        <w:t xml:space="preserve"> </w:t>
      </w:r>
      <w:r>
        <w:rPr>
          <w:rFonts w:hint="eastAsia"/>
          <w:color w:val="auto"/>
          <w:szCs w:val="20"/>
          <w:highlight w:val="none"/>
          <w:u w:val="single"/>
        </w:rPr>
        <w:t>广西机电设备招标有限公司</w:t>
      </w:r>
      <w:r>
        <w:rPr>
          <w:color w:val="auto"/>
          <w:szCs w:val="20"/>
          <w:highlight w:val="none"/>
          <w:u w:val="single"/>
        </w:rPr>
        <w:t xml:space="preserve"> </w:t>
      </w:r>
    </w:p>
    <w:p w14:paraId="62F2186C">
      <w:pPr>
        <w:pStyle w:val="12"/>
        <w:spacing w:line="360" w:lineRule="auto"/>
        <w:ind w:left="0" w:leftChars="0" w:firstLine="420" w:firstLineChars="200"/>
        <w:rPr>
          <w:color w:val="auto"/>
          <w:szCs w:val="20"/>
          <w:highlight w:val="none"/>
        </w:rPr>
      </w:pPr>
      <w:r>
        <w:rPr>
          <w:rFonts w:hint="eastAsia"/>
          <w:color w:val="auto"/>
          <w:szCs w:val="20"/>
          <w:highlight w:val="none"/>
        </w:rPr>
        <w:t>我方已仔细阅读了贵方组织的</w:t>
      </w:r>
      <w:r>
        <w:rPr>
          <w:rFonts w:hint="eastAsia"/>
          <w:color w:val="auto"/>
          <w:szCs w:val="20"/>
          <w:highlight w:val="none"/>
          <w:u w:val="single"/>
          <w:lang w:eastAsia="zh-CN"/>
        </w:rPr>
        <w:t>2026年涉案财物集中委托管理处置服务采购</w:t>
      </w:r>
      <w:r>
        <w:rPr>
          <w:rFonts w:hint="eastAsia"/>
          <w:color w:val="auto"/>
          <w:szCs w:val="20"/>
          <w:highlight w:val="none"/>
          <w:u w:val="single"/>
        </w:rPr>
        <w:t xml:space="preserve">  </w:t>
      </w:r>
      <w:r>
        <w:rPr>
          <w:rFonts w:hint="eastAsia"/>
          <w:color w:val="auto"/>
          <w:szCs w:val="20"/>
          <w:highlight w:val="none"/>
        </w:rPr>
        <w:t>项目（标项_</w:t>
      </w:r>
      <w:r>
        <w:rPr>
          <w:color w:val="auto"/>
          <w:szCs w:val="20"/>
          <w:highlight w:val="none"/>
        </w:rPr>
        <w:t>______</w:t>
      </w:r>
      <w:r>
        <w:rPr>
          <w:rFonts w:hint="eastAsia"/>
          <w:color w:val="auto"/>
          <w:szCs w:val="20"/>
          <w:highlight w:val="none"/>
        </w:rPr>
        <w:t>）（项目编号：</w:t>
      </w:r>
      <w:r>
        <w:rPr>
          <w:rFonts w:hint="eastAsia" w:hAnsi="宋体"/>
          <w:color w:val="auto"/>
          <w:szCs w:val="20"/>
          <w:highlight w:val="none"/>
          <w:u w:val="single"/>
        </w:rPr>
        <w:t xml:space="preserve">         </w:t>
      </w:r>
      <w:r>
        <w:rPr>
          <w:rFonts w:hint="eastAsia"/>
          <w:color w:val="auto"/>
          <w:szCs w:val="20"/>
          <w:highlight w:val="none"/>
        </w:rPr>
        <w:t xml:space="preserve">）的竞争性磋商采购文件的全部内容，现正式递交下述文件参加贵方组织的本次政府采购活动： </w:t>
      </w:r>
    </w:p>
    <w:p w14:paraId="45A6BA61">
      <w:pPr>
        <w:pStyle w:val="12"/>
        <w:spacing w:line="360" w:lineRule="auto"/>
        <w:ind w:left="0" w:leftChars="0" w:firstLine="420" w:firstLineChars="200"/>
        <w:rPr>
          <w:color w:val="auto"/>
          <w:szCs w:val="20"/>
          <w:highlight w:val="none"/>
        </w:rPr>
      </w:pPr>
      <w:r>
        <w:rPr>
          <w:rFonts w:hint="eastAsia"/>
          <w:color w:val="auto"/>
          <w:szCs w:val="20"/>
          <w:highlight w:val="none"/>
        </w:rPr>
        <w:t>一、首次报价文件电子版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w:t>
      </w:r>
    </w:p>
    <w:p w14:paraId="33DAD2BF">
      <w:pPr>
        <w:pStyle w:val="12"/>
        <w:spacing w:line="360" w:lineRule="auto"/>
        <w:ind w:left="0" w:leftChars="0" w:firstLine="420" w:firstLineChars="200"/>
        <w:rPr>
          <w:color w:val="auto"/>
          <w:szCs w:val="20"/>
          <w:highlight w:val="none"/>
        </w:rPr>
      </w:pPr>
      <w:r>
        <w:rPr>
          <w:rFonts w:hint="eastAsia"/>
          <w:color w:val="auto"/>
          <w:szCs w:val="20"/>
          <w:highlight w:val="none"/>
        </w:rPr>
        <w:t>二、</w:t>
      </w:r>
      <w:r>
        <w:rPr>
          <w:rFonts w:hint="eastAsia" w:hAnsi="宋体"/>
          <w:color w:val="auto"/>
          <w:szCs w:val="20"/>
          <w:highlight w:val="none"/>
        </w:rPr>
        <w:t>技术</w:t>
      </w:r>
      <w:r>
        <w:rPr>
          <w:rFonts w:hint="eastAsia"/>
          <w:color w:val="auto"/>
          <w:szCs w:val="20"/>
          <w:highlight w:val="none"/>
        </w:rPr>
        <w:t>文件电子版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w:t>
      </w:r>
      <w:r>
        <w:rPr>
          <w:rFonts w:hint="eastAsia" w:hAnsi="宋体"/>
          <w:color w:val="auto"/>
          <w:szCs w:val="20"/>
          <w:highlight w:val="none"/>
        </w:rPr>
        <w:t>文件</w:t>
      </w:r>
      <w:r>
        <w:rPr>
          <w:rFonts w:hint="eastAsia"/>
          <w:color w:val="auto"/>
          <w:szCs w:val="20"/>
          <w:highlight w:val="none"/>
        </w:rPr>
        <w:t>电子版</w:t>
      </w:r>
      <w:r>
        <w:rPr>
          <w:rFonts w:hint="eastAsia"/>
          <w:color w:val="auto"/>
          <w:szCs w:val="20"/>
          <w:highlight w:val="none"/>
          <w:u w:val="single"/>
        </w:rPr>
        <w:t xml:space="preserve">   </w:t>
      </w:r>
      <w:r>
        <w:rPr>
          <w:rFonts w:hint="eastAsia"/>
          <w:color w:val="auto"/>
          <w:szCs w:val="20"/>
          <w:highlight w:val="none"/>
        </w:rPr>
        <w:t>份（包含按“第三章 供应商须知”提交的全部文件）；（商务技术文件已合并装订成册）；</w:t>
      </w:r>
    </w:p>
    <w:p w14:paraId="21A5AAF8">
      <w:pPr>
        <w:pStyle w:val="12"/>
        <w:spacing w:line="360" w:lineRule="auto"/>
        <w:ind w:left="0" w:leftChars="0" w:firstLine="420" w:firstLineChars="200"/>
        <w:rPr>
          <w:color w:val="auto"/>
          <w:szCs w:val="20"/>
          <w:highlight w:val="none"/>
        </w:rPr>
      </w:pPr>
      <w:r>
        <w:rPr>
          <w:rFonts w:hint="eastAsia"/>
          <w:color w:val="auto"/>
          <w:szCs w:val="20"/>
          <w:highlight w:val="none"/>
        </w:rPr>
        <w:t>三、资格证明文件电子版（包含按“第三章供应商须知”提交的全部文件）；</w:t>
      </w:r>
    </w:p>
    <w:p w14:paraId="22A6DF92">
      <w:pPr>
        <w:pStyle w:val="12"/>
        <w:spacing w:line="360" w:lineRule="auto"/>
        <w:ind w:left="0" w:leftChars="0" w:firstLine="420" w:firstLineChars="200"/>
        <w:rPr>
          <w:color w:val="auto"/>
          <w:szCs w:val="20"/>
          <w:highlight w:val="none"/>
        </w:rPr>
      </w:pPr>
      <w:r>
        <w:rPr>
          <w:rFonts w:hint="eastAsia"/>
          <w:color w:val="auto"/>
          <w:szCs w:val="20"/>
          <w:highlight w:val="none"/>
        </w:rPr>
        <w:t>据此函，签字人兹宣布：</w:t>
      </w:r>
    </w:p>
    <w:p w14:paraId="07D9485A">
      <w:pPr>
        <w:pStyle w:val="12"/>
        <w:spacing w:line="360" w:lineRule="auto"/>
        <w:ind w:left="0" w:leftChars="0" w:firstLine="482"/>
        <w:rPr>
          <w:color w:val="auto"/>
          <w:szCs w:val="20"/>
          <w:highlight w:val="none"/>
        </w:rPr>
      </w:pPr>
      <w:r>
        <w:rPr>
          <w:rFonts w:hint="eastAsia"/>
          <w:color w:val="auto"/>
          <w:szCs w:val="20"/>
          <w:highlight w:val="none"/>
        </w:rPr>
        <w:t>1、我方愿意以</w:t>
      </w:r>
      <w:r>
        <w:rPr>
          <w:rFonts w:hint="eastAsia"/>
          <w:color w:val="auto"/>
          <w:szCs w:val="20"/>
          <w:highlight w:val="none"/>
          <w:lang w:val="en-US" w:eastAsia="zh-CN"/>
        </w:rPr>
        <w:t xml:space="preserve">费率 </w:t>
      </w:r>
      <w:r>
        <w:rPr>
          <w:rFonts w:hint="eastAsia"/>
          <w:color w:val="auto"/>
          <w:szCs w:val="20"/>
          <w:highlight w:val="none"/>
          <w:u w:val="single"/>
        </w:rPr>
        <w:t xml:space="preserve">              </w:t>
      </w:r>
      <w:r>
        <w:rPr>
          <w:rFonts w:hint="eastAsia"/>
          <w:color w:val="auto"/>
          <w:szCs w:val="20"/>
          <w:highlight w:val="none"/>
        </w:rPr>
        <w:t>的竞标总报价，提供服务期（无标项时填写）：</w:t>
      </w:r>
      <w:r>
        <w:rPr>
          <w:rFonts w:hint="eastAsia"/>
          <w:color w:val="auto"/>
          <w:szCs w:val="20"/>
          <w:highlight w:val="none"/>
          <w:u w:val="single"/>
        </w:rPr>
        <w:t xml:space="preserve">            </w:t>
      </w:r>
      <w:r>
        <w:rPr>
          <w:rFonts w:hint="eastAsia"/>
          <w:color w:val="auto"/>
          <w:szCs w:val="20"/>
          <w:highlight w:val="none"/>
        </w:rPr>
        <w:t>，提供本项目竞争性磋商采购文件第二章“服务需求一览表”中相应的采购内容。</w:t>
      </w:r>
    </w:p>
    <w:p w14:paraId="1A31966D">
      <w:pPr>
        <w:pStyle w:val="12"/>
        <w:spacing w:line="360" w:lineRule="auto"/>
        <w:ind w:left="0" w:leftChars="0" w:firstLine="482"/>
        <w:rPr>
          <w:rFonts w:hint="eastAsia" w:eastAsia="宋体"/>
          <w:color w:val="auto"/>
          <w:szCs w:val="20"/>
          <w:highlight w:val="none"/>
          <w:lang w:val="en-US" w:eastAsia="zh-CN"/>
        </w:rPr>
      </w:pPr>
      <w:r>
        <w:rPr>
          <w:rFonts w:hint="eastAsia"/>
          <w:color w:val="auto"/>
          <w:szCs w:val="20"/>
          <w:highlight w:val="none"/>
        </w:rPr>
        <w:t>其中（有标项时填写）：</w:t>
      </w:r>
    </w:p>
    <w:p w14:paraId="54545B3B">
      <w:pPr>
        <w:pStyle w:val="12"/>
        <w:spacing w:line="360" w:lineRule="auto"/>
        <w:ind w:left="0" w:leftChars="0" w:firstLine="482"/>
        <w:rPr>
          <w:color w:val="auto"/>
          <w:szCs w:val="20"/>
          <w:highlight w:val="none"/>
        </w:rPr>
      </w:pP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256A53B3">
      <w:pPr>
        <w:pStyle w:val="12"/>
        <w:spacing w:line="360" w:lineRule="auto"/>
        <w:ind w:left="0" w:leftChars="0" w:firstLine="482"/>
        <w:rPr>
          <w:color w:val="auto"/>
          <w:szCs w:val="20"/>
          <w:highlight w:val="none"/>
        </w:rPr>
      </w:pPr>
      <w:r>
        <w:rPr>
          <w:rFonts w:hint="eastAsia"/>
          <w:color w:val="auto"/>
          <w:szCs w:val="20"/>
          <w:highlight w:val="none"/>
          <w:u w:val="single"/>
        </w:rPr>
        <w:t xml:space="preserve">    </w:t>
      </w:r>
      <w:r>
        <w:rPr>
          <w:rFonts w:hint="eastAsia"/>
          <w:color w:val="auto"/>
          <w:szCs w:val="20"/>
          <w:highlight w:val="none"/>
        </w:rPr>
        <w:t>标项报价为（大写）人民币</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 xml:space="preserve"> (￥</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元)，服务期：</w:t>
      </w:r>
      <w:r>
        <w:rPr>
          <w:rFonts w:hint="eastAsia"/>
          <w:color w:val="auto"/>
          <w:szCs w:val="20"/>
          <w:highlight w:val="none"/>
          <w:u w:val="single"/>
        </w:rPr>
        <w:t xml:space="preserve">  </w:t>
      </w:r>
      <w:r>
        <w:rPr>
          <w:rFonts w:hint="eastAsia"/>
          <w:color w:val="auto"/>
          <w:szCs w:val="20"/>
          <w:highlight w:val="none"/>
          <w:u w:val="single"/>
          <w:lang w:val="en-US" w:eastAsia="zh-CN"/>
        </w:rPr>
        <w:t>/</w:t>
      </w:r>
      <w:r>
        <w:rPr>
          <w:rFonts w:hint="eastAsia"/>
          <w:color w:val="auto"/>
          <w:szCs w:val="20"/>
          <w:highlight w:val="none"/>
          <w:u w:val="single"/>
        </w:rPr>
        <w:t xml:space="preserve">        </w:t>
      </w:r>
      <w:r>
        <w:rPr>
          <w:rFonts w:hint="eastAsia"/>
          <w:color w:val="auto"/>
          <w:szCs w:val="20"/>
          <w:highlight w:val="none"/>
        </w:rPr>
        <w:t>；</w:t>
      </w:r>
    </w:p>
    <w:p w14:paraId="3E8498EF">
      <w:pPr>
        <w:pStyle w:val="12"/>
        <w:spacing w:line="360" w:lineRule="auto"/>
        <w:ind w:left="0" w:leftChars="0" w:firstLine="482"/>
        <w:rPr>
          <w:color w:val="auto"/>
          <w:szCs w:val="20"/>
          <w:highlight w:val="none"/>
        </w:rPr>
      </w:pPr>
      <w:r>
        <w:rPr>
          <w:rFonts w:hint="eastAsia"/>
          <w:color w:val="auto"/>
          <w:szCs w:val="20"/>
          <w:highlight w:val="none"/>
        </w:rPr>
        <w:t>......</w:t>
      </w:r>
    </w:p>
    <w:p w14:paraId="2E4A3EC6">
      <w:pPr>
        <w:pStyle w:val="12"/>
        <w:spacing w:line="360" w:lineRule="auto"/>
        <w:ind w:left="0" w:leftChars="0" w:firstLine="482"/>
        <w:rPr>
          <w:color w:val="auto"/>
          <w:szCs w:val="20"/>
          <w:highlight w:val="none"/>
        </w:rPr>
      </w:pPr>
      <w:r>
        <w:rPr>
          <w:rFonts w:hint="eastAsia"/>
          <w:color w:val="auto"/>
          <w:szCs w:val="20"/>
          <w:highlight w:val="none"/>
        </w:rPr>
        <w:t>2、我方同意自本项目竞争性磋商采购文件采购公告规定的递交响应文件截止时间起遵循</w:t>
      </w:r>
      <w:r>
        <w:rPr>
          <w:rFonts w:hint="eastAsia" w:hAnsi="宋体"/>
          <w:color w:val="auto"/>
          <w:szCs w:val="20"/>
          <w:highlight w:val="none"/>
        </w:rPr>
        <w:t>本响应函</w:t>
      </w:r>
      <w:r>
        <w:rPr>
          <w:rFonts w:hint="eastAsia"/>
          <w:color w:val="auto"/>
          <w:szCs w:val="20"/>
          <w:highlight w:val="none"/>
        </w:rPr>
        <w:t>，并承诺在“第三章 供应商须知”规定的响应有效期内不修改、撤销响应文件。</w:t>
      </w:r>
    </w:p>
    <w:p w14:paraId="3059D8B4">
      <w:pPr>
        <w:pStyle w:val="12"/>
        <w:spacing w:line="360" w:lineRule="auto"/>
        <w:ind w:left="0" w:leftChars="0" w:firstLine="482"/>
        <w:rPr>
          <w:color w:val="auto"/>
          <w:szCs w:val="20"/>
          <w:highlight w:val="none"/>
        </w:rPr>
      </w:pPr>
      <w:r>
        <w:rPr>
          <w:rFonts w:hint="eastAsia"/>
          <w:color w:val="auto"/>
          <w:szCs w:val="20"/>
          <w:highlight w:val="none"/>
        </w:rPr>
        <w:t>3、我方在此声明，所递交的响应文件及有关资料内容完整、真实和准确。</w:t>
      </w:r>
    </w:p>
    <w:p w14:paraId="467C1E8C">
      <w:pPr>
        <w:pStyle w:val="12"/>
        <w:spacing w:line="360" w:lineRule="auto"/>
        <w:ind w:left="0" w:leftChars="0" w:firstLine="482"/>
        <w:rPr>
          <w:color w:val="auto"/>
          <w:szCs w:val="20"/>
          <w:highlight w:val="none"/>
        </w:rPr>
      </w:pPr>
      <w:r>
        <w:rPr>
          <w:rFonts w:hint="eastAsia"/>
          <w:color w:val="auto"/>
          <w:szCs w:val="20"/>
          <w:highlight w:val="none"/>
        </w:rPr>
        <w:t>4、如本项目采购内容涉及须符合国家强制规定的，我方承诺我方本次竞标均符合国家有关强制规定。</w:t>
      </w:r>
    </w:p>
    <w:p w14:paraId="3F9277B1">
      <w:pPr>
        <w:pStyle w:val="12"/>
        <w:spacing w:line="360" w:lineRule="auto"/>
        <w:ind w:left="0" w:leftChars="0" w:firstLine="482"/>
        <w:rPr>
          <w:color w:val="auto"/>
          <w:szCs w:val="20"/>
          <w:highlight w:val="none"/>
        </w:rPr>
      </w:pPr>
      <w:r>
        <w:rPr>
          <w:rFonts w:hint="eastAsia"/>
          <w:color w:val="auto"/>
          <w:szCs w:val="20"/>
          <w:highlight w:val="none"/>
        </w:rPr>
        <w:t>5、如我方成交，我方承诺在收到成交通知书后，在成交通知书规定的期限内，</w:t>
      </w:r>
      <w:r>
        <w:rPr>
          <w:rFonts w:hint="eastAsia" w:hAnsi="宋体"/>
          <w:color w:val="auto"/>
          <w:szCs w:val="20"/>
          <w:highlight w:val="none"/>
        </w:rPr>
        <w:t>根据竞争性磋商采购文件、我方的响应文件及有关澄清承诺书的要求按第六章“合同文本”与采购人订立书面合同，并按照合同约定</w:t>
      </w:r>
      <w:r>
        <w:rPr>
          <w:rFonts w:hint="eastAsia"/>
          <w:color w:val="auto"/>
          <w:szCs w:val="20"/>
          <w:highlight w:val="none"/>
        </w:rPr>
        <w:t>承担完成合同的责任和义务。</w:t>
      </w:r>
    </w:p>
    <w:p w14:paraId="101DFC16">
      <w:pPr>
        <w:pStyle w:val="12"/>
        <w:spacing w:line="360" w:lineRule="auto"/>
        <w:ind w:left="0" w:leftChars="0" w:firstLine="482"/>
        <w:rPr>
          <w:color w:val="auto"/>
          <w:szCs w:val="20"/>
          <w:highlight w:val="none"/>
        </w:rPr>
      </w:pPr>
      <w:r>
        <w:rPr>
          <w:rFonts w:hint="eastAsia"/>
          <w:color w:val="auto"/>
          <w:szCs w:val="20"/>
          <w:highlight w:val="none"/>
        </w:rPr>
        <w:t>6、我方已详细审核竞争性磋商采购文件，我方知道必须放弃提出含糊不清或误解问题的权利。</w:t>
      </w:r>
    </w:p>
    <w:p w14:paraId="66EF807D">
      <w:pPr>
        <w:pStyle w:val="12"/>
        <w:spacing w:line="360" w:lineRule="auto"/>
        <w:ind w:left="0" w:leftChars="0" w:firstLine="482"/>
        <w:rPr>
          <w:color w:val="auto"/>
          <w:szCs w:val="20"/>
          <w:highlight w:val="none"/>
        </w:rPr>
      </w:pPr>
      <w:r>
        <w:rPr>
          <w:rFonts w:hint="eastAsia"/>
          <w:color w:val="auto"/>
          <w:szCs w:val="20"/>
          <w:highlight w:val="none"/>
        </w:rPr>
        <w:t>7、我方承诺满足竞争性磋商采购文件</w:t>
      </w:r>
      <w:r>
        <w:rPr>
          <w:rFonts w:hint="eastAsia" w:hAnsi="宋体"/>
          <w:color w:val="auto"/>
          <w:szCs w:val="20"/>
          <w:highlight w:val="none"/>
        </w:rPr>
        <w:t>第六章“合同文本”</w:t>
      </w:r>
      <w:r>
        <w:rPr>
          <w:rFonts w:hint="eastAsia"/>
          <w:color w:val="auto"/>
          <w:szCs w:val="20"/>
          <w:highlight w:val="none"/>
        </w:rPr>
        <w:t>的条款，承担完成合同的责任和义务。</w:t>
      </w:r>
    </w:p>
    <w:p w14:paraId="58717F50">
      <w:pPr>
        <w:pStyle w:val="12"/>
        <w:spacing w:line="360" w:lineRule="auto"/>
        <w:ind w:left="0" w:leftChars="0" w:firstLine="482"/>
        <w:rPr>
          <w:color w:val="auto"/>
          <w:szCs w:val="20"/>
          <w:highlight w:val="none"/>
        </w:rPr>
      </w:pPr>
      <w:r>
        <w:rPr>
          <w:rFonts w:hint="eastAsia"/>
          <w:color w:val="auto"/>
          <w:szCs w:val="20"/>
          <w:highlight w:val="none"/>
        </w:rPr>
        <w:t>8、我方同意应贵方要求提供与本竞标有关的任何数据或资料。若贵方需要，我方愿意提供我方作出的一切承诺的证明材料。</w:t>
      </w:r>
    </w:p>
    <w:p w14:paraId="7C52B3A5">
      <w:pPr>
        <w:pStyle w:val="12"/>
        <w:spacing w:line="360" w:lineRule="auto"/>
        <w:ind w:left="0" w:leftChars="0" w:firstLine="482"/>
        <w:rPr>
          <w:color w:val="auto"/>
          <w:szCs w:val="20"/>
          <w:highlight w:val="none"/>
        </w:rPr>
      </w:pPr>
      <w:r>
        <w:rPr>
          <w:rFonts w:hint="eastAsia"/>
          <w:color w:val="auto"/>
          <w:szCs w:val="20"/>
          <w:highlight w:val="none"/>
        </w:rPr>
        <w:t>9、我方完全理解贵方不一定接受响应报价最低的竞标人为成交供应商的行为。</w:t>
      </w:r>
    </w:p>
    <w:p w14:paraId="49CC0C98">
      <w:pPr>
        <w:pStyle w:val="12"/>
        <w:spacing w:line="360" w:lineRule="auto"/>
        <w:ind w:left="0" w:leftChars="0" w:firstLine="482"/>
        <w:rPr>
          <w:color w:val="auto"/>
          <w:szCs w:val="20"/>
          <w:highlight w:val="none"/>
        </w:rPr>
      </w:pPr>
      <w:r>
        <w:rPr>
          <w:rFonts w:hint="eastAsia"/>
          <w:color w:val="auto"/>
          <w:szCs w:val="20"/>
          <w:highlight w:val="none"/>
        </w:rPr>
        <w:t>10、我方将严格遵守《中华人民共和国政府采购法》第七十七条的规定，即供应商有下列情形之一的，处以采购金额千分之五以上千分之十</w:t>
      </w:r>
      <w:r>
        <w:rPr>
          <w:rFonts w:hint="eastAsia"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78C74776">
      <w:pPr>
        <w:pStyle w:val="12"/>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（1）</w:t>
      </w:r>
      <w:r>
        <w:rPr>
          <w:rFonts w:hint="eastAsia" w:hAnsi="宋体"/>
          <w:color w:val="auto"/>
          <w:szCs w:val="20"/>
          <w:highlight w:val="none"/>
        </w:rPr>
        <w:t>提供虚假材料谋取中标、成交的；</w:t>
      </w:r>
    </w:p>
    <w:p w14:paraId="4229BABE">
      <w:pPr>
        <w:pStyle w:val="12"/>
        <w:tabs>
          <w:tab w:val="left" w:pos="945"/>
        </w:tabs>
        <w:spacing w:line="360" w:lineRule="auto"/>
        <w:ind w:left="720" w:leftChars="0" w:hanging="720"/>
        <w:rPr>
          <w:rFonts w:hAnsi="宋体"/>
          <w:color w:val="auto"/>
          <w:szCs w:val="20"/>
          <w:highlight w:val="none"/>
        </w:rPr>
      </w:pPr>
      <w:r>
        <w:rPr>
          <w:rFonts w:hint="eastAsia" w:ascii="宋体" w:hAnsi="宋体"/>
          <w:color w:val="auto"/>
          <w:szCs w:val="20"/>
          <w:highlight w:val="none"/>
        </w:rPr>
        <w:t>（2）</w:t>
      </w:r>
      <w:r>
        <w:rPr>
          <w:rFonts w:hint="eastAsia" w:hAnsi="宋体"/>
          <w:color w:val="auto"/>
          <w:szCs w:val="20"/>
          <w:highlight w:val="none"/>
        </w:rPr>
        <w:t>采取不正当手段诋毁、排挤其他供应商的；</w:t>
      </w:r>
    </w:p>
    <w:p w14:paraId="3C5FF4E0">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（3）</w:t>
      </w:r>
      <w:r>
        <w:rPr>
          <w:rFonts w:hint="eastAsia" w:hAnsi="宋体"/>
          <w:color w:val="auto"/>
          <w:szCs w:val="20"/>
          <w:highlight w:val="none"/>
        </w:rPr>
        <w:t>与采购人、其他供应商或者采购代理机构恶意串通的；</w:t>
      </w:r>
    </w:p>
    <w:p w14:paraId="261EAC87">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（4）</w:t>
      </w:r>
      <w:r>
        <w:rPr>
          <w:rFonts w:hint="eastAsia" w:hAnsi="宋体"/>
          <w:color w:val="auto"/>
          <w:szCs w:val="20"/>
          <w:highlight w:val="none"/>
        </w:rPr>
        <w:t>向采购人、采购代理机构行贿或者提供其他不正当利益的；</w:t>
      </w:r>
    </w:p>
    <w:p w14:paraId="2647606A">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（5）</w:t>
      </w:r>
      <w:r>
        <w:rPr>
          <w:rFonts w:hint="eastAsia" w:hAnsi="宋体"/>
          <w:color w:val="auto"/>
          <w:szCs w:val="20"/>
          <w:highlight w:val="none"/>
        </w:rPr>
        <w:t>在采购过程中与采购人进行协商谈判的；</w:t>
      </w:r>
    </w:p>
    <w:p w14:paraId="27D32EC9">
      <w:pPr>
        <w:pStyle w:val="12"/>
        <w:tabs>
          <w:tab w:val="left" w:pos="945"/>
        </w:tabs>
        <w:spacing w:line="360" w:lineRule="auto"/>
        <w:ind w:left="720" w:leftChars="0" w:hanging="720"/>
        <w:rPr>
          <w:color w:val="auto"/>
          <w:szCs w:val="20"/>
          <w:highlight w:val="none"/>
        </w:rPr>
      </w:pPr>
      <w:r>
        <w:rPr>
          <w:rFonts w:hint="eastAsia" w:ascii="宋体" w:hAnsi="宋体"/>
          <w:color w:val="auto"/>
          <w:szCs w:val="20"/>
          <w:highlight w:val="none"/>
        </w:rPr>
        <w:t>（6）</w:t>
      </w:r>
      <w:r>
        <w:rPr>
          <w:rFonts w:hint="eastAsia" w:hAnsi="宋体"/>
          <w:color w:val="auto"/>
          <w:szCs w:val="20"/>
          <w:highlight w:val="none"/>
        </w:rPr>
        <w:t>拒绝有关部门监督检查或提供虚假情况的。</w:t>
      </w:r>
    </w:p>
    <w:p w14:paraId="22B2820D">
      <w:pPr>
        <w:pStyle w:val="12"/>
        <w:spacing w:line="360" w:lineRule="auto"/>
        <w:ind w:left="0" w:leftChars="0" w:firstLine="420"/>
        <w:rPr>
          <w:color w:val="auto"/>
          <w:szCs w:val="20"/>
          <w:highlight w:val="none"/>
        </w:rPr>
      </w:pPr>
      <w:r>
        <w:rPr>
          <w:rFonts w:hint="eastAsia" w:hAnsi="宋体" w:cs="宋体"/>
          <w:color w:val="auto"/>
          <w:szCs w:val="20"/>
          <w:highlight w:val="none"/>
        </w:rPr>
        <w:t>11.与本磋商有关的一切正式往来信函请寄</w:t>
      </w:r>
      <w:r>
        <w:rPr>
          <w:rFonts w:hint="eastAsia"/>
          <w:color w:val="auto"/>
          <w:szCs w:val="20"/>
          <w:highlight w:val="none"/>
        </w:rPr>
        <w:t>：</w:t>
      </w:r>
      <w:r>
        <w:rPr>
          <w:rFonts w:hint="eastAsia"/>
          <w:color w:val="auto"/>
          <w:szCs w:val="20"/>
          <w:highlight w:val="none"/>
          <w:u w:val="single"/>
        </w:rPr>
        <w:t xml:space="preserve"> </w:t>
      </w:r>
    </w:p>
    <w:p w14:paraId="4A5BBF65">
      <w:pPr>
        <w:pStyle w:val="12"/>
        <w:spacing w:line="360" w:lineRule="auto"/>
        <w:ind w:left="0" w:leftChars="0" w:firstLine="420"/>
        <w:rPr>
          <w:color w:val="auto"/>
          <w:szCs w:val="20"/>
          <w:highlight w:val="none"/>
        </w:rPr>
      </w:pPr>
      <w:r>
        <w:rPr>
          <w:rFonts w:hint="eastAsia"/>
          <w:color w:val="auto"/>
          <w:szCs w:val="20"/>
          <w:highlight w:val="none"/>
        </w:rPr>
        <w:t>地址：</w:t>
      </w:r>
      <w:r>
        <w:rPr>
          <w:rFonts w:hint="eastAsia"/>
          <w:color w:val="auto"/>
          <w:szCs w:val="20"/>
          <w:highlight w:val="none"/>
          <w:u w:val="single"/>
        </w:rPr>
        <w:t xml:space="preserve">                                                        </w:t>
      </w:r>
      <w:r>
        <w:rPr>
          <w:rFonts w:hint="eastAsia"/>
          <w:color w:val="auto"/>
          <w:szCs w:val="20"/>
          <w:highlight w:val="none"/>
        </w:rPr>
        <w:t xml:space="preserve"> </w:t>
      </w:r>
    </w:p>
    <w:p w14:paraId="4637BD50">
      <w:pPr>
        <w:pStyle w:val="12"/>
        <w:spacing w:line="360" w:lineRule="auto"/>
        <w:ind w:left="0" w:leftChars="0" w:firstLine="420"/>
        <w:rPr>
          <w:color w:val="auto"/>
          <w:szCs w:val="20"/>
          <w:highlight w:val="none"/>
          <w:u w:val="single"/>
        </w:rPr>
      </w:pPr>
      <w:r>
        <w:rPr>
          <w:rFonts w:hint="eastAsia"/>
          <w:color w:val="auto"/>
          <w:szCs w:val="20"/>
          <w:highlight w:val="none"/>
        </w:rPr>
        <w:t>电话：</w:t>
      </w:r>
      <w:r>
        <w:rPr>
          <w:rFonts w:hint="eastAsia"/>
          <w:color w:val="auto"/>
          <w:szCs w:val="20"/>
          <w:highlight w:val="none"/>
          <w:u w:val="single"/>
        </w:rPr>
        <w:t xml:space="preserve">                                      　　　　　　　　　</w:t>
      </w:r>
    </w:p>
    <w:p w14:paraId="6C8D7B19">
      <w:pPr>
        <w:pStyle w:val="12"/>
        <w:spacing w:line="360" w:lineRule="auto"/>
        <w:ind w:left="0" w:leftChars="0" w:firstLine="420"/>
        <w:rPr>
          <w:color w:val="auto"/>
          <w:szCs w:val="20"/>
          <w:highlight w:val="none"/>
        </w:rPr>
      </w:pPr>
      <w:r>
        <w:rPr>
          <w:rFonts w:hint="eastAsia"/>
          <w:color w:val="auto"/>
          <w:szCs w:val="20"/>
          <w:highlight w:val="none"/>
        </w:rPr>
        <w:t>传真：</w:t>
      </w:r>
      <w:r>
        <w:rPr>
          <w:rFonts w:hint="eastAsia"/>
          <w:color w:val="auto"/>
          <w:szCs w:val="20"/>
          <w:highlight w:val="none"/>
          <w:u w:val="single"/>
        </w:rPr>
        <w:t>　　　　　　　　　　　　　　　　　　　　　　　　　　　　</w:t>
      </w:r>
    </w:p>
    <w:p w14:paraId="3E3FFE48">
      <w:pPr>
        <w:pStyle w:val="12"/>
        <w:spacing w:line="360" w:lineRule="auto"/>
        <w:ind w:left="0" w:leftChars="0" w:firstLine="420"/>
        <w:rPr>
          <w:color w:val="auto"/>
          <w:szCs w:val="20"/>
          <w:highlight w:val="none"/>
          <w:u w:val="single"/>
        </w:rPr>
      </w:pPr>
      <w:r>
        <w:rPr>
          <w:rFonts w:hint="eastAsia"/>
          <w:color w:val="auto"/>
          <w:szCs w:val="20"/>
          <w:highlight w:val="none"/>
        </w:rPr>
        <w:t>邮政编码：</w:t>
      </w:r>
      <w:r>
        <w:rPr>
          <w:rFonts w:hint="eastAsia"/>
          <w:color w:val="auto"/>
          <w:szCs w:val="20"/>
          <w:highlight w:val="none"/>
          <w:u w:val="single"/>
        </w:rPr>
        <w:t xml:space="preserve">                                                    </w:t>
      </w:r>
    </w:p>
    <w:p w14:paraId="293A2208">
      <w:pPr>
        <w:pStyle w:val="12"/>
        <w:spacing w:line="360" w:lineRule="auto"/>
        <w:ind w:left="0" w:leftChars="0" w:firstLine="420"/>
        <w:rPr>
          <w:color w:val="auto"/>
          <w:szCs w:val="20"/>
          <w:highlight w:val="none"/>
          <w:u w:val="single"/>
        </w:rPr>
      </w:pPr>
      <w:r>
        <w:rPr>
          <w:rFonts w:hint="eastAsia"/>
          <w:color w:val="auto"/>
          <w:szCs w:val="20"/>
          <w:highlight w:val="none"/>
        </w:rPr>
        <w:t>开户名称：</w:t>
      </w:r>
      <w:r>
        <w:rPr>
          <w:rFonts w:hint="eastAsia"/>
          <w:color w:val="auto"/>
          <w:szCs w:val="20"/>
          <w:highlight w:val="none"/>
          <w:u w:val="single"/>
        </w:rPr>
        <w:t xml:space="preserve">                                                    </w:t>
      </w:r>
    </w:p>
    <w:p w14:paraId="2EA4B1EE">
      <w:pPr>
        <w:pStyle w:val="12"/>
        <w:spacing w:line="360" w:lineRule="auto"/>
        <w:ind w:left="0" w:leftChars="0" w:firstLine="420"/>
        <w:rPr>
          <w:color w:val="auto"/>
          <w:szCs w:val="20"/>
          <w:highlight w:val="none"/>
          <w:u w:val="single"/>
        </w:rPr>
      </w:pPr>
      <w:r>
        <w:rPr>
          <w:rFonts w:hint="eastAsia"/>
          <w:color w:val="auto"/>
          <w:szCs w:val="20"/>
          <w:highlight w:val="none"/>
        </w:rPr>
        <w:t>开户银行：</w:t>
      </w:r>
      <w:r>
        <w:rPr>
          <w:rFonts w:hint="eastAsia"/>
          <w:color w:val="auto"/>
          <w:szCs w:val="20"/>
          <w:highlight w:val="none"/>
          <w:u w:val="single"/>
        </w:rPr>
        <w:t xml:space="preserve">                                                    </w:t>
      </w:r>
    </w:p>
    <w:p w14:paraId="643C0780">
      <w:pPr>
        <w:pStyle w:val="12"/>
        <w:spacing w:line="360" w:lineRule="auto"/>
        <w:ind w:left="0" w:leftChars="0" w:firstLine="420"/>
        <w:rPr>
          <w:color w:val="auto"/>
          <w:szCs w:val="20"/>
          <w:highlight w:val="none"/>
          <w:u w:val="single"/>
        </w:rPr>
      </w:pPr>
      <w:r>
        <w:rPr>
          <w:rFonts w:hint="eastAsia"/>
          <w:color w:val="auto"/>
          <w:szCs w:val="20"/>
          <w:highlight w:val="none"/>
        </w:rPr>
        <w:t>银行账号：</w:t>
      </w:r>
      <w:r>
        <w:rPr>
          <w:rFonts w:hint="eastAsia"/>
          <w:color w:val="auto"/>
          <w:szCs w:val="20"/>
          <w:highlight w:val="none"/>
          <w:u w:val="single"/>
        </w:rPr>
        <w:t xml:space="preserve">                                                    </w:t>
      </w:r>
    </w:p>
    <w:p w14:paraId="5A0A2925">
      <w:pPr>
        <w:tabs>
          <w:tab w:val="left" w:pos="939"/>
        </w:tabs>
        <w:spacing w:line="360" w:lineRule="auto"/>
        <w:ind w:firstLine="300" w:firstLineChars="150"/>
        <w:rPr>
          <w:rFonts w:ascii="宋体" w:hAnsi="宋体" w:cs="宋体"/>
          <w:color w:val="auto"/>
          <w:sz w:val="20"/>
          <w:szCs w:val="20"/>
          <w:highlight w:val="none"/>
        </w:rPr>
      </w:pPr>
      <w:r>
        <w:rPr>
          <w:rFonts w:hint="eastAsia" w:ascii="宋体" w:hAnsi="宋体" w:cs="宋体"/>
          <w:color w:val="auto"/>
          <w:sz w:val="20"/>
          <w:szCs w:val="20"/>
          <w:highlight w:val="none"/>
        </w:rPr>
        <w:t>特此承诺。</w:t>
      </w:r>
    </w:p>
    <w:p w14:paraId="71B21A56">
      <w:pPr>
        <w:spacing w:line="360" w:lineRule="auto"/>
        <w:jc w:val="left"/>
        <w:rPr>
          <w:rFonts w:ascii="宋体" w:hAnsi="宋体" w:cs="宋体"/>
          <w:color w:val="auto"/>
          <w:szCs w:val="21"/>
          <w:highlight w:val="none"/>
        </w:rPr>
      </w:pPr>
    </w:p>
    <w:p w14:paraId="775CB429">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022AE64D">
      <w:pPr>
        <w:autoSpaceDE w:val="0"/>
        <w:autoSpaceDN w:val="0"/>
        <w:spacing w:line="360" w:lineRule="auto"/>
        <w:jc w:val="righ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850DFC4">
      <w:pPr>
        <w:widowControl/>
        <w:spacing w:line="360" w:lineRule="auto"/>
        <w:jc w:val="left"/>
        <w:rPr>
          <w:rFonts w:ascii="仿宋_GB2312" w:hAnsi="仿宋" w:eastAsia="仿宋_GB2312" w:cs="仿宋_GB2312"/>
          <w:color w:val="auto"/>
          <w:kern w:val="0"/>
          <w:sz w:val="24"/>
          <w:highlight w:val="none"/>
          <w:lang w:val="zh-CN"/>
        </w:rPr>
        <w:sectPr>
          <w:pgSz w:w="11911" w:h="16838"/>
          <w:pgMar w:top="1417" w:right="1417" w:bottom="1417" w:left="1417" w:header="720" w:footer="720" w:gutter="0"/>
          <w:cols w:space="0" w:num="1"/>
        </w:sectPr>
      </w:pPr>
    </w:p>
    <w:p w14:paraId="755F69AB">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p>
    <w:p w14:paraId="10D64691">
      <w:pPr>
        <w:spacing w:line="520" w:lineRule="exact"/>
        <w:jc w:val="center"/>
        <w:rPr>
          <w:rFonts w:ascii="宋体" w:hAnsi="宋体"/>
          <w:b/>
          <w:bCs/>
          <w:color w:val="auto"/>
          <w:sz w:val="32"/>
          <w:szCs w:val="32"/>
          <w:highlight w:val="none"/>
        </w:rPr>
      </w:pPr>
      <w:r>
        <w:rPr>
          <w:rFonts w:hint="eastAsia"/>
          <w:color w:val="auto"/>
          <w:sz w:val="32"/>
          <w:szCs w:val="32"/>
          <w:highlight w:val="none"/>
        </w:rPr>
        <w:t>二</w:t>
      </w:r>
      <w:r>
        <w:rPr>
          <w:rFonts w:hint="eastAsia" w:ascii="宋体" w:hAnsi="宋体"/>
          <w:b/>
          <w:bCs/>
          <w:color w:val="auto"/>
          <w:sz w:val="32"/>
          <w:szCs w:val="32"/>
          <w:highlight w:val="none"/>
        </w:rPr>
        <w:t>、响应报价表</w:t>
      </w:r>
    </w:p>
    <w:p w14:paraId="75893DE7">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lang w:eastAsia="zh-CN"/>
        </w:rPr>
        <w:t>2026年涉案财物集中委托管理处置服务采购</w:t>
      </w:r>
      <w:r>
        <w:rPr>
          <w:rFonts w:hint="eastAsia" w:ascii="宋体" w:hAnsi="宋体"/>
          <w:color w:val="auto"/>
          <w:sz w:val="24"/>
          <w:highlight w:val="none"/>
        </w:rPr>
        <w:t xml:space="preserve">      </w:t>
      </w:r>
    </w:p>
    <w:p w14:paraId="3D339007">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标项：</w:t>
      </w:r>
      <w:r>
        <w:rPr>
          <w:rFonts w:hint="eastAsia" w:ascii="宋体" w:hAnsi="宋体"/>
          <w:color w:val="auto"/>
          <w:sz w:val="24"/>
          <w:highlight w:val="none"/>
          <w:u w:val="single"/>
        </w:rPr>
        <w:t xml:space="preserve">           </w:t>
      </w:r>
    </w:p>
    <w:p w14:paraId="746E26A0">
      <w:pPr>
        <w:snapToGrid w:val="0"/>
        <w:spacing w:before="50" w:after="50" w:line="360" w:lineRule="auto"/>
        <w:rPr>
          <w:rFonts w:ascii="宋体" w:hAnsi="宋体"/>
          <w:color w:val="auto"/>
          <w:sz w:val="24"/>
          <w:highlight w:val="none"/>
          <w:u w:val="single"/>
        </w:rPr>
      </w:pPr>
      <w:r>
        <w:rPr>
          <w:rFonts w:hint="eastAsia" w:hAnsi="宋体"/>
          <w:color w:val="auto"/>
          <w:sz w:val="24"/>
          <w:highlight w:val="none"/>
        </w:rPr>
        <w:t>供应商名称：</w:t>
      </w:r>
      <w:r>
        <w:rPr>
          <w:rFonts w:hAnsi="宋体"/>
          <w:color w:val="auto"/>
          <w:sz w:val="24"/>
          <w:highlight w:val="none"/>
          <w:u w:val="single"/>
        </w:rPr>
        <w:t xml:space="preserve">                     </w:t>
      </w:r>
      <w:r>
        <w:rPr>
          <w:rFonts w:hAnsi="宋体"/>
          <w:color w:val="auto"/>
          <w:sz w:val="24"/>
          <w:highlight w:val="none"/>
        </w:rPr>
        <w:t xml:space="preserve">  </w:t>
      </w:r>
      <w:r>
        <w:rPr>
          <w:rFonts w:hint="eastAsia" w:ascii="宋体" w:hAnsi="宋体" w:cs="仿宋_GB2312"/>
          <w:color w:val="auto"/>
          <w:sz w:val="24"/>
          <w:highlight w:val="none"/>
        </w:rPr>
        <w:t xml:space="preserve">                    </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2621"/>
        <w:gridCol w:w="2843"/>
        <w:gridCol w:w="2613"/>
      </w:tblGrid>
      <w:tr w14:paraId="5FFB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1" w:type="pct"/>
            <w:tcBorders>
              <w:top w:val="single" w:color="auto" w:sz="4" w:space="0"/>
              <w:left w:val="single" w:color="auto" w:sz="4" w:space="0"/>
              <w:bottom w:val="single" w:color="auto" w:sz="4" w:space="0"/>
              <w:right w:val="single" w:color="auto" w:sz="4" w:space="0"/>
            </w:tcBorders>
            <w:vAlign w:val="center"/>
          </w:tcPr>
          <w:p w14:paraId="30FD68C7">
            <w:pPr>
              <w:rPr>
                <w:rFonts w:ascii="宋体" w:hAnsi="宋体"/>
                <w:color w:val="auto"/>
                <w:szCs w:val="22"/>
                <w:highlight w:val="none"/>
              </w:rPr>
            </w:pPr>
            <w:r>
              <w:rPr>
                <w:rFonts w:hint="eastAsia" w:ascii="宋体" w:hAnsi="宋体"/>
                <w:color w:val="auto"/>
                <w:szCs w:val="22"/>
                <w:highlight w:val="none"/>
              </w:rPr>
              <w:t>序号</w:t>
            </w:r>
          </w:p>
        </w:tc>
        <w:tc>
          <w:tcPr>
            <w:tcW w:w="1411" w:type="pct"/>
            <w:tcBorders>
              <w:top w:val="single" w:color="auto" w:sz="4" w:space="0"/>
              <w:left w:val="single" w:color="auto" w:sz="4" w:space="0"/>
              <w:bottom w:val="single" w:color="auto" w:sz="4" w:space="0"/>
              <w:right w:val="single" w:color="auto" w:sz="4" w:space="0"/>
            </w:tcBorders>
            <w:vAlign w:val="center"/>
          </w:tcPr>
          <w:p w14:paraId="046F42C0">
            <w:pPr>
              <w:rPr>
                <w:rFonts w:ascii="宋体" w:hAnsi="宋体"/>
                <w:color w:val="auto"/>
                <w:szCs w:val="22"/>
                <w:highlight w:val="none"/>
              </w:rPr>
            </w:pPr>
            <w:r>
              <w:rPr>
                <w:rFonts w:hint="eastAsia" w:ascii="宋体" w:hAnsi="宋体"/>
                <w:color w:val="auto"/>
                <w:szCs w:val="22"/>
                <w:highlight w:val="none"/>
              </w:rPr>
              <w:t>服务名称</w:t>
            </w:r>
          </w:p>
        </w:tc>
        <w:tc>
          <w:tcPr>
            <w:tcW w:w="1531" w:type="pct"/>
            <w:tcBorders>
              <w:top w:val="single" w:color="auto" w:sz="4" w:space="0"/>
              <w:left w:val="single" w:color="auto" w:sz="4" w:space="0"/>
              <w:bottom w:val="single" w:color="auto" w:sz="4" w:space="0"/>
              <w:right w:val="single" w:color="auto" w:sz="4" w:space="0"/>
            </w:tcBorders>
            <w:vAlign w:val="center"/>
          </w:tcPr>
          <w:p w14:paraId="17FD3BD6">
            <w:pPr>
              <w:spacing w:line="360" w:lineRule="auto"/>
              <w:jc w:val="center"/>
              <w:rPr>
                <w:rFonts w:hint="eastAsia" w:ascii="宋体" w:hAnsi="宋体" w:eastAsia="宋体"/>
                <w:color w:val="auto"/>
                <w:szCs w:val="22"/>
                <w:highlight w:val="none"/>
                <w:lang w:val="en-US" w:eastAsia="zh-CN"/>
              </w:rPr>
            </w:pPr>
            <w:r>
              <w:rPr>
                <w:rFonts w:hint="eastAsia" w:ascii="宋体" w:hAnsi="宋体"/>
                <w:color w:val="auto"/>
                <w:szCs w:val="22"/>
                <w:highlight w:val="none"/>
                <w:lang w:val="en-US" w:eastAsia="zh-CN"/>
              </w:rPr>
              <w:t>费率（%）</w:t>
            </w:r>
          </w:p>
        </w:tc>
        <w:tc>
          <w:tcPr>
            <w:tcW w:w="1405" w:type="pct"/>
            <w:tcBorders>
              <w:top w:val="single" w:color="auto" w:sz="4" w:space="0"/>
              <w:left w:val="single" w:color="auto" w:sz="4" w:space="0"/>
              <w:bottom w:val="single" w:color="auto" w:sz="4" w:space="0"/>
              <w:right w:val="single" w:color="auto" w:sz="4" w:space="0"/>
            </w:tcBorders>
            <w:vAlign w:val="center"/>
          </w:tcPr>
          <w:p w14:paraId="2FF22E2B">
            <w:pPr>
              <w:rPr>
                <w:rFonts w:ascii="宋体" w:hAnsi="宋体"/>
                <w:color w:val="auto"/>
                <w:szCs w:val="22"/>
                <w:highlight w:val="none"/>
              </w:rPr>
            </w:pPr>
            <w:r>
              <w:rPr>
                <w:rFonts w:hint="eastAsia" w:ascii="宋体" w:hAnsi="宋体"/>
                <w:color w:val="auto"/>
                <w:szCs w:val="22"/>
                <w:highlight w:val="none"/>
              </w:rPr>
              <w:t>备注</w:t>
            </w:r>
          </w:p>
        </w:tc>
      </w:tr>
      <w:tr w14:paraId="65A6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51" w:type="pct"/>
            <w:tcBorders>
              <w:top w:val="single" w:color="auto" w:sz="4" w:space="0"/>
              <w:left w:val="single" w:color="auto" w:sz="4" w:space="0"/>
              <w:bottom w:val="single" w:color="auto" w:sz="4" w:space="0"/>
              <w:right w:val="single" w:color="auto" w:sz="4" w:space="0"/>
            </w:tcBorders>
            <w:vAlign w:val="center"/>
          </w:tcPr>
          <w:p w14:paraId="4B1C5F01">
            <w:pPr>
              <w:rPr>
                <w:rFonts w:ascii="宋体" w:hAnsi="宋体"/>
                <w:color w:val="auto"/>
                <w:szCs w:val="22"/>
                <w:highlight w:val="none"/>
              </w:rPr>
            </w:pPr>
            <w:r>
              <w:rPr>
                <w:rFonts w:hint="eastAsia" w:ascii="宋体" w:hAnsi="宋体"/>
                <w:color w:val="auto"/>
                <w:szCs w:val="22"/>
                <w:highlight w:val="none"/>
              </w:rPr>
              <w:t>1</w:t>
            </w:r>
          </w:p>
        </w:tc>
        <w:tc>
          <w:tcPr>
            <w:tcW w:w="1411" w:type="pct"/>
            <w:tcBorders>
              <w:top w:val="single" w:color="auto" w:sz="4" w:space="0"/>
              <w:left w:val="single" w:color="auto" w:sz="4" w:space="0"/>
              <w:bottom w:val="single" w:color="auto" w:sz="4" w:space="0"/>
              <w:right w:val="single" w:color="auto" w:sz="4" w:space="0"/>
            </w:tcBorders>
            <w:vAlign w:val="center"/>
          </w:tcPr>
          <w:p w14:paraId="54C9AE9D">
            <w:pPr>
              <w:rPr>
                <w:rFonts w:ascii="宋体" w:hAnsi="宋体"/>
                <w:color w:val="auto"/>
                <w:szCs w:val="22"/>
                <w:highlight w:val="none"/>
              </w:rPr>
            </w:pPr>
          </w:p>
        </w:tc>
        <w:tc>
          <w:tcPr>
            <w:tcW w:w="1531" w:type="pct"/>
            <w:tcBorders>
              <w:top w:val="single" w:color="auto" w:sz="4" w:space="0"/>
              <w:left w:val="single" w:color="auto" w:sz="4" w:space="0"/>
              <w:bottom w:val="single" w:color="auto" w:sz="4" w:space="0"/>
              <w:right w:val="single" w:color="auto" w:sz="4" w:space="0"/>
            </w:tcBorders>
            <w:vAlign w:val="center"/>
          </w:tcPr>
          <w:p w14:paraId="41DE9AA4">
            <w:pPr>
              <w:rPr>
                <w:rFonts w:ascii="宋体" w:hAnsi="宋体"/>
                <w:color w:val="auto"/>
                <w:szCs w:val="22"/>
                <w:highlight w:val="none"/>
              </w:rPr>
            </w:pPr>
          </w:p>
        </w:tc>
        <w:tc>
          <w:tcPr>
            <w:tcW w:w="1405" w:type="pct"/>
            <w:tcBorders>
              <w:top w:val="single" w:color="auto" w:sz="4" w:space="0"/>
              <w:left w:val="single" w:color="auto" w:sz="4" w:space="0"/>
              <w:bottom w:val="single" w:color="auto" w:sz="4" w:space="0"/>
              <w:right w:val="single" w:color="auto" w:sz="4" w:space="0"/>
            </w:tcBorders>
            <w:vAlign w:val="center"/>
          </w:tcPr>
          <w:p w14:paraId="3F93D094">
            <w:pPr>
              <w:rPr>
                <w:rFonts w:ascii="宋体" w:hAnsi="宋体"/>
                <w:color w:val="auto"/>
                <w:szCs w:val="22"/>
                <w:highlight w:val="none"/>
              </w:rPr>
            </w:pPr>
          </w:p>
        </w:tc>
      </w:tr>
      <w:tr w14:paraId="19C3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4"/>
            <w:tcBorders>
              <w:top w:val="single" w:color="auto" w:sz="4" w:space="0"/>
              <w:left w:val="single" w:color="auto" w:sz="4" w:space="0"/>
              <w:bottom w:val="single" w:color="auto" w:sz="4" w:space="0"/>
              <w:right w:val="single" w:color="auto" w:sz="4" w:space="0"/>
            </w:tcBorders>
          </w:tcPr>
          <w:p w14:paraId="0386B39E">
            <w:pPr>
              <w:rPr>
                <w:rFonts w:ascii="宋体" w:hAnsi="宋体"/>
                <w:color w:val="auto"/>
                <w:szCs w:val="22"/>
                <w:highlight w:val="none"/>
              </w:rPr>
            </w:pPr>
            <w:r>
              <w:rPr>
                <w:rFonts w:hint="eastAsia" w:ascii="宋体" w:hAnsi="宋体"/>
                <w:color w:val="auto"/>
                <w:szCs w:val="22"/>
                <w:highlight w:val="none"/>
              </w:rPr>
              <w:t>报价（包含税费等所有费用）：</w:t>
            </w:r>
          </w:p>
        </w:tc>
      </w:tr>
      <w:tr w14:paraId="6AED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4"/>
            <w:tcBorders>
              <w:top w:val="single" w:color="auto" w:sz="4" w:space="0"/>
              <w:left w:val="single" w:color="auto" w:sz="4" w:space="0"/>
              <w:bottom w:val="single" w:color="auto" w:sz="4" w:space="0"/>
              <w:right w:val="single" w:color="auto" w:sz="4" w:space="0"/>
            </w:tcBorders>
          </w:tcPr>
          <w:p w14:paraId="1793AAC7">
            <w:pPr>
              <w:rPr>
                <w:rFonts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标项（此处有标项时填写具体标项号，无标项时填写“无”）</w:t>
            </w:r>
          </w:p>
        </w:tc>
      </w:tr>
    </w:tbl>
    <w:p w14:paraId="5730C193">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3A8995B8">
      <w:pPr>
        <w:snapToGrid w:val="0"/>
        <w:spacing w:before="50" w:after="5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供应商需按本表格式填写，不得自行更改，也不得留空, 如有多标项，按标项分别提供响应报价表</w:t>
      </w:r>
      <w:r>
        <w:rPr>
          <w:rFonts w:hint="eastAsia" w:ascii="仿宋_GB2312" w:hAnsi="仿宋" w:eastAsia="仿宋_GB2312" w:cs="仿宋_GB2312"/>
          <w:b/>
          <w:color w:val="auto"/>
          <w:kern w:val="0"/>
          <w:sz w:val="24"/>
          <w:highlight w:val="none"/>
          <w:lang w:val="zh-CN"/>
        </w:rPr>
        <w:t>。</w:t>
      </w:r>
    </w:p>
    <w:p w14:paraId="0188AFDF">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w:t>
      </w:r>
    </w:p>
    <w:p w14:paraId="283A8D5B">
      <w:pPr>
        <w:snapToGrid w:val="0"/>
        <w:spacing w:before="50" w:after="50"/>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3、以上表格要求细分项目及报价</w:t>
      </w:r>
      <w:r>
        <w:rPr>
          <w:rFonts w:hint="eastAsia" w:ascii="仿宋_GB2312" w:hAnsi="仿宋" w:eastAsia="仿宋_GB2312" w:cs="仿宋_GB2312"/>
          <w:b/>
          <w:color w:val="auto"/>
          <w:kern w:val="0"/>
          <w:sz w:val="24"/>
          <w:highlight w:val="none"/>
          <w:lang w:val="zh-CN"/>
        </w:rPr>
        <w:t>。</w:t>
      </w:r>
    </w:p>
    <w:p w14:paraId="01A2C916">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4、特别提示：采购机构将对项目名称和项目编号，成交供应商名称、地址和成交金额，主要成交标的的名称、服务范围、服务要求、服务时间、服务标准等予以公示。</w:t>
      </w:r>
    </w:p>
    <w:p w14:paraId="2F8F460D">
      <w:pPr>
        <w:snapToGrid w:val="0"/>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5、</w:t>
      </w:r>
      <w:r>
        <w:rPr>
          <w:rFonts w:hint="eastAsia" w:ascii="仿宋_GB2312" w:hAnsi="仿宋" w:eastAsia="仿宋_GB2312" w:cs="仿宋_GB2312"/>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B47698">
      <w:pPr>
        <w:autoSpaceDE w:val="0"/>
        <w:autoSpaceDN w:val="0"/>
        <w:spacing w:line="360" w:lineRule="auto"/>
        <w:ind w:left="4335" w:leftChars="1950" w:hanging="240" w:hangingChars="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14:paraId="279F9FCC">
      <w:pPr>
        <w:widowControl/>
        <w:spacing w:line="360" w:lineRule="auto"/>
        <w:jc w:val="right"/>
        <w:rPr>
          <w:rFonts w:ascii="宋体" w:hAnsi="宋体"/>
          <w:b/>
          <w:bCs/>
          <w:color w:val="auto"/>
          <w:sz w:val="32"/>
          <w:szCs w:val="32"/>
          <w:highlight w:val="none"/>
        </w:rPr>
        <w:sectPr>
          <w:pgSz w:w="11911" w:h="16838"/>
          <w:pgMar w:top="1417" w:right="1417" w:bottom="1417" w:left="1417" w:header="720" w:footer="720" w:gutter="0"/>
          <w:cols w:space="0" w:num="1"/>
        </w:sectPr>
      </w:pPr>
      <w:r>
        <w:rPr>
          <w:rFonts w:hint="eastAsia" w:ascii="仿宋_GB2312" w:hAnsi="仿宋" w:eastAsia="仿宋_GB2312" w:cs="仿宋_GB2312"/>
          <w:color w:val="auto"/>
          <w:sz w:val="24"/>
          <w:highlight w:val="none"/>
          <w:lang w:val="zh-CN"/>
        </w:rPr>
        <w:t>日期：  年  月   日</w:t>
      </w:r>
    </w:p>
    <w:p w14:paraId="0D34CF9C">
      <w:pPr>
        <w:pStyle w:val="4"/>
        <w:jc w:val="center"/>
        <w:rPr>
          <w:rFonts w:ascii="宋体" w:hAnsi="宋体" w:cs="宋体"/>
          <w:b w:val="0"/>
          <w:color w:val="auto"/>
          <w:highlight w:val="none"/>
        </w:rPr>
      </w:pPr>
      <w:bookmarkStart w:id="77" w:name="_Toc44229899"/>
      <w:bookmarkEnd w:id="77"/>
      <w:bookmarkStart w:id="78" w:name="_Toc35611516"/>
      <w:bookmarkEnd w:id="78"/>
      <w:bookmarkStart w:id="79" w:name="_Toc31728084"/>
      <w:bookmarkEnd w:id="79"/>
      <w:bookmarkStart w:id="80" w:name="_Toc35611438"/>
      <w:bookmarkEnd w:id="80"/>
      <w:bookmarkStart w:id="81" w:name="_Toc31723070"/>
      <w:bookmarkEnd w:id="81"/>
      <w:bookmarkStart w:id="82" w:name="_Toc80205942"/>
      <w:bookmarkStart w:id="83" w:name="_Toc21156"/>
      <w:r>
        <w:rPr>
          <w:rFonts w:hint="eastAsia" w:ascii="宋体" w:hAnsi="宋体"/>
          <w:color w:val="auto"/>
          <w:highlight w:val="none"/>
        </w:rPr>
        <w:t>第五节 其他文书、文件格式</w:t>
      </w:r>
      <w:bookmarkEnd w:id="82"/>
      <w:bookmarkEnd w:id="83"/>
    </w:p>
    <w:p w14:paraId="6A0059DC">
      <w:pPr>
        <w:jc w:val="center"/>
        <w:rPr>
          <w:rFonts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456D15CA">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6A3FDBD3">
      <w:pPr>
        <w:rPr>
          <w:rFonts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本</w:t>
      </w:r>
      <w:r>
        <w:rPr>
          <w:rFonts w:hint="eastAsia" w:ascii="仿宋_GB2312" w:hAnsi="仿宋_GB2312" w:eastAsia="仿宋_GB2312" w:cs="仿宋_GB2312"/>
          <w:color w:val="auto"/>
          <w:sz w:val="30"/>
          <w:szCs w:val="30"/>
          <w:highlight w:val="none"/>
          <w:lang w:val="en"/>
        </w:rPr>
        <w:t>企业（单位）自愿参与政府投资政府采购的</w:t>
      </w:r>
      <w:r>
        <w:rPr>
          <w:rFonts w:hint="eastAsia" w:ascii="仿宋_GB2312" w:hAnsi="仿宋_GB2312" w:eastAsia="仿宋_GB2312" w:cs="仿宋_GB2312"/>
          <w:color w:val="auto"/>
          <w:sz w:val="30"/>
          <w:szCs w:val="30"/>
          <w:highlight w:val="none"/>
          <w:u w:val="single"/>
          <w:lang w:val="en" w:eastAsia="zh-CN"/>
        </w:rPr>
        <w:t>2026年涉案财物集中委托管理处置服务采购</w:t>
      </w:r>
      <w:r>
        <w:rPr>
          <w:rFonts w:hint="eastAsia" w:ascii="仿宋_GB2312" w:hAnsi="仿宋_GB2312" w:eastAsia="仿宋_GB2312" w:cs="仿宋_GB2312"/>
          <w:color w:val="auto"/>
          <w:sz w:val="30"/>
          <w:szCs w:val="30"/>
          <w:highlight w:val="none"/>
          <w:lang w:val="en"/>
        </w:rPr>
        <w:t>，</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auto"/>
          <w:sz w:val="30"/>
          <w:szCs w:val="30"/>
          <w:highlight w:val="none"/>
        </w:rPr>
        <w:t>单位</w:t>
      </w:r>
      <w:r>
        <w:rPr>
          <w:rFonts w:hint="eastAsia" w:ascii="仿宋_GB2312" w:hAnsi="仿宋_GB2312" w:eastAsia="仿宋_GB2312" w:cs="仿宋_GB2312"/>
          <w:color w:val="auto"/>
          <w:sz w:val="30"/>
          <w:szCs w:val="30"/>
          <w:highlight w:val="none"/>
          <w:lang w:val="en"/>
        </w:rPr>
        <w:t>）将承担由此产生的全部责任。</w:t>
      </w:r>
    </w:p>
    <w:p w14:paraId="53CB1972">
      <w:pPr>
        <w:snapToGrid w:val="0"/>
        <w:spacing w:line="360" w:lineRule="auto"/>
        <w:ind w:left="5137" w:leftChars="1736" w:hanging="1491" w:hangingChars="825"/>
        <w:rPr>
          <w:b/>
          <w:color w:val="auto"/>
          <w:sz w:val="18"/>
          <w:szCs w:val="18"/>
          <w:highlight w:val="none"/>
        </w:rPr>
      </w:pPr>
      <w:r>
        <w:rPr>
          <w:b/>
          <w:color w:val="auto"/>
          <w:sz w:val="18"/>
          <w:szCs w:val="18"/>
          <w:highlight w:val="none"/>
        </w:rPr>
        <w:t xml:space="preserve">           </w:t>
      </w:r>
    </w:p>
    <w:p w14:paraId="2DFCDCA3">
      <w:pPr>
        <w:snapToGrid w:val="0"/>
        <w:spacing w:line="360" w:lineRule="auto"/>
        <w:ind w:left="5137" w:leftChars="1736" w:hanging="1491" w:hangingChars="825"/>
        <w:rPr>
          <w:b/>
          <w:color w:val="auto"/>
          <w:sz w:val="18"/>
          <w:szCs w:val="18"/>
          <w:highlight w:val="none"/>
        </w:rPr>
      </w:pPr>
    </w:p>
    <w:p w14:paraId="725F37D4">
      <w:pPr>
        <w:snapToGrid w:val="0"/>
        <w:spacing w:line="360" w:lineRule="auto"/>
        <w:ind w:left="5137" w:leftChars="1736" w:hanging="1491" w:hangingChars="825"/>
        <w:rPr>
          <w:b/>
          <w:color w:val="auto"/>
          <w:sz w:val="18"/>
          <w:szCs w:val="18"/>
          <w:highlight w:val="none"/>
        </w:rPr>
      </w:pPr>
    </w:p>
    <w:p w14:paraId="5C2EF933">
      <w:pPr>
        <w:snapToGrid w:val="0"/>
        <w:spacing w:line="360" w:lineRule="auto"/>
        <w:ind w:left="5137" w:leftChars="1736" w:hanging="1491" w:hangingChars="825"/>
        <w:rPr>
          <w:b/>
          <w:color w:val="auto"/>
          <w:sz w:val="18"/>
          <w:szCs w:val="18"/>
          <w:highlight w:val="none"/>
        </w:rPr>
      </w:pPr>
    </w:p>
    <w:p w14:paraId="6EC92048">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供应商名称(电子签章)：</w:t>
      </w:r>
    </w:p>
    <w:p w14:paraId="4F14BAA4">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C3F4B5B">
      <w:pPr>
        <w:widowControl/>
        <w:jc w:val="left"/>
        <w:rPr>
          <w:rFonts w:ascii="宋体" w:hAnsi="宋体" w:cs="仿宋_GB2312"/>
          <w:color w:val="auto"/>
          <w:sz w:val="24"/>
          <w:highlight w:val="none"/>
        </w:rPr>
        <w:sectPr>
          <w:pgSz w:w="11911" w:h="16838"/>
          <w:pgMar w:top="1417" w:right="1417" w:bottom="1417" w:left="1417" w:header="720" w:footer="720" w:gutter="0"/>
          <w:cols w:space="0" w:num="1"/>
          <w:docGrid w:linePitch="331" w:charSpace="0"/>
        </w:sectPr>
      </w:pPr>
    </w:p>
    <w:p w14:paraId="3F86BFC9">
      <w:pPr>
        <w:pStyle w:val="13"/>
        <w:jc w:val="center"/>
        <w:rPr>
          <w:rFonts w:hint="default" w:ascii="Times New Roman" w:hAnsi="Times New Roman"/>
          <w:b/>
          <w:color w:val="auto"/>
          <w:sz w:val="30"/>
          <w:szCs w:val="30"/>
          <w:highlight w:val="none"/>
        </w:rPr>
      </w:pPr>
      <w:r>
        <w:rPr>
          <w:rFonts w:ascii="Times New Roman" w:hAnsi="Times New Roman"/>
          <w:b/>
          <w:color w:val="auto"/>
          <w:sz w:val="30"/>
          <w:szCs w:val="30"/>
          <w:highlight w:val="none"/>
        </w:rPr>
        <w:t>中小企业声明函</w:t>
      </w:r>
    </w:p>
    <w:p w14:paraId="7680EA7A">
      <w:pPr>
        <w:spacing w:line="300" w:lineRule="auto"/>
        <w:ind w:firstLine="2200" w:firstLineChars="50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中小企业声明函（服务）</w:t>
      </w:r>
    </w:p>
    <w:p w14:paraId="6692C265">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本公司（联合体）郑重声明，根据《政府采购促进中小企业发展管理办法》（财库﹝2020﹞46 号）的规定，本公司（联合体）参加</w:t>
      </w:r>
      <w:r>
        <w:rPr>
          <w:rFonts w:hint="eastAsia" w:ascii="仿宋" w:hAnsi="仿宋" w:eastAsia="仿宋" w:cs="仿宋"/>
          <w:bCs/>
          <w:color w:val="auto"/>
          <w:szCs w:val="21"/>
          <w:highlight w:val="none"/>
          <w:u w:val="single"/>
          <w:lang w:bidi="ar"/>
        </w:rPr>
        <w:t>（单位名称）</w:t>
      </w:r>
      <w:r>
        <w:rPr>
          <w:rFonts w:hint="eastAsia" w:ascii="仿宋" w:hAnsi="仿宋" w:eastAsia="仿宋" w:cs="仿宋"/>
          <w:bCs/>
          <w:color w:val="auto"/>
          <w:szCs w:val="21"/>
          <w:highlight w:val="none"/>
          <w:lang w:bidi="ar"/>
        </w:rPr>
        <w:t>的</w:t>
      </w:r>
      <w:r>
        <w:rPr>
          <w:rFonts w:hint="eastAsia" w:ascii="仿宋" w:hAnsi="仿宋" w:eastAsia="仿宋" w:cs="仿宋"/>
          <w:bCs/>
          <w:color w:val="auto"/>
          <w:szCs w:val="21"/>
          <w:highlight w:val="none"/>
          <w:u w:val="single"/>
          <w:lang w:bidi="ar"/>
        </w:rPr>
        <w:t>（项目名称）</w:t>
      </w:r>
      <w:r>
        <w:rPr>
          <w:rFonts w:hint="eastAsia" w:ascii="仿宋" w:hAnsi="仿宋" w:eastAsia="仿宋" w:cs="仿宋"/>
          <w:bCs/>
          <w:color w:val="auto"/>
          <w:szCs w:val="21"/>
          <w:highlight w:val="none"/>
          <w:lang w:bidi="ar"/>
        </w:rPr>
        <w:t>采购活动，服务全部由符合政策要求的中小企业承接。相关企业（含联合体中的中小企业、签订分包意向协议的中小企业） 的具体情况如下：</w:t>
      </w:r>
    </w:p>
    <w:p w14:paraId="3BAB1BBA">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1.</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1C7D27F6">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2.</w:t>
      </w:r>
      <w:r>
        <w:rPr>
          <w:rFonts w:hint="eastAsia" w:ascii="仿宋" w:hAnsi="仿宋" w:eastAsia="仿宋" w:cs="仿宋"/>
          <w:bCs/>
          <w:color w:val="auto"/>
          <w:szCs w:val="21"/>
          <w:highlight w:val="none"/>
          <w:u w:val="single"/>
          <w:lang w:bidi="ar"/>
        </w:rPr>
        <w:t>（标的名称）</w:t>
      </w:r>
      <w:r>
        <w:rPr>
          <w:rFonts w:hint="eastAsia" w:ascii="仿宋" w:hAnsi="仿宋" w:eastAsia="仿宋" w:cs="仿宋"/>
          <w:bCs/>
          <w:color w:val="auto"/>
          <w:szCs w:val="21"/>
          <w:highlight w:val="none"/>
          <w:lang w:bidi="ar"/>
        </w:rPr>
        <w:t>，属于</w:t>
      </w:r>
      <w:r>
        <w:rPr>
          <w:rFonts w:hint="eastAsia" w:ascii="仿宋" w:hAnsi="仿宋" w:eastAsia="仿宋" w:cs="仿宋"/>
          <w:bCs/>
          <w:color w:val="auto"/>
          <w:szCs w:val="21"/>
          <w:highlight w:val="none"/>
          <w:u w:val="single"/>
          <w:lang w:bidi="ar"/>
        </w:rPr>
        <w:t>（采购文件中明确的所属行业）</w:t>
      </w:r>
      <w:r>
        <w:rPr>
          <w:rFonts w:hint="eastAsia" w:ascii="仿宋" w:hAnsi="仿宋" w:eastAsia="仿宋" w:cs="仿宋"/>
          <w:bCs/>
          <w:color w:val="auto"/>
          <w:szCs w:val="21"/>
          <w:highlight w:val="none"/>
          <w:lang w:bidi="ar"/>
        </w:rPr>
        <w:t>行业；承接企业为</w:t>
      </w:r>
      <w:r>
        <w:rPr>
          <w:rFonts w:hint="eastAsia" w:ascii="仿宋" w:hAnsi="仿宋" w:eastAsia="仿宋" w:cs="仿宋"/>
          <w:bCs/>
          <w:color w:val="auto"/>
          <w:szCs w:val="21"/>
          <w:highlight w:val="none"/>
          <w:u w:val="single"/>
          <w:lang w:bidi="ar"/>
        </w:rPr>
        <w:t>（企业名称）</w:t>
      </w:r>
      <w:r>
        <w:rPr>
          <w:rFonts w:hint="eastAsia" w:ascii="仿宋" w:hAnsi="仿宋" w:eastAsia="仿宋" w:cs="仿宋"/>
          <w:bCs/>
          <w:color w:val="auto"/>
          <w:szCs w:val="21"/>
          <w:highlight w:val="none"/>
          <w:lang w:bidi="ar"/>
        </w:rPr>
        <w:t>，从业人员</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人，营业收入为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万元，资产总额为</w:t>
      </w:r>
      <w:r>
        <w:rPr>
          <w:rFonts w:hint="eastAsia" w:ascii="仿宋" w:hAnsi="仿宋" w:eastAsia="仿宋" w:cs="仿宋"/>
          <w:bCs/>
          <w:color w:val="auto"/>
          <w:szCs w:val="21"/>
          <w:highlight w:val="none"/>
          <w:u w:val="single"/>
          <w:lang w:bidi="ar"/>
        </w:rPr>
        <w:t xml:space="preserve">       </w:t>
      </w:r>
      <w:r>
        <w:rPr>
          <w:rFonts w:hint="eastAsia" w:ascii="仿宋" w:hAnsi="仿宋" w:eastAsia="仿宋" w:cs="仿宋"/>
          <w:bCs/>
          <w:color w:val="auto"/>
          <w:szCs w:val="21"/>
          <w:highlight w:val="none"/>
          <w:lang w:bidi="ar"/>
        </w:rPr>
        <w:t>万元，属于</w:t>
      </w:r>
      <w:r>
        <w:rPr>
          <w:rFonts w:hint="eastAsia" w:ascii="仿宋" w:hAnsi="仿宋" w:eastAsia="仿宋" w:cs="仿宋"/>
          <w:bCs/>
          <w:color w:val="auto"/>
          <w:szCs w:val="21"/>
          <w:highlight w:val="none"/>
          <w:u w:val="single"/>
          <w:lang w:bidi="ar"/>
        </w:rPr>
        <w:t>（中型企业、小型企业、微型企业）</w:t>
      </w:r>
      <w:r>
        <w:rPr>
          <w:rFonts w:hint="eastAsia" w:ascii="仿宋" w:hAnsi="仿宋" w:eastAsia="仿宋" w:cs="仿宋"/>
          <w:bCs/>
          <w:color w:val="auto"/>
          <w:szCs w:val="21"/>
          <w:highlight w:val="none"/>
          <w:lang w:bidi="ar"/>
        </w:rPr>
        <w:t>；</w:t>
      </w:r>
    </w:p>
    <w:p w14:paraId="4A233C72">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w:t>
      </w:r>
    </w:p>
    <w:p w14:paraId="0F846A29">
      <w:pPr>
        <w:spacing w:line="360" w:lineRule="auto"/>
        <w:ind w:firstLine="420"/>
        <w:rPr>
          <w:rFonts w:ascii="仿宋" w:hAnsi="仿宋" w:eastAsia="仿宋" w:cs="仿宋"/>
          <w:bCs/>
          <w:color w:val="auto"/>
          <w:szCs w:val="21"/>
          <w:highlight w:val="none"/>
        </w:rPr>
      </w:pPr>
      <w:r>
        <w:rPr>
          <w:rFonts w:hint="eastAsia" w:ascii="仿宋" w:hAnsi="仿宋" w:eastAsia="仿宋" w:cs="仿宋"/>
          <w:bCs/>
          <w:color w:val="auto"/>
          <w:szCs w:val="21"/>
          <w:highlight w:val="none"/>
          <w:lang w:bidi="ar"/>
        </w:rPr>
        <w:t>以上企业，不属于大企业的分支机构，不存在控股股东为大企业的情形，也不存在与大企业的负责人为同一人的情形。</w:t>
      </w:r>
    </w:p>
    <w:p w14:paraId="1B31C7B0">
      <w:pPr>
        <w:widowControl/>
        <w:jc w:val="left"/>
        <w:rPr>
          <w:rFonts w:ascii="仿宋" w:hAnsi="仿宋" w:eastAsia="仿宋" w:cs="仿宋"/>
          <w:color w:val="auto"/>
          <w:sz w:val="24"/>
          <w:highlight w:val="none"/>
        </w:rPr>
      </w:pPr>
      <w:r>
        <w:rPr>
          <w:rFonts w:hint="eastAsia" w:ascii="仿宋" w:hAnsi="仿宋" w:eastAsia="仿宋" w:cs="仿宋"/>
          <w:bCs/>
          <w:color w:val="auto"/>
          <w:szCs w:val="21"/>
          <w:highlight w:val="none"/>
          <w:lang w:bidi="ar"/>
        </w:rPr>
        <w:t>本企业对上述声明内容的真实性负责。如有虚假，将依法承担相应责任</w:t>
      </w:r>
      <w:r>
        <w:rPr>
          <w:rFonts w:hint="eastAsia" w:ascii="仿宋" w:hAnsi="仿宋" w:eastAsia="仿宋" w:cs="仿宋"/>
          <w:color w:val="auto"/>
          <w:sz w:val="24"/>
          <w:highlight w:val="none"/>
        </w:rPr>
        <w:t>。</w:t>
      </w:r>
    </w:p>
    <w:p w14:paraId="5E122E87">
      <w:pPr>
        <w:pStyle w:val="9"/>
        <w:spacing w:after="0" w:line="380" w:lineRule="exact"/>
        <w:ind w:left="3960" w:right="1808"/>
        <w:contextualSpacing/>
        <w:rPr>
          <w:rFonts w:ascii="仿宋" w:hAnsi="仿宋" w:eastAsia="仿宋" w:cs="仿宋"/>
          <w:color w:val="auto"/>
          <w:sz w:val="24"/>
          <w:highlight w:val="none"/>
        </w:rPr>
      </w:pPr>
    </w:p>
    <w:p w14:paraId="0728E68F">
      <w:pPr>
        <w:autoSpaceDE w:val="0"/>
        <w:autoSpaceDN w:val="0"/>
        <w:spacing w:line="380" w:lineRule="exact"/>
        <w:ind w:left="4335" w:leftChars="1950" w:hanging="240" w:hangingChars="1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供应商名称（电子签章）：</w:t>
      </w:r>
    </w:p>
    <w:p w14:paraId="5FE4C9E1">
      <w:pPr>
        <w:autoSpaceDE w:val="0"/>
        <w:autoSpaceDN w:val="0"/>
        <w:spacing w:line="380" w:lineRule="exact"/>
        <w:jc w:val="right"/>
        <w:rPr>
          <w:rFonts w:ascii="宋体" w:hAnsi="宋体" w:cs="宋体"/>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F4FC6BD">
      <w:pPr>
        <w:pStyle w:val="9"/>
        <w:spacing w:after="0" w:line="380" w:lineRule="exact"/>
        <w:ind w:left="3960" w:right="1808"/>
        <w:contextualSpacing/>
        <w:rPr>
          <w:color w:val="auto"/>
          <w:highlight w:val="none"/>
        </w:rPr>
      </w:pPr>
    </w:p>
    <w:p w14:paraId="70D06A77">
      <w:pPr>
        <w:spacing w:line="380" w:lineRule="exact"/>
        <w:jc w:val="left"/>
        <w:rPr>
          <w:rFonts w:ascii="仿宋_GB2312" w:hAnsi="仿宋" w:eastAsia="仿宋_GB2312" w:cs="仿宋_GB2312"/>
          <w:color w:val="auto"/>
          <w:kern w:val="0"/>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54712D5">
      <w:pPr>
        <w:widowControl/>
        <w:spacing w:line="360" w:lineRule="auto"/>
        <w:jc w:val="left"/>
        <w:rPr>
          <w:color w:val="auto"/>
          <w:sz w:val="20"/>
          <w:highlight w:val="none"/>
        </w:rPr>
        <w:sectPr>
          <w:pgSz w:w="11911" w:h="16838"/>
          <w:pgMar w:top="1417" w:right="1417" w:bottom="1417" w:left="1417" w:header="720" w:footer="720" w:gutter="0"/>
          <w:cols w:space="0" w:num="1"/>
          <w:docGrid w:linePitch="331" w:charSpace="0"/>
        </w:sectPr>
      </w:pPr>
    </w:p>
    <w:p w14:paraId="1D957C92">
      <w:pPr>
        <w:pStyle w:val="13"/>
        <w:spacing w:line="360" w:lineRule="auto"/>
        <w:jc w:val="center"/>
        <w:rPr>
          <w:rFonts w:hint="default"/>
          <w:b/>
          <w:color w:val="auto"/>
          <w:sz w:val="30"/>
          <w:szCs w:val="30"/>
          <w:highlight w:val="none"/>
        </w:rPr>
      </w:pPr>
      <w:r>
        <w:rPr>
          <w:b/>
          <w:color w:val="auto"/>
          <w:sz w:val="30"/>
          <w:szCs w:val="30"/>
          <w:highlight w:val="none"/>
        </w:rPr>
        <w:t>残疾人福利性单位声明函（格式）</w:t>
      </w:r>
    </w:p>
    <w:p w14:paraId="35DA224D">
      <w:pPr>
        <w:pStyle w:val="13"/>
        <w:spacing w:line="360" w:lineRule="auto"/>
        <w:jc w:val="center"/>
        <w:rPr>
          <w:rFonts w:hint="default"/>
          <w:b/>
          <w:color w:val="auto"/>
          <w:sz w:val="30"/>
          <w:szCs w:val="30"/>
          <w:highlight w:val="none"/>
        </w:rPr>
      </w:pPr>
    </w:p>
    <w:p w14:paraId="62EA1BFE">
      <w:pPr>
        <w:spacing w:line="360" w:lineRule="auto"/>
        <w:ind w:firstLine="600" w:firstLineChars="200"/>
        <w:rPr>
          <w:rFonts w:ascii="仿宋_GB2312" w:hAnsi="宋体" w:eastAsia="仿宋_GB2312" w:cs="仿宋_GB2312"/>
          <w:color w:val="auto"/>
          <w:sz w:val="24"/>
          <w:highlight w:val="none"/>
        </w:rPr>
      </w:pPr>
      <w:r>
        <w:rPr>
          <w:rFonts w:hint="eastAsia"/>
          <w:color w:val="auto"/>
          <w:sz w:val="30"/>
          <w:szCs w:val="30"/>
          <w:highlight w:val="none"/>
        </w:rPr>
        <w:t xml:space="preserve">   </w:t>
      </w:r>
      <w:r>
        <w:rPr>
          <w:rFonts w:hint="eastAsia" w:ascii="仿宋_GB2312" w:hAnsi="宋体" w:eastAsia="仿宋_GB2312"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南宁市财政局</w:t>
      </w:r>
      <w:r>
        <w:rPr>
          <w:rFonts w:hint="eastAsia" w:ascii="仿宋_GB2312" w:hAnsi="宋体" w:eastAsia="仿宋_GB2312" w:cs="仿宋_GB2312"/>
          <w:color w:val="auto"/>
          <w:sz w:val="24"/>
          <w:highlight w:val="none"/>
        </w:rPr>
        <w:t>单位的</w:t>
      </w:r>
      <w:r>
        <w:rPr>
          <w:rFonts w:hint="eastAsia" w:ascii="仿宋_GB2312" w:hAnsi="宋体" w:eastAsia="仿宋_GB2312" w:cs="仿宋_GB2312"/>
          <w:color w:val="auto"/>
          <w:sz w:val="24"/>
          <w:highlight w:val="none"/>
          <w:u w:val="single"/>
        </w:rPr>
        <w:t xml:space="preserve"> </w:t>
      </w:r>
      <w:r>
        <w:rPr>
          <w:rFonts w:hint="eastAsia" w:ascii="仿宋_GB2312" w:hAnsi="宋体" w:eastAsia="仿宋_GB2312" w:cs="仿宋_GB2312"/>
          <w:color w:val="auto"/>
          <w:sz w:val="24"/>
          <w:highlight w:val="none"/>
          <w:u w:val="single"/>
          <w:lang w:eastAsia="zh-CN"/>
        </w:rPr>
        <w:t>2026年涉案财物集中委托管理处置服务采购</w:t>
      </w:r>
      <w:r>
        <w:rPr>
          <w:rFonts w:hint="eastAsia" w:ascii="仿宋_GB2312" w:hAnsi="宋体" w:eastAsia="仿宋_GB2312" w:cs="仿宋_GB2312"/>
          <w:color w:val="auto"/>
          <w:sz w:val="24"/>
          <w:highlight w:val="none"/>
          <w:u w:val="single"/>
        </w:rPr>
        <w:t>（   分标）</w:t>
      </w:r>
      <w:r>
        <w:rPr>
          <w:rFonts w:hint="eastAsia" w:ascii="仿宋_GB2312" w:hAnsi="宋体" w:eastAsia="仿宋_GB2312" w:cs="仿宋_GB2312"/>
          <w:color w:val="auto"/>
          <w:sz w:val="24"/>
          <w:highlight w:val="none"/>
        </w:rPr>
        <w:t>采购活动由本单位提供服务。</w:t>
      </w:r>
    </w:p>
    <w:p w14:paraId="2F9364CB">
      <w:pPr>
        <w:spacing w:line="360" w:lineRule="auto"/>
        <w:ind w:firstLine="480" w:firstLineChars="200"/>
        <w:rPr>
          <w:rFonts w:ascii="仿宋_GB2312" w:hAnsi="宋体" w:eastAsia="仿宋_GB2312" w:cs="仿宋_GB2312"/>
          <w:color w:val="auto"/>
          <w:sz w:val="24"/>
          <w:highlight w:val="none"/>
        </w:rPr>
      </w:pPr>
      <w:r>
        <w:rPr>
          <w:rFonts w:hint="eastAsia" w:ascii="仿宋_GB2312" w:hAnsi="宋体" w:eastAsia="仿宋_GB2312" w:cs="仿宋_GB2312"/>
          <w:color w:val="auto"/>
          <w:sz w:val="24"/>
          <w:highlight w:val="none"/>
        </w:rPr>
        <w:t>本单位对上述声明的真实性负责。如有虚假，将依法承担相应责任。</w:t>
      </w:r>
    </w:p>
    <w:p w14:paraId="4853969D">
      <w:pPr>
        <w:pStyle w:val="13"/>
        <w:spacing w:line="360" w:lineRule="auto"/>
        <w:rPr>
          <w:rFonts w:hint="default"/>
          <w:b/>
          <w:color w:val="auto"/>
          <w:sz w:val="21"/>
          <w:szCs w:val="21"/>
          <w:highlight w:val="none"/>
        </w:rPr>
      </w:pPr>
    </w:p>
    <w:p w14:paraId="27194BA2">
      <w:pPr>
        <w:pStyle w:val="13"/>
        <w:spacing w:line="360" w:lineRule="auto"/>
        <w:rPr>
          <w:rFonts w:hint="default"/>
          <w:b/>
          <w:color w:val="auto"/>
          <w:szCs w:val="21"/>
          <w:highlight w:val="none"/>
        </w:rPr>
      </w:pPr>
    </w:p>
    <w:p w14:paraId="182B2DD3">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12485A97">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7476EB1">
      <w:pPr>
        <w:pStyle w:val="13"/>
        <w:spacing w:line="360" w:lineRule="auto"/>
        <w:ind w:left="5132" w:leftChars="1979" w:hanging="976" w:hangingChars="488"/>
        <w:rPr>
          <w:rFonts w:hint="default"/>
          <w:color w:val="auto"/>
          <w:kern w:val="2"/>
          <w:sz w:val="20"/>
          <w:highlight w:val="none"/>
        </w:rPr>
      </w:pPr>
    </w:p>
    <w:p w14:paraId="2B2961E9">
      <w:pPr>
        <w:autoSpaceDE w:val="0"/>
        <w:autoSpaceDN w:val="0"/>
        <w:adjustRightInd w:val="0"/>
        <w:spacing w:line="360" w:lineRule="auto"/>
        <w:jc w:val="left"/>
        <w:rPr>
          <w:rFonts w:hAnsi="宋体"/>
          <w:color w:val="auto"/>
          <w:szCs w:val="21"/>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9003F28">
      <w:pPr>
        <w:widowControl/>
        <w:spacing w:line="360" w:lineRule="auto"/>
        <w:jc w:val="left"/>
        <w:rPr>
          <w:rFonts w:hAnsi="宋体"/>
          <w:color w:val="auto"/>
          <w:szCs w:val="21"/>
          <w:highlight w:val="none"/>
        </w:rPr>
      </w:pPr>
    </w:p>
    <w:p w14:paraId="248890F2">
      <w:pPr>
        <w:widowControl/>
        <w:spacing w:line="360" w:lineRule="auto"/>
        <w:jc w:val="left"/>
        <w:rPr>
          <w:rFonts w:hAnsi="宋体"/>
          <w:color w:val="auto"/>
          <w:szCs w:val="21"/>
          <w:highlight w:val="none"/>
        </w:rPr>
      </w:pPr>
    </w:p>
    <w:p w14:paraId="5D3DE12B">
      <w:pPr>
        <w:widowControl/>
        <w:spacing w:line="360" w:lineRule="auto"/>
        <w:jc w:val="left"/>
        <w:rPr>
          <w:rFonts w:hAnsi="宋体"/>
          <w:b/>
          <w:color w:val="auto"/>
          <w:szCs w:val="21"/>
          <w:highlight w:val="none"/>
        </w:rPr>
      </w:pPr>
      <w:r>
        <w:rPr>
          <w:rFonts w:hint="eastAsia" w:hAnsi="宋体"/>
          <w:b/>
          <w:color w:val="auto"/>
          <w:szCs w:val="21"/>
          <w:highlight w:val="none"/>
        </w:rPr>
        <w:t>注：供应商提供的中小企业声明函内容不实的，属于提供虚假材料谋取中标、成交，</w:t>
      </w:r>
    </w:p>
    <w:p w14:paraId="4BAF214B">
      <w:pPr>
        <w:spacing w:line="520" w:lineRule="exact"/>
        <w:rPr>
          <w:rFonts w:ascii="宋体" w:hAnsi="宋体" w:cs="仿宋_GB2312"/>
          <w:color w:val="auto"/>
          <w:sz w:val="24"/>
          <w:highlight w:val="none"/>
        </w:rPr>
      </w:pPr>
      <w:r>
        <w:rPr>
          <w:rFonts w:hint="eastAsia" w:hAnsi="宋体"/>
          <w:b/>
          <w:color w:val="auto"/>
          <w:szCs w:val="21"/>
          <w:highlight w:val="none"/>
        </w:rPr>
        <w:t>依照《中华人民共和国政府采购法》等国家有关规定追究相应责任。</w:t>
      </w:r>
    </w:p>
    <w:p w14:paraId="43F9FB67">
      <w:pPr>
        <w:spacing w:line="360" w:lineRule="auto"/>
        <w:rPr>
          <w:rFonts w:ascii="宋体" w:hAnsi="宋体" w:cs="仿宋_GB2312"/>
          <w:color w:val="auto"/>
          <w:sz w:val="24"/>
          <w:highlight w:val="none"/>
        </w:rPr>
      </w:pPr>
    </w:p>
    <w:p w14:paraId="1232D57A">
      <w:pPr>
        <w:spacing w:line="360" w:lineRule="auto"/>
        <w:rPr>
          <w:rFonts w:ascii="宋体" w:hAnsi="宋体" w:cs="仿宋_GB2312"/>
          <w:color w:val="auto"/>
          <w:sz w:val="24"/>
          <w:highlight w:val="none"/>
        </w:rPr>
      </w:pPr>
    </w:p>
    <w:p w14:paraId="4A82BA63">
      <w:pPr>
        <w:spacing w:line="360" w:lineRule="auto"/>
        <w:rPr>
          <w:rFonts w:ascii="宋体" w:hAnsi="宋体" w:cs="仿宋_GB2312"/>
          <w:color w:val="auto"/>
          <w:sz w:val="24"/>
          <w:highlight w:val="none"/>
        </w:rPr>
      </w:pPr>
    </w:p>
    <w:p w14:paraId="2F4103A1">
      <w:pPr>
        <w:spacing w:line="520" w:lineRule="exact"/>
        <w:jc w:val="center"/>
        <w:rPr>
          <w:rFonts w:ascii="宋体" w:hAnsi="宋体"/>
          <w:color w:val="auto"/>
          <w:sz w:val="24"/>
          <w:highlight w:val="none"/>
        </w:rPr>
      </w:pPr>
    </w:p>
    <w:p w14:paraId="1C3D8E0E">
      <w:pPr>
        <w:spacing w:line="520" w:lineRule="exact"/>
        <w:jc w:val="center"/>
        <w:rPr>
          <w:rFonts w:ascii="宋体" w:hAnsi="宋体"/>
          <w:color w:val="auto"/>
          <w:sz w:val="24"/>
          <w:highlight w:val="none"/>
        </w:rPr>
      </w:pPr>
    </w:p>
    <w:p w14:paraId="48FEEF49">
      <w:pPr>
        <w:spacing w:line="520" w:lineRule="exact"/>
        <w:jc w:val="center"/>
        <w:rPr>
          <w:rFonts w:ascii="宋体" w:hAnsi="宋体"/>
          <w:color w:val="auto"/>
          <w:sz w:val="24"/>
          <w:highlight w:val="none"/>
        </w:rPr>
      </w:pPr>
    </w:p>
    <w:p w14:paraId="5BEA264E">
      <w:pPr>
        <w:spacing w:line="520" w:lineRule="exact"/>
        <w:jc w:val="center"/>
        <w:rPr>
          <w:rFonts w:ascii="宋体" w:hAnsi="宋体"/>
          <w:color w:val="auto"/>
          <w:sz w:val="24"/>
          <w:highlight w:val="none"/>
        </w:rPr>
      </w:pPr>
    </w:p>
    <w:p w14:paraId="01C30525">
      <w:pPr>
        <w:spacing w:line="520" w:lineRule="exact"/>
        <w:jc w:val="center"/>
        <w:rPr>
          <w:rFonts w:ascii="宋体" w:hAnsi="宋体"/>
          <w:color w:val="auto"/>
          <w:sz w:val="24"/>
          <w:highlight w:val="none"/>
        </w:rPr>
      </w:pPr>
    </w:p>
    <w:p w14:paraId="58410C17">
      <w:pPr>
        <w:spacing w:line="520" w:lineRule="exact"/>
        <w:jc w:val="center"/>
        <w:rPr>
          <w:rFonts w:ascii="宋体" w:hAnsi="宋体"/>
          <w:color w:val="auto"/>
          <w:sz w:val="24"/>
          <w:highlight w:val="none"/>
        </w:rPr>
      </w:pPr>
    </w:p>
    <w:p w14:paraId="5F248A56">
      <w:pPr>
        <w:spacing w:line="520" w:lineRule="exact"/>
        <w:jc w:val="center"/>
        <w:rPr>
          <w:rFonts w:ascii="宋体" w:hAnsi="宋体"/>
          <w:color w:val="auto"/>
          <w:sz w:val="24"/>
          <w:highlight w:val="none"/>
        </w:rPr>
      </w:pPr>
    </w:p>
    <w:p w14:paraId="28BFDB37">
      <w:pPr>
        <w:spacing w:line="520" w:lineRule="exact"/>
        <w:jc w:val="center"/>
        <w:rPr>
          <w:rFonts w:ascii="宋体" w:hAnsi="宋体"/>
          <w:color w:val="auto"/>
          <w:sz w:val="24"/>
          <w:highlight w:val="none"/>
        </w:rPr>
      </w:pPr>
    </w:p>
    <w:p w14:paraId="5A337F64">
      <w:pPr>
        <w:spacing w:line="520" w:lineRule="exact"/>
        <w:jc w:val="center"/>
        <w:rPr>
          <w:rFonts w:ascii="宋体" w:hAnsi="宋体"/>
          <w:color w:val="auto"/>
          <w:sz w:val="24"/>
          <w:highlight w:val="none"/>
        </w:rPr>
      </w:pPr>
    </w:p>
    <w:p w14:paraId="27B45CA6">
      <w:pPr>
        <w:spacing w:line="520" w:lineRule="exact"/>
        <w:jc w:val="center"/>
        <w:rPr>
          <w:rFonts w:ascii="宋体" w:hAnsi="宋体"/>
          <w:color w:val="auto"/>
          <w:sz w:val="24"/>
          <w:highlight w:val="none"/>
        </w:rPr>
      </w:pPr>
    </w:p>
    <w:p w14:paraId="58CC22E2">
      <w:pPr>
        <w:spacing w:line="520" w:lineRule="exact"/>
        <w:jc w:val="center"/>
        <w:rPr>
          <w:rFonts w:ascii="宋体" w:hAnsi="宋体"/>
          <w:color w:val="auto"/>
          <w:sz w:val="24"/>
          <w:highlight w:val="none"/>
        </w:rPr>
      </w:pPr>
    </w:p>
    <w:p w14:paraId="6A2C58FA">
      <w:pPr>
        <w:spacing w:line="520" w:lineRule="exact"/>
        <w:jc w:val="center"/>
        <w:rPr>
          <w:rFonts w:ascii="宋体" w:hAnsi="宋体"/>
          <w:color w:val="auto"/>
          <w:sz w:val="24"/>
          <w:highlight w:val="none"/>
        </w:rPr>
      </w:pPr>
    </w:p>
    <w:p w14:paraId="32FEEC6D">
      <w:pPr>
        <w:spacing w:line="520" w:lineRule="exact"/>
        <w:jc w:val="center"/>
        <w:rPr>
          <w:rFonts w:ascii="宋体" w:hAnsi="宋体"/>
          <w:color w:val="auto"/>
          <w:sz w:val="24"/>
          <w:highlight w:val="none"/>
        </w:rPr>
      </w:pPr>
    </w:p>
    <w:p w14:paraId="3D54F8D0">
      <w:pPr>
        <w:spacing w:line="520" w:lineRule="exact"/>
        <w:jc w:val="center"/>
        <w:rPr>
          <w:rFonts w:ascii="宋体" w:hAnsi="宋体"/>
          <w:color w:val="auto"/>
          <w:sz w:val="24"/>
          <w:highlight w:val="none"/>
        </w:rPr>
      </w:pPr>
    </w:p>
    <w:p w14:paraId="4B5C43FA">
      <w:pPr>
        <w:spacing w:line="520" w:lineRule="exact"/>
        <w:jc w:val="center"/>
        <w:rPr>
          <w:rFonts w:ascii="宋体" w:hAnsi="宋体"/>
          <w:color w:val="auto"/>
          <w:sz w:val="24"/>
          <w:highlight w:val="none"/>
        </w:rPr>
      </w:pPr>
    </w:p>
    <w:p w14:paraId="1AF055EA">
      <w:pPr>
        <w:pStyle w:val="3"/>
        <w:jc w:val="center"/>
        <w:rPr>
          <w:rFonts w:ascii="仿宋_GB2312" w:hAnsi="楷体" w:eastAsia="仿宋_GB2312"/>
          <w:color w:val="auto"/>
          <w:sz w:val="24"/>
          <w:highlight w:val="none"/>
        </w:rPr>
      </w:pPr>
      <w:bookmarkStart w:id="84" w:name="_Toc18784"/>
      <w:r>
        <w:rPr>
          <w:rFonts w:hint="eastAsia" w:ascii="宋体" w:hAnsi="宋体"/>
          <w:b w:val="0"/>
          <w:bCs w:val="0"/>
          <w:color w:val="auto"/>
          <w:highlight w:val="none"/>
        </w:rPr>
        <w:t>第六章  合同文本</w:t>
      </w:r>
      <w:r>
        <w:rPr>
          <w:rFonts w:hint="eastAsia" w:ascii="宋体" w:hAnsi="宋体"/>
          <w:b w:val="0"/>
          <w:bCs w:val="0"/>
          <w:color w:val="auto"/>
          <w:highlight w:val="none"/>
        </w:rPr>
        <w:br w:type="page"/>
      </w:r>
      <w:bookmarkEnd w:id="84"/>
      <w:r>
        <w:rPr>
          <w:rFonts w:hint="eastAsia" w:ascii="仿宋_GB2312" w:hAnsi="楷体" w:eastAsia="仿宋_GB2312"/>
          <w:color w:val="auto"/>
          <w:sz w:val="24"/>
          <w:highlight w:val="none"/>
        </w:rPr>
        <w:t>“广西政府采购云平台”合同编号：</w:t>
      </w:r>
    </w:p>
    <w:p w14:paraId="5B2A1AA8">
      <w:pPr>
        <w:rPr>
          <w:rFonts w:ascii="宋体" w:hAnsi="宋体"/>
          <w:b/>
          <w:bCs/>
          <w:color w:val="auto"/>
          <w:highlight w:val="none"/>
        </w:rPr>
      </w:pPr>
    </w:p>
    <w:p w14:paraId="4651AB2D">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499D6DF3">
      <w:pPr>
        <w:spacing w:line="360" w:lineRule="auto"/>
        <w:ind w:firstLine="420" w:firstLineChars="200"/>
        <w:rPr>
          <w:rFonts w:ascii="宋体"/>
          <w:color w:val="auto"/>
          <w:highlight w:val="none"/>
        </w:rPr>
      </w:pPr>
    </w:p>
    <w:p w14:paraId="705A6288">
      <w:pPr>
        <w:spacing w:line="360" w:lineRule="auto"/>
        <w:ind w:firstLine="420" w:firstLineChars="200"/>
        <w:rPr>
          <w:rFonts w:ascii="宋体"/>
          <w:color w:val="auto"/>
          <w:highlight w:val="none"/>
        </w:rPr>
      </w:pPr>
      <w:r>
        <w:rPr>
          <w:rFonts w:hint="eastAsia" w:ascii="宋体"/>
          <w:color w:val="auto"/>
          <w:highlight w:val="none"/>
        </w:rPr>
        <w:t xml:space="preserve">                                                 </w:t>
      </w:r>
    </w:p>
    <w:p w14:paraId="370AA825">
      <w:pPr>
        <w:spacing w:line="360" w:lineRule="auto"/>
        <w:jc w:val="center"/>
        <w:rPr>
          <w:rFonts w:ascii="宋体"/>
          <w:b/>
          <w:bCs/>
          <w:color w:val="auto"/>
          <w:sz w:val="44"/>
          <w:highlight w:val="none"/>
        </w:rPr>
      </w:pPr>
      <w:r>
        <w:rPr>
          <w:rFonts w:hint="eastAsia" w:ascii="宋体"/>
          <w:b/>
          <w:bCs/>
          <w:color w:val="auto"/>
          <w:sz w:val="44"/>
          <w:highlight w:val="none"/>
          <w:u w:val="single"/>
        </w:rPr>
        <w:t xml:space="preserve"> </w:t>
      </w:r>
      <w:r>
        <w:rPr>
          <w:rFonts w:hint="eastAsia" w:ascii="宋体"/>
          <w:b/>
          <w:bCs/>
          <w:color w:val="auto"/>
          <w:sz w:val="44"/>
          <w:highlight w:val="none"/>
          <w:u w:val="single"/>
          <w:lang w:eastAsia="zh-CN"/>
        </w:rPr>
        <w:t>2026年涉案财物集中委托管理处置服务采购</w:t>
      </w:r>
      <w:r>
        <w:rPr>
          <w:rFonts w:hint="eastAsia" w:ascii="宋体"/>
          <w:b/>
          <w:bCs/>
          <w:color w:val="auto"/>
          <w:sz w:val="44"/>
          <w:highlight w:val="none"/>
        </w:rPr>
        <w:t>合同</w:t>
      </w:r>
    </w:p>
    <w:p w14:paraId="0D664B95">
      <w:pPr>
        <w:spacing w:line="360" w:lineRule="auto"/>
        <w:jc w:val="center"/>
        <w:rPr>
          <w:rFonts w:ascii="宋体"/>
          <w:b/>
          <w:bCs/>
          <w:color w:val="auto"/>
          <w:sz w:val="44"/>
          <w:highlight w:val="none"/>
        </w:rPr>
      </w:pPr>
    </w:p>
    <w:p w14:paraId="23144FBD">
      <w:pPr>
        <w:spacing w:line="360" w:lineRule="auto"/>
        <w:jc w:val="center"/>
        <w:rPr>
          <w:rFonts w:ascii="宋体"/>
          <w:b/>
          <w:bCs/>
          <w:color w:val="auto"/>
          <w:sz w:val="44"/>
          <w:highlight w:val="none"/>
        </w:rPr>
      </w:pPr>
    </w:p>
    <w:p w14:paraId="03FFBBD6">
      <w:pPr>
        <w:ind w:firstLine="354" w:firstLineChars="98"/>
        <w:rPr>
          <w:rFonts w:ascii="宋体" w:hAnsi="宋体"/>
          <w:b/>
          <w:color w:val="auto"/>
          <w:sz w:val="36"/>
          <w:szCs w:val="36"/>
          <w:highlight w:val="none"/>
        </w:rPr>
      </w:pPr>
      <w:r>
        <w:rPr>
          <w:rFonts w:hint="eastAsia" w:ascii="宋体" w:hAnsi="宋体"/>
          <w:b/>
          <w:color w:val="auto"/>
          <w:sz w:val="36"/>
          <w:szCs w:val="36"/>
          <w:highlight w:val="none"/>
        </w:rPr>
        <w:t>采购项目编号：</w:t>
      </w:r>
      <w:r>
        <w:rPr>
          <w:rFonts w:hint="eastAsia" w:ascii="宋体" w:hAnsi="宋体"/>
          <w:b/>
          <w:color w:val="auto"/>
          <w:sz w:val="36"/>
          <w:szCs w:val="36"/>
          <w:highlight w:val="none"/>
          <w:u w:val="single"/>
        </w:rPr>
        <w:t xml:space="preserve">                      </w:t>
      </w:r>
    </w:p>
    <w:p w14:paraId="767DE1C5">
      <w:pPr>
        <w:ind w:firstLine="354" w:firstLineChars="98"/>
        <w:rPr>
          <w:rFonts w:ascii="宋体" w:hAnsi="宋体"/>
          <w:b/>
          <w:color w:val="auto"/>
          <w:sz w:val="36"/>
          <w:szCs w:val="36"/>
          <w:highlight w:val="none"/>
        </w:rPr>
      </w:pPr>
      <w:r>
        <w:rPr>
          <w:rFonts w:hint="eastAsia" w:ascii="宋体" w:hAnsi="宋体"/>
          <w:b/>
          <w:color w:val="auto"/>
          <w:sz w:val="36"/>
          <w:szCs w:val="36"/>
          <w:highlight w:val="none"/>
        </w:rPr>
        <w:t>采购计划编号：</w:t>
      </w:r>
      <w:r>
        <w:rPr>
          <w:rFonts w:hint="eastAsia" w:ascii="宋体" w:hAnsi="宋体"/>
          <w:b/>
          <w:color w:val="auto"/>
          <w:sz w:val="36"/>
          <w:szCs w:val="36"/>
          <w:highlight w:val="none"/>
          <w:u w:val="single"/>
        </w:rPr>
        <w:t xml:space="preserve">                      </w:t>
      </w:r>
    </w:p>
    <w:p w14:paraId="0F915903">
      <w:pPr>
        <w:ind w:firstLine="1308" w:firstLineChars="545"/>
        <w:rPr>
          <w:rFonts w:ascii="宋体" w:hAnsi="宋体" w:cs="宋体"/>
          <w:color w:val="auto"/>
          <w:sz w:val="24"/>
          <w:highlight w:val="none"/>
        </w:rPr>
      </w:pPr>
    </w:p>
    <w:p w14:paraId="6F6BB386">
      <w:pPr>
        <w:ind w:firstLine="1995" w:firstLineChars="552"/>
        <w:rPr>
          <w:rFonts w:ascii="宋体" w:hAnsi="宋体"/>
          <w:b/>
          <w:color w:val="auto"/>
          <w:sz w:val="36"/>
          <w:szCs w:val="36"/>
          <w:highlight w:val="none"/>
          <w:u w:val="single"/>
        </w:rPr>
      </w:pPr>
    </w:p>
    <w:p w14:paraId="026BF36F">
      <w:pPr>
        <w:ind w:firstLine="1995" w:firstLineChars="552"/>
        <w:rPr>
          <w:rFonts w:ascii="宋体" w:hAnsi="宋体"/>
          <w:b/>
          <w:color w:val="auto"/>
          <w:sz w:val="36"/>
          <w:szCs w:val="36"/>
          <w:highlight w:val="none"/>
          <w:u w:val="single"/>
        </w:rPr>
      </w:pPr>
    </w:p>
    <w:p w14:paraId="2387905A">
      <w:pPr>
        <w:tabs>
          <w:tab w:val="left" w:pos="7200"/>
        </w:tabs>
        <w:spacing w:line="360" w:lineRule="auto"/>
        <w:ind w:firstLine="361" w:firstLineChars="100"/>
        <w:rPr>
          <w:rFonts w:hint="eastAsia" w:ascii="宋体" w:hAnsi="宋体" w:eastAsia="宋体"/>
          <w:b/>
          <w:color w:val="auto"/>
          <w:sz w:val="36"/>
          <w:szCs w:val="36"/>
          <w:highlight w:val="none"/>
          <w:u w:val="single"/>
          <w:lang w:eastAsia="zh-CN"/>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lang w:eastAsia="zh-CN"/>
        </w:rPr>
        <w:t>南宁市财政局</w:t>
      </w:r>
    </w:p>
    <w:p w14:paraId="418E8AE4">
      <w:pPr>
        <w:tabs>
          <w:tab w:val="left" w:pos="7380"/>
        </w:tabs>
        <w:spacing w:line="360" w:lineRule="auto"/>
        <w:ind w:firstLine="361" w:firstLineChars="100"/>
        <w:rPr>
          <w:rFonts w:ascii="宋体"/>
          <w:b/>
          <w:bCs/>
          <w:color w:val="auto"/>
          <w:sz w:val="44"/>
          <w:highlight w:val="none"/>
        </w:rPr>
      </w:pPr>
      <w:r>
        <w:rPr>
          <w:rFonts w:hint="eastAsia" w:ascii="宋体" w:hAnsi="宋体"/>
          <w:b/>
          <w:color w:val="auto"/>
          <w:sz w:val="36"/>
          <w:szCs w:val="36"/>
          <w:highlight w:val="none"/>
        </w:rPr>
        <w:t>中标供应商：</w:t>
      </w:r>
      <w:r>
        <w:rPr>
          <w:rFonts w:hint="eastAsia" w:ascii="宋体" w:hAnsi="宋体"/>
          <w:b/>
          <w:color w:val="auto"/>
          <w:sz w:val="36"/>
          <w:szCs w:val="36"/>
          <w:highlight w:val="none"/>
          <w:u w:val="single"/>
        </w:rPr>
        <w:t xml:space="preserve">                   </w:t>
      </w:r>
    </w:p>
    <w:p w14:paraId="700C4A69">
      <w:pPr>
        <w:tabs>
          <w:tab w:val="left" w:pos="7380"/>
        </w:tabs>
        <w:spacing w:line="360" w:lineRule="auto"/>
        <w:rPr>
          <w:rFonts w:ascii="宋体"/>
          <w:b/>
          <w:bCs/>
          <w:color w:val="auto"/>
          <w:sz w:val="44"/>
          <w:highlight w:val="none"/>
        </w:rPr>
      </w:pPr>
    </w:p>
    <w:p w14:paraId="281964EC">
      <w:pPr>
        <w:tabs>
          <w:tab w:val="left" w:pos="7380"/>
        </w:tabs>
        <w:spacing w:line="360" w:lineRule="auto"/>
        <w:rPr>
          <w:rFonts w:ascii="宋体"/>
          <w:b/>
          <w:bCs/>
          <w:color w:val="auto"/>
          <w:sz w:val="44"/>
          <w:highlight w:val="none"/>
        </w:rPr>
      </w:pPr>
    </w:p>
    <w:p w14:paraId="5E4D3AE2">
      <w:pPr>
        <w:tabs>
          <w:tab w:val="left" w:pos="7380"/>
        </w:tabs>
        <w:spacing w:line="360" w:lineRule="auto"/>
        <w:rPr>
          <w:rFonts w:ascii="宋体"/>
          <w:b/>
          <w:bCs/>
          <w:color w:val="auto"/>
          <w:sz w:val="44"/>
          <w:highlight w:val="none"/>
        </w:rPr>
      </w:pPr>
    </w:p>
    <w:p w14:paraId="70B15E47">
      <w:pPr>
        <w:tabs>
          <w:tab w:val="left" w:pos="7380"/>
        </w:tabs>
        <w:spacing w:line="360" w:lineRule="auto"/>
        <w:jc w:val="center"/>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签订时间：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p>
    <w:p w14:paraId="6A6260F6">
      <w:pPr>
        <w:snapToGrid w:val="0"/>
        <w:spacing w:line="360" w:lineRule="auto"/>
        <w:jc w:val="center"/>
        <w:rPr>
          <w:rFonts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289CEFDE">
      <w:pPr>
        <w:snapToGrid w:val="0"/>
        <w:spacing w:line="360" w:lineRule="auto"/>
        <w:jc w:val="center"/>
        <w:rPr>
          <w:rFonts w:ascii="宋体"/>
          <w:b/>
          <w:bCs/>
          <w:color w:val="auto"/>
          <w:sz w:val="44"/>
          <w:highlight w:val="none"/>
        </w:rPr>
      </w:pPr>
    </w:p>
    <w:p w14:paraId="2B1CAD4D">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4592668D">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396629D7">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53BF6361">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5354EAA0">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4.1成交通知书 ………………………………………………………………（页码）</w:t>
      </w:r>
    </w:p>
    <w:p w14:paraId="36A95DF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4.2采购文件服务需求一览表 ………………………………………………（页码）</w:t>
      </w:r>
    </w:p>
    <w:p w14:paraId="155A452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4.3采购文件的更改通知（如有） …………………………………………（页码）</w:t>
      </w:r>
    </w:p>
    <w:p w14:paraId="320ACC1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4.4响应函 ……………………………………………………………………（页码）</w:t>
      </w:r>
    </w:p>
    <w:p w14:paraId="59FDCB54">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4.5响应报价表 ………………………………………………………………（页码）</w:t>
      </w:r>
    </w:p>
    <w:p w14:paraId="6154C3E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4.6响应服务技术资料表 ……………………………………………………（页码）</w:t>
      </w:r>
    </w:p>
    <w:p w14:paraId="3CC459C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5A35769B">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4.8成交供应商澄清函（如有请提供） ……………………………………（页码）</w:t>
      </w:r>
    </w:p>
    <w:p w14:paraId="6240468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2F682C6C">
      <w:pPr>
        <w:snapToGrid w:val="0"/>
        <w:spacing w:line="360" w:lineRule="auto"/>
        <w:rPr>
          <w:rFonts w:ascii="仿宋_GB2312" w:hAnsi="仿宋" w:eastAsia="仿宋_GB2312" w:cs="仿宋_GB2312"/>
          <w:color w:val="auto"/>
          <w:kern w:val="0"/>
          <w:sz w:val="24"/>
          <w:highlight w:val="none"/>
        </w:rPr>
      </w:pPr>
    </w:p>
    <w:p w14:paraId="1180B7E8">
      <w:pPr>
        <w:widowControl/>
        <w:jc w:val="left"/>
        <w:rPr>
          <w:rFonts w:ascii="仿宋_GB2312" w:eastAsia="仿宋_GB2312"/>
          <w:color w:val="auto"/>
          <w:kern w:val="0"/>
          <w:sz w:val="32"/>
          <w:szCs w:val="20"/>
          <w:highlight w:val="none"/>
        </w:rPr>
        <w:sectPr>
          <w:pgSz w:w="11911" w:h="16838"/>
          <w:pgMar w:top="1417" w:right="1417" w:bottom="1417" w:left="1417" w:header="720" w:footer="720" w:gutter="0"/>
          <w:cols w:space="0" w:num="1"/>
          <w:docGrid w:linePitch="331" w:charSpace="0"/>
        </w:sectPr>
      </w:pPr>
    </w:p>
    <w:p w14:paraId="23A4C007">
      <w:pPr>
        <w:ind w:firstLine="562"/>
        <w:jc w:val="center"/>
        <w:outlineLvl w:val="1"/>
        <w:rPr>
          <w:rFonts w:ascii="仿宋_GB2312" w:hAnsi="楷体" w:eastAsia="仿宋_GB2312"/>
          <w:b/>
          <w:sz w:val="28"/>
          <w:szCs w:val="28"/>
        </w:rPr>
      </w:pPr>
      <w:bookmarkStart w:id="85" w:name="_Toc80205944"/>
      <w:bookmarkStart w:id="86" w:name="_Toc4565"/>
      <w:r>
        <w:rPr>
          <w:rFonts w:hint="eastAsia" w:ascii="仿宋_GB2312" w:hAnsi="楷体" w:eastAsia="仿宋_GB2312"/>
          <w:b/>
          <w:sz w:val="28"/>
          <w:szCs w:val="28"/>
        </w:rPr>
        <w:t>第一部分 合同书</w:t>
      </w:r>
      <w:bookmarkEnd w:id="85"/>
      <w:bookmarkEnd w:id="86"/>
    </w:p>
    <w:p w14:paraId="37880104">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年月日</w:t>
      </w:r>
      <w:r>
        <w:rPr>
          <w:rFonts w:hint="eastAsia" w:ascii="仿宋_GB2312" w:hAnsi="楷体" w:eastAsia="仿宋_GB2312"/>
          <w:sz w:val="24"/>
        </w:rPr>
        <w:t>，</w:t>
      </w:r>
      <w:r>
        <w:rPr>
          <w:rFonts w:hint="eastAsia" w:ascii="仿宋_GB2312" w:hAnsi="仿宋" w:eastAsia="仿宋_GB2312"/>
          <w:sz w:val="24"/>
          <w:u w:val="single"/>
        </w:rPr>
        <w:t xml:space="preserve">  南宁市财政局</w:t>
      </w:r>
      <w:r>
        <w:rPr>
          <w:rFonts w:hint="eastAsia" w:ascii="仿宋_GB2312" w:hAnsi="仿宋" w:eastAsia="仿宋_GB2312"/>
          <w:sz w:val="24"/>
        </w:rPr>
        <w:t>以</w:t>
      </w:r>
      <w:r>
        <w:rPr>
          <w:rFonts w:hint="eastAsia" w:ascii="仿宋_GB2312" w:hAnsi="仿宋" w:eastAsia="仿宋_GB2312"/>
          <w:sz w:val="24"/>
          <w:u w:val="single"/>
        </w:rPr>
        <w:t xml:space="preserve">   竞争性磋商方式  </w:t>
      </w:r>
      <w:r>
        <w:rPr>
          <w:rFonts w:hint="eastAsia" w:ascii="仿宋_GB2312" w:hAnsi="仿宋" w:eastAsia="仿宋_GB2312"/>
          <w:sz w:val="24"/>
        </w:rPr>
        <w:t>对</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25 </w:t>
      </w:r>
      <w:r>
        <w:rPr>
          <w:rFonts w:hint="eastAsia" w:ascii="仿宋_GB2312" w:hAnsi="楷体" w:eastAsia="仿宋_GB2312"/>
          <w:sz w:val="24"/>
        </w:rPr>
        <w:t>日（时限根据项目情况而定，不得超过25日）内，按照采购文件确定的事项签订本合同。</w:t>
      </w:r>
    </w:p>
    <w:p w14:paraId="2DD9EFA1">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南宁市财政局</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（成交供应商名称）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28CDB503">
      <w:pPr>
        <w:spacing w:line="360" w:lineRule="auto"/>
        <w:ind w:firstLine="482" w:firstLineChars="200"/>
        <w:rPr>
          <w:rFonts w:ascii="仿宋_GB2312" w:hAnsi="楷体" w:eastAsia="仿宋_GB2312"/>
          <w:b/>
          <w:sz w:val="24"/>
        </w:rPr>
      </w:pPr>
      <w:bookmarkStart w:id="87" w:name="_Toc2232"/>
      <w:bookmarkStart w:id="88" w:name="_Toc3029"/>
      <w:bookmarkStart w:id="89" w:name="_Toc24059"/>
      <w:r>
        <w:rPr>
          <w:rFonts w:hint="eastAsia" w:ascii="仿宋_GB2312" w:hAnsi="楷体" w:eastAsia="仿宋_GB2312"/>
          <w:b/>
          <w:sz w:val="24"/>
        </w:rPr>
        <w:t>1.1 合同组成部分</w:t>
      </w:r>
      <w:bookmarkEnd w:id="87"/>
      <w:bookmarkEnd w:id="88"/>
      <w:bookmarkEnd w:id="89"/>
    </w:p>
    <w:p w14:paraId="2D297405">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079B0A32">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14:paraId="3B1B0ED9">
      <w:pPr>
        <w:spacing w:line="360" w:lineRule="auto"/>
        <w:ind w:firstLine="480" w:firstLineChars="200"/>
        <w:rPr>
          <w:rFonts w:ascii="仿宋_GB2312" w:hAnsi="楷体" w:eastAsia="仿宋_GB2312"/>
          <w:sz w:val="24"/>
        </w:rPr>
      </w:pPr>
      <w:r>
        <w:rPr>
          <w:rFonts w:hint="eastAsia" w:ascii="仿宋_GB2312" w:hAnsi="楷体" w:eastAsia="仿宋_GB2312"/>
          <w:sz w:val="24"/>
        </w:rPr>
        <w:t>1.1.2 成交通知书；</w:t>
      </w:r>
    </w:p>
    <w:p w14:paraId="345103B2">
      <w:pPr>
        <w:spacing w:line="360" w:lineRule="auto"/>
        <w:ind w:firstLine="480" w:firstLineChars="200"/>
        <w:rPr>
          <w:rFonts w:ascii="仿宋_GB2312" w:hAnsi="楷体" w:eastAsia="仿宋_GB2312"/>
          <w:sz w:val="24"/>
        </w:rPr>
      </w:pPr>
      <w:r>
        <w:rPr>
          <w:rFonts w:hint="eastAsia" w:ascii="仿宋_GB2312" w:hAnsi="楷体" w:eastAsia="仿宋_GB2312"/>
          <w:sz w:val="24"/>
        </w:rPr>
        <w:t>1.1.3 采购文件及“响应报价”（含澄清或者说明文件）；</w:t>
      </w:r>
    </w:p>
    <w:p w14:paraId="6B11C6C4">
      <w:pPr>
        <w:spacing w:line="360" w:lineRule="auto"/>
        <w:ind w:firstLine="480" w:firstLineChars="200"/>
        <w:rPr>
          <w:rFonts w:ascii="仿宋_GB2312" w:hAnsi="楷体" w:eastAsia="仿宋_GB2312"/>
          <w:sz w:val="24"/>
        </w:rPr>
      </w:pPr>
      <w:r>
        <w:rPr>
          <w:rFonts w:hint="eastAsia" w:ascii="仿宋_GB2312" w:hAnsi="楷体" w:eastAsia="仿宋_GB2312"/>
          <w:sz w:val="24"/>
        </w:rPr>
        <w:t>1.1.4 采购文件（含澄清或者修改文件）；</w:t>
      </w:r>
    </w:p>
    <w:p w14:paraId="14604E25">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14:paraId="60DF8B84">
      <w:pPr>
        <w:spacing w:line="360" w:lineRule="auto"/>
        <w:ind w:firstLine="482" w:firstLineChars="200"/>
        <w:rPr>
          <w:rFonts w:ascii="仿宋_GB2312" w:hAnsi="楷体" w:eastAsia="仿宋_GB2312"/>
          <w:b/>
          <w:sz w:val="24"/>
        </w:rPr>
      </w:pPr>
      <w:bookmarkStart w:id="90" w:name="_Toc21295"/>
      <w:bookmarkStart w:id="91" w:name="_Toc24300"/>
      <w:bookmarkStart w:id="92" w:name="_Toc27126"/>
      <w:r>
        <w:rPr>
          <w:rFonts w:hint="eastAsia" w:ascii="仿宋_GB2312" w:hAnsi="楷体" w:eastAsia="仿宋_GB2312"/>
          <w:b/>
          <w:sz w:val="24"/>
        </w:rPr>
        <w:t>1.2 标的物</w:t>
      </w:r>
      <w:bookmarkEnd w:id="90"/>
      <w:bookmarkEnd w:id="91"/>
      <w:bookmarkEnd w:id="92"/>
    </w:p>
    <w:p w14:paraId="5E96EECE">
      <w:pPr>
        <w:spacing w:line="360" w:lineRule="auto"/>
        <w:ind w:firstLine="480" w:firstLineChars="200"/>
        <w:rPr>
          <w:rFonts w:ascii="仿宋_GB2312" w:hAnsi="楷体" w:eastAsia="仿宋_GB2312"/>
          <w:sz w:val="24"/>
        </w:rPr>
      </w:pPr>
      <w:r>
        <w:rPr>
          <w:rFonts w:hint="eastAsia" w:ascii="仿宋_GB2312" w:hAnsi="楷体" w:eastAsia="仿宋_GB2312"/>
          <w:sz w:val="24"/>
        </w:rPr>
        <w:t>1.2.1 标的物1信息</w:t>
      </w:r>
    </w:p>
    <w:p w14:paraId="099B66D1">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2026年涉案财物集中委托管理处置服务采购</w:t>
      </w:r>
      <w:r>
        <w:rPr>
          <w:rFonts w:hint="eastAsia" w:ascii="仿宋_GB2312" w:hAnsi="楷体" w:eastAsia="仿宋_GB2312"/>
          <w:sz w:val="24"/>
        </w:rPr>
        <w:t>；</w:t>
      </w:r>
    </w:p>
    <w:p w14:paraId="168C258D">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1.2.1.2数量：</w:t>
      </w:r>
      <w:r>
        <w:rPr>
          <w:rFonts w:ascii="仿宋_GB2312" w:hAnsi="楷体" w:eastAsia="仿宋_GB2312"/>
          <w:sz w:val="24"/>
          <w:u w:val="single"/>
        </w:rPr>
        <w:t>1</w:t>
      </w:r>
      <w:r>
        <w:rPr>
          <w:rFonts w:hint="eastAsia" w:ascii="仿宋_GB2312" w:hAnsi="楷体" w:eastAsia="仿宋_GB2312"/>
          <w:sz w:val="24"/>
          <w:u w:val="single"/>
        </w:rPr>
        <w:t xml:space="preserve">项                        </w:t>
      </w:r>
      <w:r>
        <w:rPr>
          <w:rFonts w:hint="eastAsia" w:ascii="仿宋_GB2312" w:hAnsi="楷体" w:eastAsia="仿宋_GB2312"/>
          <w:sz w:val="24"/>
        </w:rPr>
        <w:t>；</w:t>
      </w:r>
    </w:p>
    <w:p w14:paraId="0A5A422A">
      <w:pPr>
        <w:spacing w:line="360" w:lineRule="auto"/>
        <w:ind w:firstLine="480" w:firstLineChars="200"/>
        <w:rPr>
          <w:rFonts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298DAEB2">
      <w:pPr>
        <w:spacing w:line="360" w:lineRule="auto"/>
        <w:ind w:firstLine="480" w:firstLineChars="200"/>
        <w:rPr>
          <w:rFonts w:ascii="仿宋_GB2312" w:hAnsi="楷体" w:eastAsia="仿宋_GB2312"/>
          <w:sz w:val="24"/>
        </w:rPr>
      </w:pPr>
      <w:r>
        <w:rPr>
          <w:rFonts w:hint="eastAsia" w:ascii="仿宋_GB2312" w:hAnsi="楷体" w:eastAsia="仿宋_GB2312"/>
          <w:sz w:val="24"/>
        </w:rPr>
        <w:t>……</w:t>
      </w:r>
    </w:p>
    <w:p w14:paraId="50247EEA">
      <w:pPr>
        <w:spacing w:line="360" w:lineRule="auto"/>
        <w:ind w:firstLine="482" w:firstLineChars="200"/>
        <w:rPr>
          <w:rFonts w:ascii="仿宋_GB2312" w:hAnsi="楷体" w:eastAsia="仿宋_GB2312"/>
          <w:b/>
          <w:sz w:val="24"/>
        </w:rPr>
      </w:pPr>
      <w:bookmarkStart w:id="93" w:name="_Toc23292"/>
      <w:bookmarkStart w:id="94" w:name="_Toc21631"/>
      <w:bookmarkStart w:id="95" w:name="_Toc21551"/>
      <w:r>
        <w:rPr>
          <w:rFonts w:hint="eastAsia" w:ascii="仿宋_GB2312" w:hAnsi="楷体" w:eastAsia="仿宋_GB2312"/>
          <w:b/>
          <w:sz w:val="24"/>
        </w:rPr>
        <w:t>1.3 价款</w:t>
      </w:r>
      <w:bookmarkEnd w:id="93"/>
      <w:bookmarkEnd w:id="94"/>
      <w:bookmarkEnd w:id="95"/>
    </w:p>
    <w:p w14:paraId="73017D22">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本合同价为：</w:t>
      </w:r>
    </w:p>
    <w:p w14:paraId="66235E47">
      <w:pPr>
        <w:spacing w:line="360" w:lineRule="auto"/>
        <w:ind w:firstLine="482" w:firstLineChars="200"/>
        <w:rPr>
          <w:rFonts w:ascii="仿宋_GB2312" w:hAnsi="楷体" w:eastAsia="仿宋_GB2312"/>
          <w:b/>
          <w:sz w:val="24"/>
        </w:rPr>
      </w:pPr>
      <w:bookmarkStart w:id="96" w:name="_Toc22618"/>
      <w:bookmarkStart w:id="97" w:name="_Toc1814"/>
      <w:bookmarkStart w:id="98" w:name="_Toc10340"/>
      <w:r>
        <w:rPr>
          <w:rFonts w:hint="eastAsia" w:ascii="仿宋_GB2312" w:hAnsi="楷体" w:eastAsia="仿宋_GB2312"/>
          <w:b/>
          <w:sz w:val="24"/>
        </w:rPr>
        <w:t>1.4 付款方式和发票开具方式</w:t>
      </w:r>
      <w:bookmarkEnd w:id="96"/>
      <w:bookmarkEnd w:id="97"/>
      <w:bookmarkEnd w:id="98"/>
    </w:p>
    <w:p w14:paraId="4B3A5084">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付款方式：1、根据处置所得按成交比例收取费用；</w:t>
      </w:r>
    </w:p>
    <w:p w14:paraId="6754BEB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2、按季支付，支付时间为每季度初支付上一季度应付费用的80%；乙方凭开具的合法正规发票与甲方进行结算。</w:t>
      </w:r>
      <w:r>
        <w:rPr>
          <w:rFonts w:hint="eastAsia" w:ascii="仿宋_GB2312" w:hAnsi="楷体" w:eastAsia="仿宋_GB2312"/>
          <w:sz w:val="24"/>
          <w:lang w:val="en-US" w:eastAsia="zh-CN"/>
        </w:rPr>
        <w:t>考核结果为合格（60分及以上）的，剩余20%的应付费用在次年1季度支付，否则不予支付</w:t>
      </w:r>
      <w:r>
        <w:rPr>
          <w:rFonts w:hint="eastAsia" w:ascii="仿宋_GB2312" w:hAnsi="楷体" w:eastAsia="仿宋_GB2312"/>
          <w:sz w:val="24"/>
        </w:rPr>
        <w:t>。</w:t>
      </w:r>
    </w:p>
    <w:p w14:paraId="0083B330">
      <w:pPr>
        <w:spacing w:line="360" w:lineRule="auto"/>
        <w:ind w:firstLine="480" w:firstLineChars="20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乙方按国家相关规定开具</w:t>
      </w:r>
      <w:r>
        <w:rPr>
          <w:rFonts w:hint="eastAsia" w:ascii="仿宋_GB2312" w:hAnsi="楷体" w:eastAsia="仿宋_GB2312"/>
          <w:sz w:val="24"/>
        </w:rPr>
        <w:t>。</w:t>
      </w:r>
    </w:p>
    <w:p w14:paraId="0E81AAFE">
      <w:pPr>
        <w:spacing w:line="360" w:lineRule="auto"/>
        <w:ind w:firstLine="482" w:firstLineChars="200"/>
        <w:rPr>
          <w:rFonts w:ascii="仿宋_GB2312" w:hAnsi="楷体" w:eastAsia="仿宋_GB2312"/>
          <w:b/>
          <w:sz w:val="24"/>
        </w:rPr>
      </w:pPr>
      <w:bookmarkStart w:id="99" w:name="_Toc32071"/>
      <w:bookmarkStart w:id="100" w:name="_Toc2846"/>
      <w:bookmarkStart w:id="101" w:name="_Toc19304"/>
      <w:r>
        <w:rPr>
          <w:rFonts w:hint="eastAsia" w:ascii="仿宋_GB2312" w:hAnsi="楷体" w:eastAsia="仿宋_GB2312"/>
          <w:b/>
          <w:sz w:val="24"/>
        </w:rPr>
        <w:t>1.5 标的物交付期限、地点、方式</w:t>
      </w:r>
      <w:bookmarkEnd w:id="99"/>
      <w:bookmarkEnd w:id="100"/>
      <w:bookmarkEnd w:id="101"/>
      <w:r>
        <w:rPr>
          <w:rFonts w:hint="eastAsia" w:ascii="仿宋_GB2312" w:hAnsi="楷体" w:eastAsia="仿宋_GB2312"/>
          <w:b/>
          <w:sz w:val="24"/>
        </w:rPr>
        <w:t>和服务期限</w:t>
      </w:r>
    </w:p>
    <w:p w14:paraId="0354B421">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p>
    <w:p w14:paraId="6672ACD7">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项目实施地点，具体由甲方指定</w:t>
      </w:r>
      <w:r>
        <w:rPr>
          <w:rFonts w:hint="eastAsia" w:ascii="仿宋_GB2312" w:hAnsi="楷体" w:eastAsia="仿宋_GB2312"/>
          <w:sz w:val="24"/>
        </w:rPr>
        <w:t>；</w:t>
      </w:r>
    </w:p>
    <w:p w14:paraId="7CA00549">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由甲方指定</w:t>
      </w:r>
      <w:r>
        <w:rPr>
          <w:rFonts w:hint="eastAsia" w:ascii="仿宋_GB2312" w:hAnsi="楷体" w:eastAsia="仿宋_GB2312"/>
          <w:sz w:val="24"/>
        </w:rPr>
        <w:t>；</w:t>
      </w:r>
    </w:p>
    <w:p w14:paraId="038B767D">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1.5.4 服务及质保期限：</w:t>
      </w:r>
      <w:r>
        <w:rPr>
          <w:rFonts w:hint="eastAsia" w:ascii="仿宋_GB2312" w:hAnsi="楷体" w:eastAsia="仿宋_GB2312"/>
          <w:sz w:val="24"/>
          <w:u w:val="single"/>
        </w:rPr>
        <w:t xml:space="preserve">               ；</w:t>
      </w:r>
    </w:p>
    <w:p w14:paraId="75BC9304">
      <w:pPr>
        <w:spacing w:line="360" w:lineRule="auto"/>
        <w:ind w:firstLine="480" w:firstLineChars="200"/>
        <w:rPr>
          <w:rFonts w:ascii="仿宋_GB2312" w:hAnsi="楷体" w:eastAsia="仿宋_GB2312"/>
          <w:sz w:val="24"/>
        </w:rPr>
      </w:pPr>
      <w:r>
        <w:rPr>
          <w:rFonts w:hint="eastAsia" w:ascii="仿宋_GB2312" w:hAnsi="楷体" w:eastAsia="仿宋_GB2312"/>
          <w:sz w:val="24"/>
        </w:rPr>
        <w:t xml:space="preserve">2、服务响应时间： </w:t>
      </w:r>
      <w:r>
        <w:rPr>
          <w:rFonts w:hint="eastAsia" w:ascii="仿宋_GB2312" w:hAnsi="楷体" w:eastAsia="仿宋_GB2312"/>
          <w:sz w:val="24"/>
          <w:u w:val="single"/>
        </w:rPr>
        <w:t xml:space="preserve">               ；</w:t>
      </w:r>
    </w:p>
    <w:p w14:paraId="4998276D">
      <w:pPr>
        <w:spacing w:line="360" w:lineRule="auto"/>
        <w:ind w:firstLine="480" w:firstLineChars="200"/>
        <w:rPr>
          <w:rFonts w:ascii="仿宋_GB2312" w:hAnsi="楷体" w:eastAsia="仿宋_GB2312"/>
          <w:sz w:val="24"/>
        </w:rPr>
      </w:pPr>
      <w:r>
        <w:rPr>
          <w:rFonts w:hint="eastAsia" w:ascii="仿宋_GB2312" w:hAnsi="楷体" w:eastAsia="仿宋_GB2312"/>
          <w:sz w:val="24"/>
        </w:rPr>
        <w:t>3、服务配套设备要求：。</w:t>
      </w:r>
    </w:p>
    <w:p w14:paraId="164BB808">
      <w:pPr>
        <w:spacing w:line="360" w:lineRule="auto"/>
        <w:ind w:firstLine="482" w:firstLineChars="200"/>
        <w:rPr>
          <w:rFonts w:ascii="仿宋_GB2312" w:hAnsi="楷体" w:eastAsia="仿宋_GB2312"/>
          <w:b/>
          <w:sz w:val="24"/>
        </w:rPr>
      </w:pPr>
      <w:bookmarkStart w:id="102" w:name="_Toc27250"/>
      <w:bookmarkStart w:id="103" w:name="_Toc21423"/>
      <w:bookmarkStart w:id="104" w:name="_Toc19554"/>
      <w:r>
        <w:rPr>
          <w:rFonts w:hint="eastAsia" w:ascii="仿宋_GB2312" w:hAnsi="楷体" w:eastAsia="仿宋_GB2312"/>
          <w:b/>
          <w:sz w:val="24"/>
        </w:rPr>
        <w:t>1.6 违约责任</w:t>
      </w:r>
      <w:bookmarkEnd w:id="102"/>
      <w:bookmarkEnd w:id="103"/>
      <w:bookmarkEnd w:id="104"/>
    </w:p>
    <w:p w14:paraId="61A978F2">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1.6.1 除不可抗力外，如果乙方没有按照本合同约定的期限、地点和方式交付标的物，甲方可要求乙方支付违约金，违约金</w:t>
      </w:r>
      <w:r>
        <w:rPr>
          <w:rFonts w:hint="eastAsia" w:ascii="仿宋_GB2312" w:hAnsi="楷体" w:eastAsia="仿宋_GB2312" w:cs="仿宋_GB2312"/>
          <w:sz w:val="24"/>
          <w:lang w:val="en-US" w:eastAsia="zh-CN"/>
        </w:rPr>
        <w:t>视违约情形的严重程度，按5000-50000计算</w:t>
      </w:r>
      <w:r>
        <w:rPr>
          <w:rFonts w:hint="eastAsia" w:ascii="仿宋_GB2312" w:hAnsi="楷体" w:eastAsia="仿宋_GB2312" w:cs="仿宋_GB2312"/>
          <w:sz w:val="24"/>
        </w:rPr>
        <w:t>，最高限额为</w:t>
      </w:r>
      <w:r>
        <w:rPr>
          <w:rFonts w:hint="eastAsia" w:ascii="仿宋_GB2312" w:hAnsi="楷体" w:eastAsia="仿宋_GB2312" w:cs="仿宋_GB2312"/>
          <w:sz w:val="24"/>
          <w:lang w:val="en-US" w:eastAsia="zh-CN"/>
        </w:rPr>
        <w:t>50000元</w:t>
      </w:r>
      <w:r>
        <w:rPr>
          <w:rFonts w:hint="eastAsia" w:ascii="仿宋_GB2312" w:hAnsi="楷体" w:eastAsia="仿宋_GB2312" w:cs="仿宋_GB2312"/>
          <w:sz w:val="24"/>
        </w:rPr>
        <w:t>；迟延超过【30】日的，甲方有权在要求乙方支付违约金的同时，书面通知乙方解除本合同，乙方应退回全部已收取的合同价款并按合同总金额的</w:t>
      </w:r>
      <w:r>
        <w:rPr>
          <w:rFonts w:hint="eastAsia" w:ascii="仿宋_GB2312" w:hAnsi="楷体" w:eastAsia="仿宋_GB2312" w:cs="仿宋_GB2312"/>
          <w:sz w:val="24"/>
          <w:u w:val="single"/>
        </w:rPr>
        <w:t xml:space="preserve"> 20  </w:t>
      </w:r>
      <w:r>
        <w:rPr>
          <w:rFonts w:hint="eastAsia" w:ascii="仿宋_GB2312" w:hAnsi="楷体" w:eastAsia="仿宋_GB2312" w:cs="仿宋_GB2312"/>
          <w:sz w:val="24"/>
        </w:rPr>
        <w:t>%向甲方支付违约金；</w:t>
      </w:r>
    </w:p>
    <w:p w14:paraId="3DC65CCF">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cs="仿宋_GB2312"/>
          <w:sz w:val="24"/>
          <w:u w:val="single"/>
        </w:rPr>
        <w:t>万分之五</w:t>
      </w:r>
      <w:r>
        <w:rPr>
          <w:rFonts w:hint="eastAsia" w:ascii="仿宋_GB2312" w:hAnsi="楷体" w:eastAsia="仿宋_GB2312" w:cs="仿宋_GB2312"/>
          <w:sz w:val="24"/>
        </w:rPr>
        <w:t>计算，最高限额为欠付金额的</w:t>
      </w:r>
      <w:r>
        <w:rPr>
          <w:rFonts w:hint="eastAsia" w:ascii="仿宋_GB2312" w:hAnsi="楷体" w:eastAsia="仿宋_GB2312" w:cs="仿宋_GB2312"/>
          <w:sz w:val="24"/>
          <w:u w:val="single"/>
        </w:rPr>
        <w:t xml:space="preserve"> 20  </w:t>
      </w:r>
      <w:r>
        <w:rPr>
          <w:rFonts w:hint="eastAsia" w:ascii="仿宋_GB2312" w:hAnsi="楷体" w:eastAsia="仿宋_GB2312" w:cs="仿宋_GB2312"/>
          <w:sz w:val="24"/>
        </w:rPr>
        <w:t>%；迟延付款的违约金计算数额达到前述最高限额之日起，乙方有权在要求甲方支付违约金的同时，书面通知甲方解除本合同；</w:t>
      </w:r>
    </w:p>
    <w:p w14:paraId="637BA358">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42FBFC8">
      <w:pPr>
        <w:spacing w:line="360" w:lineRule="auto"/>
        <w:ind w:left="235" w:leftChars="112" w:firstLine="240" w:firstLineChars="100"/>
        <w:rPr>
          <w:rFonts w:ascii="仿宋" w:hAnsi="仿宋" w:eastAsia="仿宋" w:cs="仿宋"/>
          <w:sz w:val="24"/>
        </w:rPr>
      </w:pPr>
      <w:r>
        <w:rPr>
          <w:rFonts w:hint="eastAsia" w:ascii="仿宋_GB2312" w:hAnsi="楷体" w:eastAsia="仿宋_GB2312" w:cs="仿宋_GB2312"/>
          <w:sz w:val="24"/>
        </w:rPr>
        <w:t>1.6.4乙方在质保期内未按承诺提供售后等服务的，每发生一次向甲方支付</w:t>
      </w:r>
      <w:r>
        <w:rPr>
          <w:rFonts w:hint="eastAsia" w:ascii="仿宋" w:hAnsi="仿宋" w:eastAsia="仿宋" w:cs="仿宋"/>
          <w:sz w:val="24"/>
          <w:u w:val="single"/>
        </w:rPr>
        <w:t xml:space="preserve"> 2000 </w:t>
      </w:r>
      <w:r>
        <w:rPr>
          <w:rFonts w:hint="eastAsia" w:ascii="仿宋_GB2312" w:hAnsi="楷体" w:eastAsia="仿宋_GB2312" w:cs="仿宋_GB2312"/>
          <w:sz w:val="24"/>
        </w:rPr>
        <w:t>元（根据项目实际填写，一般为2000元）的违约金。</w:t>
      </w:r>
    </w:p>
    <w:p w14:paraId="09043B29">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DB2AD8D">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F0F051E">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146A05C4">
      <w:pPr>
        <w:spacing w:line="360" w:lineRule="auto"/>
        <w:ind w:firstLine="480" w:firstLineChars="200"/>
        <w:rPr>
          <w:rFonts w:ascii="仿宋_GB2312" w:hAnsi="楷体" w:eastAsia="仿宋_GB2312" w:cs="仿宋_GB2312"/>
          <w:sz w:val="24"/>
        </w:rPr>
      </w:pPr>
      <w:r>
        <w:rPr>
          <w:rFonts w:hint="eastAsia" w:ascii="仿宋_GB2312" w:hAnsi="楷体" w:eastAsia="仿宋_GB2312" w:cs="仿宋_GB2312"/>
          <w:sz w:val="24"/>
        </w:rPr>
        <w:t>1.6.8 如项目验收不合格，由乙方按要求整改后再行验收，以及给甲方造成的损失等费用由乙方承担。连续两次项目验收不合格的，甲方有权终止合同，并追究乙方的责任，由此带来的一切损失由乙方自行承担。</w:t>
      </w:r>
    </w:p>
    <w:p w14:paraId="3BE7C159">
      <w:pPr>
        <w:spacing w:line="360" w:lineRule="auto"/>
        <w:ind w:firstLine="482" w:firstLineChars="200"/>
        <w:rPr>
          <w:rFonts w:ascii="仿宋_GB2312" w:hAnsi="楷体" w:eastAsia="仿宋_GB2312"/>
          <w:b/>
          <w:sz w:val="24"/>
        </w:rPr>
      </w:pPr>
      <w:bookmarkStart w:id="105" w:name="_Toc15583"/>
      <w:bookmarkStart w:id="106" w:name="_Toc28375"/>
      <w:bookmarkStart w:id="107" w:name="_Toc16021"/>
      <w:r>
        <w:rPr>
          <w:rFonts w:hint="eastAsia" w:ascii="仿宋_GB2312" w:hAnsi="楷体" w:eastAsia="仿宋_GB2312"/>
          <w:b/>
          <w:sz w:val="24"/>
        </w:rPr>
        <w:t>1.7 合同争议的解决</w:t>
      </w:r>
      <w:bookmarkEnd w:id="105"/>
      <w:bookmarkEnd w:id="106"/>
      <w:bookmarkEnd w:id="107"/>
    </w:p>
    <w:p w14:paraId="3F651DDF">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2</w:t>
      </w:r>
      <w:r>
        <w:rPr>
          <w:rFonts w:hint="eastAsia" w:ascii="仿宋_GB2312" w:hAnsi="楷体" w:eastAsia="仿宋_GB2312"/>
          <w:sz w:val="24"/>
        </w:rPr>
        <w:t>种方式解决：</w:t>
      </w:r>
    </w:p>
    <w:p w14:paraId="42DEA700">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7C1D913A">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14:paraId="69E54986">
      <w:pPr>
        <w:spacing w:line="360" w:lineRule="auto"/>
        <w:ind w:firstLine="482" w:firstLineChars="200"/>
        <w:rPr>
          <w:rFonts w:ascii="仿宋_GB2312" w:hAnsi="楷体" w:eastAsia="仿宋_GB2312"/>
          <w:b/>
          <w:sz w:val="24"/>
        </w:rPr>
      </w:pPr>
      <w:bookmarkStart w:id="108" w:name="_Toc15322"/>
      <w:bookmarkStart w:id="109" w:name="_Toc7245"/>
      <w:bookmarkStart w:id="110" w:name="_Toc11173"/>
      <w:r>
        <w:rPr>
          <w:rFonts w:hint="eastAsia" w:ascii="仿宋_GB2312" w:hAnsi="楷体" w:eastAsia="仿宋_GB2312"/>
          <w:b/>
          <w:sz w:val="24"/>
        </w:rPr>
        <w:t>1.8 合同生效</w:t>
      </w:r>
      <w:bookmarkEnd w:id="108"/>
      <w:bookmarkEnd w:id="109"/>
      <w:bookmarkEnd w:id="110"/>
    </w:p>
    <w:p w14:paraId="4CADED6E">
      <w:pPr>
        <w:spacing w:line="360" w:lineRule="auto"/>
        <w:ind w:firstLine="480" w:firstLineChars="200"/>
        <w:rPr>
          <w:rFonts w:ascii="仿宋_GB2312" w:hAnsi="楷体" w:eastAsia="仿宋_GB2312"/>
          <w:sz w:val="24"/>
        </w:rPr>
      </w:pPr>
      <w:r>
        <w:rPr>
          <w:rFonts w:hint="eastAsia" w:ascii="仿宋_GB2312" w:hAnsi="楷体" w:eastAsia="仿宋_GB2312"/>
          <w:sz w:val="24"/>
        </w:rPr>
        <w:t>本合同自双方当事人加盖有效电子公章时生效。</w:t>
      </w:r>
    </w:p>
    <w:p w14:paraId="07B11C2A">
      <w:pPr>
        <w:widowControl/>
        <w:adjustRightInd w:val="0"/>
        <w:snapToGrid w:val="0"/>
        <w:spacing w:line="360" w:lineRule="auto"/>
        <w:ind w:firstLine="482" w:firstLineChars="200"/>
        <w:jc w:val="left"/>
        <w:rPr>
          <w:rFonts w:ascii="宋体" w:hAnsi="宋体" w:cs="宋体"/>
          <w:b/>
          <w:bCs/>
          <w:kern w:val="0"/>
          <w:sz w:val="24"/>
        </w:rPr>
      </w:pPr>
      <w:bookmarkStart w:id="111" w:name="_Hlk197517520"/>
      <w:r>
        <w:rPr>
          <w:rFonts w:hint="eastAsia" w:ascii="仿宋_GB2312" w:hAnsi="楷体" w:eastAsia="仿宋_GB2312"/>
          <w:b/>
          <w:sz w:val="24"/>
        </w:rPr>
        <w:t>1</w:t>
      </w:r>
      <w:r>
        <w:rPr>
          <w:rFonts w:ascii="仿宋_GB2312" w:hAnsi="楷体" w:eastAsia="仿宋_GB2312"/>
          <w:b/>
          <w:sz w:val="24"/>
        </w:rPr>
        <w:t>.9</w:t>
      </w:r>
      <w:r>
        <w:rPr>
          <w:rFonts w:hint="eastAsia" w:ascii="仿宋_GB2312" w:hAnsi="楷体" w:eastAsia="仿宋_GB2312"/>
          <w:b/>
          <w:sz w:val="24"/>
        </w:rPr>
        <w:t>合同延续年限、条件和方式</w:t>
      </w:r>
    </w:p>
    <w:p w14:paraId="0CB034EE">
      <w:pPr>
        <w:widowControl/>
        <w:adjustRightInd w:val="0"/>
        <w:snapToGrid w:val="0"/>
        <w:spacing w:line="360" w:lineRule="auto"/>
        <w:ind w:firstLine="480" w:firstLineChars="200"/>
        <w:jc w:val="left"/>
        <w:rPr>
          <w:rFonts w:ascii="宋体" w:hAnsi="宋体" w:cs="宋体"/>
          <w:kern w:val="0"/>
          <w:sz w:val="24"/>
        </w:rPr>
      </w:pPr>
      <w:r>
        <w:rPr>
          <w:rFonts w:hint="eastAsia" w:ascii="仿宋_GB2312" w:hAnsi="楷体" w:eastAsia="仿宋_GB2312"/>
          <w:sz w:val="24"/>
        </w:rPr>
        <w:t>本项目合同履约期到期后，甲方依据本项目的服务履约评价情况及实际需求，并根据《财政部关于推进和完善服务项目政府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w:t>
      </w:r>
    </w:p>
    <w:bookmarkEnd w:id="111"/>
    <w:p w14:paraId="00BDE31B">
      <w:pPr>
        <w:spacing w:line="360" w:lineRule="auto"/>
        <w:ind w:firstLine="480" w:firstLineChars="200"/>
        <w:rPr>
          <w:rFonts w:ascii="仿宋_GB2312" w:hAnsi="楷体" w:eastAsia="仿宋_GB2312"/>
          <w:sz w:val="24"/>
        </w:rPr>
      </w:pPr>
    </w:p>
    <w:p w14:paraId="6953075B">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甲方：                                   乙方：</w:t>
      </w:r>
    </w:p>
    <w:p w14:paraId="013EF7E1">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08FD20DE">
      <w:pPr>
        <w:spacing w:line="360" w:lineRule="auto"/>
        <w:ind w:firstLine="200"/>
        <w:rPr>
          <w:rFonts w:ascii="仿宋_GB2312" w:hAnsi="楷体" w:eastAsia="仿宋_GB2312"/>
          <w:sz w:val="24"/>
          <w:lang w:val="zh-CN"/>
        </w:rPr>
      </w:pPr>
    </w:p>
    <w:p w14:paraId="0C707B25">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住所：                                   住所：</w:t>
      </w:r>
    </w:p>
    <w:p w14:paraId="6C6D3CA6">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法定代表人或                             法定代表人</w:t>
      </w:r>
    </w:p>
    <w:p w14:paraId="3037F706">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授权代表（签字或盖章）：                 或授权代表（签字或盖章）: </w:t>
      </w:r>
    </w:p>
    <w:p w14:paraId="06E1817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联系人：                                 联系人：</w:t>
      </w:r>
    </w:p>
    <w:p w14:paraId="11561905">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约定送达地址：                           约定送达地址：</w:t>
      </w:r>
    </w:p>
    <w:p w14:paraId="734F0D4B">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邮政编码：                               邮政编码：</w:t>
      </w:r>
    </w:p>
    <w:p w14:paraId="35BB345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                                    电话: </w:t>
      </w:r>
    </w:p>
    <w:p w14:paraId="59F4BC76">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                                    传真:</w:t>
      </w:r>
    </w:p>
    <w:p w14:paraId="418D6F11">
      <w:pPr>
        <w:spacing w:line="360" w:lineRule="auto"/>
        <w:ind w:firstLine="200"/>
        <w:rPr>
          <w:rFonts w:ascii="仿宋_GB2312" w:hAnsi="楷体" w:eastAsia="仿宋_GB2312"/>
          <w:sz w:val="24"/>
        </w:rPr>
      </w:pPr>
      <w:r>
        <w:rPr>
          <w:rFonts w:hint="eastAsia" w:ascii="仿宋_GB2312" w:hAnsi="楷体" w:eastAsia="仿宋_GB2312"/>
          <w:sz w:val="24"/>
          <w:lang w:val="zh-CN"/>
        </w:rPr>
        <w:t>电子邮箱：                               电子邮箱：</w:t>
      </w:r>
    </w:p>
    <w:p w14:paraId="048DC0D8">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开户银行： </w:t>
      </w:r>
    </w:p>
    <w:p w14:paraId="3259379A">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开户名称： </w:t>
      </w:r>
    </w:p>
    <w:p w14:paraId="0A60A7F0">
      <w:pPr>
        <w:spacing w:line="360" w:lineRule="auto"/>
        <w:ind w:firstLine="200"/>
        <w:rPr>
          <w:rFonts w:ascii="仿宋_GB2312" w:hAnsi="楷体" w:eastAsia="仿宋_GB2312"/>
          <w:sz w:val="24"/>
        </w:rPr>
      </w:pPr>
      <w:r>
        <w:rPr>
          <w:rFonts w:hint="eastAsia" w:ascii="仿宋_GB2312" w:hAnsi="楷体" w:eastAsia="仿宋_GB2312"/>
          <w:sz w:val="24"/>
        </w:rPr>
        <w:t>开户账号：开户账号：</w:t>
      </w:r>
    </w:p>
    <w:p w14:paraId="361CC183">
      <w:pPr>
        <w:ind w:firstLine="482"/>
        <w:jc w:val="center"/>
        <w:outlineLvl w:val="1"/>
        <w:rPr>
          <w:rFonts w:ascii="仿宋_GB2312" w:hAnsi="楷体" w:eastAsia="仿宋_GB2312"/>
          <w:b/>
          <w:sz w:val="28"/>
          <w:szCs w:val="28"/>
        </w:rPr>
      </w:pPr>
      <w:r>
        <w:rPr>
          <w:rFonts w:hint="eastAsia" w:ascii="仿宋_GB2312" w:hAnsi="楷体" w:eastAsia="仿宋_GB2312"/>
          <w:b/>
        </w:rPr>
        <w:br w:type="page"/>
      </w:r>
      <w:bookmarkStart w:id="112" w:name="_Toc331685783"/>
      <w:bookmarkStart w:id="113" w:name="_Toc4455"/>
      <w:bookmarkStart w:id="114" w:name="_Toc80205945"/>
      <w:r>
        <w:rPr>
          <w:rFonts w:hint="eastAsia" w:ascii="仿宋_GB2312" w:hAnsi="楷体" w:eastAsia="仿宋_GB2312"/>
          <w:b/>
          <w:sz w:val="28"/>
          <w:szCs w:val="28"/>
        </w:rPr>
        <w:t>第二部分 合同一般条款</w:t>
      </w:r>
      <w:bookmarkEnd w:id="112"/>
      <w:bookmarkEnd w:id="113"/>
      <w:bookmarkEnd w:id="114"/>
    </w:p>
    <w:p w14:paraId="51CB2F9C">
      <w:pPr>
        <w:spacing w:line="360" w:lineRule="auto"/>
        <w:ind w:firstLine="482" w:firstLineChars="200"/>
        <w:rPr>
          <w:rFonts w:ascii="仿宋_GB2312" w:hAnsi="楷体" w:eastAsia="仿宋_GB2312"/>
          <w:b/>
          <w:sz w:val="24"/>
        </w:rPr>
      </w:pPr>
      <w:bookmarkStart w:id="115" w:name="_Ref467378404"/>
      <w:bookmarkStart w:id="116" w:name="_Toc259093669"/>
      <w:bookmarkStart w:id="117" w:name="_Ref467379205"/>
      <w:bookmarkStart w:id="118" w:name="_Toc19614"/>
      <w:bookmarkStart w:id="119" w:name="_Toc28763"/>
      <w:bookmarkStart w:id="120" w:name="_Toc16917"/>
      <w:bookmarkStart w:id="121" w:name="_Toc279701240"/>
      <w:bookmarkStart w:id="122" w:name="_Ref467379101"/>
      <w:bookmarkStart w:id="123" w:name="_Ref467379225"/>
      <w:bookmarkStart w:id="124" w:name="_Toc487900349"/>
      <w:bookmarkStart w:id="125" w:name="_Ref467378463"/>
      <w:bookmarkStart w:id="126" w:name="_Ref467379214"/>
      <w:bookmarkStart w:id="127" w:name="_Ref467379195"/>
      <w:bookmarkStart w:id="128" w:name="_Ref467378499"/>
      <w:bookmarkStart w:id="129" w:name="_Ref467379094"/>
      <w:bookmarkStart w:id="130" w:name="_Ref467379109"/>
      <w:r>
        <w:rPr>
          <w:rFonts w:hint="eastAsia" w:ascii="仿宋_GB2312" w:hAnsi="楷体" w:eastAsia="仿宋_GB2312"/>
          <w:b/>
          <w:sz w:val="24"/>
        </w:rPr>
        <w:t>2.1 定义</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9B87D92">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14:paraId="2669EB5F">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“合同”系指采购人和中标人签订的载明双方当事人所达成的协议，并包括所有的附件、附录和构成合同的其他文件。</w:t>
      </w:r>
    </w:p>
    <w:p w14:paraId="1BE468D2">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“合同价”系指根据合同约定，中标人在完全履行合同义务后，采购人应支付给中标人的价格。</w:t>
      </w:r>
    </w:p>
    <w:p w14:paraId="6DD4812A">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2C7E1ADA">
      <w:pPr>
        <w:spacing w:line="360" w:lineRule="auto"/>
        <w:ind w:firstLine="480" w:firstLineChars="200"/>
        <w:rPr>
          <w:rFonts w:ascii="仿宋_GB2312" w:hAnsi="楷体" w:eastAsia="仿宋_GB2312"/>
          <w:sz w:val="24"/>
        </w:rPr>
      </w:pPr>
      <w:bookmarkStart w:id="131" w:name="_Ref467378840"/>
      <w:r>
        <w:rPr>
          <w:rFonts w:hint="eastAsia" w:ascii="仿宋_GB2312" w:hAnsi="楷体" w:eastAsia="仿宋_GB2312"/>
          <w:sz w:val="24"/>
        </w:rPr>
        <w:t>2.1.4 “甲方”系指与中标人签署合同的采购人</w:t>
      </w:r>
      <w:bookmarkEnd w:id="131"/>
      <w:r>
        <w:rPr>
          <w:rFonts w:hint="eastAsia" w:ascii="仿宋_GB2312" w:hAnsi="楷体" w:eastAsia="仿宋_GB2312"/>
          <w:sz w:val="24"/>
        </w:rPr>
        <w:t>；采购人委托采购机构代表其与乙方签订合同的，采购人的授权委托书作为合同附件。</w:t>
      </w:r>
    </w:p>
    <w:p w14:paraId="67261736">
      <w:pPr>
        <w:spacing w:line="360" w:lineRule="auto"/>
        <w:ind w:firstLine="480" w:firstLineChars="200"/>
        <w:rPr>
          <w:rFonts w:ascii="仿宋_GB2312" w:hAnsi="楷体" w:eastAsia="仿宋_GB2312"/>
          <w:sz w:val="24"/>
        </w:rPr>
      </w:pPr>
      <w:bookmarkStart w:id="132" w:name="_Ref467379400"/>
      <w:r>
        <w:rPr>
          <w:rFonts w:hint="eastAsia" w:ascii="仿宋_GB2312" w:hAnsi="楷体" w:eastAsia="仿宋_GB2312"/>
          <w:sz w:val="24"/>
        </w:rPr>
        <w:t>2.1.5 “乙方”系指根据合同约定交付标的物的</w:t>
      </w:r>
      <w:bookmarkEnd w:id="132"/>
      <w:r>
        <w:rPr>
          <w:rFonts w:hint="eastAsia" w:ascii="仿宋_GB2312" w:hAnsi="楷体" w:eastAsia="仿宋_GB2312"/>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191BF8EF">
      <w:pPr>
        <w:spacing w:line="360" w:lineRule="auto"/>
        <w:ind w:firstLine="480" w:firstLineChars="200"/>
        <w:rPr>
          <w:rFonts w:ascii="仿宋_GB2312" w:hAnsi="楷体" w:eastAsia="仿宋_GB2312"/>
          <w:sz w:val="24"/>
        </w:rPr>
      </w:pPr>
      <w:bookmarkStart w:id="133" w:name="_Ref467379436"/>
      <w:r>
        <w:rPr>
          <w:rFonts w:hint="eastAsia" w:ascii="仿宋_GB2312" w:hAnsi="楷体" w:eastAsia="仿宋_GB2312"/>
          <w:sz w:val="24"/>
        </w:rPr>
        <w:t>2.1.6 “现场”系指合同约定标的物将要运至或者实施或者安装的地点。</w:t>
      </w:r>
      <w:bookmarkEnd w:id="133"/>
    </w:p>
    <w:p w14:paraId="4516FE26">
      <w:pPr>
        <w:spacing w:line="360" w:lineRule="auto"/>
        <w:ind w:firstLine="482" w:firstLineChars="200"/>
        <w:rPr>
          <w:rFonts w:ascii="仿宋_GB2312" w:hAnsi="楷体" w:eastAsia="仿宋_GB2312"/>
          <w:b/>
          <w:sz w:val="24"/>
        </w:rPr>
      </w:pPr>
      <w:bookmarkStart w:id="134" w:name="_Toc27635"/>
      <w:bookmarkStart w:id="135" w:name="_Toc279701241"/>
      <w:bookmarkStart w:id="136" w:name="_Toc487900350"/>
      <w:bookmarkStart w:id="137" w:name="_Toc259093670"/>
      <w:bookmarkStart w:id="138" w:name="_Toc32504"/>
      <w:bookmarkStart w:id="139" w:name="_Toc13336"/>
      <w:r>
        <w:rPr>
          <w:rFonts w:hint="eastAsia" w:ascii="仿宋_GB2312" w:hAnsi="楷体" w:eastAsia="仿宋_GB2312"/>
          <w:b/>
          <w:sz w:val="24"/>
        </w:rPr>
        <w:t>2.2 技术规范</w:t>
      </w:r>
      <w:bookmarkEnd w:id="134"/>
      <w:bookmarkEnd w:id="135"/>
      <w:bookmarkEnd w:id="136"/>
      <w:bookmarkEnd w:id="137"/>
      <w:bookmarkEnd w:id="138"/>
      <w:bookmarkEnd w:id="139"/>
    </w:p>
    <w:p w14:paraId="33DF5616">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7CDE551">
      <w:pPr>
        <w:spacing w:line="360" w:lineRule="auto"/>
        <w:ind w:firstLine="482" w:firstLineChars="200"/>
        <w:rPr>
          <w:rFonts w:ascii="仿宋_GB2312" w:hAnsi="楷体" w:eastAsia="仿宋_GB2312"/>
          <w:b/>
          <w:sz w:val="24"/>
        </w:rPr>
      </w:pPr>
      <w:bookmarkStart w:id="140" w:name="_Toc279701242"/>
      <w:bookmarkStart w:id="141" w:name="_Toc259093671"/>
      <w:bookmarkStart w:id="142" w:name="_Toc487900351"/>
      <w:bookmarkStart w:id="143" w:name="_Toc31634"/>
      <w:bookmarkStart w:id="144" w:name="_Toc9829"/>
      <w:bookmarkStart w:id="145" w:name="_Toc27853"/>
      <w:r>
        <w:rPr>
          <w:rFonts w:hint="eastAsia" w:ascii="仿宋_GB2312" w:hAnsi="楷体" w:eastAsia="仿宋_GB2312"/>
          <w:b/>
          <w:sz w:val="24"/>
        </w:rPr>
        <w:t>2.3 知识产权</w:t>
      </w:r>
      <w:bookmarkEnd w:id="140"/>
      <w:bookmarkEnd w:id="141"/>
      <w:bookmarkEnd w:id="142"/>
      <w:bookmarkEnd w:id="143"/>
      <w:bookmarkEnd w:id="144"/>
      <w:bookmarkEnd w:id="145"/>
    </w:p>
    <w:p w14:paraId="6F3A5708">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021E913">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31510D91">
      <w:pPr>
        <w:spacing w:line="360" w:lineRule="auto"/>
        <w:ind w:firstLine="482" w:firstLineChars="200"/>
        <w:rPr>
          <w:rFonts w:ascii="仿宋_GB2312" w:hAnsi="楷体" w:eastAsia="仿宋_GB2312"/>
          <w:b/>
          <w:sz w:val="24"/>
        </w:rPr>
      </w:pPr>
      <w:bookmarkStart w:id="146" w:name="_Toc29149"/>
      <w:bookmarkStart w:id="147" w:name="_Toc11932"/>
      <w:bookmarkStart w:id="148" w:name="_Toc4194"/>
      <w:r>
        <w:rPr>
          <w:rFonts w:hint="eastAsia" w:ascii="仿宋_GB2312" w:hAnsi="楷体" w:eastAsia="仿宋_GB2312"/>
          <w:b/>
          <w:sz w:val="24"/>
        </w:rPr>
        <w:t>2.4 包装和装运</w:t>
      </w:r>
      <w:bookmarkEnd w:id="146"/>
      <w:bookmarkEnd w:id="147"/>
      <w:bookmarkEnd w:id="148"/>
    </w:p>
    <w:p w14:paraId="29F7248B">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8893E20">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400AB300">
      <w:pPr>
        <w:spacing w:line="360" w:lineRule="auto"/>
        <w:ind w:firstLine="482" w:firstLineChars="200"/>
        <w:rPr>
          <w:rFonts w:ascii="仿宋_GB2312" w:hAnsi="楷体" w:eastAsia="仿宋_GB2312"/>
          <w:b/>
          <w:sz w:val="24"/>
        </w:rPr>
      </w:pPr>
      <w:bookmarkStart w:id="149" w:name="_Toc279701245"/>
      <w:bookmarkStart w:id="150" w:name="_Ref467378541"/>
      <w:bookmarkStart w:id="151" w:name="_Ref467378591"/>
      <w:bookmarkStart w:id="152" w:name="_Ref467379542"/>
      <w:bookmarkStart w:id="153" w:name="_Ref467379527"/>
      <w:bookmarkStart w:id="154" w:name="_Toc259093674"/>
      <w:bookmarkStart w:id="155" w:name="_Toc487900354"/>
      <w:bookmarkStart w:id="156" w:name="_Ref467379536"/>
      <w:bookmarkStart w:id="157" w:name="_Toc30272"/>
      <w:bookmarkStart w:id="158" w:name="_Toc26182"/>
      <w:bookmarkStart w:id="159" w:name="_Toc19074"/>
      <w:r>
        <w:rPr>
          <w:rFonts w:hint="eastAsia" w:ascii="仿宋_GB2312" w:hAnsi="楷体" w:eastAsia="仿宋_GB2312"/>
          <w:b/>
          <w:sz w:val="24"/>
        </w:rPr>
        <w:t>2.</w:t>
      </w:r>
      <w:bookmarkEnd w:id="149"/>
      <w:bookmarkEnd w:id="150"/>
      <w:bookmarkEnd w:id="151"/>
      <w:bookmarkEnd w:id="152"/>
      <w:bookmarkEnd w:id="153"/>
      <w:bookmarkEnd w:id="154"/>
      <w:bookmarkEnd w:id="155"/>
      <w:bookmarkEnd w:id="156"/>
      <w:r>
        <w:rPr>
          <w:rFonts w:hint="eastAsia" w:ascii="仿宋_GB2312" w:hAnsi="楷体" w:eastAsia="仿宋_GB2312"/>
          <w:b/>
          <w:sz w:val="24"/>
        </w:rPr>
        <w:t>5 履约检查和问题反馈</w:t>
      </w:r>
      <w:bookmarkEnd w:id="157"/>
      <w:bookmarkEnd w:id="158"/>
      <w:bookmarkEnd w:id="159"/>
    </w:p>
    <w:p w14:paraId="1F23BF6C">
      <w:pPr>
        <w:spacing w:line="360" w:lineRule="auto"/>
        <w:ind w:firstLine="480" w:firstLineChars="200"/>
        <w:rPr>
          <w:rFonts w:ascii="仿宋_GB2312" w:hAnsi="楷体" w:eastAsia="仿宋_GB2312"/>
          <w:sz w:val="24"/>
        </w:rPr>
      </w:pPr>
      <w:bookmarkStart w:id="160" w:name="_Ref467379657"/>
      <w:r>
        <w:rPr>
          <w:rFonts w:hint="eastAsia" w:ascii="仿宋_GB2312" w:hAnsi="楷体" w:eastAsia="仿宋_GB2312"/>
          <w:sz w:val="24"/>
        </w:rPr>
        <w:t>2.5.1</w:t>
      </w:r>
      <w:bookmarkEnd w:id="160"/>
      <w:bookmarkStart w:id="161" w:name="_Toc186431854"/>
      <w:bookmarkStart w:id="162" w:name="_Toc259093676"/>
      <w:bookmarkStart w:id="163" w:name="_Toc279701247"/>
      <w:bookmarkStart w:id="164" w:name="_Ref467379793"/>
      <w:bookmarkStart w:id="165" w:name="_Toc487900357"/>
      <w:bookmarkStart w:id="166" w:name="_Ref46737980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FD82123">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61"/>
      <w:bookmarkStart w:id="167" w:name="_Toc186431855"/>
      <w:r>
        <w:rPr>
          <w:rFonts w:hint="eastAsia" w:ascii="仿宋_GB2312" w:hAnsi="楷体" w:eastAsia="仿宋_GB2312"/>
          <w:sz w:val="24"/>
        </w:rPr>
        <w:t>。</w:t>
      </w:r>
    </w:p>
    <w:bookmarkEnd w:id="167"/>
    <w:p w14:paraId="2F2CAD56">
      <w:pPr>
        <w:spacing w:line="360" w:lineRule="auto"/>
        <w:ind w:firstLine="482" w:firstLineChars="200"/>
        <w:rPr>
          <w:rFonts w:ascii="仿宋_GB2312" w:hAnsi="楷体" w:eastAsia="仿宋_GB2312"/>
          <w:b/>
          <w:sz w:val="24"/>
        </w:rPr>
      </w:pPr>
      <w:bookmarkStart w:id="168" w:name="_Toc28451"/>
      <w:bookmarkStart w:id="169" w:name="_Toc7836"/>
      <w:bookmarkStart w:id="170" w:name="_Toc19219"/>
      <w:r>
        <w:rPr>
          <w:rFonts w:hint="eastAsia" w:ascii="仿宋_GB2312" w:hAnsi="楷体" w:eastAsia="仿宋_GB2312"/>
          <w:b/>
          <w:sz w:val="24"/>
        </w:rPr>
        <w:t>2.6 结算方式和付款条件</w:t>
      </w:r>
      <w:bookmarkEnd w:id="162"/>
      <w:bookmarkEnd w:id="163"/>
      <w:bookmarkEnd w:id="164"/>
      <w:bookmarkEnd w:id="165"/>
      <w:bookmarkEnd w:id="166"/>
      <w:bookmarkEnd w:id="168"/>
      <w:bookmarkEnd w:id="169"/>
      <w:bookmarkEnd w:id="170"/>
    </w:p>
    <w:p w14:paraId="3E922E35">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1374598C">
      <w:pPr>
        <w:spacing w:line="360" w:lineRule="auto"/>
        <w:ind w:firstLine="482" w:firstLineChars="200"/>
        <w:rPr>
          <w:rFonts w:ascii="仿宋_GB2312" w:hAnsi="楷体" w:eastAsia="仿宋_GB2312"/>
          <w:b/>
          <w:sz w:val="24"/>
        </w:rPr>
      </w:pPr>
      <w:bookmarkStart w:id="171" w:name="_Toc487900358"/>
      <w:bookmarkStart w:id="172" w:name="_Toc279701248"/>
      <w:bookmarkStart w:id="173" w:name="_Ref467379863"/>
      <w:bookmarkStart w:id="174" w:name="_Ref467379852"/>
      <w:bookmarkStart w:id="175" w:name="_Toc259093677"/>
      <w:bookmarkStart w:id="176" w:name="_Ref467379923"/>
      <w:bookmarkStart w:id="177" w:name="_Toc3225"/>
      <w:bookmarkStart w:id="178" w:name="_Toc774"/>
      <w:bookmarkStart w:id="179" w:name="_Toc16110"/>
      <w:r>
        <w:rPr>
          <w:rFonts w:hint="eastAsia" w:ascii="仿宋_GB2312" w:hAnsi="楷体" w:eastAsia="仿宋_GB2312"/>
          <w:b/>
          <w:sz w:val="24"/>
        </w:rPr>
        <w:t>2.7 技术资料</w:t>
      </w:r>
      <w:bookmarkEnd w:id="171"/>
      <w:bookmarkEnd w:id="172"/>
      <w:bookmarkEnd w:id="173"/>
      <w:bookmarkEnd w:id="174"/>
      <w:bookmarkEnd w:id="175"/>
      <w:bookmarkEnd w:id="176"/>
      <w:r>
        <w:rPr>
          <w:rFonts w:hint="eastAsia" w:ascii="仿宋_GB2312" w:hAnsi="楷体" w:eastAsia="仿宋_GB2312"/>
          <w:b/>
          <w:sz w:val="24"/>
        </w:rPr>
        <w:t>和保密义务</w:t>
      </w:r>
      <w:bookmarkEnd w:id="177"/>
      <w:bookmarkEnd w:id="178"/>
      <w:bookmarkEnd w:id="179"/>
    </w:p>
    <w:p w14:paraId="43F09A3F">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30F1C0F3">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39DE1698">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66BACDB">
      <w:pPr>
        <w:spacing w:line="360" w:lineRule="auto"/>
        <w:ind w:firstLine="482" w:firstLineChars="200"/>
        <w:rPr>
          <w:rFonts w:ascii="仿宋_GB2312" w:hAnsi="楷体" w:eastAsia="仿宋_GB2312"/>
          <w:b/>
          <w:sz w:val="24"/>
        </w:rPr>
      </w:pPr>
      <w:bookmarkStart w:id="180" w:name="_Toc7860"/>
      <w:r>
        <w:rPr>
          <w:rFonts w:hint="eastAsia" w:ascii="仿宋_GB2312" w:hAnsi="楷体" w:eastAsia="仿宋_GB2312"/>
          <w:b/>
          <w:sz w:val="24"/>
        </w:rPr>
        <w:t>2.8 质量保证</w:t>
      </w:r>
      <w:bookmarkEnd w:id="180"/>
    </w:p>
    <w:p w14:paraId="129FF1D8">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6F351C2B">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3C55355C">
      <w:pPr>
        <w:spacing w:line="360" w:lineRule="auto"/>
        <w:ind w:firstLine="480" w:firstLineChars="200"/>
        <w:rPr>
          <w:rFonts w:ascii="仿宋_GB2312" w:hAnsi="仿宋" w:eastAsia="仿宋_GB2312" w:cs="仿宋_GB2312"/>
          <w:kern w:val="0"/>
          <w:sz w:val="24"/>
        </w:rPr>
      </w:pPr>
      <w:r>
        <w:rPr>
          <w:rFonts w:hint="eastAsia" w:ascii="仿宋_GB2312" w:hAnsi="仿宋" w:eastAsia="仿宋_GB2312"/>
          <w:sz w:val="24"/>
        </w:rPr>
        <w:t>2.8.3乙方应确保项目技术人员的数量和水平与响应文件一致。未经甲方书面同意，乙方不得擅自更换响应文件中注明的项目负责人和技术负责人。否则</w:t>
      </w:r>
      <w:r>
        <w:rPr>
          <w:rFonts w:hint="eastAsia" w:ascii="仿宋_GB2312" w:hAnsi="仿宋" w:eastAsia="仿宋_GB2312" w:cs="仿宋_GB2312"/>
          <w:kern w:val="0"/>
          <w:sz w:val="24"/>
        </w:rPr>
        <w:t>甲方有权放弃或终止合同。</w:t>
      </w:r>
    </w:p>
    <w:p w14:paraId="3084524D">
      <w:pPr>
        <w:spacing w:line="360" w:lineRule="auto"/>
        <w:ind w:firstLine="480" w:firstLineChars="20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sz w:val="24"/>
        </w:rPr>
        <w:t>（根据项目实际情况填写，一般为30%）。</w:t>
      </w:r>
    </w:p>
    <w:p w14:paraId="31AE9FD3">
      <w:pPr>
        <w:spacing w:line="360" w:lineRule="auto"/>
        <w:ind w:firstLine="482" w:firstLineChars="200"/>
        <w:rPr>
          <w:rFonts w:ascii="仿宋_GB2312" w:hAnsi="楷体" w:eastAsia="仿宋_GB2312"/>
          <w:b/>
          <w:sz w:val="24"/>
        </w:rPr>
      </w:pPr>
      <w:bookmarkStart w:id="181" w:name="_Toc17244"/>
      <w:bookmarkStart w:id="182" w:name="_Toc279701252"/>
      <w:bookmarkStart w:id="183" w:name="_Toc259093681"/>
      <w:bookmarkStart w:id="184" w:name="_Toc487900362"/>
      <w:r>
        <w:rPr>
          <w:rFonts w:hint="eastAsia" w:ascii="仿宋_GB2312" w:hAnsi="楷体" w:eastAsia="仿宋_GB2312"/>
          <w:b/>
          <w:sz w:val="24"/>
        </w:rPr>
        <w:t>2.9 标的物的风险负担</w:t>
      </w:r>
      <w:bookmarkEnd w:id="181"/>
    </w:p>
    <w:p w14:paraId="59E8EE28">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B3C8E49">
      <w:pPr>
        <w:spacing w:line="360" w:lineRule="auto"/>
        <w:ind w:firstLine="482" w:firstLineChars="200"/>
        <w:rPr>
          <w:rFonts w:ascii="仿宋_GB2312" w:hAnsi="楷体" w:eastAsia="仿宋_GB2312"/>
          <w:b/>
          <w:sz w:val="24"/>
        </w:rPr>
      </w:pPr>
      <w:bookmarkStart w:id="185" w:name="_Toc14055"/>
      <w:r>
        <w:rPr>
          <w:rFonts w:hint="eastAsia" w:ascii="仿宋_GB2312" w:hAnsi="楷体" w:eastAsia="仿宋_GB2312"/>
          <w:b/>
          <w:sz w:val="24"/>
        </w:rPr>
        <w:t>2.10 延迟交货</w:t>
      </w:r>
      <w:bookmarkEnd w:id="182"/>
      <w:bookmarkEnd w:id="183"/>
      <w:bookmarkEnd w:id="184"/>
      <w:bookmarkEnd w:id="185"/>
      <w:r>
        <w:rPr>
          <w:rFonts w:hint="eastAsia" w:ascii="仿宋_GB2312" w:hAnsi="楷体" w:eastAsia="仿宋_GB2312"/>
          <w:b/>
          <w:sz w:val="24"/>
        </w:rPr>
        <w:t>/交付</w:t>
      </w:r>
    </w:p>
    <w:p w14:paraId="1BAE5B36">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048CA2D5">
      <w:pPr>
        <w:spacing w:line="360" w:lineRule="auto"/>
        <w:ind w:firstLine="482" w:firstLineChars="200"/>
        <w:rPr>
          <w:rFonts w:ascii="仿宋_GB2312" w:hAnsi="楷体" w:eastAsia="仿宋_GB2312"/>
          <w:b/>
          <w:sz w:val="24"/>
        </w:rPr>
      </w:pPr>
      <w:bookmarkStart w:id="186" w:name="_Toc7502"/>
      <w:bookmarkStart w:id="187" w:name="_Toc279701254"/>
      <w:bookmarkStart w:id="188" w:name="_Ref467378121"/>
      <w:bookmarkStart w:id="189" w:name="_Toc259093683"/>
      <w:bookmarkStart w:id="190" w:name="_Toc487900364"/>
      <w:r>
        <w:rPr>
          <w:rFonts w:hint="eastAsia" w:ascii="仿宋_GB2312" w:hAnsi="楷体" w:eastAsia="仿宋_GB2312"/>
          <w:b/>
          <w:sz w:val="24"/>
        </w:rPr>
        <w:t>2.11 合同变更</w:t>
      </w:r>
      <w:bookmarkEnd w:id="186"/>
    </w:p>
    <w:p w14:paraId="20EEE4A5">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CE6CDF5">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191" w:name="_Toc259093688"/>
      <w:bookmarkStart w:id="192" w:name="_Toc279701259"/>
      <w:bookmarkStart w:id="193" w:name="_Toc487900369"/>
    </w:p>
    <w:p w14:paraId="0CFA0FB2">
      <w:pPr>
        <w:spacing w:line="360" w:lineRule="auto"/>
        <w:ind w:firstLine="482" w:firstLineChars="200"/>
        <w:rPr>
          <w:rFonts w:ascii="仿宋_GB2312" w:hAnsi="楷体" w:eastAsia="仿宋_GB2312"/>
          <w:b/>
          <w:sz w:val="24"/>
        </w:rPr>
      </w:pPr>
      <w:bookmarkStart w:id="194" w:name="_Toc15237"/>
      <w:bookmarkStart w:id="195" w:name="_Toc10366"/>
      <w:bookmarkStart w:id="196" w:name="_Toc22955"/>
      <w:r>
        <w:rPr>
          <w:rFonts w:hint="eastAsia" w:ascii="仿宋_GB2312" w:hAnsi="楷体" w:eastAsia="仿宋_GB2312"/>
          <w:b/>
          <w:sz w:val="24"/>
        </w:rPr>
        <w:t>2.12 合同转让</w:t>
      </w:r>
      <w:bookmarkEnd w:id="191"/>
      <w:bookmarkEnd w:id="192"/>
      <w:bookmarkEnd w:id="193"/>
      <w:r>
        <w:rPr>
          <w:rFonts w:hint="eastAsia" w:ascii="仿宋_GB2312" w:hAnsi="楷体" w:eastAsia="仿宋_GB2312"/>
          <w:b/>
          <w:sz w:val="24"/>
        </w:rPr>
        <w:t>和分包</w:t>
      </w:r>
      <w:bookmarkEnd w:id="194"/>
      <w:bookmarkEnd w:id="195"/>
      <w:bookmarkEnd w:id="196"/>
    </w:p>
    <w:p w14:paraId="2388A888">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61B44820">
      <w:pPr>
        <w:spacing w:line="360" w:lineRule="auto"/>
        <w:ind w:firstLine="482" w:firstLineChars="200"/>
        <w:rPr>
          <w:rFonts w:ascii="仿宋_GB2312" w:hAnsi="楷体" w:eastAsia="仿宋_GB2312"/>
          <w:b/>
          <w:sz w:val="24"/>
        </w:rPr>
      </w:pPr>
      <w:bookmarkStart w:id="197" w:name="_Toc13566"/>
      <w:bookmarkStart w:id="198" w:name="_Toc16508"/>
      <w:bookmarkStart w:id="199" w:name="_Toc14066"/>
      <w:r>
        <w:rPr>
          <w:rFonts w:hint="eastAsia" w:ascii="仿宋_GB2312" w:hAnsi="楷体" w:eastAsia="仿宋_GB2312"/>
          <w:b/>
          <w:sz w:val="24"/>
        </w:rPr>
        <w:t>2.13 不可抗力</w:t>
      </w:r>
      <w:bookmarkEnd w:id="197"/>
      <w:bookmarkEnd w:id="198"/>
      <w:bookmarkEnd w:id="199"/>
    </w:p>
    <w:p w14:paraId="7BDBD1AF">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2D8DB4EE">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0461F03C">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5EB7A616">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4F3DCEEF">
      <w:pPr>
        <w:spacing w:line="360" w:lineRule="auto"/>
        <w:ind w:firstLine="482" w:firstLineChars="200"/>
        <w:rPr>
          <w:rFonts w:ascii="仿宋_GB2312" w:hAnsi="楷体" w:eastAsia="仿宋_GB2312"/>
          <w:b/>
          <w:sz w:val="24"/>
        </w:rPr>
      </w:pPr>
      <w:bookmarkStart w:id="200" w:name="_Toc487900365"/>
      <w:bookmarkStart w:id="201" w:name="_Toc259093684"/>
      <w:bookmarkStart w:id="202" w:name="_Toc689"/>
      <w:bookmarkStart w:id="203" w:name="_Toc279701255"/>
      <w:bookmarkStart w:id="204" w:name="_Toc6969"/>
      <w:bookmarkStart w:id="205" w:name="_Toc30676"/>
      <w:r>
        <w:rPr>
          <w:rFonts w:hint="eastAsia" w:ascii="仿宋_GB2312" w:hAnsi="楷体" w:eastAsia="仿宋_GB2312"/>
          <w:b/>
          <w:sz w:val="24"/>
        </w:rPr>
        <w:t>2.14 税费</w:t>
      </w:r>
      <w:bookmarkEnd w:id="200"/>
      <w:bookmarkEnd w:id="201"/>
      <w:bookmarkEnd w:id="202"/>
      <w:bookmarkEnd w:id="203"/>
      <w:bookmarkEnd w:id="204"/>
      <w:bookmarkEnd w:id="205"/>
    </w:p>
    <w:p w14:paraId="65D2A998">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51314B83">
      <w:pPr>
        <w:spacing w:line="360" w:lineRule="auto"/>
        <w:ind w:firstLine="482" w:firstLineChars="200"/>
        <w:rPr>
          <w:rFonts w:ascii="仿宋_GB2312" w:hAnsi="楷体" w:eastAsia="仿宋_GB2312"/>
          <w:b/>
          <w:sz w:val="24"/>
        </w:rPr>
      </w:pPr>
      <w:bookmarkStart w:id="206" w:name="_Toc8298"/>
      <w:bookmarkStart w:id="207" w:name="_Toc487900368"/>
      <w:bookmarkStart w:id="208" w:name="_Toc259093687"/>
      <w:bookmarkStart w:id="209" w:name="_Toc7102"/>
      <w:bookmarkStart w:id="210" w:name="_Toc279701258"/>
      <w:bookmarkStart w:id="211" w:name="_Toc16959"/>
      <w:r>
        <w:rPr>
          <w:rFonts w:hint="eastAsia" w:ascii="仿宋_GB2312" w:hAnsi="楷体" w:eastAsia="仿宋_GB2312"/>
          <w:b/>
          <w:sz w:val="24"/>
        </w:rPr>
        <w:t>2.15 乙方破产</w:t>
      </w:r>
      <w:bookmarkEnd w:id="206"/>
      <w:bookmarkEnd w:id="207"/>
      <w:bookmarkEnd w:id="208"/>
      <w:bookmarkEnd w:id="209"/>
      <w:bookmarkEnd w:id="210"/>
      <w:bookmarkEnd w:id="211"/>
    </w:p>
    <w:p w14:paraId="63725D73">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26D0907">
      <w:pPr>
        <w:spacing w:line="360" w:lineRule="auto"/>
        <w:ind w:firstLine="482" w:firstLineChars="200"/>
        <w:rPr>
          <w:rFonts w:ascii="仿宋_GB2312" w:hAnsi="楷体" w:eastAsia="仿宋_GB2312"/>
          <w:b/>
          <w:sz w:val="24"/>
        </w:rPr>
      </w:pPr>
      <w:bookmarkStart w:id="212" w:name="_Toc29333"/>
      <w:bookmarkStart w:id="213" w:name="_Toc15387"/>
      <w:bookmarkStart w:id="214" w:name="_Toc6134"/>
      <w:r>
        <w:rPr>
          <w:rFonts w:hint="eastAsia" w:ascii="仿宋_GB2312" w:hAnsi="楷体" w:eastAsia="仿宋_GB2312"/>
          <w:b/>
          <w:sz w:val="24"/>
        </w:rPr>
        <w:t>2.16 合同中止、终止</w:t>
      </w:r>
      <w:bookmarkEnd w:id="212"/>
      <w:bookmarkEnd w:id="213"/>
      <w:bookmarkEnd w:id="214"/>
    </w:p>
    <w:p w14:paraId="72079AF1">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14:paraId="14E69793">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052C7859">
      <w:pPr>
        <w:spacing w:line="360" w:lineRule="auto"/>
        <w:ind w:firstLine="482" w:firstLineChars="200"/>
        <w:rPr>
          <w:rFonts w:ascii="仿宋_GB2312" w:hAnsi="楷体" w:eastAsia="仿宋_GB2312"/>
          <w:b/>
          <w:sz w:val="24"/>
        </w:rPr>
      </w:pPr>
      <w:bookmarkStart w:id="215" w:name="_Toc1125"/>
      <w:bookmarkStart w:id="216" w:name="_Toc6596"/>
      <w:bookmarkStart w:id="217" w:name="_Toc14563"/>
      <w:r>
        <w:rPr>
          <w:rFonts w:hint="eastAsia" w:ascii="仿宋_GB2312" w:hAnsi="楷体" w:eastAsia="仿宋_GB2312"/>
          <w:b/>
          <w:sz w:val="24"/>
        </w:rPr>
        <w:t>2.17 检验和验收</w:t>
      </w:r>
      <w:bookmarkEnd w:id="215"/>
      <w:bookmarkEnd w:id="216"/>
      <w:bookmarkEnd w:id="217"/>
    </w:p>
    <w:p w14:paraId="61F3881C">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641D69AA">
      <w:pPr>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9947930">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187"/>
    <w:bookmarkEnd w:id="188"/>
    <w:bookmarkEnd w:id="189"/>
    <w:bookmarkEnd w:id="190"/>
    <w:p w14:paraId="1350DDAF">
      <w:pPr>
        <w:spacing w:line="360" w:lineRule="auto"/>
        <w:ind w:firstLine="482" w:firstLineChars="200"/>
        <w:rPr>
          <w:rFonts w:ascii="仿宋_GB2312" w:hAnsi="楷体" w:eastAsia="仿宋_GB2312"/>
          <w:b/>
          <w:sz w:val="24"/>
        </w:rPr>
      </w:pPr>
      <w:bookmarkStart w:id="218" w:name="_Toc279701261"/>
      <w:bookmarkStart w:id="219" w:name="_Toc487900371"/>
      <w:bookmarkStart w:id="220" w:name="_Toc259093690"/>
      <w:bookmarkStart w:id="221" w:name="_Toc19604"/>
      <w:bookmarkStart w:id="222" w:name="_Toc11284"/>
      <w:bookmarkStart w:id="223" w:name="_Toc25182"/>
      <w:r>
        <w:rPr>
          <w:rFonts w:hint="eastAsia" w:ascii="仿宋_GB2312" w:hAnsi="楷体" w:eastAsia="仿宋_GB2312"/>
          <w:b/>
          <w:sz w:val="24"/>
        </w:rPr>
        <w:t>2.18 通知</w:t>
      </w:r>
      <w:bookmarkEnd w:id="218"/>
      <w:bookmarkEnd w:id="219"/>
      <w:bookmarkEnd w:id="220"/>
      <w:r>
        <w:rPr>
          <w:rFonts w:hint="eastAsia" w:ascii="仿宋_GB2312" w:hAnsi="楷体" w:eastAsia="仿宋_GB2312"/>
          <w:b/>
          <w:sz w:val="24"/>
        </w:rPr>
        <w:t>和送达</w:t>
      </w:r>
      <w:bookmarkEnd w:id="221"/>
      <w:bookmarkEnd w:id="222"/>
      <w:bookmarkEnd w:id="223"/>
    </w:p>
    <w:p w14:paraId="3B6E4A9D">
      <w:pPr>
        <w:spacing w:line="360" w:lineRule="auto"/>
        <w:ind w:firstLine="480" w:firstLineChars="200"/>
        <w:rPr>
          <w:rFonts w:ascii="仿宋_GB2312" w:hAnsi="楷体" w:eastAsia="仿宋_GB2312"/>
          <w:sz w:val="24"/>
        </w:rPr>
      </w:pPr>
      <w:bookmarkStart w:id="224" w:name="_Toc3135"/>
      <w:bookmarkStart w:id="225" w:name="_Toc6698"/>
      <w:bookmarkStart w:id="226" w:name="_Toc487900372"/>
      <w:bookmarkStart w:id="227" w:name="_Toc279701262"/>
      <w:bookmarkStart w:id="228" w:name="_Toc259093691"/>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个工作日内（根据项目实际填写）书面通知对方当事人，在对方当事人收到有关变更通知之前，变更前的约定送达方式或者地址仍视为有效。</w:t>
      </w:r>
      <w:bookmarkEnd w:id="224"/>
      <w:bookmarkEnd w:id="225"/>
    </w:p>
    <w:p w14:paraId="22DDCE2B">
      <w:pPr>
        <w:spacing w:line="360" w:lineRule="auto"/>
        <w:ind w:firstLine="480" w:firstLineChars="200"/>
        <w:rPr>
          <w:rFonts w:ascii="仿宋_GB2312" w:hAnsi="楷体" w:eastAsia="仿宋_GB2312"/>
          <w:sz w:val="24"/>
        </w:rPr>
      </w:pPr>
      <w:bookmarkStart w:id="229" w:name="_Toc23128"/>
      <w:bookmarkStart w:id="230"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9"/>
      <w:bookmarkEnd w:id="230"/>
    </w:p>
    <w:p w14:paraId="5AC08892">
      <w:pPr>
        <w:spacing w:line="360" w:lineRule="auto"/>
        <w:ind w:firstLine="482" w:firstLineChars="200"/>
        <w:rPr>
          <w:rFonts w:ascii="仿宋_GB2312" w:hAnsi="楷体" w:eastAsia="仿宋_GB2312"/>
          <w:b/>
          <w:sz w:val="24"/>
        </w:rPr>
      </w:pPr>
      <w:bookmarkStart w:id="231" w:name="_Toc4355"/>
      <w:bookmarkStart w:id="232" w:name="_Toc18540"/>
      <w:bookmarkStart w:id="233" w:name="_Toc30599"/>
      <w:r>
        <w:rPr>
          <w:rFonts w:hint="eastAsia" w:ascii="仿宋_GB2312" w:hAnsi="楷体" w:eastAsia="仿宋_GB2312"/>
          <w:b/>
          <w:sz w:val="24"/>
        </w:rPr>
        <w:t>2.19 计量单位</w:t>
      </w:r>
      <w:bookmarkEnd w:id="226"/>
      <w:bookmarkEnd w:id="227"/>
      <w:bookmarkEnd w:id="228"/>
      <w:bookmarkEnd w:id="231"/>
      <w:bookmarkEnd w:id="232"/>
      <w:bookmarkEnd w:id="233"/>
    </w:p>
    <w:p w14:paraId="5561F6B2">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003B5D1F">
      <w:pPr>
        <w:spacing w:line="360" w:lineRule="auto"/>
        <w:ind w:firstLine="482" w:firstLineChars="200"/>
        <w:rPr>
          <w:rFonts w:ascii="仿宋_GB2312" w:hAnsi="楷体" w:eastAsia="仿宋_GB2312"/>
          <w:b/>
          <w:sz w:val="24"/>
        </w:rPr>
      </w:pPr>
      <w:bookmarkStart w:id="234" w:name="_Toc12773"/>
      <w:bookmarkStart w:id="235" w:name="_Toc10330"/>
      <w:bookmarkStart w:id="236" w:name="_Toc259093692"/>
      <w:bookmarkStart w:id="237" w:name="_Toc487900373"/>
      <w:bookmarkStart w:id="238" w:name="_Toc18567"/>
      <w:bookmarkStart w:id="239" w:name="_Toc279701263"/>
      <w:r>
        <w:rPr>
          <w:rFonts w:hint="eastAsia" w:ascii="仿宋_GB2312" w:hAnsi="楷体" w:eastAsia="仿宋_GB2312"/>
          <w:b/>
          <w:sz w:val="24"/>
        </w:rPr>
        <w:t>2.20 合同使用的文字和适用的法律</w:t>
      </w:r>
      <w:bookmarkEnd w:id="234"/>
      <w:bookmarkEnd w:id="235"/>
      <w:bookmarkEnd w:id="236"/>
      <w:bookmarkEnd w:id="237"/>
      <w:bookmarkEnd w:id="238"/>
      <w:bookmarkEnd w:id="239"/>
    </w:p>
    <w:p w14:paraId="58F911F9">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14:paraId="2439EDD1">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14:paraId="2943B7A7">
      <w:pPr>
        <w:spacing w:line="360" w:lineRule="auto"/>
        <w:ind w:firstLine="482" w:firstLineChars="200"/>
        <w:rPr>
          <w:rFonts w:ascii="仿宋_GB2312" w:hAnsi="楷体" w:eastAsia="仿宋_GB2312"/>
          <w:b/>
          <w:sz w:val="24"/>
        </w:rPr>
      </w:pPr>
      <w:bookmarkStart w:id="240" w:name="_Toc259093693"/>
      <w:bookmarkStart w:id="241" w:name="_Toc3148"/>
      <w:bookmarkStart w:id="242" w:name="_Toc16673"/>
      <w:bookmarkStart w:id="243" w:name="_Toc12004"/>
      <w:bookmarkStart w:id="244" w:name="_Toc279701264"/>
      <w:bookmarkStart w:id="245" w:name="_Toc487900374"/>
      <w:r>
        <w:rPr>
          <w:rFonts w:hint="eastAsia" w:ascii="仿宋_GB2312" w:hAnsi="楷体" w:eastAsia="仿宋_GB2312"/>
          <w:b/>
          <w:sz w:val="24"/>
        </w:rPr>
        <w:t>2.21 履约保证金</w:t>
      </w:r>
      <w:bookmarkEnd w:id="240"/>
      <w:bookmarkEnd w:id="241"/>
      <w:bookmarkEnd w:id="242"/>
      <w:bookmarkEnd w:id="243"/>
      <w:bookmarkEnd w:id="244"/>
    </w:p>
    <w:p w14:paraId="389415F5">
      <w:pPr>
        <w:spacing w:line="360" w:lineRule="auto"/>
        <w:ind w:firstLine="480" w:firstLineChars="200"/>
        <w:rPr>
          <w:rFonts w:ascii="仿宋_GB2312" w:hAnsi="仿宋" w:eastAsia="仿宋_GB2312" w:cs="Arial"/>
          <w:snapToGrid w:val="0"/>
          <w:kern w:val="0"/>
          <w:sz w:val="24"/>
        </w:rPr>
      </w:pPr>
      <w:r>
        <w:rPr>
          <w:rFonts w:hint="eastAsia" w:ascii="仿宋_GB2312" w:hAnsi="楷体" w:eastAsia="仿宋_GB2312"/>
          <w:sz w:val="24"/>
        </w:rPr>
        <w:t>本项目不收取履约保证金</w:t>
      </w:r>
    </w:p>
    <w:p w14:paraId="0BC9CD74">
      <w:pPr>
        <w:spacing w:line="360" w:lineRule="auto"/>
        <w:ind w:firstLine="482" w:firstLineChars="200"/>
        <w:rPr>
          <w:rFonts w:ascii="仿宋_GB2312" w:hAnsi="仿宋" w:eastAsia="仿宋_GB2312"/>
          <w:kern w:val="0"/>
          <w:sz w:val="24"/>
          <w:lang w:val="zh-CN"/>
        </w:rPr>
      </w:pPr>
      <w:r>
        <w:rPr>
          <w:rFonts w:hint="eastAsia" w:ascii="仿宋_GB2312" w:hAnsi="楷体" w:eastAsia="仿宋_GB2312"/>
          <w:b/>
          <w:sz w:val="24"/>
        </w:rPr>
        <w:t>2.22 中小企业政策</w:t>
      </w:r>
    </w:p>
    <w:p w14:paraId="0D3A057A">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14:paraId="07FFA79C">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bookmarkEnd w:id="245"/>
    <w:p w14:paraId="3E7EE974">
      <w:pPr>
        <w:spacing w:line="360" w:lineRule="auto"/>
        <w:ind w:firstLine="482" w:firstLineChars="200"/>
        <w:rPr>
          <w:rFonts w:ascii="仿宋_GB2312" w:hAnsi="楷体" w:eastAsia="仿宋_GB2312"/>
          <w:b/>
          <w:sz w:val="24"/>
        </w:rPr>
      </w:pPr>
      <w:bookmarkStart w:id="246" w:name="_Toc14001"/>
      <w:bookmarkStart w:id="247" w:name="_Toc6885"/>
      <w:bookmarkStart w:id="248" w:name="_Toc19890"/>
      <w:r>
        <w:rPr>
          <w:rFonts w:hint="eastAsia" w:ascii="仿宋_GB2312" w:hAnsi="楷体" w:eastAsia="仿宋_GB2312"/>
          <w:b/>
          <w:sz w:val="24"/>
        </w:rPr>
        <w:t>2.23 合同份数</w:t>
      </w:r>
      <w:bookmarkEnd w:id="246"/>
      <w:bookmarkEnd w:id="247"/>
      <w:bookmarkEnd w:id="248"/>
    </w:p>
    <w:p w14:paraId="14E46324">
      <w:pPr>
        <w:spacing w:line="360" w:lineRule="auto"/>
        <w:ind w:firstLine="480" w:firstLineChars="200"/>
        <w:rPr>
          <w:rFonts w:ascii="仿宋_GB2312" w:hAnsi="楷体" w:eastAsia="仿宋_GB2312"/>
          <w:sz w:val="24"/>
        </w:rPr>
      </w:pPr>
      <w:r>
        <w:rPr>
          <w:rFonts w:hint="eastAsia" w:ascii="仿宋_GB2312" w:hAnsi="宋体" w:eastAsia="仿宋_GB2312"/>
          <w:sz w:val="24"/>
        </w:rPr>
        <w:t>本合同壹式份，甲方执份，乙方执份。</w:t>
      </w:r>
      <w:r>
        <w:rPr>
          <w:rFonts w:hint="eastAsia" w:ascii="仿宋_GB2312" w:hAnsi="楷体" w:eastAsia="仿宋_GB2312"/>
          <w:sz w:val="24"/>
        </w:rPr>
        <w:t>每份均具有同等法律效力。</w:t>
      </w:r>
    </w:p>
    <w:p w14:paraId="129AFB22">
      <w:pPr>
        <w:jc w:val="center"/>
        <w:outlineLvl w:val="1"/>
        <w:rPr>
          <w:rFonts w:ascii="仿宋_GB2312" w:hAnsi="楷体" w:eastAsia="仿宋_GB2312"/>
          <w:b/>
          <w:sz w:val="28"/>
          <w:szCs w:val="28"/>
        </w:rPr>
      </w:pPr>
      <w:r>
        <w:rPr>
          <w:rFonts w:hint="eastAsia" w:ascii="仿宋_GB2312" w:hAnsi="楷体" w:eastAsia="仿宋_GB2312"/>
        </w:rPr>
        <w:br w:type="page"/>
      </w:r>
      <w:bookmarkStart w:id="249" w:name="_Toc11028"/>
      <w:bookmarkStart w:id="250" w:name="_Toc80205946"/>
      <w:bookmarkStart w:id="251" w:name="_Toc331685784"/>
      <w:r>
        <w:rPr>
          <w:rFonts w:hint="eastAsia" w:ascii="仿宋_GB2312" w:hAnsi="楷体" w:eastAsia="仿宋_GB2312"/>
          <w:b/>
          <w:sz w:val="28"/>
          <w:szCs w:val="28"/>
        </w:rPr>
        <w:t>第三部分  合同专用条款</w:t>
      </w:r>
      <w:bookmarkEnd w:id="249"/>
      <w:bookmarkEnd w:id="250"/>
      <w:bookmarkEnd w:id="251"/>
    </w:p>
    <w:p w14:paraId="349BB5CA">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DB7E5D8">
      <w:pPr>
        <w:spacing w:line="360" w:lineRule="auto"/>
        <w:ind w:firstLine="480" w:firstLineChars="200"/>
        <w:rPr>
          <w:rFonts w:ascii="仿宋_GB2312" w:hAnsi="楷体" w:eastAsia="仿宋_GB2312"/>
          <w:sz w:val="24"/>
        </w:rPr>
      </w:pPr>
      <w:r>
        <w:rPr>
          <w:rFonts w:hint="eastAsia" w:ascii="仿宋_GB2312" w:hAnsi="楷体" w:eastAsia="仿宋_GB2312"/>
          <w:sz w:val="24"/>
        </w:rPr>
        <w:t>3.1具有知识产权的标的物知识产权归属：</w:t>
      </w:r>
    </w:p>
    <w:p w14:paraId="4551E603">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甲方</w:t>
      </w:r>
    </w:p>
    <w:p w14:paraId="4FC1B2B8">
      <w:pPr>
        <w:spacing w:line="360" w:lineRule="auto"/>
        <w:ind w:firstLine="480" w:firstLineChars="200"/>
        <w:rPr>
          <w:rFonts w:ascii="仿宋_GB2312" w:hAnsi="楷体" w:eastAsia="仿宋_GB2312"/>
          <w:sz w:val="24"/>
        </w:rPr>
      </w:pPr>
    </w:p>
    <w:p w14:paraId="69F65E16">
      <w:pPr>
        <w:spacing w:line="360" w:lineRule="auto"/>
        <w:ind w:firstLine="480" w:firstLineChars="200"/>
        <w:rPr>
          <w:rFonts w:ascii="仿宋_GB2312" w:hAnsi="楷体" w:eastAsia="仿宋_GB2312"/>
          <w:sz w:val="24"/>
        </w:rPr>
      </w:pPr>
      <w:r>
        <w:rPr>
          <w:rFonts w:hint="eastAsia" w:ascii="仿宋_GB2312" w:hAnsi="楷体" w:eastAsia="仿宋_GB2312"/>
          <w:sz w:val="24"/>
        </w:rPr>
        <w:t>3.2包装和装运专用条款（如果有）：</w:t>
      </w:r>
    </w:p>
    <w:p w14:paraId="69AD2AA0">
      <w:pPr>
        <w:spacing w:line="360" w:lineRule="auto"/>
        <w:ind w:firstLine="480" w:firstLineChars="200"/>
        <w:rPr>
          <w:rFonts w:ascii="仿宋_GB2312" w:hAnsi="楷体" w:eastAsia="仿宋_GB2312"/>
          <w:sz w:val="24"/>
          <w:u w:val="single"/>
        </w:rPr>
      </w:pPr>
    </w:p>
    <w:p w14:paraId="136E4C3A">
      <w:pPr>
        <w:spacing w:line="360" w:lineRule="auto"/>
        <w:ind w:firstLine="480" w:firstLineChars="200"/>
        <w:rPr>
          <w:rFonts w:ascii="仿宋_GB2312" w:hAnsi="楷体" w:eastAsia="仿宋_GB2312"/>
          <w:sz w:val="24"/>
        </w:rPr>
      </w:pPr>
      <w:r>
        <w:rPr>
          <w:rFonts w:hint="eastAsia" w:ascii="仿宋_GB2312" w:hAnsi="楷体" w:eastAsia="仿宋_GB2312"/>
          <w:sz w:val="24"/>
        </w:rPr>
        <w:t>3.3装运标的物的要求和通知：</w:t>
      </w:r>
    </w:p>
    <w:p w14:paraId="43555B95">
      <w:pPr>
        <w:spacing w:line="360" w:lineRule="auto"/>
        <w:ind w:firstLine="480" w:firstLineChars="200"/>
        <w:rPr>
          <w:rFonts w:ascii="仿宋_GB2312" w:hAnsi="楷体" w:eastAsia="仿宋_GB2312"/>
          <w:sz w:val="24"/>
          <w:u w:val="single"/>
        </w:rPr>
      </w:pPr>
    </w:p>
    <w:p w14:paraId="2DABB9EC">
      <w:pPr>
        <w:spacing w:line="360" w:lineRule="auto"/>
        <w:ind w:firstLine="480" w:firstLineChars="200"/>
        <w:rPr>
          <w:rFonts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7F31C0F0">
      <w:pPr>
        <w:spacing w:line="360"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本次项目合同总价为大写人民币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元）。本项目采用以下勾选结算方式进行支付：</w:t>
      </w:r>
    </w:p>
    <w:p w14:paraId="5ADE738E">
      <w:pPr>
        <w:spacing w:line="360" w:lineRule="auto"/>
        <w:ind w:firstLine="480" w:firstLineChars="200"/>
        <w:rPr>
          <w:rFonts w:ascii="仿宋_GB2312" w:eastAsia="仿宋_GB2312" w:cs="仿宋_GB2312"/>
          <w:kern w:val="0"/>
          <w:sz w:val="24"/>
          <w:u w:val="single"/>
        </w:rPr>
      </w:pPr>
      <w:r>
        <w:rPr>
          <w:rFonts w:hint="eastAsia" w:ascii="仿宋_GB2312" w:eastAsia="仿宋_GB2312" w:cs="仿宋_GB2312"/>
          <w:kern w:val="0"/>
          <w:sz w:val="24"/>
          <w:lang w:val="zh-CN"/>
        </w:rPr>
        <w:t>□采用一次性支付方式，付款条件为：</w:t>
      </w:r>
    </w:p>
    <w:p w14:paraId="5A0F3E13">
      <w:pPr>
        <w:spacing w:line="360" w:lineRule="auto"/>
        <w:ind w:firstLine="480" w:firstLineChars="200"/>
        <w:rPr>
          <w:rFonts w:ascii="仿宋_GB2312" w:eastAsia="仿宋_GB2312" w:cs="仿宋_GB2312"/>
          <w:kern w:val="0"/>
          <w:sz w:val="24"/>
        </w:rPr>
      </w:pPr>
      <w:r>
        <w:rPr>
          <w:rFonts w:hint="eastAsia" w:ascii="仿宋_GB2312" w:hAnsi="宋体" w:eastAsia="仿宋_GB2312"/>
          <w:sz w:val="24"/>
        </w:rPr>
        <w:sym w:font="Wingdings 2" w:char="F052"/>
      </w:r>
      <w:r>
        <w:rPr>
          <w:rFonts w:hint="eastAsia" w:ascii="仿宋_GB2312" w:eastAsia="仿宋_GB2312" w:cs="仿宋_GB2312"/>
          <w:kern w:val="0"/>
          <w:sz w:val="24"/>
          <w:lang w:val="zh-CN"/>
        </w:rPr>
        <w:t>采用分期付款方式，付款条件为</w:t>
      </w:r>
      <w:r>
        <w:rPr>
          <w:rFonts w:hint="eastAsia" w:ascii="仿宋_GB2312" w:eastAsia="仿宋_GB2312" w:cs="仿宋_GB2312"/>
          <w:kern w:val="0"/>
          <w:sz w:val="24"/>
        </w:rPr>
        <w:t>：</w:t>
      </w:r>
    </w:p>
    <w:p w14:paraId="2DCB3F04">
      <w:pPr>
        <w:spacing w:line="360" w:lineRule="auto"/>
        <w:ind w:firstLine="480" w:firstLineChars="200"/>
        <w:rPr>
          <w:rFonts w:ascii="仿宋_GB2312" w:hAnsi="仿宋" w:eastAsia="仿宋_GB2312"/>
          <w:sz w:val="24"/>
        </w:rPr>
      </w:pPr>
      <w:r>
        <w:rPr>
          <w:rFonts w:hint="eastAsia" w:ascii="仿宋_GB2312" w:hAnsi="仿宋" w:eastAsia="仿宋_GB2312"/>
          <w:sz w:val="24"/>
        </w:rPr>
        <w:t>1、根据处置所得按成交比例收取费用；</w:t>
      </w:r>
    </w:p>
    <w:p w14:paraId="55394ECA">
      <w:pPr>
        <w:widowControl/>
        <w:spacing w:line="360" w:lineRule="auto"/>
        <w:ind w:firstLine="480" w:firstLineChars="200"/>
        <w:jc w:val="left"/>
        <w:rPr>
          <w:rFonts w:ascii="仿宋_GB2312" w:hAnsi="仿宋" w:eastAsia="仿宋_GB2312"/>
          <w:sz w:val="24"/>
        </w:rPr>
      </w:pPr>
      <w:r>
        <w:rPr>
          <w:rFonts w:hint="eastAsia" w:ascii="仿宋_GB2312" w:hAnsi="仿宋" w:eastAsia="仿宋_GB2312"/>
          <w:sz w:val="24"/>
        </w:rPr>
        <w:t>2、按季支付，支付时间为每季度初支付上一季度应付费用的80%；乙方凭开具的合法正规发票与甲方进行结算。剩余20%根据考核结果在次年1季度支付。</w:t>
      </w:r>
    </w:p>
    <w:p w14:paraId="03C37599">
      <w:pPr>
        <w:spacing w:line="360" w:lineRule="auto"/>
        <w:ind w:firstLine="480" w:firstLineChars="200"/>
        <w:rPr>
          <w:rFonts w:ascii="仿宋_GB2312" w:hAnsi="仿宋_GB2312" w:eastAsia="仿宋_GB2312" w:cs="仿宋_GB2312"/>
          <w:kern w:val="0"/>
          <w:sz w:val="24"/>
          <w:lang w:val="zh-CN"/>
        </w:rPr>
      </w:pPr>
      <w:r>
        <w:rPr>
          <w:rFonts w:hint="eastAsia" w:ascii="仿宋_GB2312" w:hAnsi="仿宋" w:eastAsia="仿宋_GB2312"/>
          <w:sz w:val="24"/>
        </w:rPr>
        <w:t>甲方无故逾期支付服务费用的，按照每逾期一日支付欠付服务费额度的</w:t>
      </w:r>
      <w:r>
        <w:rPr>
          <w:rFonts w:hint="eastAsia" w:ascii="仿宋_GB2312" w:hAnsi="仿宋" w:eastAsia="仿宋_GB2312"/>
          <w:sz w:val="24"/>
          <w:u w:val="single"/>
        </w:rPr>
        <w:t xml:space="preserve"> 万分之五 </w:t>
      </w:r>
      <w:r>
        <w:rPr>
          <w:rFonts w:hint="eastAsia" w:ascii="仿宋_GB2312" w:hAnsi="仿宋" w:eastAsia="仿宋_GB2312"/>
          <w:sz w:val="24"/>
        </w:rPr>
        <w:t>承担违约责任，违约金上限按照《合同书》约定执行</w:t>
      </w:r>
      <w:r>
        <w:rPr>
          <w:rFonts w:hint="eastAsia" w:ascii="仿宋_GB2312" w:hAnsi="仿宋_GB2312" w:eastAsia="仿宋_GB2312" w:cs="仿宋_GB2312"/>
          <w:kern w:val="0"/>
          <w:sz w:val="24"/>
          <w:lang w:val="zh-CN"/>
        </w:rPr>
        <w:t xml:space="preserve">。 </w:t>
      </w:r>
    </w:p>
    <w:p w14:paraId="0720DCB5">
      <w:pPr>
        <w:spacing w:line="360" w:lineRule="auto"/>
        <w:ind w:firstLine="480" w:firstLineChars="200"/>
        <w:rPr>
          <w:rFonts w:ascii="仿宋_GB2312" w:hAnsi="楷体" w:eastAsia="仿宋_GB2312"/>
          <w:b/>
          <w:sz w:val="24"/>
        </w:rPr>
      </w:pPr>
      <w:r>
        <w:rPr>
          <w:rFonts w:hint="eastAsia" w:ascii="仿宋_GB2312" w:hAnsi="楷体" w:eastAsia="仿宋_GB2312"/>
          <w:sz w:val="24"/>
        </w:rPr>
        <w:t>3.5</w:t>
      </w:r>
      <w:r>
        <w:rPr>
          <w:rFonts w:hint="eastAsia" w:ascii="仿宋_GB2312" w:hAnsi="楷体" w:eastAsia="仿宋_GB2312"/>
          <w:b/>
          <w:sz w:val="24"/>
        </w:rPr>
        <w:t>标的物的风险负担</w:t>
      </w:r>
    </w:p>
    <w:p w14:paraId="15F45F7B">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4C6DEF1B">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乙方                                                                       </w:t>
      </w:r>
    </w:p>
    <w:p w14:paraId="22342663">
      <w:pPr>
        <w:spacing w:line="360" w:lineRule="auto"/>
        <w:ind w:firstLine="480" w:firstLineChars="200"/>
        <w:rPr>
          <w:rFonts w:ascii="仿宋_GB2312" w:hAnsi="楷体" w:eastAsia="仿宋_GB2312"/>
          <w:sz w:val="24"/>
        </w:rPr>
      </w:pPr>
      <w:r>
        <w:rPr>
          <w:rFonts w:hint="eastAsia" w:ascii="仿宋_GB2312" w:hAnsi="楷体" w:eastAsia="仿宋_GB2312"/>
          <w:sz w:val="24"/>
        </w:rPr>
        <w:t>3.5.1受不可抗力影响的一方在不可抗力发生后，应在日内（根据项目实际填写）以书面形式通知对方当事人，并在日内（根据项目实际填写），将有关部门出具的证明文件送达对方当事人。</w:t>
      </w:r>
    </w:p>
    <w:p w14:paraId="1BFC3D7B">
      <w:pPr>
        <w:spacing w:line="360" w:lineRule="auto"/>
        <w:ind w:firstLine="480" w:firstLineChars="200"/>
        <w:rPr>
          <w:rFonts w:ascii="仿宋_GB2312" w:hAnsi="楷体" w:eastAsia="仿宋_GB2312"/>
          <w:sz w:val="24"/>
        </w:rPr>
      </w:pPr>
      <w:r>
        <w:rPr>
          <w:rFonts w:hint="eastAsia" w:ascii="仿宋_GB2312" w:hAnsi="楷体" w:eastAsia="仿宋_GB2312"/>
          <w:sz w:val="24"/>
        </w:rPr>
        <w:t>3.5.2因不可抗力致使合同有变更必要的，双方当事人应在日内（根据项目实际填写）以书面形式变更合同；</w:t>
      </w:r>
    </w:p>
    <w:p w14:paraId="675406FC">
      <w:pPr>
        <w:spacing w:line="360" w:lineRule="auto"/>
        <w:ind w:firstLine="480" w:firstLineChars="200"/>
        <w:rPr>
          <w:rFonts w:ascii="仿宋_GB2312" w:hAnsi="楷体" w:eastAsia="仿宋_GB2312"/>
          <w:sz w:val="24"/>
        </w:rPr>
      </w:pPr>
      <w:r>
        <w:rPr>
          <w:rFonts w:hint="eastAsia" w:ascii="仿宋_GB2312" w:hAnsi="楷体" w:eastAsia="仿宋_GB2312"/>
          <w:sz w:val="24"/>
        </w:rPr>
        <w:t>3.5.3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14:paraId="2F575DD3">
      <w:pPr>
        <w:spacing w:line="360" w:lineRule="auto"/>
        <w:ind w:firstLine="480" w:firstLineChars="200"/>
        <w:rPr>
          <w:rFonts w:ascii="仿宋_GB2312" w:hAnsi="楷体" w:eastAsia="仿宋_GB2312"/>
          <w:sz w:val="24"/>
        </w:rPr>
      </w:pPr>
      <w:r>
        <w:rPr>
          <w:rFonts w:hint="eastAsia" w:ascii="仿宋_GB2312" w:hAnsi="楷体" w:eastAsia="仿宋_GB2312"/>
          <w:sz w:val="24"/>
        </w:rPr>
        <w:t>3.5.4检验和验收标准、程序等具体内容以及前述验收书的效力：</w:t>
      </w:r>
    </w:p>
    <w:p w14:paraId="6ACE0514">
      <w:pPr>
        <w:spacing w:line="360" w:lineRule="auto"/>
        <w:ind w:firstLine="480" w:firstLineChars="200"/>
        <w:rPr>
          <w:rFonts w:ascii="仿宋_GB2312" w:hAnsi="楷体" w:eastAsia="仿宋_GB2312"/>
          <w:sz w:val="24"/>
          <w:u w:val="single"/>
        </w:rPr>
      </w:pPr>
    </w:p>
    <w:p w14:paraId="3131088B">
      <w:pPr>
        <w:spacing w:line="360" w:lineRule="auto"/>
        <w:ind w:firstLine="480" w:firstLineChars="200"/>
        <w:rPr>
          <w:rFonts w:ascii="仿宋_GB2312" w:hAnsi="楷体" w:eastAsia="仿宋_GB2312"/>
          <w:sz w:val="24"/>
        </w:rPr>
      </w:pPr>
      <w:r>
        <w:rPr>
          <w:rFonts w:hint="eastAsia" w:ascii="仿宋_GB2312" w:hAnsi="楷体" w:eastAsia="仿宋_GB2312"/>
          <w:sz w:val="24"/>
        </w:rPr>
        <w:t>3.5.5 其他：</w:t>
      </w:r>
    </w:p>
    <w:p w14:paraId="6231133F">
      <w:pPr>
        <w:spacing w:line="360" w:lineRule="auto"/>
        <w:ind w:firstLine="482" w:firstLineChars="200"/>
        <w:rPr>
          <w:rFonts w:ascii="仿宋" w:hAnsi="仿宋" w:eastAsia="仿宋" w:cs="仿宋"/>
          <w:b/>
          <w:sz w:val="24"/>
        </w:rPr>
      </w:pPr>
      <w:r>
        <w:rPr>
          <w:rFonts w:hint="eastAsia" w:ascii="仿宋" w:hAnsi="仿宋" w:eastAsia="仿宋" w:cs="仿宋"/>
          <w:b/>
          <w:sz w:val="24"/>
        </w:rPr>
        <w:t>3.6项目验收：</w:t>
      </w:r>
    </w:p>
    <w:p w14:paraId="5F263CF9">
      <w:pPr>
        <w:spacing w:line="360" w:lineRule="auto"/>
        <w:ind w:firstLine="480" w:firstLineChars="200"/>
        <w:rPr>
          <w:rFonts w:ascii="仿宋_GB2312" w:hAnsi="楷体" w:eastAsia="仿宋_GB2312"/>
          <w:sz w:val="24"/>
        </w:rPr>
      </w:pPr>
      <w:r>
        <w:rPr>
          <w:rFonts w:hint="eastAsia" w:ascii="仿宋_GB2312" w:hAnsi="楷体" w:eastAsia="仿宋_GB2312"/>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C08939F">
      <w:pPr>
        <w:spacing w:line="360" w:lineRule="auto"/>
        <w:ind w:firstLine="480" w:firstLineChars="200"/>
        <w:rPr>
          <w:rFonts w:ascii="仿宋_GB2312" w:hAnsi="楷体" w:eastAsia="仿宋_GB2312"/>
          <w:sz w:val="24"/>
        </w:rPr>
      </w:pPr>
      <w:r>
        <w:rPr>
          <w:rFonts w:hint="eastAsia" w:ascii="仿宋_GB2312" w:hAnsi="楷体" w:eastAsia="仿宋_GB2312"/>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0F5DD4A">
      <w:pPr>
        <w:spacing w:line="360" w:lineRule="auto"/>
        <w:ind w:firstLine="480" w:firstLineChars="200"/>
        <w:rPr>
          <w:rFonts w:ascii="仿宋_GB2312" w:hAnsi="楷体" w:eastAsia="仿宋_GB2312"/>
          <w:sz w:val="24"/>
        </w:rPr>
      </w:pPr>
      <w:r>
        <w:rPr>
          <w:rFonts w:hint="eastAsia" w:ascii="仿宋_GB2312" w:hAnsi="楷体" w:eastAsia="仿宋_GB2312"/>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25DA979">
      <w:pPr>
        <w:spacing w:line="360" w:lineRule="auto"/>
        <w:ind w:firstLine="480" w:firstLineChars="200"/>
        <w:rPr>
          <w:rFonts w:ascii="仿宋_GB2312" w:hAnsi="楷体" w:eastAsia="仿宋_GB2312"/>
          <w:sz w:val="24"/>
        </w:rPr>
      </w:pPr>
      <w:r>
        <w:rPr>
          <w:rFonts w:hint="eastAsia" w:ascii="仿宋_GB2312" w:hAnsi="楷体" w:eastAsia="仿宋_GB2312"/>
          <w:sz w:val="24"/>
        </w:rPr>
        <w:t>3.6.4验收产生的费用由乙方支付。</w:t>
      </w:r>
    </w:p>
    <w:p w14:paraId="704C86B5">
      <w:pPr>
        <w:spacing w:line="360" w:lineRule="auto"/>
        <w:ind w:firstLine="480" w:firstLineChars="200"/>
        <w:rPr>
          <w:rFonts w:ascii="仿宋_GB2312" w:hAnsi="楷体" w:eastAsia="仿宋_GB2312"/>
          <w:sz w:val="24"/>
        </w:rPr>
      </w:pPr>
      <w:r>
        <w:rPr>
          <w:rFonts w:hint="eastAsia" w:ascii="仿宋_GB2312" w:hAnsi="楷体" w:eastAsia="仿宋_GB2312"/>
          <w:sz w:val="24"/>
        </w:rPr>
        <w:t>3.6.5验收内容及资料要求：</w:t>
      </w:r>
    </w:p>
    <w:p w14:paraId="51198B31">
      <w:pPr>
        <w:spacing w:line="360" w:lineRule="auto"/>
        <w:ind w:firstLine="480" w:firstLineChars="200"/>
        <w:rPr>
          <w:rFonts w:ascii="仿宋_GB2312" w:hAnsi="楷体" w:eastAsia="仿宋_GB2312"/>
          <w:sz w:val="24"/>
        </w:rPr>
      </w:pPr>
      <w:r>
        <w:rPr>
          <w:rFonts w:hint="eastAsia" w:ascii="仿宋_GB2312" w:hAnsi="楷体" w:eastAsia="仿宋_GB2312"/>
          <w:sz w:val="24"/>
        </w:rPr>
        <w:t>根根据采购文件确定的技术指标或者服务要求确定验收指标和标准。未进行相应约定的，应当符合国家强制性规定、政策要求、安全标准、行业或企业有关标准等。</w:t>
      </w:r>
    </w:p>
    <w:p w14:paraId="6CCEF8C6">
      <w:pPr>
        <w:tabs>
          <w:tab w:val="left" w:pos="904"/>
        </w:tabs>
        <w:snapToGrid w:val="0"/>
        <w:spacing w:line="360" w:lineRule="auto"/>
        <w:ind w:firstLine="480" w:firstLineChars="200"/>
        <w:jc w:val="left"/>
        <w:rPr>
          <w:rFonts w:ascii="仿宋_GB2312" w:hAnsi="楷体" w:eastAsia="仿宋_GB2312"/>
          <w:sz w:val="24"/>
        </w:rPr>
      </w:pPr>
      <w:r>
        <w:rPr>
          <w:rFonts w:hint="eastAsia" w:ascii="仿宋_GB2312" w:hAnsi="楷体" w:eastAsia="仿宋_GB2312"/>
          <w:sz w:val="24"/>
        </w:rPr>
        <w:t>3.6.4验收内容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632"/>
        <w:gridCol w:w="5930"/>
      </w:tblGrid>
      <w:tr w14:paraId="2FF7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Borders>
              <w:top w:val="single" w:color="auto" w:sz="4" w:space="0"/>
              <w:left w:val="single" w:color="auto" w:sz="4" w:space="0"/>
              <w:bottom w:val="single" w:color="auto" w:sz="4" w:space="0"/>
              <w:right w:val="single" w:color="auto" w:sz="4" w:space="0"/>
            </w:tcBorders>
            <w:vAlign w:val="center"/>
          </w:tcPr>
          <w:p w14:paraId="0D69A7D8">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序号</w:t>
            </w:r>
          </w:p>
        </w:tc>
        <w:tc>
          <w:tcPr>
            <w:tcW w:w="1632" w:type="dxa"/>
            <w:tcBorders>
              <w:top w:val="single" w:color="auto" w:sz="4" w:space="0"/>
              <w:left w:val="single" w:color="auto" w:sz="4" w:space="0"/>
              <w:bottom w:val="single" w:color="auto" w:sz="4" w:space="0"/>
              <w:right w:val="single" w:color="auto" w:sz="4" w:space="0"/>
            </w:tcBorders>
            <w:vAlign w:val="center"/>
          </w:tcPr>
          <w:p w14:paraId="74275DB5">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783B174E">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 验收标准</w:t>
            </w:r>
          </w:p>
        </w:tc>
      </w:tr>
      <w:tr w14:paraId="4BF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702A504B">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1</w:t>
            </w:r>
          </w:p>
        </w:tc>
        <w:tc>
          <w:tcPr>
            <w:tcW w:w="1632" w:type="dxa"/>
            <w:tcBorders>
              <w:top w:val="single" w:color="auto" w:sz="4" w:space="0"/>
              <w:left w:val="single" w:color="auto" w:sz="4" w:space="0"/>
              <w:bottom w:val="single" w:color="auto" w:sz="4" w:space="0"/>
              <w:right w:val="single" w:color="auto" w:sz="4" w:space="0"/>
            </w:tcBorders>
            <w:vAlign w:val="center"/>
          </w:tcPr>
          <w:p w14:paraId="06D0DB33">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服务要求</w:t>
            </w:r>
          </w:p>
        </w:tc>
        <w:tc>
          <w:tcPr>
            <w:tcW w:w="5930" w:type="dxa"/>
            <w:tcBorders>
              <w:top w:val="single" w:color="auto" w:sz="4" w:space="0"/>
              <w:left w:val="single" w:color="auto" w:sz="4" w:space="0"/>
              <w:bottom w:val="single" w:color="auto" w:sz="4" w:space="0"/>
              <w:right w:val="single" w:color="auto" w:sz="4" w:space="0"/>
            </w:tcBorders>
            <w:vAlign w:val="center"/>
          </w:tcPr>
          <w:p w14:paraId="0BC9E6AE">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是否按照采购文件及响应文件的承诺提供服务</w:t>
            </w:r>
          </w:p>
        </w:tc>
      </w:tr>
    </w:tbl>
    <w:p w14:paraId="39E4F56C">
      <w:pPr>
        <w:spacing w:line="360" w:lineRule="auto"/>
        <w:ind w:firstLine="480" w:firstLineChars="200"/>
        <w:rPr>
          <w:rFonts w:ascii="仿宋_GB2312" w:hAnsi="楷体" w:eastAsia="仿宋_GB2312"/>
          <w:sz w:val="24"/>
        </w:rPr>
      </w:pPr>
      <w:r>
        <w:rPr>
          <w:rFonts w:hint="eastAsia" w:ascii="仿宋" w:hAnsi="仿宋" w:eastAsia="仿宋" w:cs="仿宋"/>
          <w:sz w:val="24"/>
        </w:rPr>
        <w:t>3.6.7</w:t>
      </w:r>
      <w:r>
        <w:rPr>
          <w:rFonts w:hint="eastAsia" w:ascii="仿宋_GB2312" w:hAnsi="楷体" w:eastAsia="仿宋_GB2312"/>
          <w:sz w:val="24"/>
        </w:rPr>
        <w:t>验收资料要求</w:t>
      </w:r>
    </w:p>
    <w:p w14:paraId="556A6DFD">
      <w:pPr>
        <w:spacing w:line="360" w:lineRule="auto"/>
        <w:ind w:firstLine="480" w:firstLineChars="200"/>
        <w:rPr>
          <w:rFonts w:ascii="仿宋_GB2312" w:hAnsi="楷体" w:eastAsia="仿宋_GB2312"/>
          <w:sz w:val="24"/>
        </w:rPr>
      </w:pPr>
      <w:r>
        <w:rPr>
          <w:rFonts w:hint="eastAsia" w:ascii="仿宋_GB2312" w:hAnsi="楷体" w:eastAsia="仿宋_GB2312"/>
          <w:sz w:val="24"/>
        </w:rPr>
        <w:t>验收资料要求包括（不限于）以下内容：</w:t>
      </w:r>
    </w:p>
    <w:p w14:paraId="2C5CA23F">
      <w:pPr>
        <w:spacing w:line="360" w:lineRule="auto"/>
        <w:ind w:firstLine="480" w:firstLineChars="200"/>
        <w:rPr>
          <w:rFonts w:ascii="仿宋_GB2312" w:hAnsi="楷体" w:eastAsia="仿宋_GB2312"/>
          <w:sz w:val="24"/>
        </w:rPr>
      </w:pPr>
      <w:r>
        <w:rPr>
          <w:rFonts w:hint="eastAsia" w:ascii="仿宋_GB2312" w:hAnsi="楷体" w:eastAsia="仿宋_GB2312"/>
          <w:sz w:val="24"/>
        </w:rPr>
        <w:t>（1）采购文件；</w:t>
      </w:r>
    </w:p>
    <w:p w14:paraId="3E972938">
      <w:pPr>
        <w:spacing w:line="360" w:lineRule="auto"/>
        <w:ind w:firstLine="480" w:firstLineChars="200"/>
        <w:rPr>
          <w:rFonts w:ascii="仿宋_GB2312" w:hAnsi="楷体" w:eastAsia="仿宋_GB2312"/>
          <w:sz w:val="24"/>
        </w:rPr>
      </w:pPr>
      <w:r>
        <w:rPr>
          <w:rFonts w:hint="eastAsia" w:ascii="仿宋_GB2312" w:hAnsi="楷体" w:eastAsia="仿宋_GB2312"/>
          <w:sz w:val="24"/>
        </w:rPr>
        <w:t>（2）响应文件；</w:t>
      </w:r>
    </w:p>
    <w:p w14:paraId="0B9CD361">
      <w:pPr>
        <w:spacing w:line="360" w:lineRule="auto"/>
        <w:ind w:firstLine="480" w:firstLineChars="200"/>
        <w:rPr>
          <w:rFonts w:ascii="仿宋_GB2312" w:hAnsi="楷体" w:eastAsia="仿宋_GB2312"/>
          <w:sz w:val="24"/>
        </w:rPr>
      </w:pPr>
      <w:r>
        <w:rPr>
          <w:rFonts w:hint="eastAsia" w:ascii="仿宋_GB2312" w:hAnsi="楷体" w:eastAsia="仿宋_GB2312"/>
          <w:sz w:val="24"/>
        </w:rPr>
        <w:t>（3）采购合同；</w:t>
      </w:r>
    </w:p>
    <w:p w14:paraId="79ED9050">
      <w:pPr>
        <w:spacing w:line="360" w:lineRule="auto"/>
        <w:ind w:firstLine="480" w:firstLineChars="200"/>
        <w:rPr>
          <w:rFonts w:ascii="仿宋_GB2312" w:hAnsi="楷体" w:eastAsia="仿宋_GB2312"/>
          <w:sz w:val="24"/>
        </w:rPr>
      </w:pPr>
      <w:r>
        <w:rPr>
          <w:rFonts w:hint="eastAsia" w:ascii="仿宋_GB2312" w:hAnsi="楷体" w:eastAsia="仿宋_GB2312"/>
          <w:sz w:val="24"/>
        </w:rPr>
        <w:t>（4）到货核验单（需采购核验人、复核人及乙方交货人三方签字盖章）、产品拍照图片、产品说明书、产品合格证、质量保证书原件、三包凭证、产品的检测报告、原厂质保承诺函等；</w:t>
      </w:r>
    </w:p>
    <w:p w14:paraId="38E03D40">
      <w:pPr>
        <w:spacing w:line="360" w:lineRule="auto"/>
        <w:ind w:firstLine="480" w:firstLineChars="200"/>
        <w:rPr>
          <w:rFonts w:ascii="仿宋_GB2312" w:hAnsi="楷体" w:eastAsia="仿宋_GB2312"/>
          <w:sz w:val="24"/>
        </w:rPr>
      </w:pPr>
      <w:r>
        <w:rPr>
          <w:rFonts w:hint="eastAsia" w:ascii="仿宋_GB2312" w:hAnsi="楷体" w:eastAsia="仿宋_GB2312"/>
          <w:sz w:val="24"/>
        </w:rPr>
        <w:t>（5）其他需提供的相关材料。</w:t>
      </w:r>
    </w:p>
    <w:p w14:paraId="3F44642D">
      <w:pPr>
        <w:spacing w:line="360" w:lineRule="auto"/>
        <w:ind w:firstLine="480" w:firstLineChars="200"/>
        <w:rPr>
          <w:rFonts w:ascii="仿宋_GB2312" w:hAnsi="楷体" w:eastAsia="仿宋_GB2312"/>
          <w:sz w:val="24"/>
        </w:rPr>
      </w:pPr>
    </w:p>
    <w:p w14:paraId="17A5082C">
      <w:pPr>
        <w:spacing w:line="360" w:lineRule="auto"/>
        <w:rPr>
          <w:rFonts w:ascii="仿宋_GB2312" w:hAnsi="楷体" w:eastAsia="仿宋_GB2312"/>
          <w:color w:val="auto"/>
          <w:sz w:val="24"/>
          <w:highlight w:val="none"/>
        </w:rPr>
      </w:pPr>
    </w:p>
    <w:p w14:paraId="56E406BF">
      <w:pPr>
        <w:spacing w:line="360" w:lineRule="auto"/>
        <w:ind w:firstLine="480" w:firstLineChars="200"/>
        <w:rPr>
          <w:rFonts w:ascii="仿宋_GB2312" w:hAnsi="楷体" w:eastAsia="仿宋_GB2312"/>
          <w:color w:val="auto"/>
          <w:sz w:val="24"/>
          <w:highlight w:val="none"/>
        </w:rPr>
      </w:pPr>
    </w:p>
    <w:p w14:paraId="3992CF01">
      <w:pPr>
        <w:spacing w:line="360" w:lineRule="auto"/>
        <w:ind w:firstLine="480" w:firstLineChars="200"/>
        <w:rPr>
          <w:rFonts w:ascii="仿宋_GB2312" w:hAnsi="楷体" w:eastAsia="仿宋_GB2312"/>
          <w:color w:val="auto"/>
          <w:sz w:val="24"/>
          <w:highlight w:val="none"/>
        </w:rPr>
      </w:pPr>
    </w:p>
    <w:p w14:paraId="5C042261">
      <w:pPr>
        <w:spacing w:line="360" w:lineRule="auto"/>
        <w:ind w:firstLine="480" w:firstLineChars="200"/>
        <w:rPr>
          <w:rFonts w:ascii="仿宋_GB2312" w:hAnsi="楷体" w:eastAsia="仿宋_GB2312"/>
          <w:color w:val="auto"/>
          <w:sz w:val="24"/>
          <w:highlight w:val="none"/>
        </w:rPr>
      </w:pPr>
    </w:p>
    <w:p w14:paraId="59201FE9">
      <w:pPr>
        <w:spacing w:line="360" w:lineRule="auto"/>
        <w:ind w:firstLine="480" w:firstLineChars="200"/>
        <w:rPr>
          <w:rFonts w:ascii="仿宋_GB2312" w:hAnsi="楷体" w:eastAsia="仿宋_GB2312"/>
          <w:color w:val="auto"/>
          <w:sz w:val="24"/>
          <w:highlight w:val="none"/>
        </w:rPr>
      </w:pPr>
    </w:p>
    <w:p w14:paraId="4114820F">
      <w:pPr>
        <w:spacing w:line="360" w:lineRule="auto"/>
        <w:ind w:firstLine="480" w:firstLineChars="200"/>
        <w:rPr>
          <w:rFonts w:ascii="仿宋_GB2312" w:hAnsi="楷体" w:eastAsia="仿宋_GB2312"/>
          <w:color w:val="auto"/>
          <w:sz w:val="24"/>
          <w:highlight w:val="none"/>
        </w:rPr>
      </w:pPr>
    </w:p>
    <w:p w14:paraId="2D7F5B84">
      <w:pPr>
        <w:spacing w:line="360" w:lineRule="auto"/>
        <w:ind w:firstLine="480" w:firstLineChars="200"/>
        <w:rPr>
          <w:rFonts w:ascii="仿宋_GB2312" w:hAnsi="楷体" w:eastAsia="仿宋_GB2312"/>
          <w:color w:val="auto"/>
          <w:sz w:val="24"/>
          <w:highlight w:val="none"/>
        </w:rPr>
      </w:pPr>
    </w:p>
    <w:p w14:paraId="6FDFF84B">
      <w:pPr>
        <w:spacing w:line="360" w:lineRule="auto"/>
        <w:ind w:firstLine="480" w:firstLineChars="200"/>
        <w:rPr>
          <w:rFonts w:ascii="仿宋_GB2312" w:hAnsi="楷体" w:eastAsia="仿宋_GB2312"/>
          <w:color w:val="auto"/>
          <w:sz w:val="24"/>
          <w:highlight w:val="none"/>
        </w:rPr>
      </w:pPr>
    </w:p>
    <w:p w14:paraId="072F5BE6">
      <w:pPr>
        <w:spacing w:line="360" w:lineRule="auto"/>
        <w:ind w:firstLine="480" w:firstLineChars="200"/>
        <w:rPr>
          <w:rFonts w:ascii="仿宋_GB2312" w:hAnsi="楷体" w:eastAsia="仿宋_GB2312"/>
          <w:color w:val="auto"/>
          <w:sz w:val="24"/>
          <w:highlight w:val="none"/>
        </w:rPr>
      </w:pPr>
    </w:p>
    <w:p w14:paraId="6363045F">
      <w:pPr>
        <w:tabs>
          <w:tab w:val="left" w:pos="3261"/>
        </w:tabs>
        <w:spacing w:line="360" w:lineRule="auto"/>
        <w:jc w:val="center"/>
        <w:rPr>
          <w:rFonts w:ascii="宋体" w:hAnsi="宋体" w:cs="仿宋_GB2312"/>
          <w:b/>
          <w:color w:val="auto"/>
          <w:sz w:val="44"/>
          <w:szCs w:val="44"/>
          <w:highlight w:val="none"/>
        </w:rPr>
      </w:pPr>
    </w:p>
    <w:p w14:paraId="6532FF15">
      <w:pPr>
        <w:tabs>
          <w:tab w:val="left" w:pos="3261"/>
        </w:tabs>
        <w:spacing w:line="360" w:lineRule="auto"/>
        <w:jc w:val="center"/>
        <w:rPr>
          <w:rFonts w:ascii="宋体" w:hAnsi="宋体" w:cs="仿宋_GB2312"/>
          <w:b/>
          <w:color w:val="auto"/>
          <w:sz w:val="44"/>
          <w:szCs w:val="44"/>
          <w:highlight w:val="none"/>
        </w:rPr>
      </w:pPr>
    </w:p>
    <w:p w14:paraId="78513329">
      <w:pPr>
        <w:tabs>
          <w:tab w:val="left" w:pos="3261"/>
        </w:tabs>
        <w:spacing w:line="360" w:lineRule="auto"/>
        <w:jc w:val="center"/>
        <w:rPr>
          <w:rFonts w:ascii="宋体" w:hAnsi="宋体" w:cs="仿宋_GB2312"/>
          <w:b/>
          <w:color w:val="auto"/>
          <w:sz w:val="44"/>
          <w:szCs w:val="44"/>
          <w:highlight w:val="none"/>
        </w:rPr>
      </w:pPr>
    </w:p>
    <w:p w14:paraId="4E2BAF58">
      <w:pPr>
        <w:tabs>
          <w:tab w:val="left" w:pos="3261"/>
        </w:tabs>
        <w:spacing w:line="360" w:lineRule="auto"/>
        <w:jc w:val="center"/>
        <w:rPr>
          <w:rFonts w:ascii="宋体" w:hAnsi="宋体" w:cs="仿宋_GB2312"/>
          <w:b/>
          <w:color w:val="auto"/>
          <w:sz w:val="44"/>
          <w:szCs w:val="44"/>
          <w:highlight w:val="none"/>
        </w:rPr>
      </w:pPr>
    </w:p>
    <w:p w14:paraId="290E4EF3">
      <w:pPr>
        <w:tabs>
          <w:tab w:val="left" w:pos="3261"/>
        </w:tabs>
        <w:spacing w:line="360" w:lineRule="auto"/>
        <w:jc w:val="center"/>
        <w:rPr>
          <w:rFonts w:ascii="宋体" w:hAnsi="宋体" w:cs="仿宋_GB2312"/>
          <w:b/>
          <w:color w:val="auto"/>
          <w:sz w:val="44"/>
          <w:szCs w:val="44"/>
          <w:highlight w:val="none"/>
        </w:rPr>
      </w:pPr>
    </w:p>
    <w:p w14:paraId="6DE15DFB">
      <w:pPr>
        <w:rPr>
          <w:rFonts w:ascii="宋体" w:hAnsi="宋体" w:cs="仿宋_GB2312"/>
          <w:b/>
          <w:color w:val="auto"/>
          <w:sz w:val="44"/>
          <w:szCs w:val="44"/>
          <w:highlight w:val="none"/>
        </w:rPr>
      </w:pPr>
      <w:r>
        <w:rPr>
          <w:rFonts w:ascii="宋体" w:hAnsi="宋体" w:cs="仿宋_GB2312"/>
          <w:b/>
          <w:color w:val="auto"/>
          <w:sz w:val="44"/>
          <w:szCs w:val="44"/>
          <w:highlight w:val="none"/>
        </w:rPr>
        <w:br w:type="page"/>
      </w:r>
    </w:p>
    <w:p w14:paraId="7FD11DC0">
      <w:pPr>
        <w:rPr>
          <w:rFonts w:hint="eastAsia"/>
          <w:sz w:val="28"/>
          <w:szCs w:val="36"/>
          <w:lang w:val="en-US" w:eastAsia="zh-CN"/>
        </w:rPr>
      </w:pPr>
      <w:r>
        <w:rPr>
          <w:rFonts w:hint="eastAsia"/>
          <w:sz w:val="28"/>
          <w:szCs w:val="36"/>
          <w:lang w:val="en-US" w:eastAsia="zh-CN"/>
        </w:rPr>
        <w:t>附件：                       考核表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5378"/>
        <w:gridCol w:w="1320"/>
        <w:gridCol w:w="980"/>
      </w:tblGrid>
      <w:tr w14:paraId="0610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615" w:type="dxa"/>
          </w:tcPr>
          <w:p w14:paraId="0591808A">
            <w:pPr>
              <w:jc w:val="center"/>
              <w:rPr>
                <w:rFonts w:hint="eastAsia"/>
                <w:b/>
                <w:bCs/>
                <w:sz w:val="24"/>
                <w:szCs w:val="24"/>
                <w:vertAlign w:val="baseline"/>
                <w:lang w:val="en-US" w:eastAsia="zh-CN"/>
              </w:rPr>
            </w:pPr>
          </w:p>
          <w:p w14:paraId="70A5B2DC">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考核指标</w:t>
            </w:r>
          </w:p>
        </w:tc>
        <w:tc>
          <w:tcPr>
            <w:tcW w:w="5378" w:type="dxa"/>
          </w:tcPr>
          <w:p w14:paraId="456F8BA1">
            <w:pPr>
              <w:jc w:val="center"/>
              <w:rPr>
                <w:rFonts w:hint="eastAsia"/>
                <w:b/>
                <w:bCs/>
                <w:sz w:val="24"/>
                <w:szCs w:val="24"/>
                <w:vertAlign w:val="baseline"/>
                <w:lang w:val="en-US" w:eastAsia="zh-CN"/>
              </w:rPr>
            </w:pPr>
          </w:p>
          <w:p w14:paraId="3325220A">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考核细则</w:t>
            </w:r>
          </w:p>
        </w:tc>
        <w:tc>
          <w:tcPr>
            <w:tcW w:w="1320" w:type="dxa"/>
          </w:tcPr>
          <w:p w14:paraId="6DC21BAD">
            <w:pPr>
              <w:jc w:val="center"/>
              <w:rPr>
                <w:b/>
                <w:bCs/>
                <w:sz w:val="24"/>
                <w:szCs w:val="24"/>
                <w:vertAlign w:val="baseline"/>
              </w:rPr>
            </w:pPr>
          </w:p>
          <w:p w14:paraId="1D9DD652">
            <w:pPr>
              <w:pStyle w:val="2"/>
              <w:ind w:firstLine="261" w:firstLineChars="100"/>
              <w:rPr>
                <w:rFonts w:hint="eastAsia" w:eastAsia="宋体"/>
                <w:b/>
                <w:bCs/>
                <w:sz w:val="24"/>
                <w:szCs w:val="24"/>
                <w:lang w:val="en-US" w:eastAsia="zh-CN"/>
              </w:rPr>
            </w:pPr>
            <w:r>
              <w:rPr>
                <w:rFonts w:hint="eastAsia"/>
                <w:b/>
                <w:bCs/>
                <w:sz w:val="24"/>
                <w:szCs w:val="24"/>
                <w:lang w:val="en-US" w:eastAsia="zh-CN"/>
              </w:rPr>
              <w:t>得分</w:t>
            </w:r>
          </w:p>
        </w:tc>
        <w:tc>
          <w:tcPr>
            <w:tcW w:w="980" w:type="dxa"/>
          </w:tcPr>
          <w:p w14:paraId="11624E08">
            <w:pPr>
              <w:jc w:val="center"/>
              <w:rPr>
                <w:b/>
                <w:bCs/>
                <w:sz w:val="24"/>
                <w:szCs w:val="24"/>
                <w:vertAlign w:val="baseline"/>
              </w:rPr>
            </w:pPr>
          </w:p>
          <w:p w14:paraId="47551C2F">
            <w:pPr>
              <w:pStyle w:val="2"/>
              <w:rPr>
                <w:rFonts w:hint="eastAsia" w:eastAsia="宋体"/>
                <w:b/>
                <w:bCs/>
                <w:sz w:val="24"/>
                <w:szCs w:val="24"/>
                <w:lang w:val="en-US" w:eastAsia="zh-CN"/>
              </w:rPr>
            </w:pPr>
            <w:r>
              <w:rPr>
                <w:rFonts w:hint="eastAsia"/>
                <w:b/>
                <w:bCs/>
                <w:sz w:val="24"/>
                <w:szCs w:val="24"/>
                <w:vertAlign w:val="baseline"/>
                <w:lang w:val="en-US" w:eastAsia="zh-CN"/>
              </w:rPr>
              <w:t>备注</w:t>
            </w:r>
          </w:p>
        </w:tc>
      </w:tr>
      <w:tr w14:paraId="1CFA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615" w:type="dxa"/>
          </w:tcPr>
          <w:p w14:paraId="016BD7D8">
            <w:pPr>
              <w:jc w:val="center"/>
              <w:rPr>
                <w:rFonts w:hint="eastAsia"/>
                <w:sz w:val="24"/>
                <w:szCs w:val="24"/>
                <w:vertAlign w:val="baseline"/>
              </w:rPr>
            </w:pPr>
          </w:p>
          <w:p w14:paraId="4B17D315">
            <w:pPr>
              <w:jc w:val="center"/>
              <w:rPr>
                <w:rFonts w:hint="eastAsia"/>
                <w:sz w:val="24"/>
                <w:szCs w:val="24"/>
                <w:vertAlign w:val="baseline"/>
              </w:rPr>
            </w:pPr>
          </w:p>
          <w:p w14:paraId="045D9DD5">
            <w:pPr>
              <w:jc w:val="center"/>
              <w:rPr>
                <w:rFonts w:hint="eastAsia"/>
                <w:sz w:val="24"/>
                <w:szCs w:val="24"/>
                <w:vertAlign w:val="baseline"/>
              </w:rPr>
            </w:pPr>
          </w:p>
          <w:p w14:paraId="405283B9">
            <w:pPr>
              <w:jc w:val="center"/>
              <w:rPr>
                <w:rFonts w:hint="eastAsia"/>
                <w:sz w:val="24"/>
                <w:szCs w:val="24"/>
                <w:vertAlign w:val="baseline"/>
              </w:rPr>
            </w:pPr>
          </w:p>
          <w:p w14:paraId="5D616C7C">
            <w:pPr>
              <w:jc w:val="center"/>
              <w:rPr>
                <w:rFonts w:hint="eastAsia"/>
                <w:sz w:val="24"/>
                <w:szCs w:val="24"/>
                <w:vertAlign w:val="baseline"/>
              </w:rPr>
            </w:pPr>
          </w:p>
          <w:p w14:paraId="0DD5F2A6">
            <w:pPr>
              <w:jc w:val="center"/>
              <w:rPr>
                <w:rFonts w:hint="eastAsia" w:eastAsia="宋体"/>
                <w:sz w:val="24"/>
                <w:szCs w:val="24"/>
                <w:vertAlign w:val="baseline"/>
                <w:lang w:eastAsia="zh-CN"/>
              </w:rPr>
            </w:pPr>
            <w:r>
              <w:rPr>
                <w:rFonts w:hint="eastAsia"/>
                <w:sz w:val="24"/>
                <w:szCs w:val="24"/>
                <w:vertAlign w:val="baseline"/>
              </w:rPr>
              <w:t>财物完好率</w:t>
            </w:r>
            <w:r>
              <w:rPr>
                <w:rFonts w:hint="eastAsia"/>
                <w:sz w:val="24"/>
                <w:szCs w:val="24"/>
                <w:vertAlign w:val="baseline"/>
                <w:lang w:eastAsia="zh-CN"/>
              </w:rPr>
              <w:t>（</w:t>
            </w:r>
            <w:r>
              <w:rPr>
                <w:rFonts w:hint="eastAsia"/>
                <w:sz w:val="24"/>
                <w:szCs w:val="24"/>
                <w:vertAlign w:val="baseline"/>
                <w:lang w:val="en-US" w:eastAsia="zh-CN"/>
              </w:rPr>
              <w:t>满分100，权重25%</w:t>
            </w:r>
            <w:r>
              <w:rPr>
                <w:rFonts w:hint="eastAsia"/>
                <w:sz w:val="24"/>
                <w:szCs w:val="24"/>
                <w:vertAlign w:val="baseline"/>
                <w:lang w:eastAsia="zh-CN"/>
              </w:rPr>
              <w:t>）</w:t>
            </w:r>
          </w:p>
        </w:tc>
        <w:tc>
          <w:tcPr>
            <w:tcW w:w="5378" w:type="dxa"/>
          </w:tcPr>
          <w:p w14:paraId="488A7334">
            <w:pPr>
              <w:pStyle w:val="2"/>
              <w:rPr>
                <w:rFonts w:hint="eastAsia" w:eastAsia="宋体"/>
                <w:b/>
                <w:bCs/>
                <w:sz w:val="21"/>
                <w:szCs w:val="21"/>
                <w:vertAlign w:val="baseline"/>
                <w:lang w:eastAsia="zh-CN"/>
              </w:rPr>
            </w:pPr>
            <w:r>
              <w:rPr>
                <w:rFonts w:hint="eastAsia"/>
                <w:b/>
                <w:bCs/>
                <w:sz w:val="21"/>
                <w:szCs w:val="21"/>
                <w:vertAlign w:val="baseline"/>
                <w:lang w:val="en-US" w:eastAsia="zh-CN"/>
              </w:rPr>
              <w:t>1、</w:t>
            </w:r>
            <w:r>
              <w:rPr>
                <w:rFonts w:hint="eastAsia"/>
                <w:b/>
                <w:bCs/>
                <w:sz w:val="21"/>
                <w:szCs w:val="21"/>
                <w:vertAlign w:val="baseline"/>
              </w:rPr>
              <w:t>物理外观完好</w:t>
            </w:r>
            <w:r>
              <w:rPr>
                <w:rFonts w:hint="eastAsia"/>
                <w:b/>
                <w:bCs/>
                <w:sz w:val="21"/>
                <w:szCs w:val="21"/>
                <w:vertAlign w:val="baseline"/>
                <w:lang w:eastAsia="zh-CN"/>
              </w:rPr>
              <w:t>：</w:t>
            </w:r>
          </w:p>
          <w:p w14:paraId="21BDC8A5">
            <w:pPr>
              <w:pStyle w:val="2"/>
              <w:rPr>
                <w:rFonts w:hint="eastAsia"/>
                <w:sz w:val="21"/>
                <w:szCs w:val="21"/>
                <w:vertAlign w:val="baseline"/>
              </w:rPr>
            </w:pPr>
            <w:r>
              <w:rPr>
                <w:rFonts w:hint="eastAsia"/>
                <w:sz w:val="21"/>
                <w:szCs w:val="21"/>
                <w:vertAlign w:val="baseline"/>
              </w:rPr>
              <w:t>· 无破损、碎裂： 如玻璃、陶瓷、电子产品屏幕等是否破裂。</w:t>
            </w:r>
          </w:p>
          <w:p w14:paraId="7D189239">
            <w:pPr>
              <w:pStyle w:val="2"/>
              <w:rPr>
                <w:rFonts w:hint="eastAsia"/>
                <w:sz w:val="21"/>
                <w:szCs w:val="21"/>
                <w:vertAlign w:val="baseline"/>
              </w:rPr>
            </w:pPr>
            <w:r>
              <w:rPr>
                <w:rFonts w:hint="eastAsia"/>
                <w:sz w:val="21"/>
                <w:szCs w:val="21"/>
                <w:vertAlign w:val="baseline"/>
              </w:rPr>
              <w:t>· 无划痕、变形： 如家具、家电外壳、汽车车身等是否有划伤或凹陷。</w:t>
            </w:r>
          </w:p>
          <w:p w14:paraId="689A59EC">
            <w:pPr>
              <w:pStyle w:val="2"/>
              <w:rPr>
                <w:rFonts w:hint="eastAsia" w:ascii="Times New Roman" w:hAnsi="Times New Roman" w:eastAsia="宋体" w:cs="Times New Roman"/>
                <w:sz w:val="21"/>
                <w:szCs w:val="21"/>
                <w:vertAlign w:val="baseline"/>
              </w:rPr>
            </w:pPr>
            <w:r>
              <w:rPr>
                <w:rFonts w:hint="eastAsia"/>
                <w:sz w:val="21"/>
                <w:szCs w:val="21"/>
                <w:vertAlign w:val="baseline"/>
              </w:rPr>
              <w:t xml:space="preserve">· </w:t>
            </w:r>
            <w:r>
              <w:rPr>
                <w:rFonts w:hint="eastAsia" w:ascii="Times New Roman" w:hAnsi="Times New Roman" w:eastAsia="宋体" w:cs="Times New Roman"/>
                <w:sz w:val="21"/>
                <w:szCs w:val="21"/>
                <w:vertAlign w:val="baseline"/>
              </w:rPr>
              <w:t>无污染、污渍： 如服装、食品包装是否被油污、墨水等污染。</w:t>
            </w:r>
          </w:p>
          <w:p w14:paraId="7FEE93C0">
            <w:pPr>
              <w:pStyle w:val="2"/>
              <w:rPr>
                <w:rFonts w:hint="eastAsia"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rPr>
              <w:t>· 包装完好：原包装（如纸箱、塑封）</w:t>
            </w:r>
            <w:r>
              <w:rPr>
                <w:rFonts w:hint="eastAsia" w:ascii="Times New Roman" w:hAnsi="Times New Roman" w:eastAsia="宋体" w:cs="Times New Roman"/>
                <w:sz w:val="21"/>
                <w:szCs w:val="21"/>
                <w:vertAlign w:val="baseline"/>
                <w:lang w:val="en-US" w:eastAsia="zh-CN"/>
              </w:rPr>
              <w:t>是否</w:t>
            </w:r>
            <w:r>
              <w:rPr>
                <w:rFonts w:hint="eastAsia" w:ascii="Times New Roman" w:hAnsi="Times New Roman" w:eastAsia="宋体" w:cs="Times New Roman"/>
                <w:sz w:val="21"/>
                <w:szCs w:val="21"/>
                <w:vertAlign w:val="baseline"/>
              </w:rPr>
              <w:t>完好，特别是对于礼品或高价值商品。</w:t>
            </w:r>
          </w:p>
          <w:p w14:paraId="7B00253A">
            <w:pPr>
              <w:pStyle w:val="2"/>
              <w:rPr>
                <w:rFonts w:hint="eastAsia"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rPr>
              <w:t>·</w:t>
            </w:r>
            <w:r>
              <w:rPr>
                <w:rFonts w:hint="eastAsia" w:ascii="Times New Roman" w:hAnsi="Times New Roman" w:eastAsia="宋体" w:cs="Times New Roman"/>
                <w:sz w:val="21"/>
                <w:szCs w:val="21"/>
                <w:vertAlign w:val="baseline"/>
                <w:lang w:val="en-US" w:eastAsia="zh-CN"/>
              </w:rPr>
              <w:t xml:space="preserve"> </w:t>
            </w:r>
            <w:r>
              <w:rPr>
                <w:rFonts w:hint="eastAsia" w:ascii="Times New Roman" w:hAnsi="Times New Roman" w:eastAsia="宋体" w:cs="Times New Roman"/>
                <w:sz w:val="21"/>
                <w:szCs w:val="21"/>
                <w:vertAlign w:val="baseline"/>
              </w:rPr>
              <w:t>无分离与脱落： 零部件、配件、装饰物无松动或脱落。</w:t>
            </w:r>
          </w:p>
          <w:p w14:paraId="1C9C4E30">
            <w:pPr>
              <w:pStyle w:val="2"/>
              <w:rPr>
                <w:rFonts w:hint="eastAsia"/>
                <w:b/>
                <w:bCs w:val="0"/>
                <w:sz w:val="21"/>
                <w:szCs w:val="21"/>
                <w:vertAlign w:val="baseline"/>
                <w:lang w:val="en-US" w:eastAsia="zh-CN"/>
              </w:rPr>
            </w:pPr>
            <w:r>
              <w:rPr>
                <w:rFonts w:hint="eastAsia"/>
                <w:b/>
                <w:bCs w:val="0"/>
                <w:sz w:val="21"/>
                <w:szCs w:val="21"/>
                <w:vertAlign w:val="baseline"/>
                <w:lang w:val="en-US" w:eastAsia="zh-CN"/>
              </w:rPr>
              <w:t>2、功能性能完好：</w:t>
            </w:r>
          </w:p>
          <w:p w14:paraId="0993009F">
            <w:pPr>
              <w:pStyle w:val="2"/>
              <w:rPr>
                <w:rFonts w:hint="eastAsia"/>
                <w:sz w:val="21"/>
                <w:szCs w:val="21"/>
                <w:vertAlign w:val="baseline"/>
                <w:lang w:val="en-US" w:eastAsia="zh-CN"/>
              </w:rPr>
            </w:pPr>
            <w:r>
              <w:rPr>
                <w:rFonts w:hint="eastAsia"/>
                <w:sz w:val="21"/>
                <w:szCs w:val="21"/>
                <w:vertAlign w:val="baseline"/>
                <w:lang w:val="en-US" w:eastAsia="zh-CN"/>
              </w:rPr>
              <w:t>· 可正常启动和运行： 对于机械设备、电子产品等是否能正常启动和运行。</w:t>
            </w:r>
          </w:p>
          <w:p w14:paraId="6842A28C">
            <w:pPr>
              <w:pStyle w:val="2"/>
              <w:rPr>
                <w:rFonts w:hint="eastAsia"/>
                <w:sz w:val="21"/>
                <w:szCs w:val="21"/>
                <w:vertAlign w:val="baseline"/>
                <w:lang w:val="en-US" w:eastAsia="zh-CN"/>
              </w:rPr>
            </w:pPr>
            <w:r>
              <w:rPr>
                <w:rFonts w:hint="eastAsia"/>
                <w:sz w:val="21"/>
                <w:szCs w:val="21"/>
                <w:vertAlign w:val="baseline"/>
                <w:lang w:val="en-US" w:eastAsia="zh-CN"/>
              </w:rPr>
              <w:t>· 所有功能正常： 产品的所有设计功能（如手机的拍照、通话、上网）等功能是否正常。</w:t>
            </w:r>
          </w:p>
          <w:p w14:paraId="50A44D7B">
            <w:pPr>
              <w:pStyle w:val="2"/>
              <w:rPr>
                <w:rFonts w:hint="eastAsia" w:eastAsia="宋体" w:cs="Times New Roman"/>
                <w:sz w:val="21"/>
                <w:szCs w:val="21"/>
                <w:vertAlign w:val="baseline"/>
                <w:lang w:val="en-US" w:eastAsia="zh-CN"/>
              </w:rPr>
            </w:pPr>
            <w:r>
              <w:rPr>
                <w:rFonts w:hint="eastAsia" w:eastAsia="宋体" w:cs="Times New Roman"/>
                <w:b/>
                <w:bCs w:val="0"/>
                <w:sz w:val="21"/>
                <w:szCs w:val="21"/>
                <w:vertAlign w:val="baseline"/>
                <w:lang w:val="en-US" w:eastAsia="zh-CN"/>
              </w:rPr>
              <w:t>3、数量与配置准确：</w:t>
            </w:r>
          </w:p>
          <w:p w14:paraId="0FFAE70D">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数量正确：是否存在数量短缺等情况。</w:t>
            </w:r>
          </w:p>
          <w:p w14:paraId="54DDB474">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附件/配件齐全： 产品附带的所有配件、说明书、保修卡等是否齐全。</w:t>
            </w:r>
          </w:p>
          <w:p w14:paraId="708B1672">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实际数量与账目数量一致，无短缺或多出。</w:t>
            </w:r>
          </w:p>
          <w:p w14:paraId="546C8959">
            <w:pPr>
              <w:pStyle w:val="2"/>
              <w:rPr>
                <w:rFonts w:hint="eastAsia" w:eastAsia="宋体" w:cs="Times New Roman"/>
                <w:b/>
                <w:bCs w:val="0"/>
                <w:sz w:val="21"/>
                <w:szCs w:val="21"/>
                <w:vertAlign w:val="baseline"/>
                <w:lang w:val="en-US" w:eastAsia="zh-CN"/>
              </w:rPr>
            </w:pPr>
            <w:r>
              <w:rPr>
                <w:rFonts w:hint="eastAsia" w:eastAsia="宋体" w:cs="Times New Roman"/>
                <w:b/>
                <w:bCs w:val="0"/>
                <w:sz w:val="21"/>
                <w:szCs w:val="21"/>
                <w:vertAlign w:val="baseline"/>
                <w:lang w:val="en-US" w:eastAsia="zh-CN"/>
              </w:rPr>
              <w:t>4、质量与性状稳定：</w:t>
            </w:r>
          </w:p>
          <w:p w14:paraId="16B789B9">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无变质、腐败： 主要针对食品、药品、化学品等是否存在变质、腐败等情况。</w:t>
            </w:r>
          </w:p>
          <w:p w14:paraId="0ED9A340">
            <w:pPr>
              <w:pStyle w:val="2"/>
              <w:rPr>
                <w:rFonts w:hint="default" w:eastAsia="宋体" w:cs="Times New Roman"/>
                <w:sz w:val="21"/>
                <w:szCs w:val="21"/>
                <w:vertAlign w:val="baseline"/>
                <w:lang w:val="en-US" w:eastAsia="zh-CN"/>
              </w:rPr>
            </w:pPr>
            <w:r>
              <w:rPr>
                <w:rFonts w:hint="eastAsia" w:eastAsia="宋体" w:cs="Times New Roman"/>
                <w:sz w:val="21"/>
                <w:szCs w:val="21"/>
                <w:vertAlign w:val="baseline"/>
                <w:lang w:val="en-US" w:eastAsia="zh-CN"/>
              </w:rPr>
              <w:t>· 无老化、锈蚀：是否存在金属件生锈、橡胶件老化等损坏。</w:t>
            </w:r>
          </w:p>
        </w:tc>
        <w:tc>
          <w:tcPr>
            <w:tcW w:w="1320" w:type="dxa"/>
          </w:tcPr>
          <w:p w14:paraId="49EFACB1">
            <w:pPr>
              <w:rPr>
                <w:sz w:val="24"/>
                <w:szCs w:val="24"/>
                <w:vertAlign w:val="baseline"/>
              </w:rPr>
            </w:pPr>
          </w:p>
        </w:tc>
        <w:tc>
          <w:tcPr>
            <w:tcW w:w="980" w:type="dxa"/>
            <w:vMerge w:val="restart"/>
          </w:tcPr>
          <w:p w14:paraId="25018C61">
            <w:pPr>
              <w:rPr>
                <w:rFonts w:hint="eastAsia"/>
                <w:b/>
                <w:bCs/>
                <w:sz w:val="21"/>
                <w:szCs w:val="21"/>
                <w:vertAlign w:val="baseline"/>
                <w:lang w:val="en-US" w:eastAsia="zh-CN"/>
              </w:rPr>
            </w:pPr>
          </w:p>
          <w:p w14:paraId="280A18F4">
            <w:pPr>
              <w:rPr>
                <w:rFonts w:hint="eastAsia"/>
                <w:b/>
                <w:bCs/>
                <w:sz w:val="21"/>
                <w:szCs w:val="21"/>
                <w:vertAlign w:val="baseline"/>
                <w:lang w:val="en-US" w:eastAsia="zh-CN"/>
              </w:rPr>
            </w:pPr>
          </w:p>
          <w:p w14:paraId="2EB3819E">
            <w:pPr>
              <w:rPr>
                <w:rFonts w:hint="eastAsia"/>
                <w:b/>
                <w:bCs/>
                <w:sz w:val="21"/>
                <w:szCs w:val="21"/>
                <w:vertAlign w:val="baseline"/>
                <w:lang w:val="en-US" w:eastAsia="zh-CN"/>
              </w:rPr>
            </w:pPr>
          </w:p>
          <w:p w14:paraId="02F0ACF1">
            <w:pPr>
              <w:rPr>
                <w:rFonts w:hint="eastAsia"/>
                <w:b/>
                <w:bCs/>
                <w:sz w:val="21"/>
                <w:szCs w:val="21"/>
                <w:vertAlign w:val="baseline"/>
                <w:lang w:val="en-US" w:eastAsia="zh-CN"/>
              </w:rPr>
            </w:pPr>
          </w:p>
          <w:p w14:paraId="08FBCABE">
            <w:pPr>
              <w:rPr>
                <w:rFonts w:hint="eastAsia"/>
                <w:b/>
                <w:bCs/>
                <w:sz w:val="21"/>
                <w:szCs w:val="21"/>
                <w:vertAlign w:val="baseline"/>
                <w:lang w:val="en-US" w:eastAsia="zh-CN"/>
              </w:rPr>
            </w:pPr>
          </w:p>
          <w:p w14:paraId="09DAA203">
            <w:pPr>
              <w:rPr>
                <w:rFonts w:hint="eastAsia"/>
                <w:b/>
                <w:bCs/>
                <w:sz w:val="21"/>
                <w:szCs w:val="21"/>
                <w:vertAlign w:val="baseline"/>
                <w:lang w:val="en-US" w:eastAsia="zh-CN"/>
              </w:rPr>
            </w:pPr>
          </w:p>
          <w:p w14:paraId="5AAC3536">
            <w:pPr>
              <w:rPr>
                <w:rFonts w:hint="eastAsia"/>
                <w:b/>
                <w:bCs/>
                <w:sz w:val="21"/>
                <w:szCs w:val="21"/>
                <w:vertAlign w:val="baseline"/>
                <w:lang w:val="en-US" w:eastAsia="zh-CN"/>
              </w:rPr>
            </w:pPr>
          </w:p>
          <w:p w14:paraId="54C9CEEF">
            <w:pPr>
              <w:rPr>
                <w:rFonts w:hint="eastAsia"/>
                <w:b/>
                <w:bCs/>
                <w:sz w:val="21"/>
                <w:szCs w:val="21"/>
                <w:vertAlign w:val="baseline"/>
                <w:lang w:val="en-US" w:eastAsia="zh-CN"/>
              </w:rPr>
            </w:pPr>
          </w:p>
          <w:p w14:paraId="145EB9E6">
            <w:pPr>
              <w:rPr>
                <w:rFonts w:hint="eastAsia"/>
                <w:b/>
                <w:bCs/>
                <w:sz w:val="21"/>
                <w:szCs w:val="21"/>
                <w:vertAlign w:val="baseline"/>
                <w:lang w:val="en-US" w:eastAsia="zh-CN"/>
              </w:rPr>
            </w:pPr>
          </w:p>
          <w:p w14:paraId="73DBBC08">
            <w:pPr>
              <w:rPr>
                <w:rFonts w:hint="eastAsia"/>
                <w:b/>
                <w:bCs/>
                <w:sz w:val="21"/>
                <w:szCs w:val="21"/>
                <w:vertAlign w:val="baseline"/>
                <w:lang w:val="en-US" w:eastAsia="zh-CN"/>
              </w:rPr>
            </w:pPr>
          </w:p>
          <w:p w14:paraId="25E5D1D4">
            <w:pPr>
              <w:rPr>
                <w:rFonts w:hint="eastAsia"/>
                <w:b/>
                <w:bCs/>
                <w:sz w:val="21"/>
                <w:szCs w:val="21"/>
                <w:vertAlign w:val="baseline"/>
                <w:lang w:val="en-US" w:eastAsia="zh-CN"/>
              </w:rPr>
            </w:pPr>
          </w:p>
          <w:p w14:paraId="43F2D715">
            <w:pPr>
              <w:rPr>
                <w:rFonts w:hint="eastAsia"/>
                <w:b/>
                <w:bCs/>
                <w:sz w:val="21"/>
                <w:szCs w:val="21"/>
                <w:vertAlign w:val="baseline"/>
                <w:lang w:val="en-US" w:eastAsia="zh-CN"/>
              </w:rPr>
            </w:pPr>
          </w:p>
          <w:p w14:paraId="2B779FEF">
            <w:pPr>
              <w:rPr>
                <w:rFonts w:hint="eastAsia"/>
                <w:b/>
                <w:bCs/>
                <w:sz w:val="21"/>
                <w:szCs w:val="21"/>
                <w:vertAlign w:val="baseline"/>
                <w:lang w:val="en-US" w:eastAsia="zh-CN"/>
              </w:rPr>
            </w:pPr>
          </w:p>
          <w:p w14:paraId="5476F077">
            <w:pPr>
              <w:rPr>
                <w:rFonts w:hint="eastAsia"/>
                <w:b/>
                <w:bCs/>
                <w:sz w:val="21"/>
                <w:szCs w:val="21"/>
                <w:vertAlign w:val="baseline"/>
                <w:lang w:val="en-US" w:eastAsia="zh-CN"/>
              </w:rPr>
            </w:pPr>
          </w:p>
          <w:p w14:paraId="6A105C1B">
            <w:pPr>
              <w:rPr>
                <w:rFonts w:hint="eastAsia"/>
                <w:b/>
                <w:bCs/>
                <w:sz w:val="21"/>
                <w:szCs w:val="21"/>
                <w:vertAlign w:val="baseline"/>
                <w:lang w:val="en-US" w:eastAsia="zh-CN"/>
              </w:rPr>
            </w:pPr>
          </w:p>
          <w:p w14:paraId="0845CDEA">
            <w:pPr>
              <w:rPr>
                <w:rFonts w:hint="eastAsia"/>
                <w:b/>
                <w:bCs/>
                <w:sz w:val="21"/>
                <w:szCs w:val="21"/>
                <w:vertAlign w:val="baseline"/>
                <w:lang w:val="en-US" w:eastAsia="zh-CN"/>
              </w:rPr>
            </w:pPr>
          </w:p>
          <w:p w14:paraId="51857A22">
            <w:pPr>
              <w:rPr>
                <w:rFonts w:hint="eastAsia"/>
                <w:b/>
                <w:bCs/>
                <w:sz w:val="21"/>
                <w:szCs w:val="21"/>
                <w:vertAlign w:val="baseline"/>
                <w:lang w:val="en-US" w:eastAsia="zh-CN"/>
              </w:rPr>
            </w:pPr>
          </w:p>
          <w:p w14:paraId="6486ACEE">
            <w:pPr>
              <w:rPr>
                <w:rFonts w:hint="eastAsia"/>
                <w:b/>
                <w:bCs/>
                <w:sz w:val="21"/>
                <w:szCs w:val="21"/>
                <w:vertAlign w:val="baseline"/>
                <w:lang w:val="en-US" w:eastAsia="zh-CN"/>
              </w:rPr>
            </w:pPr>
          </w:p>
          <w:p w14:paraId="6CCAE926">
            <w:pPr>
              <w:rPr>
                <w:rFonts w:hint="eastAsia"/>
                <w:b/>
                <w:bCs/>
                <w:sz w:val="21"/>
                <w:szCs w:val="21"/>
                <w:vertAlign w:val="baseline"/>
                <w:lang w:val="en-US" w:eastAsia="zh-CN"/>
              </w:rPr>
            </w:pPr>
          </w:p>
          <w:p w14:paraId="793BC2F3">
            <w:pPr>
              <w:rPr>
                <w:rFonts w:hint="eastAsia"/>
                <w:b/>
                <w:bCs/>
                <w:sz w:val="21"/>
                <w:szCs w:val="21"/>
                <w:vertAlign w:val="baseline"/>
                <w:lang w:val="en-US" w:eastAsia="zh-CN"/>
              </w:rPr>
            </w:pPr>
          </w:p>
          <w:p w14:paraId="61E33054">
            <w:pPr>
              <w:rPr>
                <w:rFonts w:hint="eastAsia"/>
                <w:b/>
                <w:bCs/>
                <w:sz w:val="21"/>
                <w:szCs w:val="21"/>
                <w:vertAlign w:val="baseline"/>
                <w:lang w:val="en-US" w:eastAsia="zh-CN"/>
              </w:rPr>
            </w:pPr>
          </w:p>
          <w:p w14:paraId="40151C9F">
            <w:pPr>
              <w:rPr>
                <w:rFonts w:hint="eastAsia"/>
                <w:b/>
                <w:bCs/>
                <w:sz w:val="21"/>
                <w:szCs w:val="21"/>
                <w:vertAlign w:val="baseline"/>
                <w:lang w:val="en-US" w:eastAsia="zh-CN"/>
              </w:rPr>
            </w:pPr>
          </w:p>
          <w:p w14:paraId="79BD18F0">
            <w:pPr>
              <w:rPr>
                <w:rFonts w:hint="eastAsia"/>
                <w:b/>
                <w:bCs/>
                <w:sz w:val="21"/>
                <w:szCs w:val="21"/>
                <w:vertAlign w:val="baseline"/>
                <w:lang w:val="en-US" w:eastAsia="zh-CN"/>
              </w:rPr>
            </w:pPr>
          </w:p>
          <w:p w14:paraId="1A501B76">
            <w:pPr>
              <w:rPr>
                <w:rFonts w:hint="eastAsia"/>
                <w:b/>
                <w:bCs/>
                <w:sz w:val="21"/>
                <w:szCs w:val="21"/>
                <w:vertAlign w:val="baseline"/>
                <w:lang w:val="en-US" w:eastAsia="zh-CN"/>
              </w:rPr>
            </w:pPr>
          </w:p>
          <w:p w14:paraId="5817BB48">
            <w:pPr>
              <w:rPr>
                <w:rFonts w:hint="eastAsia"/>
                <w:b/>
                <w:bCs/>
                <w:sz w:val="21"/>
                <w:szCs w:val="21"/>
                <w:vertAlign w:val="baseline"/>
                <w:lang w:val="en-US" w:eastAsia="zh-CN"/>
              </w:rPr>
            </w:pPr>
          </w:p>
          <w:p w14:paraId="0D7E8EDE">
            <w:pPr>
              <w:numPr>
                <w:ilvl w:val="0"/>
                <w:numId w:val="0"/>
              </w:numPr>
              <w:rPr>
                <w:rFonts w:hint="eastAsia"/>
                <w:b/>
                <w:bCs w:val="0"/>
                <w:lang w:val="en-US" w:eastAsia="zh-CN"/>
              </w:rPr>
            </w:pPr>
            <w:r>
              <w:rPr>
                <w:rFonts w:hint="eastAsia" w:ascii="Times New Roman" w:hAnsi="Times New Roman" w:eastAsia="宋体" w:cs="Times New Roman"/>
                <w:b/>
                <w:bCs/>
                <w:kern w:val="2"/>
                <w:sz w:val="21"/>
                <w:szCs w:val="21"/>
                <w:vertAlign w:val="baseline"/>
                <w:lang w:val="en-US" w:eastAsia="zh-CN" w:bidi="ar-SA"/>
              </w:rPr>
              <w:t>1、</w:t>
            </w:r>
            <w:r>
              <w:rPr>
                <w:rFonts w:hint="eastAsia"/>
                <w:b/>
                <w:bCs/>
                <w:sz w:val="21"/>
                <w:szCs w:val="21"/>
                <w:vertAlign w:val="baseline"/>
                <w:lang w:val="en-US" w:eastAsia="zh-CN"/>
              </w:rPr>
              <w:t>甲方视情节严重程度扣1-10分，</w:t>
            </w:r>
            <w:r>
              <w:rPr>
                <w:rFonts w:hint="eastAsia"/>
                <w:b/>
                <w:bCs w:val="0"/>
                <w:lang w:val="en-US" w:eastAsia="zh-CN"/>
              </w:rPr>
              <w:t>满分100分，60分为合格。</w:t>
            </w:r>
          </w:p>
          <w:p w14:paraId="2EA2D5B3">
            <w:pPr>
              <w:pStyle w:val="2"/>
              <w:rPr>
                <w:rFonts w:hint="default"/>
                <w:lang w:val="en-US"/>
              </w:rPr>
            </w:pPr>
            <w:r>
              <w:rPr>
                <w:rFonts w:hint="eastAsia"/>
                <w:b/>
                <w:bCs w:val="0"/>
                <w:lang w:val="en-US" w:eastAsia="zh-CN"/>
              </w:rPr>
              <w:t>2、出现问题</w:t>
            </w:r>
            <w:r>
              <w:rPr>
                <w:rFonts w:hint="eastAsia"/>
                <w:b/>
                <w:bCs/>
                <w:sz w:val="21"/>
                <w:szCs w:val="21"/>
                <w:vertAlign w:val="baseline"/>
                <w:lang w:val="en-US" w:eastAsia="zh-CN"/>
              </w:rPr>
              <w:t>经甲方通知拒不整改或整改不到位的达到三次，甲方有权解除本合同。</w:t>
            </w:r>
          </w:p>
        </w:tc>
      </w:tr>
      <w:tr w14:paraId="5A63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15" w:type="dxa"/>
          </w:tcPr>
          <w:p w14:paraId="037D326A">
            <w:pPr>
              <w:jc w:val="center"/>
              <w:rPr>
                <w:rFonts w:hint="eastAsia" w:ascii="Times New Roman" w:hAnsi="Times New Roman" w:eastAsia="宋体" w:cs="Times New Roman"/>
                <w:sz w:val="24"/>
                <w:szCs w:val="24"/>
                <w:vertAlign w:val="baseline"/>
              </w:rPr>
            </w:pPr>
          </w:p>
          <w:p w14:paraId="5FFFC010">
            <w:pPr>
              <w:jc w:val="center"/>
              <w:rPr>
                <w:rFonts w:hint="eastAsia" w:ascii="Times New Roman" w:hAnsi="Times New Roman" w:eastAsia="宋体" w:cs="Times New Roman"/>
                <w:sz w:val="24"/>
                <w:szCs w:val="24"/>
                <w:vertAlign w:val="baseline"/>
              </w:rPr>
            </w:pPr>
          </w:p>
          <w:p w14:paraId="4E057679">
            <w:pPr>
              <w:jc w:val="center"/>
              <w:rPr>
                <w:rFonts w:hint="eastAsia" w:ascii="Times New Roman" w:hAnsi="Times New Roman" w:eastAsia="宋体" w:cs="Times New Roman"/>
                <w:sz w:val="24"/>
                <w:szCs w:val="24"/>
                <w:vertAlign w:val="baseline"/>
              </w:rPr>
            </w:pPr>
          </w:p>
          <w:p w14:paraId="2CD337DB">
            <w:pPr>
              <w:jc w:val="center"/>
              <w:rPr>
                <w:rFonts w:hint="eastAsia" w:ascii="Times New Roman" w:hAnsi="Times New Roman" w:eastAsia="宋体" w:cs="Times New Roman"/>
                <w:sz w:val="24"/>
                <w:szCs w:val="24"/>
                <w:vertAlign w:val="baseline"/>
              </w:rPr>
            </w:pPr>
          </w:p>
          <w:p w14:paraId="70B62886">
            <w:pPr>
              <w:jc w:val="center"/>
              <w:rPr>
                <w:rFonts w:hint="eastAsia" w:ascii="Times New Roman" w:hAnsi="Times New Roman" w:eastAsia="宋体" w:cs="Times New Roman"/>
                <w:sz w:val="24"/>
                <w:szCs w:val="24"/>
                <w:vertAlign w:val="baseline"/>
              </w:rPr>
            </w:pPr>
          </w:p>
          <w:p w14:paraId="23C285B8">
            <w:pPr>
              <w:jc w:val="center"/>
              <w:rPr>
                <w:rFonts w:hint="eastAsia" w:ascii="Times New Roman" w:hAnsi="Times New Roman" w:eastAsia="宋体" w:cs="Times New Roman"/>
                <w:sz w:val="24"/>
                <w:szCs w:val="24"/>
                <w:vertAlign w:val="baseline"/>
              </w:rPr>
            </w:pPr>
          </w:p>
          <w:p w14:paraId="445ACC44">
            <w:pPr>
              <w:jc w:val="center"/>
              <w:rPr>
                <w:rFonts w:hint="eastAsia" w:ascii="Times New Roman" w:hAnsi="Times New Roman" w:eastAsia="宋体" w:cs="Times New Roman"/>
                <w:sz w:val="24"/>
                <w:szCs w:val="24"/>
                <w:vertAlign w:val="baseline"/>
              </w:rPr>
            </w:pPr>
            <w:r>
              <w:rPr>
                <w:rFonts w:hint="eastAsia" w:ascii="Times New Roman" w:hAnsi="Times New Roman" w:eastAsia="宋体" w:cs="Times New Roman"/>
                <w:sz w:val="24"/>
                <w:szCs w:val="24"/>
                <w:vertAlign w:val="baseline"/>
              </w:rPr>
              <w:t>信息准确率</w:t>
            </w:r>
            <w:r>
              <w:rPr>
                <w:rFonts w:hint="eastAsia"/>
                <w:sz w:val="24"/>
                <w:szCs w:val="24"/>
                <w:vertAlign w:val="baseline"/>
                <w:lang w:eastAsia="zh-CN"/>
              </w:rPr>
              <w:t>（</w:t>
            </w:r>
            <w:r>
              <w:rPr>
                <w:rFonts w:hint="eastAsia"/>
                <w:sz w:val="24"/>
                <w:szCs w:val="24"/>
                <w:vertAlign w:val="baseline"/>
                <w:lang w:val="en-US" w:eastAsia="zh-CN"/>
              </w:rPr>
              <w:t>满分100，权重15%</w:t>
            </w:r>
            <w:r>
              <w:rPr>
                <w:rFonts w:hint="eastAsia"/>
                <w:sz w:val="24"/>
                <w:szCs w:val="24"/>
                <w:vertAlign w:val="baseline"/>
                <w:lang w:eastAsia="zh-CN"/>
              </w:rPr>
              <w:t>）</w:t>
            </w:r>
          </w:p>
        </w:tc>
        <w:tc>
          <w:tcPr>
            <w:tcW w:w="5378" w:type="dxa"/>
          </w:tcPr>
          <w:p w14:paraId="2517E36A">
            <w:pPr>
              <w:numPr>
                <w:ilvl w:val="0"/>
                <w:numId w:val="0"/>
              </w:numPr>
              <w:rPr>
                <w:rFonts w:hint="eastAsia" w:ascii="Calibri" w:hAnsi="Calibri" w:eastAsia="宋体" w:cs="Times New Roman"/>
                <w:b/>
                <w:bCs w:val="0"/>
                <w:spacing w:val="10"/>
                <w:kern w:val="2"/>
                <w:sz w:val="21"/>
                <w:szCs w:val="21"/>
                <w:vertAlign w:val="baseline"/>
                <w:lang w:val="en-US" w:eastAsia="zh-CN" w:bidi="ar-SA"/>
              </w:rPr>
            </w:pPr>
            <w:r>
              <w:rPr>
                <w:rFonts w:hint="eastAsia" w:ascii="Calibri" w:hAnsi="Calibri" w:eastAsia="宋体" w:cs="Times New Roman"/>
                <w:b/>
                <w:bCs w:val="0"/>
                <w:spacing w:val="10"/>
                <w:kern w:val="2"/>
                <w:sz w:val="21"/>
                <w:szCs w:val="21"/>
                <w:vertAlign w:val="baseline"/>
                <w:lang w:val="en-US" w:eastAsia="zh-CN" w:bidi="ar-SA"/>
              </w:rPr>
              <w:t>1、财物标识唯一：</w:t>
            </w:r>
          </w:p>
          <w:p w14:paraId="3DCE2866">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案与物一一对应、案与款一一对应。</w:t>
            </w:r>
          </w:p>
          <w:p w14:paraId="07340AE1">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名称、编号、特征（品牌、型号、规格、颜色、瑕疵等）描述精确无误。</w:t>
            </w:r>
          </w:p>
          <w:p w14:paraId="1B7712BD">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xml:space="preserve"> • 数量与状态无误：实际数量与登记信息完全一致；财物状况（如全新、破损、需鉴定）描述真实。</w:t>
            </w:r>
          </w:p>
          <w:p w14:paraId="5E465AA9">
            <w:pPr>
              <w:pStyle w:val="2"/>
              <w:rPr>
                <w:rFonts w:hint="eastAsia" w:eastAsia="宋体" w:cs="Times New Roman"/>
                <w:sz w:val="21"/>
                <w:szCs w:val="21"/>
                <w:vertAlign w:val="baseline"/>
                <w:lang w:val="en-US" w:eastAsia="zh-CN"/>
              </w:rPr>
            </w:pPr>
            <w:r>
              <w:rPr>
                <w:rFonts w:hint="eastAsia" w:eastAsia="宋体" w:cs="Times New Roman"/>
                <w:sz w:val="21"/>
                <w:szCs w:val="21"/>
                <w:vertAlign w:val="baseline"/>
                <w:lang w:val="en-US" w:eastAsia="zh-CN"/>
              </w:rPr>
              <w:t xml:space="preserve"> • 价值与来源清晰：初步估值或鉴定价值明确；来源（如扣押、提取、收缴）法律依据充分，手续齐全。</w:t>
            </w:r>
          </w:p>
          <w:p w14:paraId="184D36AC">
            <w:pPr>
              <w:pStyle w:val="2"/>
              <w:numPr>
                <w:ilvl w:val="0"/>
                <w:numId w:val="0"/>
              </w:numPr>
              <w:ind w:left="0" w:leftChars="0" w:firstLine="0" w:firstLineChars="0"/>
              <w:rPr>
                <w:rFonts w:hint="eastAsia" w:eastAsia="宋体" w:cs="Times New Roman"/>
                <w:b/>
                <w:bCs w:val="0"/>
                <w:sz w:val="21"/>
                <w:szCs w:val="21"/>
                <w:vertAlign w:val="baseline"/>
                <w:lang w:val="en-US" w:eastAsia="zh-CN"/>
              </w:rPr>
            </w:pPr>
            <w:r>
              <w:rPr>
                <w:rFonts w:hint="eastAsia" w:ascii="Calibri" w:hAnsi="Calibri" w:eastAsia="宋体" w:cs="Times New Roman"/>
                <w:b/>
                <w:bCs w:val="0"/>
                <w:spacing w:val="10"/>
                <w:kern w:val="2"/>
                <w:sz w:val="21"/>
                <w:szCs w:val="21"/>
                <w:vertAlign w:val="baseline"/>
                <w:lang w:val="en-US" w:eastAsia="zh-CN" w:bidi="ar-SA"/>
              </w:rPr>
              <w:t>2、</w:t>
            </w:r>
            <w:r>
              <w:rPr>
                <w:rFonts w:hint="eastAsia" w:eastAsia="宋体" w:cs="Times New Roman"/>
                <w:b/>
                <w:bCs w:val="0"/>
                <w:sz w:val="21"/>
                <w:szCs w:val="21"/>
                <w:vertAlign w:val="baseline"/>
                <w:lang w:val="en-US" w:eastAsia="zh-CN"/>
              </w:rPr>
              <w:t>流程环节完整：</w:t>
            </w:r>
          </w:p>
          <w:p w14:paraId="7B17B1C3">
            <w:pPr>
              <w:pStyle w:val="2"/>
              <w:numPr>
                <w:ilvl w:val="0"/>
                <w:numId w:val="0"/>
              </w:numPr>
              <w:ind w:leftChars="0"/>
              <w:rPr>
                <w:rFonts w:hint="default" w:eastAsia="宋体" w:cs="Times New Roman"/>
                <w:sz w:val="21"/>
                <w:szCs w:val="21"/>
                <w:vertAlign w:val="baseline"/>
                <w:lang w:val="en-US" w:eastAsia="zh-CN"/>
              </w:rPr>
            </w:pPr>
            <w:r>
              <w:rPr>
                <w:rFonts w:hint="default" w:eastAsia="宋体" w:cs="Times New Roman"/>
                <w:sz w:val="21"/>
                <w:szCs w:val="21"/>
                <w:vertAlign w:val="baseline"/>
                <w:lang w:val="en-US" w:eastAsia="zh-CN"/>
              </w:rPr>
              <w:t xml:space="preserve"> • 入库登记全面：首次信息录入需完整，包括接收时间、移送单位/人员等。</w:t>
            </w:r>
          </w:p>
          <w:p w14:paraId="283C2D20">
            <w:pPr>
              <w:pStyle w:val="2"/>
              <w:numPr>
                <w:ilvl w:val="0"/>
                <w:numId w:val="0"/>
              </w:numPr>
              <w:ind w:leftChars="0"/>
              <w:rPr>
                <w:rFonts w:hint="default" w:eastAsia="宋体" w:cs="Times New Roman"/>
                <w:sz w:val="21"/>
                <w:szCs w:val="21"/>
                <w:vertAlign w:val="baseline"/>
                <w:lang w:val="en-US" w:eastAsia="zh-CN"/>
              </w:rPr>
            </w:pPr>
            <w:r>
              <w:rPr>
                <w:rFonts w:hint="default" w:eastAsia="宋体" w:cs="Times New Roman"/>
                <w:sz w:val="21"/>
                <w:szCs w:val="21"/>
                <w:vertAlign w:val="baseline"/>
                <w:lang w:val="en-US" w:eastAsia="zh-CN"/>
              </w:rPr>
              <w:t xml:space="preserve"> • 在库管理同步：财物位置变动、状态变更（如移交鉴定、调用出示）需实时更新记录。</w:t>
            </w:r>
          </w:p>
          <w:p w14:paraId="22481D70">
            <w:pPr>
              <w:pStyle w:val="2"/>
              <w:numPr>
                <w:ilvl w:val="0"/>
                <w:numId w:val="0"/>
              </w:numPr>
              <w:ind w:leftChars="0"/>
              <w:rPr>
                <w:rFonts w:hint="default" w:eastAsia="宋体" w:cs="Times New Roman"/>
                <w:sz w:val="21"/>
                <w:szCs w:val="21"/>
                <w:vertAlign w:val="baseline"/>
                <w:lang w:val="en-US" w:eastAsia="zh-CN"/>
              </w:rPr>
            </w:pPr>
            <w:r>
              <w:rPr>
                <w:rFonts w:hint="default" w:eastAsia="宋体" w:cs="Times New Roman"/>
                <w:sz w:val="21"/>
                <w:szCs w:val="21"/>
                <w:vertAlign w:val="baseline"/>
                <w:lang w:val="en-US" w:eastAsia="zh-CN"/>
              </w:rPr>
              <w:t xml:space="preserve"> • 出库处置可溯：出库时间、原因（发还、没收、上缴、销毁）、接收方及法律文书信息准确录入，形成闭环。</w:t>
            </w:r>
          </w:p>
          <w:p w14:paraId="473F37C4">
            <w:pPr>
              <w:pStyle w:val="2"/>
              <w:numPr>
                <w:ilvl w:val="0"/>
                <w:numId w:val="2"/>
              </w:numPr>
              <w:ind w:leftChars="0"/>
              <w:rPr>
                <w:rFonts w:hint="eastAsia" w:eastAsia="宋体" w:cs="Times New Roman"/>
                <w:b/>
                <w:bCs w:val="0"/>
                <w:sz w:val="21"/>
                <w:szCs w:val="21"/>
                <w:vertAlign w:val="baseline"/>
                <w:lang w:val="en-US" w:eastAsia="zh-CN"/>
              </w:rPr>
            </w:pPr>
            <w:r>
              <w:rPr>
                <w:rFonts w:hint="eastAsia" w:eastAsia="宋体" w:cs="Times New Roman"/>
                <w:b/>
                <w:bCs w:val="0"/>
                <w:sz w:val="21"/>
                <w:szCs w:val="21"/>
                <w:vertAlign w:val="baseline"/>
                <w:lang w:val="en-US" w:eastAsia="zh-CN"/>
              </w:rPr>
              <w:t>系统操作规范：</w:t>
            </w:r>
          </w:p>
          <w:p w14:paraId="3EB0D9D7">
            <w:pPr>
              <w:pStyle w:val="2"/>
              <w:numPr>
                <w:ilvl w:val="0"/>
                <w:numId w:val="0"/>
              </w:numPr>
              <w:rPr>
                <w:rFonts w:hint="default" w:eastAsia="宋体" w:cs="Times New Roman"/>
                <w:b w:val="0"/>
                <w:bCs/>
                <w:sz w:val="21"/>
                <w:szCs w:val="21"/>
                <w:vertAlign w:val="baseline"/>
                <w:lang w:val="en-US" w:eastAsia="zh-CN"/>
              </w:rPr>
            </w:pPr>
            <w:r>
              <w:rPr>
                <w:rFonts w:hint="default" w:eastAsia="宋体" w:cs="Times New Roman"/>
                <w:b w:val="0"/>
                <w:bCs/>
                <w:sz w:val="21"/>
                <w:szCs w:val="21"/>
                <w:vertAlign w:val="baseline"/>
                <w:lang w:val="en-US" w:eastAsia="zh-CN"/>
              </w:rPr>
              <w:t xml:space="preserve"> • 录入及时：在接收、移交、处置等关键节点后，立即完成信息录入，避免信息滞后或遗忘。</w:t>
            </w:r>
          </w:p>
          <w:p w14:paraId="5D957F35">
            <w:pPr>
              <w:pStyle w:val="2"/>
              <w:numPr>
                <w:ilvl w:val="0"/>
                <w:numId w:val="0"/>
              </w:numPr>
              <w:rPr>
                <w:rFonts w:hint="default" w:eastAsia="宋体" w:cs="Times New Roman"/>
                <w:b w:val="0"/>
                <w:bCs/>
                <w:sz w:val="21"/>
                <w:szCs w:val="21"/>
                <w:vertAlign w:val="baseline"/>
                <w:lang w:val="en-US" w:eastAsia="zh-CN"/>
              </w:rPr>
            </w:pPr>
            <w:r>
              <w:rPr>
                <w:rFonts w:hint="default" w:eastAsia="宋体" w:cs="Times New Roman"/>
                <w:b w:val="0"/>
                <w:bCs/>
                <w:sz w:val="21"/>
                <w:szCs w:val="21"/>
                <w:vertAlign w:val="baseline"/>
                <w:lang w:val="en-US" w:eastAsia="zh-CN"/>
              </w:rPr>
              <w:t xml:space="preserve"> • 要素完整：系统中所有必填项（常以星号*标记）须完整填录，确保信息无遗漏。</w:t>
            </w:r>
          </w:p>
          <w:p w14:paraId="65E1244D">
            <w:pPr>
              <w:pStyle w:val="2"/>
              <w:numPr>
                <w:ilvl w:val="0"/>
                <w:numId w:val="0"/>
              </w:numPr>
              <w:rPr>
                <w:rFonts w:hint="default" w:eastAsia="宋体" w:cs="Times New Roman"/>
                <w:b/>
                <w:bCs w:val="0"/>
                <w:sz w:val="21"/>
                <w:szCs w:val="21"/>
                <w:vertAlign w:val="baseline"/>
                <w:lang w:val="en-US" w:eastAsia="zh-CN"/>
              </w:rPr>
            </w:pPr>
            <w:r>
              <w:rPr>
                <w:rFonts w:hint="default" w:eastAsia="宋体" w:cs="Times New Roman"/>
                <w:b w:val="0"/>
                <w:bCs/>
                <w:sz w:val="21"/>
                <w:szCs w:val="21"/>
                <w:vertAlign w:val="baseline"/>
                <w:lang w:val="en-US" w:eastAsia="zh-CN"/>
              </w:rPr>
              <w:t xml:space="preserve"> • 标准统一：严格遵循既定标准和规范填写，如日期格式、计量单位、专业术语等，保证数据一致性。 </w:t>
            </w:r>
          </w:p>
        </w:tc>
        <w:tc>
          <w:tcPr>
            <w:tcW w:w="1320" w:type="dxa"/>
          </w:tcPr>
          <w:p w14:paraId="139F6742">
            <w:pPr>
              <w:rPr>
                <w:sz w:val="24"/>
                <w:szCs w:val="24"/>
                <w:vertAlign w:val="baseline"/>
              </w:rPr>
            </w:pPr>
          </w:p>
        </w:tc>
        <w:tc>
          <w:tcPr>
            <w:tcW w:w="980" w:type="dxa"/>
            <w:vMerge w:val="continue"/>
          </w:tcPr>
          <w:p w14:paraId="31DD655F">
            <w:pPr>
              <w:rPr>
                <w:sz w:val="24"/>
                <w:szCs w:val="24"/>
                <w:vertAlign w:val="baseline"/>
              </w:rPr>
            </w:pPr>
          </w:p>
        </w:tc>
      </w:tr>
      <w:tr w14:paraId="0ADF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15" w:type="dxa"/>
          </w:tcPr>
          <w:p w14:paraId="12F2201F">
            <w:pPr>
              <w:jc w:val="center"/>
              <w:rPr>
                <w:rFonts w:hint="eastAsia" w:ascii="Times New Roman" w:hAnsi="Times New Roman" w:eastAsia="宋体" w:cs="Times New Roman"/>
                <w:sz w:val="24"/>
                <w:szCs w:val="24"/>
                <w:vertAlign w:val="baseline"/>
              </w:rPr>
            </w:pPr>
            <w:r>
              <w:rPr>
                <w:rFonts w:hint="eastAsia" w:ascii="Times New Roman" w:hAnsi="Times New Roman" w:eastAsia="宋体" w:cs="Times New Roman"/>
                <w:sz w:val="24"/>
                <w:szCs w:val="24"/>
                <w:vertAlign w:val="baseline"/>
              </w:rPr>
              <w:t>响应及时率</w:t>
            </w:r>
            <w:r>
              <w:rPr>
                <w:rFonts w:hint="eastAsia"/>
                <w:sz w:val="24"/>
                <w:szCs w:val="24"/>
                <w:vertAlign w:val="baseline"/>
                <w:lang w:eastAsia="zh-CN"/>
              </w:rPr>
              <w:t>（</w:t>
            </w:r>
            <w:r>
              <w:rPr>
                <w:rFonts w:hint="eastAsia"/>
                <w:sz w:val="24"/>
                <w:szCs w:val="24"/>
                <w:vertAlign w:val="baseline"/>
                <w:lang w:val="en-US" w:eastAsia="zh-CN"/>
              </w:rPr>
              <w:t>满分100，权重15%</w:t>
            </w:r>
            <w:r>
              <w:rPr>
                <w:rFonts w:hint="eastAsia"/>
                <w:sz w:val="24"/>
                <w:szCs w:val="24"/>
                <w:vertAlign w:val="baseline"/>
                <w:lang w:eastAsia="zh-CN"/>
              </w:rPr>
              <w:t>）</w:t>
            </w:r>
          </w:p>
        </w:tc>
        <w:tc>
          <w:tcPr>
            <w:tcW w:w="5378" w:type="dxa"/>
          </w:tcPr>
          <w:p w14:paraId="30AB0CE9">
            <w:pPr>
              <w:numPr>
                <w:ilvl w:val="0"/>
                <w:numId w:val="0"/>
              </w:num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1、入库与登记 ：在提取涉案财物后24小时内完成移交与系统录入。</w:t>
            </w:r>
          </w:p>
          <w:p w14:paraId="6A4E5AC9">
            <w:pPr>
              <w:pStyle w:val="2"/>
              <w:numPr>
                <w:ilvl w:val="0"/>
                <w:numId w:val="0"/>
              </w:num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2、调用与移交</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按规定的审批流程和时限办理，确保调用和归还记录及时准确。</w:t>
            </w:r>
          </w:p>
          <w:p w14:paraId="215D06A0">
            <w:pPr>
              <w:pStyle w:val="2"/>
              <w:numPr>
                <w:ilvl w:val="0"/>
                <w:numId w:val="0"/>
              </w:numPr>
              <w:rPr>
                <w:rFonts w:hint="eastAsia"/>
                <w:lang w:val="en-US" w:eastAsia="zh-CN"/>
              </w:rPr>
            </w:pPr>
            <w:r>
              <w:rPr>
                <w:rFonts w:hint="eastAsia" w:ascii="Calibri" w:hAnsi="Calibri" w:eastAsia="宋体" w:cs="Times New Roman"/>
                <w:b w:val="0"/>
                <w:bCs/>
                <w:spacing w:val="10"/>
                <w:kern w:val="2"/>
                <w:sz w:val="21"/>
                <w:szCs w:val="21"/>
                <w:vertAlign w:val="baseline"/>
                <w:lang w:val="en-US" w:eastAsia="zh-CN" w:bidi="ar-SA"/>
              </w:rPr>
              <w:t>3、处置与发还</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在诉讼程序终结或依法作出处置决定后，及时进行处置（如发还、上缴、拍卖等）</w:t>
            </w:r>
            <w:r>
              <w:rPr>
                <w:rFonts w:hint="eastAsia" w:eastAsia="宋体" w:cs="Times New Roman"/>
                <w:b w:val="0"/>
                <w:bCs/>
                <w:spacing w:val="10"/>
                <w:kern w:val="2"/>
                <w:sz w:val="21"/>
                <w:szCs w:val="21"/>
                <w:vertAlign w:val="baseline"/>
                <w:lang w:val="en-US" w:eastAsia="zh-CN" w:bidi="ar-SA"/>
              </w:rPr>
              <w:t>。</w:t>
            </w:r>
          </w:p>
        </w:tc>
        <w:tc>
          <w:tcPr>
            <w:tcW w:w="1320" w:type="dxa"/>
          </w:tcPr>
          <w:p w14:paraId="3411AE6D">
            <w:pPr>
              <w:rPr>
                <w:sz w:val="24"/>
                <w:szCs w:val="24"/>
                <w:vertAlign w:val="baseline"/>
              </w:rPr>
            </w:pPr>
          </w:p>
        </w:tc>
        <w:tc>
          <w:tcPr>
            <w:tcW w:w="980" w:type="dxa"/>
            <w:vMerge w:val="continue"/>
          </w:tcPr>
          <w:p w14:paraId="3C8A7BD3">
            <w:pPr>
              <w:rPr>
                <w:sz w:val="24"/>
                <w:szCs w:val="24"/>
                <w:vertAlign w:val="baseline"/>
              </w:rPr>
            </w:pPr>
          </w:p>
        </w:tc>
      </w:tr>
      <w:tr w14:paraId="6EEA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15" w:type="dxa"/>
          </w:tcPr>
          <w:p w14:paraId="56F6F769">
            <w:pPr>
              <w:jc w:val="center"/>
              <w:rPr>
                <w:rFonts w:hint="eastAsia" w:ascii="Times New Roman" w:hAnsi="Times New Roman" w:eastAsia="宋体" w:cs="Times New Roman"/>
                <w:sz w:val="24"/>
                <w:szCs w:val="24"/>
                <w:vertAlign w:val="baseline"/>
              </w:rPr>
            </w:pPr>
          </w:p>
          <w:p w14:paraId="6FDEA8F6">
            <w:pPr>
              <w:jc w:val="center"/>
              <w:rPr>
                <w:rFonts w:hint="eastAsia" w:ascii="Times New Roman" w:hAnsi="Times New Roman" w:eastAsia="宋体" w:cs="Times New Roman"/>
                <w:sz w:val="24"/>
                <w:szCs w:val="24"/>
                <w:vertAlign w:val="baseline"/>
              </w:rPr>
            </w:pPr>
          </w:p>
          <w:p w14:paraId="3C6E3D26">
            <w:pPr>
              <w:jc w:val="center"/>
              <w:rPr>
                <w:rFonts w:hint="eastAsia" w:ascii="Times New Roman" w:hAnsi="Times New Roman" w:eastAsia="宋体" w:cs="Times New Roman"/>
                <w:sz w:val="24"/>
                <w:szCs w:val="24"/>
                <w:vertAlign w:val="baseline"/>
              </w:rPr>
            </w:pPr>
          </w:p>
          <w:p w14:paraId="29CE520D">
            <w:pPr>
              <w:jc w:val="center"/>
              <w:rPr>
                <w:rFonts w:hint="eastAsia" w:ascii="Times New Roman" w:hAnsi="Times New Roman" w:eastAsia="宋体" w:cs="Times New Roman"/>
                <w:sz w:val="24"/>
                <w:szCs w:val="24"/>
                <w:vertAlign w:val="baseline"/>
              </w:rPr>
            </w:pPr>
          </w:p>
          <w:p w14:paraId="550686FC">
            <w:pPr>
              <w:jc w:val="center"/>
              <w:rPr>
                <w:rFonts w:hint="eastAsia" w:ascii="Times New Roman" w:hAnsi="Times New Roman" w:eastAsia="宋体" w:cs="Times New Roman"/>
                <w:sz w:val="24"/>
                <w:szCs w:val="24"/>
                <w:vertAlign w:val="baseline"/>
              </w:rPr>
            </w:pPr>
            <w:r>
              <w:rPr>
                <w:rFonts w:hint="eastAsia" w:ascii="Times New Roman" w:hAnsi="Times New Roman" w:eastAsia="宋体" w:cs="Times New Roman"/>
                <w:sz w:val="24"/>
                <w:szCs w:val="24"/>
                <w:vertAlign w:val="baseline"/>
              </w:rPr>
              <w:t>系统稳定性</w:t>
            </w:r>
            <w:r>
              <w:rPr>
                <w:rFonts w:hint="eastAsia"/>
                <w:sz w:val="24"/>
                <w:szCs w:val="24"/>
                <w:vertAlign w:val="baseline"/>
                <w:lang w:eastAsia="zh-CN"/>
              </w:rPr>
              <w:t>（</w:t>
            </w:r>
            <w:r>
              <w:rPr>
                <w:rFonts w:hint="eastAsia"/>
                <w:sz w:val="24"/>
                <w:szCs w:val="24"/>
                <w:vertAlign w:val="baseline"/>
                <w:lang w:val="en-US" w:eastAsia="zh-CN"/>
              </w:rPr>
              <w:t>满分100，权重10%</w:t>
            </w:r>
            <w:r>
              <w:rPr>
                <w:rFonts w:hint="eastAsia"/>
                <w:sz w:val="24"/>
                <w:szCs w:val="24"/>
                <w:vertAlign w:val="baseline"/>
                <w:lang w:eastAsia="zh-CN"/>
              </w:rPr>
              <w:t>）</w:t>
            </w:r>
          </w:p>
        </w:tc>
        <w:tc>
          <w:tcPr>
            <w:tcW w:w="5378" w:type="dxa"/>
          </w:tcPr>
          <w:p w14:paraId="4E6AAD10">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1、数据一致性： 在任何情况下，数据库中的数据都保持逻辑正确和唯一性。例如，同一件财物的状态不能同时显示为“在库”和“出库”，通过数据库事务等机制保证。</w:t>
            </w:r>
          </w:p>
          <w:p w14:paraId="2792E54D">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2、数据完整性： 系统能够防止数据丢失或损坏，确保录入的信息完整存储。</w:t>
            </w:r>
          </w:p>
          <w:p w14:paraId="292D15A8">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3、数据安全性：</w:t>
            </w:r>
          </w:p>
          <w:p w14:paraId="489447CF">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 xml:space="preserve">  · 防篡改： 采用技术手段（如区块链存证、数字签名）确保关键操作日志和财物核心信息不可篡改，保障证据效力。</w:t>
            </w:r>
          </w:p>
          <w:p w14:paraId="322ABBD2">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eastAsia="宋体" w:cs="Times New Roman"/>
                <w:b w:val="0"/>
                <w:bCs/>
                <w:spacing w:val="10"/>
                <w:kern w:val="2"/>
                <w:sz w:val="21"/>
                <w:szCs w:val="21"/>
                <w:vertAlign w:val="baseline"/>
                <w:lang w:val="en-US" w:eastAsia="zh-CN" w:bidi="ar-SA"/>
              </w:rPr>
              <w:t xml:space="preserve">  · 权限控制： 严格的角色权限管理体系，防止越权操作和数据泄露。</w:t>
            </w:r>
          </w:p>
          <w:p w14:paraId="4D0472CB">
            <w:pPr>
              <w:rPr>
                <w:sz w:val="24"/>
                <w:szCs w:val="24"/>
                <w:vertAlign w:val="baseline"/>
              </w:rPr>
            </w:pPr>
            <w:r>
              <w:rPr>
                <w:rFonts w:hint="eastAsia" w:ascii="Calibri" w:hAnsi="Calibri" w:eastAsia="宋体" w:cs="Times New Roman"/>
                <w:b w:val="0"/>
                <w:bCs/>
                <w:spacing w:val="10"/>
                <w:kern w:val="2"/>
                <w:sz w:val="21"/>
                <w:szCs w:val="21"/>
                <w:vertAlign w:val="baseline"/>
                <w:lang w:val="en-US" w:eastAsia="zh-CN" w:bidi="ar-SA"/>
              </w:rPr>
              <w:t xml:space="preserve">  · 安全防护：具备防御网络攻击的能力。</w:t>
            </w:r>
          </w:p>
        </w:tc>
        <w:tc>
          <w:tcPr>
            <w:tcW w:w="1320" w:type="dxa"/>
          </w:tcPr>
          <w:p w14:paraId="4C64F280">
            <w:pPr>
              <w:rPr>
                <w:sz w:val="24"/>
                <w:szCs w:val="24"/>
                <w:vertAlign w:val="baseline"/>
              </w:rPr>
            </w:pPr>
          </w:p>
        </w:tc>
        <w:tc>
          <w:tcPr>
            <w:tcW w:w="980" w:type="dxa"/>
            <w:vMerge w:val="continue"/>
          </w:tcPr>
          <w:p w14:paraId="42EBDE63">
            <w:pPr>
              <w:rPr>
                <w:sz w:val="24"/>
                <w:szCs w:val="24"/>
                <w:vertAlign w:val="baseline"/>
              </w:rPr>
            </w:pPr>
          </w:p>
        </w:tc>
      </w:tr>
      <w:tr w14:paraId="2938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15" w:type="dxa"/>
          </w:tcPr>
          <w:p w14:paraId="41DFB74C">
            <w:pPr>
              <w:jc w:val="center"/>
              <w:rPr>
                <w:rFonts w:hint="eastAsia" w:ascii="Times New Roman" w:hAnsi="Times New Roman" w:eastAsia="宋体" w:cs="Times New Roman"/>
                <w:sz w:val="24"/>
                <w:szCs w:val="24"/>
                <w:vertAlign w:val="baseline"/>
              </w:rPr>
            </w:pPr>
          </w:p>
          <w:p w14:paraId="4446F2FD">
            <w:pPr>
              <w:jc w:val="center"/>
              <w:rPr>
                <w:rFonts w:hint="eastAsia" w:ascii="Times New Roman" w:hAnsi="Times New Roman" w:eastAsia="宋体" w:cs="Times New Roman"/>
                <w:sz w:val="24"/>
                <w:szCs w:val="24"/>
                <w:vertAlign w:val="baseline"/>
              </w:rPr>
            </w:pPr>
          </w:p>
          <w:p w14:paraId="76E55DD6">
            <w:pPr>
              <w:jc w:val="center"/>
              <w:rPr>
                <w:rFonts w:hint="eastAsia" w:ascii="Times New Roman" w:hAnsi="Times New Roman" w:eastAsia="宋体" w:cs="Times New Roman"/>
                <w:sz w:val="24"/>
                <w:szCs w:val="24"/>
                <w:vertAlign w:val="baseline"/>
              </w:rPr>
            </w:pPr>
            <w:r>
              <w:rPr>
                <w:rFonts w:hint="eastAsia" w:ascii="Times New Roman" w:hAnsi="Times New Roman" w:eastAsia="宋体" w:cs="Times New Roman"/>
                <w:sz w:val="24"/>
                <w:szCs w:val="24"/>
                <w:vertAlign w:val="baseline"/>
              </w:rPr>
              <w:t>用户满意度</w:t>
            </w:r>
            <w:r>
              <w:rPr>
                <w:rFonts w:hint="eastAsia"/>
                <w:sz w:val="24"/>
                <w:szCs w:val="24"/>
                <w:vertAlign w:val="baseline"/>
                <w:lang w:eastAsia="zh-CN"/>
              </w:rPr>
              <w:t>（</w:t>
            </w:r>
            <w:r>
              <w:rPr>
                <w:rFonts w:hint="eastAsia"/>
                <w:sz w:val="24"/>
                <w:szCs w:val="24"/>
                <w:vertAlign w:val="baseline"/>
                <w:lang w:val="en-US" w:eastAsia="zh-CN"/>
              </w:rPr>
              <w:t>满分100，权重25%</w:t>
            </w:r>
            <w:r>
              <w:rPr>
                <w:rFonts w:hint="eastAsia"/>
                <w:sz w:val="24"/>
                <w:szCs w:val="24"/>
                <w:vertAlign w:val="baseline"/>
                <w:lang w:eastAsia="zh-CN"/>
              </w:rPr>
              <w:t>）</w:t>
            </w:r>
          </w:p>
        </w:tc>
        <w:tc>
          <w:tcPr>
            <w:tcW w:w="5378" w:type="dxa"/>
          </w:tcPr>
          <w:p w14:paraId="43E38CC8">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1、</w:t>
            </w:r>
            <w:r>
              <w:rPr>
                <w:rFonts w:hint="eastAsia" w:ascii="Calibri" w:hAnsi="Calibri" w:eastAsia="宋体" w:cs="Times New Roman"/>
                <w:b w:val="0"/>
                <w:bCs/>
                <w:spacing w:val="10"/>
                <w:kern w:val="2"/>
                <w:sz w:val="21"/>
                <w:szCs w:val="21"/>
                <w:vertAlign w:val="baseline"/>
                <w:lang w:val="en-US" w:eastAsia="zh-CN" w:bidi="ar-SA"/>
              </w:rPr>
              <w:t>保存状态与响应及时性：调用财物进行辨认、鉴定或庭审时，财物是否能被快速、准确地找到并取出。</w:t>
            </w:r>
          </w:p>
          <w:p w14:paraId="2240A1CC">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2、</w:t>
            </w:r>
            <w:r>
              <w:rPr>
                <w:rFonts w:hint="eastAsia" w:ascii="Calibri" w:hAnsi="Calibri" w:eastAsia="宋体" w:cs="Times New Roman"/>
                <w:b w:val="0"/>
                <w:bCs/>
                <w:spacing w:val="10"/>
                <w:kern w:val="2"/>
                <w:sz w:val="21"/>
                <w:szCs w:val="21"/>
                <w:vertAlign w:val="baseline"/>
                <w:lang w:val="en-US" w:eastAsia="zh-CN" w:bidi="ar-SA"/>
              </w:rPr>
              <w:t xml:space="preserve"> 财物的保管状态是否良好，有无损毁、遗失，包装是否完整。</w:t>
            </w:r>
          </w:p>
          <w:p w14:paraId="16153709">
            <w:pPr>
              <w:rPr>
                <w:sz w:val="24"/>
                <w:szCs w:val="24"/>
                <w:vertAlign w:val="baseline"/>
              </w:rPr>
            </w:pPr>
            <w:r>
              <w:rPr>
                <w:rFonts w:hint="eastAsia" w:ascii="Calibri" w:hAnsi="Calibri" w:cs="Times New Roman"/>
                <w:b w:val="0"/>
                <w:bCs/>
                <w:spacing w:val="10"/>
                <w:kern w:val="2"/>
                <w:sz w:val="21"/>
                <w:szCs w:val="21"/>
                <w:vertAlign w:val="baseline"/>
                <w:lang w:val="en-US" w:eastAsia="zh-CN" w:bidi="ar-SA"/>
              </w:rPr>
              <w:t>3、</w:t>
            </w:r>
            <w:r>
              <w:rPr>
                <w:rFonts w:hint="eastAsia" w:ascii="Calibri" w:hAnsi="Calibri" w:eastAsia="宋体" w:cs="Times New Roman"/>
                <w:b w:val="0"/>
                <w:bCs/>
                <w:spacing w:val="10"/>
                <w:kern w:val="2"/>
                <w:sz w:val="21"/>
                <w:szCs w:val="21"/>
                <w:vertAlign w:val="baseline"/>
                <w:lang w:val="en-US" w:eastAsia="zh-CN" w:bidi="ar-SA"/>
              </w:rPr>
              <w:t>处置环节的及时与规范： 在法院作出生效判决后，涉案财物的处置（发还、上缴、拍卖）能否及时启动并规范完成，避免“积压”。</w:t>
            </w:r>
          </w:p>
        </w:tc>
        <w:tc>
          <w:tcPr>
            <w:tcW w:w="1320" w:type="dxa"/>
          </w:tcPr>
          <w:p w14:paraId="2313AAA3">
            <w:pPr>
              <w:rPr>
                <w:sz w:val="24"/>
                <w:szCs w:val="24"/>
                <w:vertAlign w:val="baseline"/>
              </w:rPr>
            </w:pPr>
          </w:p>
        </w:tc>
        <w:tc>
          <w:tcPr>
            <w:tcW w:w="980" w:type="dxa"/>
            <w:vMerge w:val="continue"/>
          </w:tcPr>
          <w:p w14:paraId="2B3B9909">
            <w:pPr>
              <w:rPr>
                <w:sz w:val="24"/>
                <w:szCs w:val="24"/>
                <w:vertAlign w:val="baseline"/>
              </w:rPr>
            </w:pPr>
          </w:p>
        </w:tc>
      </w:tr>
      <w:tr w14:paraId="0C9F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15" w:type="dxa"/>
          </w:tcPr>
          <w:p w14:paraId="7709BB88">
            <w:pPr>
              <w:jc w:val="center"/>
              <w:rPr>
                <w:rFonts w:hint="eastAsia" w:ascii="Times New Roman" w:hAnsi="Times New Roman" w:eastAsia="宋体" w:cs="Times New Roman"/>
                <w:sz w:val="24"/>
                <w:szCs w:val="24"/>
                <w:vertAlign w:val="baseline"/>
              </w:rPr>
            </w:pPr>
          </w:p>
          <w:p w14:paraId="662929E6">
            <w:pPr>
              <w:jc w:val="center"/>
              <w:rPr>
                <w:rFonts w:hint="eastAsia" w:ascii="Times New Roman" w:hAnsi="Times New Roman" w:eastAsia="宋体" w:cs="Times New Roman"/>
                <w:sz w:val="24"/>
                <w:szCs w:val="24"/>
                <w:vertAlign w:val="baseline"/>
              </w:rPr>
            </w:pPr>
          </w:p>
          <w:p w14:paraId="29DED933">
            <w:pPr>
              <w:jc w:val="center"/>
              <w:rPr>
                <w:rFonts w:hint="eastAsia" w:ascii="Times New Roman" w:hAnsi="Times New Roman" w:eastAsia="宋体" w:cs="Times New Roman"/>
                <w:sz w:val="24"/>
                <w:szCs w:val="24"/>
                <w:vertAlign w:val="baseline"/>
              </w:rPr>
            </w:pPr>
          </w:p>
          <w:p w14:paraId="3A7FB9C7">
            <w:pPr>
              <w:jc w:val="center"/>
              <w:rPr>
                <w:rFonts w:hint="eastAsia" w:ascii="Times New Roman" w:hAnsi="Times New Roman" w:eastAsia="宋体" w:cs="Times New Roman"/>
                <w:sz w:val="24"/>
                <w:szCs w:val="24"/>
                <w:vertAlign w:val="baseline"/>
              </w:rPr>
            </w:pPr>
          </w:p>
          <w:p w14:paraId="530DE250">
            <w:pPr>
              <w:jc w:val="center"/>
              <w:rPr>
                <w:rFonts w:hint="eastAsia" w:ascii="Times New Roman" w:hAnsi="Times New Roman" w:eastAsia="宋体" w:cs="Times New Roman"/>
                <w:sz w:val="24"/>
                <w:szCs w:val="24"/>
                <w:vertAlign w:val="baseline"/>
              </w:rPr>
            </w:pPr>
          </w:p>
          <w:p w14:paraId="3B3FACBC">
            <w:pPr>
              <w:jc w:val="center"/>
              <w:rPr>
                <w:rFonts w:hint="eastAsia" w:ascii="Times New Roman" w:hAnsi="Times New Roman" w:eastAsia="宋体" w:cs="Times New Roman"/>
                <w:sz w:val="24"/>
                <w:szCs w:val="24"/>
                <w:vertAlign w:val="baseline"/>
              </w:rPr>
            </w:pPr>
          </w:p>
          <w:p w14:paraId="25F22DC9">
            <w:pPr>
              <w:jc w:val="center"/>
              <w:rPr>
                <w:rFonts w:hint="eastAsia" w:ascii="Times New Roman" w:hAnsi="Times New Roman" w:eastAsia="宋体" w:cs="Times New Roman"/>
                <w:sz w:val="24"/>
                <w:szCs w:val="24"/>
                <w:vertAlign w:val="baseline"/>
              </w:rPr>
            </w:pPr>
          </w:p>
          <w:p w14:paraId="1607BFAC">
            <w:pPr>
              <w:jc w:val="center"/>
              <w:rPr>
                <w:rFonts w:hint="eastAsia" w:ascii="Times New Roman" w:hAnsi="Times New Roman" w:eastAsia="宋体" w:cs="Times New Roman"/>
                <w:sz w:val="24"/>
                <w:szCs w:val="24"/>
                <w:vertAlign w:val="baseline"/>
              </w:rPr>
            </w:pPr>
          </w:p>
          <w:p w14:paraId="02863982">
            <w:pPr>
              <w:jc w:val="center"/>
              <w:rPr>
                <w:rFonts w:hint="eastAsia" w:ascii="Times New Roman" w:hAnsi="Times New Roman" w:eastAsia="宋体" w:cs="Times New Roman"/>
                <w:sz w:val="24"/>
                <w:szCs w:val="24"/>
                <w:vertAlign w:val="baseline"/>
              </w:rPr>
            </w:pPr>
            <w:r>
              <w:rPr>
                <w:rFonts w:hint="eastAsia" w:ascii="Times New Roman" w:hAnsi="Times New Roman" w:eastAsia="宋体" w:cs="Times New Roman"/>
                <w:sz w:val="24"/>
                <w:szCs w:val="24"/>
                <w:vertAlign w:val="baseline"/>
              </w:rPr>
              <w:t>安全事故</w:t>
            </w:r>
            <w:r>
              <w:rPr>
                <w:rFonts w:hint="eastAsia"/>
                <w:sz w:val="24"/>
                <w:szCs w:val="24"/>
                <w:vertAlign w:val="baseline"/>
                <w:lang w:eastAsia="zh-CN"/>
              </w:rPr>
              <w:t>（</w:t>
            </w:r>
            <w:r>
              <w:rPr>
                <w:rFonts w:hint="eastAsia"/>
                <w:sz w:val="24"/>
                <w:szCs w:val="24"/>
                <w:vertAlign w:val="baseline"/>
                <w:lang w:val="en-US" w:eastAsia="zh-CN"/>
              </w:rPr>
              <w:t>满分100，权重10%</w:t>
            </w:r>
            <w:r>
              <w:rPr>
                <w:rFonts w:hint="eastAsia"/>
                <w:sz w:val="24"/>
                <w:szCs w:val="24"/>
                <w:vertAlign w:val="baseline"/>
                <w:lang w:eastAsia="zh-CN"/>
              </w:rPr>
              <w:t>）</w:t>
            </w:r>
          </w:p>
        </w:tc>
        <w:tc>
          <w:tcPr>
            <w:tcW w:w="5378" w:type="dxa"/>
          </w:tcPr>
          <w:p w14:paraId="612D4E3D">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1、</w:t>
            </w:r>
            <w:r>
              <w:rPr>
                <w:rFonts w:hint="eastAsia" w:ascii="Calibri" w:hAnsi="Calibri" w:eastAsia="宋体" w:cs="Times New Roman"/>
                <w:b w:val="0"/>
                <w:bCs/>
                <w:spacing w:val="10"/>
                <w:kern w:val="2"/>
                <w:sz w:val="21"/>
                <w:szCs w:val="21"/>
                <w:vertAlign w:val="baseline"/>
                <w:lang w:val="en-US" w:eastAsia="zh-CN" w:bidi="ar-SA"/>
              </w:rPr>
              <w:t xml:space="preserve">出现财物腐烂、变质、锈蚀、霉变等情况。 </w:t>
            </w:r>
          </w:p>
          <w:p w14:paraId="458EE29F">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2、</w:t>
            </w:r>
            <w:r>
              <w:rPr>
                <w:rFonts w:hint="eastAsia" w:ascii="Calibri" w:hAnsi="Calibri" w:eastAsia="宋体" w:cs="Times New Roman"/>
                <w:b w:val="0"/>
                <w:bCs/>
                <w:spacing w:val="10"/>
                <w:kern w:val="2"/>
                <w:sz w:val="21"/>
                <w:szCs w:val="21"/>
                <w:vertAlign w:val="baseline"/>
                <w:lang w:val="en-US" w:eastAsia="zh-CN" w:bidi="ar-SA"/>
              </w:rPr>
              <w:t xml:space="preserve">因水火等自然或人为原因受损。 </w:t>
            </w:r>
          </w:p>
          <w:p w14:paraId="58153AEB">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3、</w:t>
            </w:r>
            <w:r>
              <w:rPr>
                <w:rFonts w:hint="eastAsia" w:ascii="Calibri" w:hAnsi="Calibri" w:eastAsia="宋体" w:cs="Times New Roman"/>
                <w:b w:val="0"/>
                <w:bCs/>
                <w:spacing w:val="10"/>
                <w:kern w:val="2"/>
                <w:sz w:val="21"/>
                <w:szCs w:val="21"/>
                <w:vertAlign w:val="baseline"/>
                <w:lang w:val="en-US" w:eastAsia="zh-CN" w:bidi="ar-SA"/>
              </w:rPr>
              <w:t>车辆、设备等因保养不当加速折旧。</w:t>
            </w:r>
          </w:p>
          <w:p w14:paraId="731CBF49">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4、</w:t>
            </w:r>
            <w:r>
              <w:rPr>
                <w:rFonts w:hint="eastAsia" w:ascii="Calibri" w:hAnsi="Calibri" w:eastAsia="宋体" w:cs="Times New Roman"/>
                <w:b w:val="0"/>
                <w:bCs/>
                <w:spacing w:val="10"/>
                <w:kern w:val="2"/>
                <w:sz w:val="21"/>
                <w:szCs w:val="21"/>
                <w:vertAlign w:val="baseline"/>
                <w:lang w:val="en-US" w:eastAsia="zh-CN" w:bidi="ar-SA"/>
              </w:rPr>
              <w:t>保管环境不达标。（如地下室积水、不满足防火、防盗、防腐、防潮等安全要求）</w:t>
            </w:r>
          </w:p>
          <w:p w14:paraId="2D3D73D2">
            <w:pPr>
              <w:rPr>
                <w:rFonts w:hint="eastAsia" w:ascii="Calibri" w:hAnsi="Calibri" w:eastAsia="宋体" w:cs="Times New Roman"/>
                <w:b w:val="0"/>
                <w:bCs/>
                <w:spacing w:val="10"/>
                <w:kern w:val="2"/>
                <w:sz w:val="21"/>
                <w:szCs w:val="21"/>
                <w:vertAlign w:val="baseline"/>
                <w:lang w:val="en-US" w:eastAsia="zh-CN" w:bidi="ar-SA"/>
              </w:rPr>
            </w:pPr>
            <w:r>
              <w:rPr>
                <w:rFonts w:hint="eastAsia" w:ascii="Calibri" w:hAnsi="Calibri" w:cs="Times New Roman"/>
                <w:b w:val="0"/>
                <w:bCs/>
                <w:spacing w:val="10"/>
                <w:kern w:val="2"/>
                <w:sz w:val="21"/>
                <w:szCs w:val="21"/>
                <w:vertAlign w:val="baseline"/>
                <w:lang w:val="en-US" w:eastAsia="zh-CN" w:bidi="ar-SA"/>
              </w:rPr>
              <w:t>5、</w:t>
            </w:r>
            <w:r>
              <w:rPr>
                <w:rFonts w:hint="eastAsia" w:ascii="Calibri" w:hAnsi="Calibri" w:eastAsia="宋体" w:cs="Times New Roman"/>
                <w:b w:val="0"/>
                <w:bCs/>
                <w:spacing w:val="10"/>
                <w:kern w:val="2"/>
                <w:sz w:val="21"/>
                <w:szCs w:val="21"/>
                <w:vertAlign w:val="baseline"/>
                <w:lang w:val="en-US" w:eastAsia="zh-CN" w:bidi="ar-SA"/>
              </w:rPr>
              <w:t>维护措施缺失。（如对需要定期保养的交通工具未做好日常养护）</w:t>
            </w:r>
          </w:p>
          <w:p w14:paraId="0EA0D2E0">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lang w:val="en-US" w:eastAsia="zh-CN"/>
              </w:rPr>
              <w:t>6、</w:t>
            </w:r>
            <w:r>
              <w:rPr>
                <w:rFonts w:hint="eastAsia" w:ascii="Calibri" w:hAnsi="Calibri" w:eastAsia="宋体" w:cs="Times New Roman"/>
                <w:b w:val="0"/>
                <w:bCs/>
                <w:spacing w:val="10"/>
                <w:kern w:val="2"/>
                <w:sz w:val="21"/>
                <w:szCs w:val="21"/>
                <w:vertAlign w:val="baseline"/>
                <w:lang w:val="en-US" w:eastAsia="zh-CN" w:bidi="ar-SA"/>
              </w:rPr>
              <w:t>财物被私分、挪用、调换、非法使用</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p w14:paraId="3C24EECD">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7、</w:t>
            </w:r>
            <w:r>
              <w:rPr>
                <w:rFonts w:hint="eastAsia" w:ascii="Calibri" w:hAnsi="Calibri" w:eastAsia="宋体" w:cs="Times New Roman"/>
                <w:b w:val="0"/>
                <w:bCs/>
                <w:spacing w:val="10"/>
                <w:kern w:val="2"/>
                <w:sz w:val="21"/>
                <w:szCs w:val="21"/>
                <w:vertAlign w:val="baseline"/>
                <w:lang w:val="en-US" w:eastAsia="zh-CN" w:bidi="ar-SA"/>
              </w:rPr>
              <w:t>现金、贵重物品等不翼而飞</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p w14:paraId="2261F742">
            <w:pPr>
              <w:pStyle w:val="2"/>
              <w:rPr>
                <w:rFonts w:hint="eastAsia"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8、</w:t>
            </w:r>
            <w:r>
              <w:rPr>
                <w:rFonts w:hint="eastAsia" w:ascii="Calibri" w:hAnsi="Calibri" w:eastAsia="宋体" w:cs="Times New Roman"/>
                <w:b w:val="0"/>
                <w:bCs/>
                <w:spacing w:val="10"/>
                <w:kern w:val="2"/>
                <w:sz w:val="21"/>
                <w:szCs w:val="21"/>
                <w:vertAlign w:val="baseline"/>
                <w:lang w:val="en-US" w:eastAsia="zh-CN" w:bidi="ar-SA"/>
              </w:rPr>
              <w:t>违规持有，未及时移交集中保管</w:t>
            </w:r>
            <w:r>
              <w:rPr>
                <w:rFonts w:hint="eastAsia" w:eastAsia="宋体" w:cs="Times New Roman"/>
                <w:b w:val="0"/>
                <w:bCs/>
                <w:spacing w:val="10"/>
                <w:kern w:val="2"/>
                <w:sz w:val="21"/>
                <w:szCs w:val="21"/>
                <w:vertAlign w:val="baseline"/>
                <w:lang w:val="en-US" w:eastAsia="zh-CN" w:bidi="ar-SA"/>
              </w:rPr>
              <w:t>。</w:t>
            </w:r>
          </w:p>
          <w:p w14:paraId="42AE178B">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9、</w:t>
            </w:r>
            <w:r>
              <w:rPr>
                <w:rFonts w:hint="eastAsia" w:ascii="Calibri" w:hAnsi="Calibri" w:eastAsia="宋体" w:cs="Times New Roman"/>
                <w:b w:val="0"/>
                <w:bCs/>
                <w:spacing w:val="10"/>
                <w:kern w:val="2"/>
                <w:sz w:val="21"/>
                <w:szCs w:val="21"/>
                <w:vertAlign w:val="baseline"/>
                <w:lang w:val="en-US" w:eastAsia="zh-CN" w:bidi="ar-SA"/>
              </w:rPr>
              <w:t>管理流程漏洞</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（如办案人员自行保管、交接不清、盘点不及时）</w:t>
            </w:r>
          </w:p>
          <w:p w14:paraId="57C8F327">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10、</w:t>
            </w:r>
            <w:r>
              <w:rPr>
                <w:rFonts w:hint="eastAsia" w:ascii="Calibri" w:hAnsi="Calibri" w:eastAsia="宋体" w:cs="Times New Roman"/>
                <w:b w:val="0"/>
                <w:bCs/>
                <w:spacing w:val="10"/>
                <w:kern w:val="2"/>
                <w:sz w:val="21"/>
                <w:szCs w:val="21"/>
                <w:vertAlign w:val="baseline"/>
                <w:lang w:val="en-US" w:eastAsia="zh-CN" w:bidi="ar-SA"/>
              </w:rPr>
              <w:t>人员违纪违法</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（如工作人员利用职务之便非法侵占）</w:t>
            </w:r>
          </w:p>
          <w:p w14:paraId="2D9C2808">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11、</w:t>
            </w:r>
            <w:r>
              <w:rPr>
                <w:rFonts w:hint="eastAsia" w:ascii="Calibri" w:hAnsi="Calibri" w:eastAsia="宋体" w:cs="Times New Roman"/>
                <w:b w:val="0"/>
                <w:bCs/>
                <w:spacing w:val="10"/>
                <w:kern w:val="2"/>
                <w:sz w:val="21"/>
                <w:szCs w:val="21"/>
                <w:vertAlign w:val="baseline"/>
                <w:lang w:val="en-US" w:eastAsia="zh-CN" w:bidi="ar-SA"/>
              </w:rPr>
              <w:t>信息记录不实、不全、混乱</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p w14:paraId="0E317722">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12、</w:t>
            </w:r>
            <w:r>
              <w:rPr>
                <w:rFonts w:hint="eastAsia" w:ascii="Calibri" w:hAnsi="Calibri" w:eastAsia="宋体" w:cs="Times New Roman"/>
                <w:b w:val="0"/>
                <w:bCs/>
                <w:spacing w:val="10"/>
                <w:kern w:val="2"/>
                <w:sz w:val="21"/>
                <w:szCs w:val="21"/>
                <w:vertAlign w:val="baseline"/>
                <w:lang w:val="en-US" w:eastAsia="zh-CN" w:bidi="ar-SA"/>
              </w:rPr>
              <w:t>违规处置，如擅自处理、违反程序返还或拍卖</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p w14:paraId="3D211F97">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13、</w:t>
            </w:r>
            <w:r>
              <w:rPr>
                <w:rFonts w:hint="eastAsia" w:ascii="Calibri" w:hAnsi="Calibri" w:eastAsia="宋体" w:cs="Times New Roman"/>
                <w:b w:val="0"/>
                <w:bCs/>
                <w:spacing w:val="10"/>
                <w:kern w:val="2"/>
                <w:sz w:val="21"/>
                <w:szCs w:val="21"/>
                <w:vertAlign w:val="baseline"/>
                <w:lang w:val="en-US" w:eastAsia="zh-CN" w:bidi="ar-SA"/>
              </w:rPr>
              <w:t>程序违规，如调用、归还手续不全，或调用后未按时归还</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p w14:paraId="7121B4B7">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14、</w:t>
            </w:r>
            <w:r>
              <w:rPr>
                <w:rFonts w:hint="eastAsia" w:ascii="Calibri" w:hAnsi="Calibri" w:eastAsia="宋体" w:cs="Times New Roman"/>
                <w:b w:val="0"/>
                <w:bCs/>
                <w:spacing w:val="10"/>
                <w:kern w:val="2"/>
                <w:sz w:val="21"/>
                <w:szCs w:val="21"/>
                <w:vertAlign w:val="baseline"/>
                <w:lang w:val="en-US" w:eastAsia="zh-CN" w:bidi="ar-SA"/>
              </w:rPr>
              <w:t>因防盗措施不足导致财物失窃</w:t>
            </w:r>
            <w:r>
              <w:rPr>
                <w:rFonts w:hint="eastAsia" w:eastAsia="宋体" w:cs="Times New Roman"/>
                <w:b w:val="0"/>
                <w:bCs/>
                <w:spacing w:val="10"/>
                <w:kern w:val="2"/>
                <w:sz w:val="21"/>
                <w:szCs w:val="21"/>
                <w:vertAlign w:val="baseline"/>
                <w:lang w:val="en-US" w:eastAsia="zh-CN" w:bidi="ar-SA"/>
              </w:rPr>
              <w:t>。</w:t>
            </w:r>
          </w:p>
          <w:p w14:paraId="3E383411">
            <w:pPr>
              <w:pStyle w:val="2"/>
              <w:rPr>
                <w:rFonts w:hint="eastAsia" w:ascii="Calibri" w:hAnsi="Calibri" w:eastAsia="宋体" w:cs="Times New Roman"/>
                <w:b w:val="0"/>
                <w:bCs/>
                <w:spacing w:val="10"/>
                <w:kern w:val="2"/>
                <w:sz w:val="21"/>
                <w:szCs w:val="21"/>
                <w:vertAlign w:val="baseline"/>
                <w:lang w:val="en-US" w:eastAsia="zh-CN" w:bidi="ar-SA"/>
              </w:rPr>
            </w:pPr>
            <w:r>
              <w:rPr>
                <w:rFonts w:hint="eastAsia" w:cs="Times New Roman"/>
                <w:b w:val="0"/>
                <w:bCs/>
                <w:spacing w:val="10"/>
                <w:kern w:val="2"/>
                <w:sz w:val="21"/>
                <w:szCs w:val="21"/>
                <w:vertAlign w:val="baseline"/>
                <w:lang w:val="en-US" w:eastAsia="zh-CN" w:bidi="ar-SA"/>
              </w:rPr>
              <w:t>15、</w:t>
            </w:r>
            <w:r>
              <w:rPr>
                <w:rFonts w:hint="eastAsia" w:ascii="Calibri" w:hAnsi="Calibri" w:eastAsia="宋体" w:cs="Times New Roman"/>
                <w:b w:val="0"/>
                <w:bCs/>
                <w:spacing w:val="10"/>
                <w:kern w:val="2"/>
                <w:sz w:val="21"/>
                <w:szCs w:val="21"/>
                <w:vertAlign w:val="baseline"/>
                <w:lang w:val="en-US" w:eastAsia="zh-CN" w:bidi="ar-SA"/>
              </w:rPr>
              <w:t>无关人员擅自进入保管场所</w:t>
            </w:r>
            <w:r>
              <w:rPr>
                <w:rFonts w:hint="eastAsia" w:eastAsia="宋体" w:cs="Times New Roman"/>
                <w:b w:val="0"/>
                <w:bCs/>
                <w:spacing w:val="10"/>
                <w:kern w:val="2"/>
                <w:sz w:val="21"/>
                <w:szCs w:val="21"/>
                <w:vertAlign w:val="baseline"/>
                <w:lang w:val="en-US" w:eastAsia="zh-CN" w:bidi="ar-SA"/>
              </w:rPr>
              <w:t>。</w:t>
            </w:r>
            <w:r>
              <w:rPr>
                <w:rFonts w:hint="eastAsia" w:ascii="Calibri" w:hAnsi="Calibri" w:eastAsia="宋体" w:cs="Times New Roman"/>
                <w:b w:val="0"/>
                <w:bCs/>
                <w:spacing w:val="10"/>
                <w:kern w:val="2"/>
                <w:sz w:val="21"/>
                <w:szCs w:val="21"/>
                <w:vertAlign w:val="baseline"/>
                <w:lang w:val="en-US" w:eastAsia="zh-CN" w:bidi="ar-SA"/>
              </w:rPr>
              <w:t xml:space="preserve"> </w:t>
            </w:r>
          </w:p>
        </w:tc>
        <w:tc>
          <w:tcPr>
            <w:tcW w:w="1320" w:type="dxa"/>
          </w:tcPr>
          <w:p w14:paraId="5D518383">
            <w:pPr>
              <w:rPr>
                <w:sz w:val="24"/>
                <w:szCs w:val="24"/>
                <w:vertAlign w:val="baseline"/>
              </w:rPr>
            </w:pPr>
          </w:p>
        </w:tc>
        <w:tc>
          <w:tcPr>
            <w:tcW w:w="980" w:type="dxa"/>
            <w:vMerge w:val="continue"/>
          </w:tcPr>
          <w:p w14:paraId="3D2F7605">
            <w:pPr>
              <w:rPr>
                <w:sz w:val="24"/>
                <w:szCs w:val="24"/>
                <w:vertAlign w:val="baseline"/>
              </w:rPr>
            </w:pPr>
          </w:p>
        </w:tc>
      </w:tr>
    </w:tbl>
    <w:p w14:paraId="0B035FFB">
      <w:pPr>
        <w:rPr>
          <w:sz w:val="28"/>
          <w:szCs w:val="36"/>
        </w:rPr>
      </w:pPr>
      <w:r>
        <w:rPr>
          <w:sz w:val="28"/>
          <w:szCs w:val="36"/>
        </w:rPr>
        <w:br w:type="page"/>
      </w:r>
    </w:p>
    <w:p w14:paraId="1D27BE31">
      <w:pPr>
        <w:pStyle w:val="2"/>
      </w:pPr>
    </w:p>
    <w:p w14:paraId="3ABAF49B">
      <w:pPr>
        <w:pStyle w:val="3"/>
        <w:jc w:val="center"/>
        <w:rPr>
          <w:rFonts w:ascii="宋体" w:hAnsi="宋体" w:cs="仿宋_GB2312"/>
          <w:color w:val="auto"/>
          <w:highlight w:val="none"/>
        </w:rPr>
      </w:pPr>
      <w:bookmarkStart w:id="252" w:name="_Toc27474"/>
      <w:r>
        <w:rPr>
          <w:rFonts w:hint="eastAsia" w:ascii="宋体" w:hAnsi="宋体" w:cs="仿宋_GB2312"/>
          <w:b w:val="0"/>
          <w:color w:val="auto"/>
          <w:highlight w:val="none"/>
        </w:rPr>
        <w:t>第七章 质疑、投诉材料格式</w:t>
      </w:r>
      <w:bookmarkEnd w:id="252"/>
    </w:p>
    <w:p w14:paraId="74EA2193">
      <w:pPr>
        <w:widowControl/>
        <w:spacing w:line="576" w:lineRule="auto"/>
        <w:jc w:val="left"/>
        <w:rPr>
          <w:rFonts w:ascii="宋体" w:hAnsi="宋体" w:cs="仿宋_GB2312"/>
          <w:b/>
          <w:bCs/>
          <w:color w:val="auto"/>
          <w:kern w:val="44"/>
          <w:sz w:val="44"/>
          <w:szCs w:val="44"/>
          <w:highlight w:val="none"/>
        </w:rPr>
        <w:sectPr>
          <w:pgSz w:w="11911" w:h="16838"/>
          <w:pgMar w:top="1417" w:right="1417" w:bottom="1417" w:left="1417" w:header="720" w:footer="720" w:gutter="0"/>
          <w:cols w:space="0" w:num="1"/>
        </w:sectPr>
      </w:pPr>
    </w:p>
    <w:p w14:paraId="46134D3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质疑函（格式）</w:t>
      </w:r>
    </w:p>
    <w:p w14:paraId="25D18E25">
      <w:pPr>
        <w:pStyle w:val="12"/>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一、质疑供应商基本信息：</w:t>
      </w:r>
    </w:p>
    <w:p w14:paraId="65A44C22">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质疑供应商：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4FF71F5">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5F13E33">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365076C4">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授权代表：</w:t>
      </w:r>
      <w:r>
        <w:rPr>
          <w:rFonts w:hint="eastAsia" w:hAnsi="宋体"/>
          <w:bCs/>
          <w:color w:val="auto"/>
          <w:sz w:val="24"/>
          <w:highlight w:val="none"/>
          <w:u w:val="single"/>
        </w:rPr>
        <w:t xml:space="preserve">                      </w:t>
      </w:r>
    </w:p>
    <w:p w14:paraId="6AD26BBF">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05561E34">
      <w:pPr>
        <w:pStyle w:val="12"/>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478DAFF">
      <w:pPr>
        <w:pStyle w:val="12"/>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二、质疑项目基本情况：</w:t>
      </w:r>
    </w:p>
    <w:p w14:paraId="434DA54C">
      <w:pPr>
        <w:pStyle w:val="12"/>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2026年涉案财物集中委托管理处置服务采购</w:t>
      </w:r>
      <w:r>
        <w:rPr>
          <w:rFonts w:hint="eastAsia" w:hAnsi="宋体"/>
          <w:bCs/>
          <w:color w:val="auto"/>
          <w:sz w:val="24"/>
          <w:highlight w:val="none"/>
          <w:u w:val="single"/>
        </w:rPr>
        <w:t xml:space="preserve"> </w:t>
      </w:r>
    </w:p>
    <w:p w14:paraId="3868C8BA">
      <w:pPr>
        <w:pStyle w:val="12"/>
        <w:spacing w:line="360" w:lineRule="auto"/>
        <w:ind w:left="25" w:leftChars="12" w:firstLine="472" w:firstLineChars="197"/>
        <w:contextualSpacing/>
        <w:rPr>
          <w:rFonts w:hAnsi="宋体"/>
          <w:color w:val="auto"/>
          <w:sz w:val="24"/>
          <w:highlight w:val="none"/>
        </w:rPr>
      </w:pPr>
      <w:r>
        <w:rPr>
          <w:rFonts w:hint="eastAsia" w:hAnsi="宋体"/>
          <w:bCs/>
          <w:color w:val="auto"/>
          <w:sz w:val="24"/>
          <w:highlight w:val="none"/>
        </w:rPr>
        <w:t>质疑</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E086E04">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采购人名称：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南宁市财政局</w:t>
      </w:r>
      <w:r>
        <w:rPr>
          <w:rFonts w:hint="eastAsia" w:hAnsi="宋体"/>
          <w:bCs/>
          <w:color w:val="auto"/>
          <w:sz w:val="24"/>
          <w:highlight w:val="none"/>
          <w:u w:val="single"/>
        </w:rPr>
        <w:t xml:space="preserve">  </w:t>
      </w:r>
    </w:p>
    <w:p w14:paraId="33EEDF64">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w:t>
      </w:r>
    </w:p>
    <w:p w14:paraId="0EA8D56B">
      <w:pPr>
        <w:pStyle w:val="12"/>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□采购文件   采购文件获取日期：</w:t>
      </w:r>
      <w:r>
        <w:rPr>
          <w:rFonts w:hint="eastAsia" w:hAnsi="宋体"/>
          <w:bCs/>
          <w:color w:val="auto"/>
          <w:sz w:val="24"/>
          <w:highlight w:val="none"/>
          <w:u w:val="single"/>
        </w:rPr>
        <w:t xml:space="preserve">                                   </w:t>
      </w:r>
    </w:p>
    <w:p w14:paraId="54D5E338">
      <w:pPr>
        <w:pStyle w:val="12"/>
        <w:spacing w:line="360" w:lineRule="auto"/>
        <w:ind w:left="25" w:leftChars="12" w:firstLine="352" w:firstLineChars="147"/>
        <w:contextualSpacing/>
        <w:rPr>
          <w:rFonts w:hAnsi="宋体"/>
          <w:color w:val="auto"/>
          <w:sz w:val="24"/>
          <w:highlight w:val="none"/>
        </w:rPr>
      </w:pPr>
      <w:r>
        <w:rPr>
          <w:rFonts w:hint="eastAsia" w:hAnsi="宋体"/>
          <w:color w:val="auto"/>
          <w:sz w:val="24"/>
          <w:highlight w:val="none"/>
        </w:rPr>
        <w:t xml:space="preserve">□采购过程   </w:t>
      </w:r>
    </w:p>
    <w:p w14:paraId="2C7B7BD8">
      <w:pPr>
        <w:pStyle w:val="12"/>
        <w:spacing w:line="360" w:lineRule="auto"/>
        <w:ind w:left="25" w:leftChars="12" w:firstLine="352" w:firstLineChars="147"/>
        <w:contextualSpacing/>
        <w:rPr>
          <w:rFonts w:hAnsi="宋体"/>
          <w:bCs/>
          <w:color w:val="auto"/>
          <w:sz w:val="24"/>
          <w:highlight w:val="none"/>
          <w:u w:val="single"/>
        </w:rPr>
      </w:pPr>
      <w:r>
        <w:rPr>
          <w:rFonts w:hint="eastAsia" w:hAnsi="宋体"/>
          <w:color w:val="auto"/>
          <w:sz w:val="24"/>
          <w:highlight w:val="none"/>
        </w:rPr>
        <w:t xml:space="preserve">□成交结果   </w:t>
      </w:r>
    </w:p>
    <w:p w14:paraId="3F9971D7">
      <w:pPr>
        <w:pStyle w:val="12"/>
        <w:spacing w:line="360" w:lineRule="auto"/>
        <w:ind w:left="25" w:leftChars="12" w:firstLine="472" w:firstLineChars="196"/>
        <w:contextualSpacing/>
        <w:rPr>
          <w:rFonts w:hAnsi="宋体"/>
          <w:b/>
          <w:color w:val="auto"/>
          <w:sz w:val="24"/>
          <w:highlight w:val="none"/>
        </w:rPr>
      </w:pPr>
      <w:r>
        <w:rPr>
          <w:rFonts w:hint="eastAsia" w:hAnsi="宋体"/>
          <w:b/>
          <w:color w:val="auto"/>
          <w:sz w:val="24"/>
          <w:highlight w:val="none"/>
        </w:rPr>
        <w:t>三、质疑事项具体内容</w:t>
      </w:r>
    </w:p>
    <w:p w14:paraId="609F0D9C">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质疑事项1：</w:t>
      </w:r>
      <w:r>
        <w:rPr>
          <w:rFonts w:hint="eastAsia" w:hAnsi="宋体"/>
          <w:bCs/>
          <w:color w:val="auto"/>
          <w:sz w:val="24"/>
          <w:highlight w:val="none"/>
          <w:u w:val="single"/>
        </w:rPr>
        <w:t xml:space="preserve">                                                                    </w:t>
      </w:r>
    </w:p>
    <w:p w14:paraId="5BB25260">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事实依据：</w:t>
      </w:r>
      <w:r>
        <w:rPr>
          <w:rFonts w:hint="eastAsia" w:hAnsi="宋体"/>
          <w:bCs/>
          <w:color w:val="auto"/>
          <w:sz w:val="24"/>
          <w:highlight w:val="none"/>
          <w:u w:val="single"/>
        </w:rPr>
        <w:t xml:space="preserve">                                                                      </w:t>
      </w:r>
    </w:p>
    <w:p w14:paraId="47755C1E">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法律依据：</w:t>
      </w:r>
      <w:r>
        <w:rPr>
          <w:rFonts w:hint="eastAsia" w:hAnsi="宋体"/>
          <w:color w:val="auto"/>
          <w:sz w:val="24"/>
          <w:highlight w:val="none"/>
          <w:u w:val="single"/>
        </w:rPr>
        <w:t xml:space="preserve">                                                        </w:t>
      </w:r>
      <w:r>
        <w:rPr>
          <w:rFonts w:hint="eastAsia" w:hAnsi="宋体"/>
          <w:bCs/>
          <w:color w:val="auto"/>
          <w:sz w:val="24"/>
          <w:highlight w:val="none"/>
          <w:u w:val="single"/>
        </w:rPr>
        <w:t xml:space="preserve">               </w:t>
      </w:r>
    </w:p>
    <w:p w14:paraId="654A565D">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质疑事项2</w:t>
      </w:r>
    </w:p>
    <w:p w14:paraId="2E33BC0E">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w:t>
      </w:r>
    </w:p>
    <w:p w14:paraId="61C3C479">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四、与质疑事项相关的质疑请求：</w:t>
      </w:r>
    </w:p>
    <w:p w14:paraId="50D9B7EB">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6829D93E">
      <w:pPr>
        <w:pStyle w:val="12"/>
        <w:spacing w:line="360" w:lineRule="auto"/>
        <w:ind w:left="25" w:leftChars="12" w:firstLine="352" w:firstLineChars="147"/>
        <w:contextualSpacing/>
        <w:rPr>
          <w:rFonts w:hAnsi="宋体"/>
          <w:color w:val="auto"/>
          <w:sz w:val="24"/>
          <w:highlight w:val="none"/>
        </w:rPr>
      </w:pPr>
    </w:p>
    <w:p w14:paraId="426FAFE7">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签字（签章）：                                       公章：</w:t>
      </w:r>
    </w:p>
    <w:p w14:paraId="15AB70CA">
      <w:pPr>
        <w:pStyle w:val="12"/>
        <w:spacing w:line="360" w:lineRule="auto"/>
        <w:ind w:left="25" w:leftChars="12" w:firstLine="352" w:firstLineChars="147"/>
        <w:contextualSpacing/>
        <w:rPr>
          <w:rFonts w:hAnsi="宋体"/>
          <w:color w:val="auto"/>
          <w:sz w:val="24"/>
          <w:highlight w:val="none"/>
        </w:rPr>
      </w:pPr>
    </w:p>
    <w:p w14:paraId="476E9278">
      <w:pPr>
        <w:pStyle w:val="12"/>
        <w:spacing w:line="360" w:lineRule="auto"/>
        <w:ind w:left="25" w:leftChars="12" w:firstLine="472" w:firstLineChars="197"/>
        <w:contextualSpacing/>
        <w:rPr>
          <w:rFonts w:hAnsi="宋体"/>
          <w:color w:val="auto"/>
          <w:sz w:val="24"/>
          <w:highlight w:val="none"/>
        </w:rPr>
      </w:pPr>
      <w:r>
        <w:rPr>
          <w:rFonts w:hint="eastAsia" w:hAnsi="宋体"/>
          <w:color w:val="auto"/>
          <w:sz w:val="24"/>
          <w:highlight w:val="none"/>
        </w:rPr>
        <w:t>日期：</w:t>
      </w:r>
    </w:p>
    <w:p w14:paraId="30139B52">
      <w:pPr>
        <w:pStyle w:val="12"/>
        <w:spacing w:line="360" w:lineRule="auto"/>
        <w:rPr>
          <w:rFonts w:hAnsi="宋体"/>
          <w:b/>
          <w:color w:val="auto"/>
          <w:sz w:val="24"/>
          <w:highlight w:val="none"/>
        </w:rPr>
      </w:pPr>
    </w:p>
    <w:p w14:paraId="34D07706">
      <w:pPr>
        <w:pStyle w:val="12"/>
        <w:spacing w:line="360" w:lineRule="auto"/>
        <w:rPr>
          <w:rFonts w:hAnsi="宋体"/>
          <w:b/>
          <w:color w:val="auto"/>
          <w:sz w:val="24"/>
          <w:highlight w:val="none"/>
        </w:rPr>
      </w:pPr>
    </w:p>
    <w:p w14:paraId="3D2519C1">
      <w:pPr>
        <w:pStyle w:val="12"/>
        <w:spacing w:line="360" w:lineRule="auto"/>
        <w:rPr>
          <w:rFonts w:hAnsi="宋体"/>
          <w:b/>
          <w:color w:val="auto"/>
          <w:sz w:val="24"/>
          <w:highlight w:val="none"/>
        </w:rPr>
      </w:pPr>
      <w:r>
        <w:rPr>
          <w:rFonts w:hint="eastAsia" w:hAnsi="宋体"/>
          <w:b/>
          <w:color w:val="auto"/>
          <w:sz w:val="24"/>
          <w:highlight w:val="none"/>
        </w:rPr>
        <w:t>说明：</w:t>
      </w:r>
    </w:p>
    <w:p w14:paraId="366F9DA8">
      <w:pPr>
        <w:pStyle w:val="12"/>
        <w:spacing w:line="360" w:lineRule="auto"/>
        <w:ind w:left="25" w:leftChars="12" w:firstLine="354" w:firstLineChars="147"/>
        <w:contextualSpacing/>
        <w:rPr>
          <w:rFonts w:hAnsi="宋体"/>
          <w:b/>
          <w:bCs/>
          <w:color w:val="auto"/>
          <w:sz w:val="24"/>
          <w:highlight w:val="none"/>
        </w:rPr>
      </w:pPr>
      <w:r>
        <w:rPr>
          <w:rFonts w:hint="eastAsia" w:hAnsi="宋体"/>
          <w:b/>
          <w:color w:val="auto"/>
          <w:sz w:val="24"/>
          <w:highlight w:val="none"/>
        </w:rPr>
        <w:t>1.供应商提出质疑时，应提交质疑函和必要的证明材料</w:t>
      </w:r>
      <w:r>
        <w:rPr>
          <w:rFonts w:hint="eastAsia" w:hAnsi="宋体"/>
          <w:b/>
          <w:bCs/>
          <w:color w:val="auto"/>
          <w:sz w:val="24"/>
          <w:highlight w:val="none"/>
        </w:rPr>
        <w:t>。</w:t>
      </w:r>
    </w:p>
    <w:p w14:paraId="2E7BDD02">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5FF721">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3.质疑函的质疑事项应具体、明确，并有必要的事实依据和法律依据。</w:t>
      </w:r>
    </w:p>
    <w:p w14:paraId="236915A7">
      <w:pPr>
        <w:pStyle w:val="12"/>
        <w:spacing w:line="360" w:lineRule="auto"/>
        <w:ind w:left="25" w:leftChars="12" w:firstLine="354" w:firstLineChars="147"/>
        <w:contextualSpacing/>
        <w:rPr>
          <w:rFonts w:hAnsi="宋体"/>
          <w:b/>
          <w:color w:val="auto"/>
          <w:sz w:val="24"/>
          <w:highlight w:val="none"/>
        </w:rPr>
      </w:pPr>
      <w:r>
        <w:rPr>
          <w:rFonts w:hint="eastAsia" w:hAnsi="宋体"/>
          <w:b/>
          <w:color w:val="auto"/>
          <w:sz w:val="24"/>
          <w:highlight w:val="none"/>
        </w:rPr>
        <w:t>4.质疑函的质疑请求应与质疑事项相关。</w:t>
      </w:r>
    </w:p>
    <w:p w14:paraId="2F322184">
      <w:pPr>
        <w:pStyle w:val="12"/>
        <w:spacing w:line="360" w:lineRule="auto"/>
        <w:ind w:left="25" w:leftChars="12" w:firstLine="354" w:firstLineChars="147"/>
        <w:contextualSpacing/>
        <w:rPr>
          <w:rFonts w:hAnsi="宋体"/>
          <w:b/>
          <w:color w:val="auto"/>
          <w:highlight w:val="none"/>
        </w:rPr>
      </w:pPr>
      <w:r>
        <w:rPr>
          <w:rFonts w:hint="eastAsia" w:hAnsi="宋体"/>
          <w:b/>
          <w:color w:val="auto"/>
          <w:sz w:val="24"/>
          <w:highlight w:val="none"/>
        </w:rPr>
        <w:t>5.质疑供应商为法人或者其他组织的，质疑函应由法定代表人、主要负责人，或者其授权代表签字或者盖章，并加盖公章。</w:t>
      </w:r>
    </w:p>
    <w:p w14:paraId="57866C02">
      <w:pPr>
        <w:pStyle w:val="12"/>
        <w:snapToGrid w:val="0"/>
        <w:rPr>
          <w:b/>
          <w:color w:val="auto"/>
          <w:sz w:val="24"/>
          <w:highlight w:val="none"/>
        </w:rPr>
      </w:pPr>
    </w:p>
    <w:p w14:paraId="5F8AE973">
      <w:pPr>
        <w:spacing w:line="460" w:lineRule="exact"/>
        <w:jc w:val="center"/>
        <w:rPr>
          <w:rFonts w:eastAsia="隶书"/>
          <w:color w:val="auto"/>
          <w:sz w:val="44"/>
          <w:highlight w:val="none"/>
        </w:rPr>
      </w:pPr>
      <w:r>
        <w:rPr>
          <w:rFonts w:eastAsia="隶书"/>
          <w:color w:val="auto"/>
          <w:sz w:val="44"/>
          <w:highlight w:val="none"/>
        </w:rPr>
        <w:br w:type="page"/>
      </w:r>
    </w:p>
    <w:p w14:paraId="5B944BB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14:paraId="7368CC99">
      <w:pPr>
        <w:pStyle w:val="12"/>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一、投诉相关主体基本情况：</w:t>
      </w:r>
    </w:p>
    <w:p w14:paraId="257CE61F">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供应商：</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70A111BC">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5079DD9C">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法定代表人/主要负责人：</w:t>
      </w:r>
      <w:r>
        <w:rPr>
          <w:rFonts w:hint="eastAsia" w:hAnsi="宋体"/>
          <w:bCs/>
          <w:color w:val="auto"/>
          <w:sz w:val="24"/>
          <w:highlight w:val="none"/>
          <w:u w:val="single"/>
        </w:rPr>
        <w:t xml:space="preserve">                                                         </w:t>
      </w:r>
    </w:p>
    <w:p w14:paraId="7A1FFE57">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联系电话：</w:t>
      </w:r>
      <w:r>
        <w:rPr>
          <w:rFonts w:hint="eastAsia" w:hAnsi="宋体"/>
          <w:bCs/>
          <w:color w:val="auto"/>
          <w:sz w:val="24"/>
          <w:highlight w:val="none"/>
          <w:u w:val="single"/>
        </w:rPr>
        <w:t xml:space="preserve">                                         </w:t>
      </w:r>
    </w:p>
    <w:p w14:paraId="45A868A1">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授权代表：</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3366EAA">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1F5B6CE4">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3A05BFDE">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被投诉人1：</w:t>
      </w:r>
    </w:p>
    <w:p w14:paraId="75087580">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p>
    <w:p w14:paraId="6D37ED70">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邮编：</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F79DCE6">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p>
    <w:p w14:paraId="5E94E13A">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被投诉人2：</w:t>
      </w:r>
    </w:p>
    <w:p w14:paraId="41831669">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w:t>
      </w:r>
    </w:p>
    <w:p w14:paraId="04A4FE83">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相关供应商：</w:t>
      </w:r>
      <w:r>
        <w:rPr>
          <w:rFonts w:hint="eastAsia" w:hAnsi="宋体"/>
          <w:bCs/>
          <w:color w:val="auto"/>
          <w:sz w:val="24"/>
          <w:highlight w:val="none"/>
          <w:u w:val="single"/>
        </w:rPr>
        <w:t xml:space="preserve">                                                                       </w:t>
      </w:r>
    </w:p>
    <w:p w14:paraId="32BDC60B">
      <w:pPr>
        <w:pStyle w:val="12"/>
        <w:snapToGrid w:val="0"/>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地址：</w:t>
      </w:r>
      <w:r>
        <w:rPr>
          <w:rFonts w:hint="eastAsia" w:hAnsi="宋体"/>
          <w:bCs/>
          <w:color w:val="auto"/>
          <w:sz w:val="24"/>
          <w:highlight w:val="none"/>
          <w:u w:val="single"/>
        </w:rPr>
        <w:t xml:space="preserve">                                              </w:t>
      </w:r>
      <w:r>
        <w:rPr>
          <w:rFonts w:hint="eastAsia" w:hAnsi="宋体"/>
          <w:bCs/>
          <w:color w:val="auto"/>
          <w:sz w:val="24"/>
          <w:highlight w:val="none"/>
        </w:rPr>
        <w:t>邮编：</w:t>
      </w:r>
      <w:r>
        <w:rPr>
          <w:rFonts w:hint="eastAsia" w:hAnsi="宋体"/>
          <w:bCs/>
          <w:color w:val="auto"/>
          <w:sz w:val="24"/>
          <w:highlight w:val="none"/>
          <w:u w:val="single"/>
        </w:rPr>
        <w:t xml:space="preserve">                         </w:t>
      </w:r>
    </w:p>
    <w:p w14:paraId="34D0B103">
      <w:pPr>
        <w:pStyle w:val="12"/>
        <w:snapToGrid w:val="0"/>
        <w:spacing w:line="360" w:lineRule="auto"/>
        <w:ind w:left="0" w:leftChars="0" w:firstLine="480" w:firstLineChars="200"/>
        <w:rPr>
          <w:rFonts w:hAnsi="宋体"/>
          <w:bCs/>
          <w:color w:val="auto"/>
          <w:sz w:val="24"/>
          <w:highlight w:val="none"/>
        </w:rPr>
      </w:pPr>
      <w:r>
        <w:rPr>
          <w:rFonts w:hint="eastAsia" w:hAnsi="宋体"/>
          <w:bCs/>
          <w:color w:val="auto"/>
          <w:sz w:val="24"/>
          <w:highlight w:val="none"/>
        </w:rPr>
        <w:t>联系人：</w:t>
      </w:r>
      <w:r>
        <w:rPr>
          <w:rFonts w:hint="eastAsia" w:hAnsi="宋体"/>
          <w:bCs/>
          <w:color w:val="auto"/>
          <w:sz w:val="24"/>
          <w:highlight w:val="none"/>
          <w:u w:val="single"/>
        </w:rPr>
        <w:t xml:space="preserve">                                            </w:t>
      </w:r>
      <w:r>
        <w:rPr>
          <w:rFonts w:hint="eastAsia" w:hAnsi="宋体"/>
          <w:bCs/>
          <w:color w:val="auto"/>
          <w:sz w:val="24"/>
          <w:highlight w:val="none"/>
        </w:rPr>
        <w:t>联系电话：</w:t>
      </w:r>
      <w:r>
        <w:rPr>
          <w:rFonts w:hint="eastAsia" w:hAnsi="宋体"/>
          <w:bCs/>
          <w:color w:val="auto"/>
          <w:sz w:val="24"/>
          <w:highlight w:val="none"/>
          <w:u w:val="single"/>
        </w:rPr>
        <w:t xml:space="preserve">                     </w:t>
      </w:r>
      <w:r>
        <w:rPr>
          <w:rFonts w:hint="eastAsia" w:hAnsi="宋体"/>
          <w:bCs/>
          <w:color w:val="auto"/>
          <w:sz w:val="24"/>
          <w:highlight w:val="none"/>
        </w:rPr>
        <w:t xml:space="preserve">                </w:t>
      </w:r>
    </w:p>
    <w:p w14:paraId="1E66C2F0">
      <w:pPr>
        <w:pStyle w:val="12"/>
        <w:snapToGrid w:val="0"/>
        <w:spacing w:line="360" w:lineRule="auto"/>
        <w:ind w:left="0" w:leftChars="0" w:firstLine="482" w:firstLineChars="200"/>
        <w:rPr>
          <w:rFonts w:hAnsi="宋体"/>
          <w:b/>
          <w:bCs/>
          <w:color w:val="auto"/>
          <w:sz w:val="24"/>
          <w:highlight w:val="none"/>
        </w:rPr>
      </w:pPr>
      <w:r>
        <w:rPr>
          <w:rFonts w:hint="eastAsia" w:hAnsi="宋体"/>
          <w:b/>
          <w:bCs/>
          <w:color w:val="auto"/>
          <w:sz w:val="24"/>
          <w:highlight w:val="none"/>
        </w:rPr>
        <w:t>二、投诉项目基本情况：</w:t>
      </w:r>
    </w:p>
    <w:p w14:paraId="3757E63C">
      <w:pPr>
        <w:pStyle w:val="12"/>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2026年涉案财物集中委托管理处置服务采购</w:t>
      </w:r>
      <w:r>
        <w:rPr>
          <w:rFonts w:hint="eastAsia" w:hAnsi="宋体"/>
          <w:bCs/>
          <w:color w:val="auto"/>
          <w:sz w:val="24"/>
          <w:highlight w:val="none"/>
          <w:u w:val="single"/>
        </w:rPr>
        <w:t xml:space="preserve">    </w:t>
      </w:r>
    </w:p>
    <w:p w14:paraId="6B6F9126">
      <w:pPr>
        <w:pStyle w:val="12"/>
        <w:spacing w:line="360" w:lineRule="auto"/>
        <w:ind w:left="25" w:leftChars="12" w:firstLine="472" w:firstLineChars="197"/>
        <w:rPr>
          <w:rFonts w:hAnsi="宋体"/>
          <w:color w:val="auto"/>
          <w:sz w:val="24"/>
          <w:highlight w:val="none"/>
        </w:rPr>
      </w:pPr>
      <w:r>
        <w:rPr>
          <w:rFonts w:hint="eastAsia" w:hAnsi="宋体"/>
          <w:bCs/>
          <w:color w:val="auto"/>
          <w:sz w:val="24"/>
          <w:highlight w:val="none"/>
        </w:rPr>
        <w:t>采购</w:t>
      </w:r>
      <w:r>
        <w:rPr>
          <w:rFonts w:hint="eastAsia" w:hAnsi="宋体"/>
          <w:color w:val="auto"/>
          <w:sz w:val="24"/>
          <w:highlight w:val="none"/>
        </w:rPr>
        <w:t>项目的编号：</w:t>
      </w:r>
      <w:r>
        <w:rPr>
          <w:rFonts w:hint="eastAsia" w:hAnsi="宋体"/>
          <w:bCs/>
          <w:color w:val="auto"/>
          <w:sz w:val="24"/>
          <w:highlight w:val="none"/>
          <w:u w:val="single"/>
        </w:rPr>
        <w:t xml:space="preserve">                      </w:t>
      </w:r>
    </w:p>
    <w:p w14:paraId="76DCD7EB">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采购人名称：</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南宁市财政局</w:t>
      </w:r>
      <w:r>
        <w:rPr>
          <w:rFonts w:hint="eastAsia" w:hAnsi="宋体"/>
          <w:bCs/>
          <w:color w:val="auto"/>
          <w:sz w:val="24"/>
          <w:highlight w:val="none"/>
          <w:u w:val="single"/>
        </w:rPr>
        <w:t xml:space="preserve">                </w:t>
      </w:r>
    </w:p>
    <w:p w14:paraId="680D0115">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代理机构名称：</w:t>
      </w:r>
      <w:r>
        <w:rPr>
          <w:rFonts w:hint="eastAsia" w:hAnsi="宋体"/>
          <w:bCs/>
          <w:color w:val="auto"/>
          <w:sz w:val="24"/>
          <w:highlight w:val="none"/>
          <w:u w:val="single"/>
        </w:rPr>
        <w:t xml:space="preserve"> 广西机电设备招标有限公司                </w:t>
      </w:r>
    </w:p>
    <w:p w14:paraId="594CE810">
      <w:pPr>
        <w:pStyle w:val="12"/>
        <w:spacing w:line="360" w:lineRule="auto"/>
        <w:ind w:left="25" w:leftChars="12" w:firstLine="472" w:firstLineChars="197"/>
        <w:rPr>
          <w:rFonts w:hAnsi="宋体"/>
          <w:bCs/>
          <w:color w:val="auto"/>
          <w:sz w:val="24"/>
          <w:highlight w:val="none"/>
          <w:u w:val="single"/>
        </w:rPr>
      </w:pPr>
      <w:r>
        <w:rPr>
          <w:rFonts w:hint="eastAsia" w:hAnsi="宋体"/>
          <w:bCs/>
          <w:color w:val="auto"/>
          <w:sz w:val="24"/>
          <w:highlight w:val="none"/>
        </w:rPr>
        <w:t>采购文件公告：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466D8A86">
      <w:pPr>
        <w:pStyle w:val="12"/>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采购结果公告：</w:t>
      </w:r>
      <w:r>
        <w:rPr>
          <w:rFonts w:hint="eastAsia" w:hAnsi="宋体"/>
          <w:bCs/>
          <w:color w:val="auto"/>
          <w:sz w:val="24"/>
          <w:highlight w:val="none"/>
          <w:u w:val="single"/>
        </w:rPr>
        <w:t>是/否</w:t>
      </w:r>
      <w:r>
        <w:rPr>
          <w:rFonts w:hint="eastAsia" w:hAnsi="宋体"/>
          <w:bCs/>
          <w:color w:val="auto"/>
          <w:sz w:val="24"/>
          <w:highlight w:val="none"/>
        </w:rPr>
        <w:t>公告期限：</w:t>
      </w:r>
      <w:r>
        <w:rPr>
          <w:rFonts w:hint="eastAsia" w:hAnsi="宋体"/>
          <w:bCs/>
          <w:color w:val="auto"/>
          <w:sz w:val="24"/>
          <w:highlight w:val="none"/>
          <w:u w:val="single"/>
        </w:rPr>
        <w:t xml:space="preserve">                                                       </w:t>
      </w:r>
    </w:p>
    <w:p w14:paraId="23E7AAC5">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三、质疑基本情况</w:t>
      </w:r>
    </w:p>
    <w:p w14:paraId="216C682D">
      <w:pPr>
        <w:pStyle w:val="12"/>
        <w:spacing w:line="360" w:lineRule="auto"/>
        <w:ind w:left="0" w:leftChars="0" w:firstLine="480" w:firstLineChars="200"/>
        <w:rPr>
          <w:rFonts w:hAnsi="宋体"/>
          <w:color w:val="auto"/>
          <w:sz w:val="24"/>
          <w:highlight w:val="none"/>
        </w:rPr>
      </w:pPr>
      <w:r>
        <w:rPr>
          <w:rFonts w:hint="eastAsia" w:hAnsi="宋体"/>
          <w:color w:val="auto"/>
          <w:sz w:val="24"/>
          <w:highlight w:val="none"/>
        </w:rPr>
        <w:t>投诉人于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日，向</w:t>
      </w:r>
      <w:r>
        <w:rPr>
          <w:rFonts w:hint="eastAsia" w:hAnsi="宋体"/>
          <w:color w:val="auto"/>
          <w:sz w:val="24"/>
          <w:highlight w:val="none"/>
          <w:u w:val="single"/>
        </w:rPr>
        <w:t xml:space="preserve">                                </w:t>
      </w:r>
      <w:r>
        <w:rPr>
          <w:rFonts w:hint="eastAsia" w:hAnsi="宋体"/>
          <w:color w:val="auto"/>
          <w:sz w:val="24"/>
          <w:highlight w:val="none"/>
        </w:rPr>
        <w:t>提出质疑，质疑事项为：</w:t>
      </w:r>
    </w:p>
    <w:p w14:paraId="71D1BBB1">
      <w:pPr>
        <w:pStyle w:val="12"/>
        <w:spacing w:line="360" w:lineRule="auto"/>
        <w:ind w:left="0" w:leftChars="0" w:firstLine="241"/>
        <w:rPr>
          <w:rFonts w:hAnsi="宋体"/>
          <w:bCs/>
          <w:color w:val="auto"/>
          <w:sz w:val="24"/>
          <w:highlight w:val="none"/>
          <w:u w:val="single"/>
        </w:rPr>
      </w:pPr>
      <w:r>
        <w:rPr>
          <w:rFonts w:hint="eastAsia" w:hAnsi="宋体"/>
          <w:color w:val="auto"/>
          <w:sz w:val="24"/>
          <w:highlight w:val="none"/>
        </w:rPr>
        <w:t xml:space="preserve">    </w:t>
      </w:r>
      <w:r>
        <w:rPr>
          <w:rFonts w:hint="eastAsia" w:hAnsi="宋体"/>
          <w:bCs/>
          <w:color w:val="auto"/>
          <w:sz w:val="24"/>
          <w:highlight w:val="none"/>
          <w:u w:val="single"/>
        </w:rPr>
        <w:t xml:space="preserve">                                                                                      </w:t>
      </w:r>
    </w:p>
    <w:p w14:paraId="166357F1">
      <w:pPr>
        <w:pStyle w:val="12"/>
        <w:spacing w:line="360" w:lineRule="auto"/>
        <w:ind w:left="0" w:leftChars="0" w:firstLine="241"/>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10E04A09">
      <w:pPr>
        <w:pStyle w:val="12"/>
        <w:spacing w:line="360" w:lineRule="auto"/>
        <w:ind w:left="0" w:leftChars="0" w:firstLine="480" w:firstLineChars="200"/>
        <w:rPr>
          <w:rFonts w:hAnsi="宋体"/>
          <w:color w:val="auto"/>
          <w:sz w:val="24"/>
          <w:highlight w:val="none"/>
        </w:rPr>
      </w:pPr>
      <w:r>
        <w:rPr>
          <w:rFonts w:hint="eastAsia" w:hAnsi="宋体"/>
          <w:bCs/>
          <w:color w:val="auto"/>
          <w:sz w:val="24"/>
          <w:highlight w:val="none"/>
          <w:u w:val="single"/>
        </w:rPr>
        <w:t>采购人/代理机构</w:t>
      </w:r>
      <w:r>
        <w:rPr>
          <w:rFonts w:hint="eastAsia" w:hAnsi="宋体"/>
          <w:bCs/>
          <w:color w:val="auto"/>
          <w:sz w:val="24"/>
          <w:highlight w:val="none"/>
        </w:rPr>
        <w:t>于</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r>
        <w:rPr>
          <w:rFonts w:hint="eastAsia" w:hAnsi="宋体"/>
          <w:bCs/>
          <w:color w:val="auto"/>
          <w:sz w:val="24"/>
          <w:highlight w:val="none"/>
        </w:rPr>
        <w:t xml:space="preserve">就质疑事项作出了答复/没有在法定期限内作出答复。                                                                                             </w:t>
      </w:r>
    </w:p>
    <w:p w14:paraId="71E5AADA">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四、投诉事项具体内容</w:t>
      </w:r>
    </w:p>
    <w:p w14:paraId="3E216664">
      <w:pPr>
        <w:pStyle w:val="12"/>
        <w:spacing w:line="360" w:lineRule="auto"/>
        <w:ind w:left="25" w:leftChars="12" w:firstLine="472" w:firstLineChars="197"/>
        <w:rPr>
          <w:rFonts w:hAnsi="宋体"/>
          <w:bCs/>
          <w:color w:val="auto"/>
          <w:sz w:val="24"/>
          <w:highlight w:val="none"/>
          <w:u w:val="single"/>
        </w:rPr>
      </w:pPr>
      <w:r>
        <w:rPr>
          <w:rFonts w:hint="eastAsia" w:hAnsi="宋体"/>
          <w:color w:val="auto"/>
          <w:sz w:val="24"/>
          <w:highlight w:val="none"/>
        </w:rPr>
        <w:t>投诉事项1：</w:t>
      </w:r>
      <w:r>
        <w:rPr>
          <w:rFonts w:hint="eastAsia" w:hAnsi="宋体"/>
          <w:bCs/>
          <w:color w:val="auto"/>
          <w:sz w:val="24"/>
          <w:highlight w:val="none"/>
          <w:u w:val="single"/>
        </w:rPr>
        <w:t xml:space="preserve">                                                                           </w:t>
      </w:r>
    </w:p>
    <w:p w14:paraId="085CF323">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事实依据：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56968481">
      <w:pPr>
        <w:pStyle w:val="12"/>
        <w:spacing w:line="360" w:lineRule="auto"/>
        <w:ind w:left="0" w:leftChars="0" w:firstLine="472" w:firstLineChars="197"/>
        <w:rPr>
          <w:rFonts w:hAnsi="宋体"/>
          <w:color w:val="auto"/>
          <w:sz w:val="24"/>
          <w:highlight w:val="none"/>
        </w:rPr>
      </w:pPr>
      <w:r>
        <w:rPr>
          <w:rFonts w:hint="eastAsia" w:hAnsi="宋体"/>
          <w:bCs/>
          <w:color w:val="auto"/>
          <w:sz w:val="24"/>
          <w:highlight w:val="none"/>
          <w:u w:val="single"/>
        </w:rPr>
        <w:t xml:space="preserve">                                                                                        </w:t>
      </w:r>
    </w:p>
    <w:p w14:paraId="3DAF4602">
      <w:pPr>
        <w:pStyle w:val="12"/>
        <w:spacing w:line="360" w:lineRule="auto"/>
        <w:ind w:left="0" w:leftChars="0" w:firstLine="480" w:firstLineChars="200"/>
        <w:rPr>
          <w:rFonts w:hAnsi="宋体"/>
          <w:bCs/>
          <w:color w:val="auto"/>
          <w:sz w:val="24"/>
          <w:highlight w:val="none"/>
          <w:u w:val="single"/>
        </w:rPr>
      </w:pPr>
      <w:r>
        <w:rPr>
          <w:rFonts w:hint="eastAsia" w:hAnsi="宋体"/>
          <w:bCs/>
          <w:color w:val="auto"/>
          <w:sz w:val="24"/>
          <w:highlight w:val="none"/>
        </w:rPr>
        <w:t>法律依据：</w:t>
      </w:r>
      <w:r>
        <w:rPr>
          <w:rFonts w:hint="eastAsia" w:hAnsi="宋体"/>
          <w:color w:val="auto"/>
          <w:sz w:val="24"/>
          <w:highlight w:val="none"/>
        </w:rPr>
        <w:t xml:space="preserve"> </w:t>
      </w:r>
      <w:r>
        <w:rPr>
          <w:rFonts w:hint="eastAsia" w:hAnsi="宋体"/>
          <w:bCs/>
          <w:color w:val="auto"/>
          <w:sz w:val="24"/>
          <w:highlight w:val="none"/>
          <w:u w:val="single"/>
        </w:rPr>
        <w:t xml:space="preserve">                                                                                      </w:t>
      </w:r>
    </w:p>
    <w:p w14:paraId="680045E0">
      <w:pPr>
        <w:pStyle w:val="12"/>
        <w:spacing w:line="360" w:lineRule="auto"/>
        <w:ind w:left="0" w:leftChars="0" w:firstLine="352" w:firstLineChars="147"/>
        <w:rPr>
          <w:rFonts w:hAnsi="宋体"/>
          <w:bCs/>
          <w:color w:val="auto"/>
          <w:sz w:val="24"/>
          <w:highlight w:val="none"/>
          <w:u w:val="single"/>
        </w:rPr>
      </w:pPr>
      <w:r>
        <w:rPr>
          <w:rFonts w:hint="eastAsia" w:hAnsi="宋体"/>
          <w:bCs/>
          <w:color w:val="auto"/>
          <w:sz w:val="24"/>
          <w:highlight w:val="none"/>
        </w:rPr>
        <w:t xml:space="preserve"> </w:t>
      </w:r>
      <w:r>
        <w:rPr>
          <w:rFonts w:hint="eastAsia" w:hAnsi="宋体"/>
          <w:bCs/>
          <w:color w:val="auto"/>
          <w:sz w:val="24"/>
          <w:highlight w:val="none"/>
          <w:u w:val="single"/>
        </w:rPr>
        <w:t xml:space="preserve">                                                                                        </w:t>
      </w:r>
    </w:p>
    <w:p w14:paraId="740AE94F">
      <w:pPr>
        <w:pStyle w:val="12"/>
        <w:spacing w:line="360" w:lineRule="auto"/>
        <w:ind w:left="25" w:leftChars="12" w:firstLine="472" w:firstLineChars="197"/>
        <w:rPr>
          <w:rFonts w:hAnsi="宋体"/>
          <w:bCs/>
          <w:color w:val="auto"/>
          <w:sz w:val="24"/>
          <w:highlight w:val="none"/>
        </w:rPr>
      </w:pPr>
      <w:r>
        <w:rPr>
          <w:rFonts w:hint="eastAsia" w:hAnsi="宋体"/>
          <w:color w:val="auto"/>
          <w:sz w:val="24"/>
          <w:highlight w:val="none"/>
        </w:rPr>
        <w:t xml:space="preserve">投诉事项2  </w:t>
      </w:r>
      <w:r>
        <w:rPr>
          <w:rFonts w:hint="eastAsia" w:hAnsi="宋体"/>
          <w:bCs/>
          <w:color w:val="auto"/>
          <w:sz w:val="24"/>
          <w:highlight w:val="none"/>
        </w:rPr>
        <w:t xml:space="preserve">   </w:t>
      </w:r>
    </w:p>
    <w:p w14:paraId="1ECFC9D2">
      <w:pPr>
        <w:pStyle w:val="12"/>
        <w:spacing w:line="360" w:lineRule="auto"/>
        <w:ind w:left="25" w:leftChars="12" w:firstLine="472" w:firstLineChars="197"/>
        <w:rPr>
          <w:rFonts w:hAnsi="宋体"/>
          <w:bCs/>
          <w:color w:val="auto"/>
          <w:sz w:val="24"/>
          <w:highlight w:val="none"/>
        </w:rPr>
      </w:pPr>
      <w:r>
        <w:rPr>
          <w:rFonts w:hint="eastAsia" w:hAnsi="宋体"/>
          <w:bCs/>
          <w:color w:val="auto"/>
          <w:sz w:val="24"/>
          <w:highlight w:val="none"/>
        </w:rPr>
        <w:t>……</w:t>
      </w:r>
    </w:p>
    <w:p w14:paraId="1DCBE1BD">
      <w:pPr>
        <w:pStyle w:val="12"/>
        <w:spacing w:line="360" w:lineRule="auto"/>
        <w:ind w:left="25" w:leftChars="12" w:firstLine="472" w:firstLineChars="196"/>
        <w:rPr>
          <w:rFonts w:hAnsi="宋体"/>
          <w:b/>
          <w:color w:val="auto"/>
          <w:sz w:val="24"/>
          <w:highlight w:val="none"/>
        </w:rPr>
      </w:pPr>
      <w:r>
        <w:rPr>
          <w:rFonts w:hint="eastAsia" w:hAnsi="宋体"/>
          <w:b/>
          <w:color w:val="auto"/>
          <w:sz w:val="24"/>
          <w:highlight w:val="none"/>
        </w:rPr>
        <w:t>五、与投诉事项相关的投诉请求：</w:t>
      </w:r>
    </w:p>
    <w:p w14:paraId="70B53136">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请求：</w:t>
      </w:r>
      <w:r>
        <w:rPr>
          <w:rFonts w:hint="eastAsia" w:hAnsi="宋体"/>
          <w:bCs/>
          <w:color w:val="auto"/>
          <w:sz w:val="24"/>
          <w:highlight w:val="none"/>
          <w:u w:val="single"/>
        </w:rPr>
        <w:t xml:space="preserve">                                                                                 </w:t>
      </w:r>
    </w:p>
    <w:p w14:paraId="179C68E7">
      <w:pPr>
        <w:pStyle w:val="12"/>
        <w:spacing w:line="360" w:lineRule="auto"/>
        <w:ind w:left="25" w:leftChars="12" w:firstLine="352" w:firstLineChars="147"/>
        <w:rPr>
          <w:rFonts w:hAnsi="宋体"/>
          <w:color w:val="auto"/>
          <w:sz w:val="24"/>
          <w:highlight w:val="none"/>
        </w:rPr>
      </w:pPr>
    </w:p>
    <w:p w14:paraId="2E764912">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签字（签章）：                                       公章：</w:t>
      </w:r>
    </w:p>
    <w:p w14:paraId="18E577AC">
      <w:pPr>
        <w:pStyle w:val="12"/>
        <w:spacing w:line="360" w:lineRule="auto"/>
        <w:ind w:left="25" w:leftChars="12" w:firstLine="352" w:firstLineChars="147"/>
        <w:rPr>
          <w:rFonts w:hAnsi="宋体"/>
          <w:color w:val="auto"/>
          <w:sz w:val="24"/>
          <w:highlight w:val="none"/>
        </w:rPr>
      </w:pPr>
    </w:p>
    <w:p w14:paraId="359803ED">
      <w:pPr>
        <w:pStyle w:val="12"/>
        <w:spacing w:line="360" w:lineRule="auto"/>
        <w:ind w:left="25" w:leftChars="12" w:firstLine="472" w:firstLineChars="197"/>
        <w:rPr>
          <w:rFonts w:hAnsi="宋体"/>
          <w:color w:val="auto"/>
          <w:sz w:val="24"/>
          <w:highlight w:val="none"/>
        </w:rPr>
      </w:pPr>
      <w:r>
        <w:rPr>
          <w:rFonts w:hint="eastAsia" w:hAnsi="宋体"/>
          <w:color w:val="auto"/>
          <w:sz w:val="24"/>
          <w:highlight w:val="none"/>
        </w:rPr>
        <w:t>日期：</w:t>
      </w:r>
    </w:p>
    <w:p w14:paraId="3D1ED925">
      <w:pPr>
        <w:pStyle w:val="12"/>
        <w:spacing w:line="360" w:lineRule="auto"/>
        <w:ind w:left="25" w:leftChars="12" w:firstLine="472" w:firstLineChars="197"/>
        <w:rPr>
          <w:rFonts w:hAnsi="宋体"/>
          <w:b/>
          <w:color w:val="auto"/>
          <w:sz w:val="24"/>
          <w:highlight w:val="none"/>
        </w:rPr>
      </w:pPr>
      <w:r>
        <w:rPr>
          <w:rFonts w:hint="eastAsia" w:hAnsi="宋体"/>
          <w:bCs/>
          <w:color w:val="auto"/>
          <w:sz w:val="24"/>
          <w:highlight w:val="none"/>
        </w:rPr>
        <w:t xml:space="preserve">                                                                                 </w:t>
      </w:r>
    </w:p>
    <w:p w14:paraId="04B1AD8F">
      <w:pPr>
        <w:pStyle w:val="12"/>
        <w:snapToGrid w:val="0"/>
        <w:spacing w:line="360" w:lineRule="auto"/>
        <w:rPr>
          <w:rFonts w:hAnsi="宋体"/>
          <w:b/>
          <w:color w:val="auto"/>
          <w:sz w:val="24"/>
          <w:highlight w:val="none"/>
        </w:rPr>
      </w:pPr>
      <w:r>
        <w:rPr>
          <w:rFonts w:hint="eastAsia" w:hAnsi="宋体"/>
          <w:b/>
          <w:color w:val="auto"/>
          <w:sz w:val="24"/>
          <w:highlight w:val="none"/>
        </w:rPr>
        <w:t>说明：</w:t>
      </w:r>
    </w:p>
    <w:p w14:paraId="6F5E0BF5">
      <w:pPr>
        <w:pStyle w:val="12"/>
        <w:spacing w:line="360" w:lineRule="auto"/>
        <w:ind w:left="25" w:leftChars="12" w:firstLine="354" w:firstLineChars="147"/>
        <w:rPr>
          <w:rFonts w:hAnsi="宋体"/>
          <w:b/>
          <w:bCs/>
          <w:color w:val="auto"/>
          <w:sz w:val="24"/>
          <w:highlight w:val="none"/>
        </w:rPr>
      </w:pPr>
      <w:r>
        <w:rPr>
          <w:rFonts w:hint="eastAsia" w:hAnsi="宋体"/>
          <w:b/>
          <w:color w:val="auto"/>
          <w:sz w:val="24"/>
          <w:highlight w:val="none"/>
        </w:rPr>
        <w:t>1.投诉人提起投诉时，应当提交投诉书和必要的证明材料，并按照被投诉人和与投诉事项有关的供应商数量提供投诉书副本</w:t>
      </w:r>
      <w:r>
        <w:rPr>
          <w:rFonts w:hint="eastAsia" w:hAnsi="宋体"/>
          <w:b/>
          <w:bCs/>
          <w:color w:val="auto"/>
          <w:sz w:val="24"/>
          <w:highlight w:val="none"/>
        </w:rPr>
        <w:t>。</w:t>
      </w:r>
    </w:p>
    <w:p w14:paraId="5A86C63E">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F1820F8">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3.投诉书应简要列明质疑事项，质疑函、质疑答复等作为附件材料提供。</w:t>
      </w:r>
    </w:p>
    <w:p w14:paraId="6F21D2FA">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4.投诉书的投诉事项应具体、明确，并有必要的事实依据和法律依据。</w:t>
      </w:r>
    </w:p>
    <w:p w14:paraId="626AD2F1">
      <w:pPr>
        <w:pStyle w:val="12"/>
        <w:spacing w:line="360" w:lineRule="auto"/>
        <w:ind w:left="25" w:leftChars="12" w:firstLine="354" w:firstLineChars="147"/>
        <w:rPr>
          <w:rFonts w:hAnsi="宋体"/>
          <w:b/>
          <w:color w:val="auto"/>
          <w:sz w:val="24"/>
          <w:highlight w:val="none"/>
        </w:rPr>
      </w:pPr>
      <w:r>
        <w:rPr>
          <w:rFonts w:hint="eastAsia" w:hAnsi="宋体"/>
          <w:b/>
          <w:color w:val="auto"/>
          <w:sz w:val="24"/>
          <w:highlight w:val="none"/>
        </w:rPr>
        <w:t>5.投诉书的投诉请求应与投诉事项相关。</w:t>
      </w:r>
    </w:p>
    <w:p w14:paraId="541334C2">
      <w:pPr>
        <w:pStyle w:val="12"/>
        <w:spacing w:line="360" w:lineRule="auto"/>
        <w:ind w:left="25" w:leftChars="12" w:firstLine="354" w:firstLineChars="147"/>
        <w:rPr>
          <w:rFonts w:hAnsi="宋体"/>
          <w:b/>
          <w:color w:val="auto"/>
          <w:highlight w:val="none"/>
        </w:rPr>
      </w:pPr>
      <w:r>
        <w:rPr>
          <w:rFonts w:hint="eastAsia" w:hAnsi="宋体"/>
          <w:b/>
          <w:color w:val="auto"/>
          <w:sz w:val="24"/>
          <w:highlight w:val="none"/>
        </w:rPr>
        <w:t>6.投诉人为法人或者其他组织的，投诉书应由法定代表人、主要负责人，或者其授权代表签字或者盖章，并加盖公章。</w:t>
      </w:r>
    </w:p>
    <w:p w14:paraId="2DFA0E7F">
      <w:pPr>
        <w:jc w:val="left"/>
        <w:rPr>
          <w:color w:val="auto"/>
          <w:highlight w:val="none"/>
        </w:rPr>
      </w:pPr>
    </w:p>
    <w:sectPr>
      <w:footerReference r:id="rId10" w:type="first"/>
      <w:footerReference r:id="rId9" w:type="default"/>
      <w:pgSz w:w="11911" w:h="16838"/>
      <w:pgMar w:top="1417" w:right="1417" w:bottom="1417" w:left="1417"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A475CF-EB9E-4B15-B278-BF6C8C310228}"/>
  </w:font>
  <w:font w:name="黑体">
    <w:panose1 w:val="02010609060101010101"/>
    <w:charset w:val="86"/>
    <w:family w:val="auto"/>
    <w:pitch w:val="default"/>
    <w:sig w:usb0="800002BF" w:usb1="38CF7CFA" w:usb2="00000016" w:usb3="00000000" w:csb0="00040001" w:csb1="00000000"/>
    <w:embedRegular r:id="rId2" w:fontKey="{4FA7C063-7E7B-4651-981D-84C8B2AA5727}"/>
  </w:font>
  <w:font w:name="Courier New">
    <w:panose1 w:val="02070309020205020404"/>
    <w:charset w:val="01"/>
    <w:family w:val="modern"/>
    <w:pitch w:val="default"/>
    <w:sig w:usb0="E0002EFF" w:usb1="C0007843" w:usb2="00000009" w:usb3="00000000" w:csb0="400001FF" w:csb1="FFFF0000"/>
    <w:embedRegular r:id="rId3" w:fontKey="{98C194DD-866B-47E1-B387-C902928E7C2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90EF9B8-D63B-492D-A877-DB1011EDB292}"/>
  </w:font>
  <w:font w:name="Cambria">
    <w:panose1 w:val="02040503050406030204"/>
    <w:charset w:val="00"/>
    <w:family w:val="roman"/>
    <w:pitch w:val="default"/>
    <w:sig w:usb0="E00006FF" w:usb1="420024FF" w:usb2="02000000" w:usb3="00000000" w:csb0="2000019F" w:csb1="00000000"/>
    <w:embedRegular r:id="rId5" w:fontKey="{46E5D8F4-894B-4F38-8AA8-96F68CD9FB21}"/>
  </w:font>
  <w:font w:name="方正小标宋简体">
    <w:panose1 w:val="02000000000000000000"/>
    <w:charset w:val="86"/>
    <w:family w:val="script"/>
    <w:pitch w:val="default"/>
    <w:sig w:usb0="00000001" w:usb1="08000000" w:usb2="00000000" w:usb3="00000000" w:csb0="00040000" w:csb1="00000000"/>
    <w:embedRegular r:id="rId6" w:fontKey="{54CF3CDF-91F2-4573-ACF6-F328F35B0673}"/>
  </w:font>
  <w:font w:name="华文新魏">
    <w:panose1 w:val="02010800040101010101"/>
    <w:charset w:val="86"/>
    <w:family w:val="auto"/>
    <w:pitch w:val="default"/>
    <w:sig w:usb0="00000001" w:usb1="080F0000" w:usb2="00000000" w:usb3="00000000" w:csb0="00040000" w:csb1="00000000"/>
    <w:embedRegular r:id="rId7" w:fontKey="{4101949B-4133-4328-9EB1-C9D6592C282F}"/>
  </w:font>
  <w:font w:name="仿宋_GB2312">
    <w:panose1 w:val="02010609030101010101"/>
    <w:charset w:val="86"/>
    <w:family w:val="modern"/>
    <w:pitch w:val="default"/>
    <w:sig w:usb0="00000001" w:usb1="080E0000" w:usb2="00000000" w:usb3="00000000" w:csb0="00040000" w:csb1="00000000"/>
    <w:embedRegular r:id="rId8" w:fontKey="{DE6446A9-682F-4D3B-BED5-68F62E20DDB0}"/>
  </w:font>
  <w:font w:name="Arial Unicode MS">
    <w:panose1 w:val="020B0604020202020204"/>
    <w:charset w:val="86"/>
    <w:family w:val="swiss"/>
    <w:pitch w:val="default"/>
    <w:sig w:usb0="FFFFFFFF" w:usb1="E9FFFFFF" w:usb2="0000003F" w:usb3="00000000" w:csb0="603F01FF" w:csb1="FFFF0000"/>
    <w:embedRegular r:id="rId9" w:fontKey="{A0FCAC8C-CD3E-4D07-B359-AE83A2CB21E9}"/>
  </w:font>
  <w:font w:name="微软雅黑">
    <w:panose1 w:val="020B0503020204020204"/>
    <w:charset w:val="86"/>
    <w:family w:val="swiss"/>
    <w:pitch w:val="default"/>
    <w:sig w:usb0="80000287" w:usb1="2ACF3C50" w:usb2="00000016" w:usb3="00000000" w:csb0="0004001F" w:csb1="00000000"/>
    <w:embedRegular r:id="rId10" w:fontKey="{A4281B75-26E4-406F-A601-895D959F4104}"/>
  </w:font>
  <w:font w:name="仿宋">
    <w:panose1 w:val="02010609060101010101"/>
    <w:charset w:val="86"/>
    <w:family w:val="modern"/>
    <w:pitch w:val="default"/>
    <w:sig w:usb0="800002BF" w:usb1="38CF7CFA" w:usb2="00000016" w:usb3="00000000" w:csb0="00040001" w:csb1="00000000"/>
    <w:embedRegular r:id="rId11" w:fontKey="{8018C809-BFC7-4506-BAFF-69DFD5B4FC8B}"/>
  </w:font>
  <w:font w:name="Wingdings 2">
    <w:panose1 w:val="05020102010507070707"/>
    <w:charset w:val="02"/>
    <w:family w:val="roman"/>
    <w:pitch w:val="default"/>
    <w:sig w:usb0="00000000" w:usb1="00000000" w:usb2="00000000" w:usb3="00000000" w:csb0="80000000" w:csb1="00000000"/>
    <w:embedRegular r:id="rId12" w:fontKey="{D74A5828-92BB-4949-AF2F-92ADE0B96DDF}"/>
  </w:font>
  <w:font w:name="Helvetica">
    <w:altName w:val="Arial"/>
    <w:panose1 w:val="020B0604020202020204"/>
    <w:charset w:val="00"/>
    <w:family w:val="auto"/>
    <w:pitch w:val="default"/>
    <w:sig w:usb0="00000000" w:usb1="00000000" w:usb2="00000000" w:usb3="00000000" w:csb0="00000000" w:csb1="00000000"/>
    <w:embedRegular r:id="rId13" w:fontKey="{8077CCD6-FF55-4F0B-8938-578674E13A58}"/>
  </w:font>
  <w:font w:name="MS Mincho">
    <w:altName w:val="Yu Gothic UI"/>
    <w:panose1 w:val="02020609040205080304"/>
    <w:charset w:val="80"/>
    <w:family w:val="modern"/>
    <w:pitch w:val="default"/>
    <w:sig w:usb0="00000000" w:usb1="00000000" w:usb2="00000012" w:usb3="00000000" w:csb0="0002009F" w:csb1="00000000"/>
    <w:embedRegular r:id="rId14" w:fontKey="{A78D6143-C33F-491E-94FF-F48B02C09620}"/>
  </w:font>
  <w:font w:name="Yu Gothic UI">
    <w:panose1 w:val="020B0500000000000000"/>
    <w:charset w:val="80"/>
    <w:family w:val="auto"/>
    <w:pitch w:val="default"/>
    <w:sig w:usb0="E00002FF" w:usb1="2AC7FDFF" w:usb2="00000016" w:usb3="00000000" w:csb0="2002009F" w:csb1="00000000"/>
  </w:font>
  <w:font w:name="TimesNewRomanPSMT">
    <w:altName w:val="Times New Roman"/>
    <w:panose1 w:val="00000000000000000000"/>
    <w:charset w:val="80"/>
    <w:family w:val="auto"/>
    <w:pitch w:val="default"/>
    <w:sig w:usb0="00000000" w:usb1="00000000" w:usb2="00000000" w:usb3="00000000" w:csb0="00020000" w:csb1="00000000"/>
    <w:embedRegular r:id="rId15" w:fontKey="{5DABF84B-A8B2-452D-9AB7-31F82AA06816}"/>
  </w:font>
  <w:font w:name="楷体">
    <w:panose1 w:val="02010609060101010101"/>
    <w:charset w:val="86"/>
    <w:family w:val="modern"/>
    <w:pitch w:val="default"/>
    <w:sig w:usb0="800002BF" w:usb1="38CF7CFA" w:usb2="00000016" w:usb3="00000000" w:csb0="00040001" w:csb1="00000000"/>
    <w:embedRegular r:id="rId16" w:fontKey="{C65BA265-A29D-42D4-8CD8-BB4A4D20F00C}"/>
  </w:font>
  <w:font w:name="隶书">
    <w:panose1 w:val="02010509060101010101"/>
    <w:charset w:val="86"/>
    <w:family w:val="modern"/>
    <w:pitch w:val="default"/>
    <w:sig w:usb0="00000001" w:usb1="080E0000" w:usb2="00000000" w:usb3="00000000" w:csb0="00040000" w:csb1="00000000"/>
    <w:embedRegular r:id="rId17" w:fontKey="{1406C999-9345-4943-B118-E83ADEE5AB52}"/>
  </w:font>
  <w:font w:name="WPSEMBED1">
    <w:panose1 w:val="02000000000000000000"/>
    <w:charset w:val="86"/>
    <w:family w:val="auto"/>
    <w:pitch w:val="default"/>
    <w:sig w:usb0="00000001" w:usb1="0800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DD367">
    <w:pPr>
      <w:ind w:left="420" w:hanging="420"/>
      <w:jc w:val="center"/>
    </w:pPr>
    <w:r>
      <w:fldChar w:fldCharType="begin"/>
    </w:r>
    <w:r>
      <w:instrText xml:space="preserve">PAGE   \* MERGEFORMAT</w:instrText>
    </w:r>
    <w:r>
      <w:fldChar w:fldCharType="separate"/>
    </w:r>
    <w:r>
      <w:rPr>
        <w:lang w:val="zh-CN"/>
      </w:rPr>
      <w:t>2</w:t>
    </w:r>
    <w:r>
      <w:fldChar w:fldCharType="end"/>
    </w:r>
  </w:p>
  <w:p w14:paraId="07D9DE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A491">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2560" cy="25273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2560" cy="252730"/>
                      </a:xfrm>
                      <a:prstGeom prst="rect">
                        <a:avLst/>
                      </a:prstGeom>
                      <a:noFill/>
                      <a:ln>
                        <a:noFill/>
                      </a:ln>
                      <a:effectLst/>
                    </wps:spPr>
                    <wps:txbx>
                      <w:txbxContent>
                        <w:p w14:paraId="5D295B0F">
                          <w:r>
                            <w:fldChar w:fldCharType="begin"/>
                          </w:r>
                          <w:r>
                            <w:instrText xml:space="preserve"> PAGE  \* MERGEFORMAT </w:instrText>
                          </w:r>
                          <w:r>
                            <w:fldChar w:fldCharType="separate"/>
                          </w:r>
                          <w:r>
                            <w:t>7</w:t>
                          </w:r>
                          <w:r>
                            <w:fldChar w:fldCharType="end"/>
                          </w:r>
                        </w:p>
                      </w:txbxContent>
                    </wps:txbx>
                    <wps:bodyPr wrap="square" lIns="0" tIns="0" rIns="0" bIns="0"/>
                  </wps:wsp>
                </a:graphicData>
              </a:graphic>
            </wp:anchor>
          </w:drawing>
        </mc:Choice>
        <mc:Fallback>
          <w:pict>
            <v:shape id="_x0000_s1026" o:spid="_x0000_s1026" o:spt="202" type="#_x0000_t202" style="position:absolute;left:0pt;margin-top:0pt;height:19.9pt;width:12.8pt;mso-position-horizontal:center;mso-position-horizontal-relative:margin;z-index:251661312;mso-width-relative:page;mso-height-relative:page;" filled="f" stroked="f" coordsize="21600,21600" o:gfxdata="UEsDBAoAAAAAAIdO4kAAAAAAAAAAAAAAAAAEAAAAZHJzL1BLAwQUAAAACACHTuJAJrslwdQAAAAD&#10;AQAADwAAAGRycy9kb3ducmV2LnhtbE2PzU7DMBCE70i8g7WVuFG7RURtGqdCCE5IiDQcODrxNrEa&#10;r0Ps/vD2LFzgstJoRjPfFtuLH8QJp+gCaVjMFQikNlhHnYb3+vl2BSImQ9YMgVDDF0bYltdXhclt&#10;OFOFp13qBJdQzI2GPqUxlzK2PXoT52FEYm8fJm8Sy6mTdjJnLveDXCqVSW8c8UJvRnzssT3sjl7D&#10;wwdVT+7ztXmr9pWr67Wil+yg9c1soTYgEl7SXxh+8BkdSmZqwpFsFIMGfiT9XvaW9xmIRsPdegWy&#10;LOR/9vIbUEsDBBQAAAAIAIdO4kDPxRiFwAEAAIEDAAAOAAAAZHJzL2Uyb0RvYy54bWytU0tu2zAQ&#10;3RfIHQjuazkq4haC5QCFkaBA0RZIcwCaGlkE+CuHtuQLtDfoqpvuey6fo0NKdj7dZNENNZzP47w3&#10;o+X1YDTbQ0DlbM0vZ3POwErXKLut+f3Xm9fvOMMobCO0s1DzAyC/Xl28Wva+gtJ1TjcQGIFYrHpf&#10;8y5GXxUFyg6MwJnzYCnYumBEpGvYFk0QPaEbXZTz+aLoXWh8cBIQybseg3xCDC8BdG2rJKyd3Bmw&#10;cUQNoEUkStgpj3yVu21bkPFz2yJEpmtOTGM+6RGyN+ksVktRbYPwnZJTC+IlLTzjZISy9OgZai2i&#10;YLug/oEySgaHro0z6UwxEsmKEIvL+TNt7jrhIXMhqdGfRcf/Bys/7b8Eppqal5xZYWjgx58/jr/+&#10;HH9/Z2WSp/dYUdadp7w4vHcDLc3Jj+RMrIc2mPQlPoziJO7hLC4MkclUtCivFhSRFCqvyrdvsvjF&#10;Q7EPGG/BGZaMmgeaXZZU7D9ipEYo9ZSS3rLuRmmd56ftEwcljh7ICzBVJx5jv8mKw2aYyG1ccyBu&#10;PS1BzfHbTgTgTH+wpHLamJMRTsZmMlJLCYomk5ubtiiN/vE9Zz38O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rslwdQAAAADAQAADwAAAAAAAAABACAAAAAiAAAAZHJzL2Rvd25yZXYueG1sUEsB&#10;AhQAFAAAAAgAh07iQM/FGIXAAQAAgQMAAA4AAAAAAAAAAQAgAAAAIwEAAGRycy9lMm9Eb2MueG1s&#10;UEsFBgAAAAAGAAYAWQEAAFUFAAAAAA==&#10;">
              <v:fill on="f" focussize="0,0"/>
              <v:stroke on="f"/>
              <v:imagedata o:title=""/>
              <o:lock v:ext="edit" aspectratio="f"/>
              <v:textbox inset="0mm,0mm,0mm,0mm">
                <w:txbxContent>
                  <w:p w14:paraId="5D295B0F">
                    <w:r>
                      <w:fldChar w:fldCharType="begin"/>
                    </w:r>
                    <w:r>
                      <w:instrText xml:space="preserve"> PAGE  \* MERGEFORMAT </w:instrText>
                    </w:r>
                    <w:r>
                      <w:fldChar w:fldCharType="separate"/>
                    </w:r>
                    <w:r>
                      <w:t>7</w:t>
                    </w:r>
                    <w:r>
                      <w:fldChar w:fldCharType="end"/>
                    </w:r>
                  </w:p>
                </w:txbxContent>
              </v:textbox>
            </v:shape>
          </w:pict>
        </mc:Fallback>
      </mc:AlternateContent>
    </w:r>
  </w:p>
  <w:p w14:paraId="1B55E1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1FBBC">
    <w:pPr>
      <w:jc w:val="center"/>
    </w:pPr>
    <w: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139A">
    <w:pPr>
      <w:pStyle w:val="15"/>
      <w:jc w:val="center"/>
    </w:pPr>
    <w:r>
      <w:fldChar w:fldCharType="begin"/>
    </w:r>
    <w:r>
      <w:instrText xml:space="preserve">PAGE   \* MERGEFORMAT</w:instrText>
    </w:r>
    <w:r>
      <w:fldChar w:fldCharType="separate"/>
    </w:r>
    <w:r>
      <w:rPr>
        <w:lang w:val="zh-CN"/>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917D1">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B8C8C9">
                          <w:pPr>
                            <w:jc w:val="center"/>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4EB8C8C9">
                    <w:pPr>
                      <w:jc w:val="center"/>
                    </w:pPr>
                    <w:r>
                      <w:fldChar w:fldCharType="begin"/>
                    </w:r>
                    <w:r>
                      <w:instrText xml:space="preserve"> PAGE  \* MERGEFORMAT </w:instrText>
                    </w:r>
                    <w:r>
                      <w:fldChar w:fldCharType="separate"/>
                    </w:r>
                    <w:r>
                      <w:t>92</w:t>
                    </w:r>
                    <w:r>
                      <w:fldChar w:fldCharType="end"/>
                    </w:r>
                  </w:p>
                </w:txbxContent>
              </v:textbox>
            </v:shape>
          </w:pict>
        </mc:Fallback>
      </mc:AlternateContent>
    </w:r>
  </w:p>
  <w:p w14:paraId="1623D01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9D47">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3134DBF6">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5A6B">
    <w:pPr>
      <w:jc w:val="center"/>
    </w:pPr>
    <w:r>
      <w:rPr>
        <w:rFonts w:hint="eastAsia"/>
      </w:rPr>
      <w:t xml:space="preserve">南宁市政府采购竞争性磋商采购文件（项目编号： </w:t>
    </w:r>
    <w:r>
      <w:rPr>
        <w:rFonts w:hint="eastAsia"/>
        <w:lang w:eastAsia="zh-CN"/>
      </w:rPr>
      <w:t>NNZC2025-C3-991428-JDZB</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116FB">
    <w:pPr>
      <w:pBdr>
        <w:bottom w:val="none" w:color="auto" w:sz="0" w:space="1"/>
      </w:pBdr>
      <w:tabs>
        <w:tab w:val="center" w:pos="0"/>
        <w:tab w:val="lef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18DD9A"/>
    <w:multiLevelType w:val="singleLevel"/>
    <w:tmpl w:val="0918DD9A"/>
    <w:lvl w:ilvl="0" w:tentative="0">
      <w:start w:val="3"/>
      <w:numFmt w:val="decimal"/>
      <w:suff w:val="nothing"/>
      <w:lvlText w:val="%1、"/>
      <w:lvlJc w:val="left"/>
    </w:lvl>
  </w:abstractNum>
  <w:abstractNum w:abstractNumId="1">
    <w:nsid w:val="5FEFD14E"/>
    <w:multiLevelType w:val="singleLevel"/>
    <w:tmpl w:val="5FEFD14E"/>
    <w:lvl w:ilvl="0" w:tentative="0">
      <w:start w:val="1"/>
      <w:numFmt w:val="decimal"/>
      <w:pStyle w:val="6"/>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3NjlhMzJkMWNhYTgzMzUxNGM1YmI0YmEwMDYzMmUifQ=="/>
  </w:docVars>
  <w:rsids>
    <w:rsidRoot w:val="00172A27"/>
    <w:rsid w:val="000013F3"/>
    <w:rsid w:val="00023EC5"/>
    <w:rsid w:val="00033365"/>
    <w:rsid w:val="00045366"/>
    <w:rsid w:val="000558BF"/>
    <w:rsid w:val="00057BAB"/>
    <w:rsid w:val="00061EC4"/>
    <w:rsid w:val="000733C4"/>
    <w:rsid w:val="0008513C"/>
    <w:rsid w:val="00085BAF"/>
    <w:rsid w:val="000B7C86"/>
    <w:rsid w:val="000C2997"/>
    <w:rsid w:val="000E132E"/>
    <w:rsid w:val="00100477"/>
    <w:rsid w:val="00100B44"/>
    <w:rsid w:val="00137CA4"/>
    <w:rsid w:val="001478AA"/>
    <w:rsid w:val="00151280"/>
    <w:rsid w:val="00172A27"/>
    <w:rsid w:val="00174D63"/>
    <w:rsid w:val="0018542B"/>
    <w:rsid w:val="00192C51"/>
    <w:rsid w:val="001A0D5B"/>
    <w:rsid w:val="001A3F74"/>
    <w:rsid w:val="001A6E0D"/>
    <w:rsid w:val="001B50A3"/>
    <w:rsid w:val="001B7E90"/>
    <w:rsid w:val="001D2BDB"/>
    <w:rsid w:val="001F13B2"/>
    <w:rsid w:val="001F719B"/>
    <w:rsid w:val="00207D79"/>
    <w:rsid w:val="00223CC3"/>
    <w:rsid w:val="00231514"/>
    <w:rsid w:val="00234B27"/>
    <w:rsid w:val="00245B8A"/>
    <w:rsid w:val="00286ADD"/>
    <w:rsid w:val="002900C2"/>
    <w:rsid w:val="00293D52"/>
    <w:rsid w:val="002A3E62"/>
    <w:rsid w:val="002A4B5B"/>
    <w:rsid w:val="002B4C51"/>
    <w:rsid w:val="002C7E19"/>
    <w:rsid w:val="002E4C44"/>
    <w:rsid w:val="00312918"/>
    <w:rsid w:val="00340293"/>
    <w:rsid w:val="003404DE"/>
    <w:rsid w:val="00342A27"/>
    <w:rsid w:val="0034427F"/>
    <w:rsid w:val="003579F1"/>
    <w:rsid w:val="00357B77"/>
    <w:rsid w:val="003701D2"/>
    <w:rsid w:val="003705F7"/>
    <w:rsid w:val="003C235C"/>
    <w:rsid w:val="003D2888"/>
    <w:rsid w:val="004118E2"/>
    <w:rsid w:val="00425FD4"/>
    <w:rsid w:val="0042698B"/>
    <w:rsid w:val="0043056F"/>
    <w:rsid w:val="00446423"/>
    <w:rsid w:val="004464BC"/>
    <w:rsid w:val="00446777"/>
    <w:rsid w:val="00455956"/>
    <w:rsid w:val="00456589"/>
    <w:rsid w:val="0046640A"/>
    <w:rsid w:val="00477D4C"/>
    <w:rsid w:val="004918FD"/>
    <w:rsid w:val="004B0292"/>
    <w:rsid w:val="004B3FB9"/>
    <w:rsid w:val="004C4D78"/>
    <w:rsid w:val="004D0058"/>
    <w:rsid w:val="004D34CA"/>
    <w:rsid w:val="004E2087"/>
    <w:rsid w:val="004E6DA5"/>
    <w:rsid w:val="00501A3E"/>
    <w:rsid w:val="00501AEC"/>
    <w:rsid w:val="00535261"/>
    <w:rsid w:val="0054117D"/>
    <w:rsid w:val="0055450C"/>
    <w:rsid w:val="00555A04"/>
    <w:rsid w:val="0055752D"/>
    <w:rsid w:val="005746E1"/>
    <w:rsid w:val="00580FA5"/>
    <w:rsid w:val="0059060D"/>
    <w:rsid w:val="00591AF9"/>
    <w:rsid w:val="005A4C13"/>
    <w:rsid w:val="005B1CFC"/>
    <w:rsid w:val="005B3FAF"/>
    <w:rsid w:val="005C4C95"/>
    <w:rsid w:val="005C66E7"/>
    <w:rsid w:val="005D002C"/>
    <w:rsid w:val="005F129C"/>
    <w:rsid w:val="005F4D7D"/>
    <w:rsid w:val="00607AAC"/>
    <w:rsid w:val="00631BE4"/>
    <w:rsid w:val="006520CA"/>
    <w:rsid w:val="00662948"/>
    <w:rsid w:val="00665AFE"/>
    <w:rsid w:val="006866A3"/>
    <w:rsid w:val="006A05F7"/>
    <w:rsid w:val="006C0A0A"/>
    <w:rsid w:val="006C6275"/>
    <w:rsid w:val="006D7199"/>
    <w:rsid w:val="006D7467"/>
    <w:rsid w:val="006F76D0"/>
    <w:rsid w:val="006F7E74"/>
    <w:rsid w:val="007003F2"/>
    <w:rsid w:val="007059C6"/>
    <w:rsid w:val="00713ACF"/>
    <w:rsid w:val="00735912"/>
    <w:rsid w:val="007370C9"/>
    <w:rsid w:val="007460B4"/>
    <w:rsid w:val="00746DA6"/>
    <w:rsid w:val="00753AA4"/>
    <w:rsid w:val="00754CE1"/>
    <w:rsid w:val="00764939"/>
    <w:rsid w:val="00767287"/>
    <w:rsid w:val="007760B6"/>
    <w:rsid w:val="00776B1F"/>
    <w:rsid w:val="007A7CC9"/>
    <w:rsid w:val="007B1AFF"/>
    <w:rsid w:val="007B735C"/>
    <w:rsid w:val="007D7259"/>
    <w:rsid w:val="007E6BB2"/>
    <w:rsid w:val="007F21FF"/>
    <w:rsid w:val="007F7CBA"/>
    <w:rsid w:val="0080754C"/>
    <w:rsid w:val="0081379C"/>
    <w:rsid w:val="00851A79"/>
    <w:rsid w:val="0088428C"/>
    <w:rsid w:val="00886ADB"/>
    <w:rsid w:val="00891F7D"/>
    <w:rsid w:val="00893E06"/>
    <w:rsid w:val="008A30E9"/>
    <w:rsid w:val="008A3DCB"/>
    <w:rsid w:val="008A6680"/>
    <w:rsid w:val="008B198C"/>
    <w:rsid w:val="008D02BA"/>
    <w:rsid w:val="008D554A"/>
    <w:rsid w:val="008D7DB8"/>
    <w:rsid w:val="008E6E1E"/>
    <w:rsid w:val="009021E6"/>
    <w:rsid w:val="00930E40"/>
    <w:rsid w:val="00933950"/>
    <w:rsid w:val="009415EF"/>
    <w:rsid w:val="00977F6E"/>
    <w:rsid w:val="009832B5"/>
    <w:rsid w:val="00991F76"/>
    <w:rsid w:val="009928F4"/>
    <w:rsid w:val="00993BF9"/>
    <w:rsid w:val="009B6DE2"/>
    <w:rsid w:val="009C23EA"/>
    <w:rsid w:val="009C729C"/>
    <w:rsid w:val="009D61F7"/>
    <w:rsid w:val="00A011CF"/>
    <w:rsid w:val="00A0209D"/>
    <w:rsid w:val="00A029BA"/>
    <w:rsid w:val="00A1219A"/>
    <w:rsid w:val="00A23F39"/>
    <w:rsid w:val="00A32030"/>
    <w:rsid w:val="00A33A90"/>
    <w:rsid w:val="00A40219"/>
    <w:rsid w:val="00A46B12"/>
    <w:rsid w:val="00A54830"/>
    <w:rsid w:val="00A5766C"/>
    <w:rsid w:val="00A613E8"/>
    <w:rsid w:val="00A63E3D"/>
    <w:rsid w:val="00A67658"/>
    <w:rsid w:val="00A76A15"/>
    <w:rsid w:val="00A859E2"/>
    <w:rsid w:val="00A96570"/>
    <w:rsid w:val="00AB7529"/>
    <w:rsid w:val="00AD1B09"/>
    <w:rsid w:val="00AF459B"/>
    <w:rsid w:val="00AF484A"/>
    <w:rsid w:val="00B065FD"/>
    <w:rsid w:val="00B3314A"/>
    <w:rsid w:val="00B3662F"/>
    <w:rsid w:val="00B615E9"/>
    <w:rsid w:val="00B7378E"/>
    <w:rsid w:val="00B92ED6"/>
    <w:rsid w:val="00BB6E48"/>
    <w:rsid w:val="00BD39D1"/>
    <w:rsid w:val="00BE417F"/>
    <w:rsid w:val="00BF1D4A"/>
    <w:rsid w:val="00BF51E6"/>
    <w:rsid w:val="00C02047"/>
    <w:rsid w:val="00C07829"/>
    <w:rsid w:val="00C12E43"/>
    <w:rsid w:val="00C218F1"/>
    <w:rsid w:val="00C37B02"/>
    <w:rsid w:val="00C436B0"/>
    <w:rsid w:val="00C44DFF"/>
    <w:rsid w:val="00C46967"/>
    <w:rsid w:val="00C47848"/>
    <w:rsid w:val="00C53F54"/>
    <w:rsid w:val="00C57CA3"/>
    <w:rsid w:val="00C97E4E"/>
    <w:rsid w:val="00CB1BF6"/>
    <w:rsid w:val="00CC7FE2"/>
    <w:rsid w:val="00CE4783"/>
    <w:rsid w:val="00CE4B6B"/>
    <w:rsid w:val="00D13A43"/>
    <w:rsid w:val="00D273A6"/>
    <w:rsid w:val="00D65530"/>
    <w:rsid w:val="00D66293"/>
    <w:rsid w:val="00DA2800"/>
    <w:rsid w:val="00DB4622"/>
    <w:rsid w:val="00DB5243"/>
    <w:rsid w:val="00DB5332"/>
    <w:rsid w:val="00DC5E12"/>
    <w:rsid w:val="00DD3197"/>
    <w:rsid w:val="00DD77DC"/>
    <w:rsid w:val="00DE3150"/>
    <w:rsid w:val="00DE4372"/>
    <w:rsid w:val="00DF0C2C"/>
    <w:rsid w:val="00DF2F15"/>
    <w:rsid w:val="00DF66DC"/>
    <w:rsid w:val="00DF67FE"/>
    <w:rsid w:val="00E13EDC"/>
    <w:rsid w:val="00E26CE5"/>
    <w:rsid w:val="00E2727E"/>
    <w:rsid w:val="00E302D7"/>
    <w:rsid w:val="00E32A83"/>
    <w:rsid w:val="00E32BD3"/>
    <w:rsid w:val="00E41399"/>
    <w:rsid w:val="00E474D6"/>
    <w:rsid w:val="00E54E5C"/>
    <w:rsid w:val="00E712B6"/>
    <w:rsid w:val="00E84FE7"/>
    <w:rsid w:val="00E925FF"/>
    <w:rsid w:val="00EA6B28"/>
    <w:rsid w:val="00EC47B5"/>
    <w:rsid w:val="00EC5BA4"/>
    <w:rsid w:val="00ED0CE8"/>
    <w:rsid w:val="00EF302A"/>
    <w:rsid w:val="00EF43FD"/>
    <w:rsid w:val="00EF49FC"/>
    <w:rsid w:val="00F01979"/>
    <w:rsid w:val="00F0284C"/>
    <w:rsid w:val="00F05E6A"/>
    <w:rsid w:val="00F1461E"/>
    <w:rsid w:val="00F17281"/>
    <w:rsid w:val="00F218EB"/>
    <w:rsid w:val="00F30DF5"/>
    <w:rsid w:val="00F4237B"/>
    <w:rsid w:val="00F43802"/>
    <w:rsid w:val="00F503BE"/>
    <w:rsid w:val="00F5385A"/>
    <w:rsid w:val="00F57B6B"/>
    <w:rsid w:val="00F71ADE"/>
    <w:rsid w:val="00F924CF"/>
    <w:rsid w:val="00F94BDB"/>
    <w:rsid w:val="00F97308"/>
    <w:rsid w:val="00FA3EDA"/>
    <w:rsid w:val="00FA4600"/>
    <w:rsid w:val="00FB318A"/>
    <w:rsid w:val="00FC353B"/>
    <w:rsid w:val="00FE361B"/>
    <w:rsid w:val="00FE4CE6"/>
    <w:rsid w:val="00FF1322"/>
    <w:rsid w:val="01011432"/>
    <w:rsid w:val="011B136F"/>
    <w:rsid w:val="01B32CCF"/>
    <w:rsid w:val="027619AC"/>
    <w:rsid w:val="033B3AE3"/>
    <w:rsid w:val="03E26839"/>
    <w:rsid w:val="045D6A08"/>
    <w:rsid w:val="04AB4EF4"/>
    <w:rsid w:val="052469E0"/>
    <w:rsid w:val="052B473B"/>
    <w:rsid w:val="05B2719F"/>
    <w:rsid w:val="05D45196"/>
    <w:rsid w:val="06021ED4"/>
    <w:rsid w:val="0667704A"/>
    <w:rsid w:val="06C151EF"/>
    <w:rsid w:val="06DD024B"/>
    <w:rsid w:val="0722229E"/>
    <w:rsid w:val="073A1069"/>
    <w:rsid w:val="07B812A2"/>
    <w:rsid w:val="08550CAC"/>
    <w:rsid w:val="08844E22"/>
    <w:rsid w:val="093911AF"/>
    <w:rsid w:val="0A5B0E65"/>
    <w:rsid w:val="0B8D0492"/>
    <w:rsid w:val="0C8F3D96"/>
    <w:rsid w:val="0D907DC5"/>
    <w:rsid w:val="0D94614B"/>
    <w:rsid w:val="0DE46363"/>
    <w:rsid w:val="0DE63E89"/>
    <w:rsid w:val="0E9D6C3E"/>
    <w:rsid w:val="0EDB7DA4"/>
    <w:rsid w:val="0F7C3BB6"/>
    <w:rsid w:val="0FDF4A15"/>
    <w:rsid w:val="10182F62"/>
    <w:rsid w:val="10FF55C5"/>
    <w:rsid w:val="119105B0"/>
    <w:rsid w:val="12CF75E2"/>
    <w:rsid w:val="12D05A3F"/>
    <w:rsid w:val="138A175B"/>
    <w:rsid w:val="13AE5449"/>
    <w:rsid w:val="13C24BB9"/>
    <w:rsid w:val="14AF76CB"/>
    <w:rsid w:val="14F71485"/>
    <w:rsid w:val="154C316C"/>
    <w:rsid w:val="15F01D49"/>
    <w:rsid w:val="16315EBE"/>
    <w:rsid w:val="1683496B"/>
    <w:rsid w:val="168531BA"/>
    <w:rsid w:val="16BF171B"/>
    <w:rsid w:val="170A0E30"/>
    <w:rsid w:val="17AA718D"/>
    <w:rsid w:val="18487240"/>
    <w:rsid w:val="191050B1"/>
    <w:rsid w:val="195A572B"/>
    <w:rsid w:val="19897560"/>
    <w:rsid w:val="1A4245C3"/>
    <w:rsid w:val="1A8C7B66"/>
    <w:rsid w:val="1AB83AB1"/>
    <w:rsid w:val="1AD25EC1"/>
    <w:rsid w:val="1B617245"/>
    <w:rsid w:val="1BA809D0"/>
    <w:rsid w:val="1C9D064C"/>
    <w:rsid w:val="1CD203FA"/>
    <w:rsid w:val="1CFF6D16"/>
    <w:rsid w:val="1D605915"/>
    <w:rsid w:val="1EA36596"/>
    <w:rsid w:val="1F2E5690"/>
    <w:rsid w:val="1FB65DB1"/>
    <w:rsid w:val="2086329A"/>
    <w:rsid w:val="209A2AA3"/>
    <w:rsid w:val="2165781C"/>
    <w:rsid w:val="218E1D0D"/>
    <w:rsid w:val="21ED35E0"/>
    <w:rsid w:val="22121299"/>
    <w:rsid w:val="235F406A"/>
    <w:rsid w:val="23930175"/>
    <w:rsid w:val="23AD74CB"/>
    <w:rsid w:val="24696D85"/>
    <w:rsid w:val="24BF13C9"/>
    <w:rsid w:val="25270BB7"/>
    <w:rsid w:val="25DA20CE"/>
    <w:rsid w:val="25E90563"/>
    <w:rsid w:val="26A07341"/>
    <w:rsid w:val="26F23447"/>
    <w:rsid w:val="27700540"/>
    <w:rsid w:val="279F712B"/>
    <w:rsid w:val="27B1007D"/>
    <w:rsid w:val="27D843EB"/>
    <w:rsid w:val="284815D3"/>
    <w:rsid w:val="287D6D31"/>
    <w:rsid w:val="2A224043"/>
    <w:rsid w:val="2A3726A8"/>
    <w:rsid w:val="2A3873C3"/>
    <w:rsid w:val="2A4F21CD"/>
    <w:rsid w:val="2A6131DB"/>
    <w:rsid w:val="2B8E388E"/>
    <w:rsid w:val="2BB8626C"/>
    <w:rsid w:val="2C0D02E8"/>
    <w:rsid w:val="2C511C85"/>
    <w:rsid w:val="2C596FCF"/>
    <w:rsid w:val="2CC442ED"/>
    <w:rsid w:val="2CDE6947"/>
    <w:rsid w:val="2D1073FE"/>
    <w:rsid w:val="2D410C84"/>
    <w:rsid w:val="2D6706EB"/>
    <w:rsid w:val="2E914080"/>
    <w:rsid w:val="2EC15BD9"/>
    <w:rsid w:val="2F454A5C"/>
    <w:rsid w:val="303F594F"/>
    <w:rsid w:val="307C4499"/>
    <w:rsid w:val="30D82E34"/>
    <w:rsid w:val="31930FE5"/>
    <w:rsid w:val="324A05DB"/>
    <w:rsid w:val="32A221C5"/>
    <w:rsid w:val="336E20A7"/>
    <w:rsid w:val="33B977C6"/>
    <w:rsid w:val="33C46A54"/>
    <w:rsid w:val="345E2C01"/>
    <w:rsid w:val="348D43F4"/>
    <w:rsid w:val="34BC6C38"/>
    <w:rsid w:val="351849C1"/>
    <w:rsid w:val="35284B93"/>
    <w:rsid w:val="35867F91"/>
    <w:rsid w:val="36FB3534"/>
    <w:rsid w:val="36FC4592"/>
    <w:rsid w:val="371B5132"/>
    <w:rsid w:val="373226F6"/>
    <w:rsid w:val="385250B2"/>
    <w:rsid w:val="38876070"/>
    <w:rsid w:val="38C663DB"/>
    <w:rsid w:val="394D1C50"/>
    <w:rsid w:val="395FB7A0"/>
    <w:rsid w:val="39C90037"/>
    <w:rsid w:val="39CB75EB"/>
    <w:rsid w:val="3A15327D"/>
    <w:rsid w:val="3A6A6FCE"/>
    <w:rsid w:val="3AD273C0"/>
    <w:rsid w:val="3AD4138A"/>
    <w:rsid w:val="3B005EBC"/>
    <w:rsid w:val="3B1B178E"/>
    <w:rsid w:val="3BA21E0A"/>
    <w:rsid w:val="3BF9DEB1"/>
    <w:rsid w:val="3C0E6BAC"/>
    <w:rsid w:val="3C4E5A4E"/>
    <w:rsid w:val="3C9061A1"/>
    <w:rsid w:val="3D17730C"/>
    <w:rsid w:val="3D566086"/>
    <w:rsid w:val="3D742EA0"/>
    <w:rsid w:val="3E5E3444"/>
    <w:rsid w:val="3E9D0006"/>
    <w:rsid w:val="3F746C97"/>
    <w:rsid w:val="3FFBA370"/>
    <w:rsid w:val="3FFD3C92"/>
    <w:rsid w:val="4026313D"/>
    <w:rsid w:val="405014B2"/>
    <w:rsid w:val="40861A27"/>
    <w:rsid w:val="416F7716"/>
    <w:rsid w:val="41C71300"/>
    <w:rsid w:val="420138FF"/>
    <w:rsid w:val="431C742A"/>
    <w:rsid w:val="43291B47"/>
    <w:rsid w:val="433848E7"/>
    <w:rsid w:val="435C3019"/>
    <w:rsid w:val="436239D7"/>
    <w:rsid w:val="43BE6D6C"/>
    <w:rsid w:val="43E02B4D"/>
    <w:rsid w:val="43F85E2D"/>
    <w:rsid w:val="4420119C"/>
    <w:rsid w:val="44421112"/>
    <w:rsid w:val="44644CBF"/>
    <w:rsid w:val="44721913"/>
    <w:rsid w:val="450D7972"/>
    <w:rsid w:val="45CF2E79"/>
    <w:rsid w:val="45DE30BD"/>
    <w:rsid w:val="45E87A97"/>
    <w:rsid w:val="45EB023C"/>
    <w:rsid w:val="460F55E7"/>
    <w:rsid w:val="46B0028F"/>
    <w:rsid w:val="46D6163F"/>
    <w:rsid w:val="46DB2892"/>
    <w:rsid w:val="46E464B1"/>
    <w:rsid w:val="47485D05"/>
    <w:rsid w:val="475E38FA"/>
    <w:rsid w:val="480A1F47"/>
    <w:rsid w:val="484E277B"/>
    <w:rsid w:val="48BB6909"/>
    <w:rsid w:val="48F03833"/>
    <w:rsid w:val="495F570C"/>
    <w:rsid w:val="498714C9"/>
    <w:rsid w:val="49C95B93"/>
    <w:rsid w:val="4A1E1D23"/>
    <w:rsid w:val="4A317C5F"/>
    <w:rsid w:val="4A4400FF"/>
    <w:rsid w:val="4A471230"/>
    <w:rsid w:val="4A71301D"/>
    <w:rsid w:val="4AFB6E97"/>
    <w:rsid w:val="4B005D50"/>
    <w:rsid w:val="4B4C457A"/>
    <w:rsid w:val="4BFE9304"/>
    <w:rsid w:val="4C6C31D0"/>
    <w:rsid w:val="4CD34FFD"/>
    <w:rsid w:val="4CFA2DD6"/>
    <w:rsid w:val="4D0A4797"/>
    <w:rsid w:val="4D3006A2"/>
    <w:rsid w:val="4D396295"/>
    <w:rsid w:val="4D950505"/>
    <w:rsid w:val="4DAE21FE"/>
    <w:rsid w:val="4DCA32CE"/>
    <w:rsid w:val="4DF74D1B"/>
    <w:rsid w:val="4E231FB4"/>
    <w:rsid w:val="4E8E60BC"/>
    <w:rsid w:val="4F4A531F"/>
    <w:rsid w:val="4F7D4D0C"/>
    <w:rsid w:val="4FE03A2B"/>
    <w:rsid w:val="4FFA0AF3"/>
    <w:rsid w:val="5014397A"/>
    <w:rsid w:val="50412BC6"/>
    <w:rsid w:val="504601DC"/>
    <w:rsid w:val="50650662"/>
    <w:rsid w:val="50D17AA6"/>
    <w:rsid w:val="51093D65"/>
    <w:rsid w:val="512247A5"/>
    <w:rsid w:val="51590324"/>
    <w:rsid w:val="51847623"/>
    <w:rsid w:val="52350508"/>
    <w:rsid w:val="525E180D"/>
    <w:rsid w:val="52D41ACF"/>
    <w:rsid w:val="52ED0DE3"/>
    <w:rsid w:val="535844AE"/>
    <w:rsid w:val="53607807"/>
    <w:rsid w:val="53A13AC4"/>
    <w:rsid w:val="5435040D"/>
    <w:rsid w:val="55967510"/>
    <w:rsid w:val="561F5757"/>
    <w:rsid w:val="56837A94"/>
    <w:rsid w:val="56862D8A"/>
    <w:rsid w:val="57544F8D"/>
    <w:rsid w:val="58814DED"/>
    <w:rsid w:val="597C07CB"/>
    <w:rsid w:val="59B61E11"/>
    <w:rsid w:val="5A2635DD"/>
    <w:rsid w:val="5A4A04A6"/>
    <w:rsid w:val="5A6E4455"/>
    <w:rsid w:val="5AAF4F47"/>
    <w:rsid w:val="5B2A7D4D"/>
    <w:rsid w:val="5BC44DEE"/>
    <w:rsid w:val="5D6E7DCF"/>
    <w:rsid w:val="5DD6E773"/>
    <w:rsid w:val="5F891239"/>
    <w:rsid w:val="60CA3A1F"/>
    <w:rsid w:val="60F67ED8"/>
    <w:rsid w:val="6138591F"/>
    <w:rsid w:val="618D5292"/>
    <w:rsid w:val="61A831C2"/>
    <w:rsid w:val="61C6547B"/>
    <w:rsid w:val="61D05B58"/>
    <w:rsid w:val="621A6DD3"/>
    <w:rsid w:val="62B56103"/>
    <w:rsid w:val="62C06D48"/>
    <w:rsid w:val="63651B58"/>
    <w:rsid w:val="63E61662"/>
    <w:rsid w:val="64852C29"/>
    <w:rsid w:val="6558033E"/>
    <w:rsid w:val="65907AD8"/>
    <w:rsid w:val="65B73DEB"/>
    <w:rsid w:val="667CFF19"/>
    <w:rsid w:val="671A1F63"/>
    <w:rsid w:val="672D6937"/>
    <w:rsid w:val="67A96C2F"/>
    <w:rsid w:val="67D53EC8"/>
    <w:rsid w:val="6844086F"/>
    <w:rsid w:val="68B02E3D"/>
    <w:rsid w:val="68B03FED"/>
    <w:rsid w:val="68E23FEB"/>
    <w:rsid w:val="693B5FAC"/>
    <w:rsid w:val="69504A6C"/>
    <w:rsid w:val="69D56401"/>
    <w:rsid w:val="69F87330"/>
    <w:rsid w:val="6A374219"/>
    <w:rsid w:val="6AD42215"/>
    <w:rsid w:val="6B720339"/>
    <w:rsid w:val="6B9F1BC2"/>
    <w:rsid w:val="6C7B3C98"/>
    <w:rsid w:val="6C9C16BA"/>
    <w:rsid w:val="6CB5251A"/>
    <w:rsid w:val="6CC855C3"/>
    <w:rsid w:val="6D0B689D"/>
    <w:rsid w:val="6D5D3635"/>
    <w:rsid w:val="6E0252EB"/>
    <w:rsid w:val="6E5378F4"/>
    <w:rsid w:val="6EFFE986"/>
    <w:rsid w:val="6F7B4055"/>
    <w:rsid w:val="6F8F7052"/>
    <w:rsid w:val="6FE02E1A"/>
    <w:rsid w:val="6FE25A5E"/>
    <w:rsid w:val="6FFEAF5C"/>
    <w:rsid w:val="70386F10"/>
    <w:rsid w:val="70757FF6"/>
    <w:rsid w:val="70AA2441"/>
    <w:rsid w:val="712D267F"/>
    <w:rsid w:val="713C6D66"/>
    <w:rsid w:val="714B55B6"/>
    <w:rsid w:val="71602316"/>
    <w:rsid w:val="716F0EE9"/>
    <w:rsid w:val="720D1F18"/>
    <w:rsid w:val="72320BE2"/>
    <w:rsid w:val="72787A47"/>
    <w:rsid w:val="729B7ABC"/>
    <w:rsid w:val="72A71FF2"/>
    <w:rsid w:val="72C76B03"/>
    <w:rsid w:val="72C80088"/>
    <w:rsid w:val="72FA2A34"/>
    <w:rsid w:val="73124222"/>
    <w:rsid w:val="732D7FEB"/>
    <w:rsid w:val="73830C7C"/>
    <w:rsid w:val="73B05D63"/>
    <w:rsid w:val="74BC04D7"/>
    <w:rsid w:val="74C53382"/>
    <w:rsid w:val="74DA5D89"/>
    <w:rsid w:val="74F42CE1"/>
    <w:rsid w:val="74F5E285"/>
    <w:rsid w:val="75D73501"/>
    <w:rsid w:val="76D65566"/>
    <w:rsid w:val="76E068BE"/>
    <w:rsid w:val="76EF03D6"/>
    <w:rsid w:val="77291F9E"/>
    <w:rsid w:val="775C60B5"/>
    <w:rsid w:val="778450E0"/>
    <w:rsid w:val="78160310"/>
    <w:rsid w:val="78C20243"/>
    <w:rsid w:val="790068CB"/>
    <w:rsid w:val="7A002CB9"/>
    <w:rsid w:val="7A6A66F1"/>
    <w:rsid w:val="7ADA0446"/>
    <w:rsid w:val="7B713AB0"/>
    <w:rsid w:val="7B7FA95A"/>
    <w:rsid w:val="7BBB6A6C"/>
    <w:rsid w:val="7BCC3238"/>
    <w:rsid w:val="7BE44282"/>
    <w:rsid w:val="7BE81FC4"/>
    <w:rsid w:val="7BF64591"/>
    <w:rsid w:val="7CA67789"/>
    <w:rsid w:val="7CCF1163"/>
    <w:rsid w:val="7CD82038"/>
    <w:rsid w:val="7D6242BE"/>
    <w:rsid w:val="7D77546D"/>
    <w:rsid w:val="7D893333"/>
    <w:rsid w:val="7E9A50CB"/>
    <w:rsid w:val="7ED20D09"/>
    <w:rsid w:val="7EDE76AE"/>
    <w:rsid w:val="7EF7088A"/>
    <w:rsid w:val="7F1640FB"/>
    <w:rsid w:val="7FB75652"/>
    <w:rsid w:val="7FBA3160"/>
    <w:rsid w:val="7FDC09C5"/>
    <w:rsid w:val="7FF500C7"/>
    <w:rsid w:val="8BE78F87"/>
    <w:rsid w:val="A27F9246"/>
    <w:rsid w:val="B3AEAE32"/>
    <w:rsid w:val="B9CF4092"/>
    <w:rsid w:val="BDF7DACF"/>
    <w:rsid w:val="BF2F035B"/>
    <w:rsid w:val="BFFFD307"/>
    <w:rsid w:val="C0FF410E"/>
    <w:rsid w:val="DCF744D8"/>
    <w:rsid w:val="EBFF1A38"/>
    <w:rsid w:val="EDFF1D06"/>
    <w:rsid w:val="FABED38C"/>
    <w:rsid w:val="FD6F1189"/>
    <w:rsid w:val="FEFDFA98"/>
    <w:rsid w:val="FF7A2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4">
    <w:name w:val="heading 2"/>
    <w:next w:val="1"/>
    <w:qFormat/>
    <w:uiPriority w:val="9"/>
    <w:pPr>
      <w:keepNext/>
      <w:keepLines/>
      <w:widowControl w:val="0"/>
      <w:spacing w:before="260" w:after="260" w:line="416" w:lineRule="auto"/>
      <w:jc w:val="both"/>
      <w:outlineLvl w:val="1"/>
    </w:pPr>
    <w:rPr>
      <w:rFonts w:ascii="Cambria" w:hAnsi="Cambria" w:eastAsia="宋体" w:cs="Times New Roman"/>
      <w:b/>
      <w:bCs/>
      <w:kern w:val="2"/>
      <w:sz w:val="32"/>
      <w:szCs w:val="32"/>
      <w:lang w:val="en-US" w:eastAsia="zh-CN" w:bidi="ar-SA"/>
    </w:rPr>
  </w:style>
  <w:style w:type="paragraph" w:styleId="5">
    <w:name w:val="heading 3"/>
    <w:next w:val="1"/>
    <w:qFormat/>
    <w:uiPriority w:val="0"/>
    <w:pPr>
      <w:keepNext/>
      <w:keepLines/>
      <w:widowControl w:val="0"/>
      <w:spacing w:before="260" w:after="260" w:line="416" w:lineRule="auto"/>
      <w:jc w:val="both"/>
      <w:outlineLvl w:val="2"/>
    </w:pPr>
    <w:rPr>
      <w:rFonts w:ascii="Times New Roman" w:hAnsi="Times New Roman" w:eastAsia="宋体" w:cs="Times New Roman"/>
      <w:b/>
      <w:bCs/>
      <w:kern w:val="2"/>
      <w:sz w:val="32"/>
      <w:szCs w:val="32"/>
      <w:lang w:val="en-US" w:eastAsia="zh-CN" w:bidi="ar-SA"/>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rFonts w:ascii="Calibri" w:hAnsi="Calibri"/>
      <w:bCs/>
      <w:spacing w:val="10"/>
      <w:sz w:val="24"/>
    </w:rPr>
  </w:style>
  <w:style w:type="paragraph" w:styleId="6">
    <w:name w:val="List Number"/>
    <w:basedOn w:val="1"/>
    <w:qFormat/>
    <w:uiPriority w:val="0"/>
    <w:pPr>
      <w:numPr>
        <w:ilvl w:val="0"/>
        <w:numId w:val="1"/>
      </w:numPr>
    </w:pPr>
  </w:style>
  <w:style w:type="paragraph" w:styleId="7">
    <w:name w:val="Normal Indent"/>
    <w:basedOn w:val="1"/>
    <w:unhideWhenUsed/>
    <w:qFormat/>
    <w:uiPriority w:val="0"/>
    <w:pPr>
      <w:ind w:firstLine="420"/>
    </w:pPr>
  </w:style>
  <w:style w:type="paragraph" w:styleId="8">
    <w:name w:val="annotation text"/>
    <w:basedOn w:val="1"/>
    <w:link w:val="30"/>
    <w:qFormat/>
    <w:uiPriority w:val="0"/>
    <w:pPr>
      <w:jc w:val="left"/>
    </w:pPr>
  </w:style>
  <w:style w:type="paragraph" w:styleId="9">
    <w:name w:val="Body Text"/>
    <w:next w:val="1"/>
    <w:link w:val="31"/>
    <w:qFormat/>
    <w:uiPriority w:val="99"/>
    <w:pPr>
      <w:widowControl w:val="0"/>
      <w:spacing w:after="120"/>
      <w:jc w:val="both"/>
    </w:pPr>
    <w:rPr>
      <w:rFonts w:ascii="Times New Roman" w:hAnsi="Times New Roman" w:eastAsia="宋体" w:cs="Times New Roman"/>
      <w:kern w:val="2"/>
      <w:sz w:val="21"/>
      <w:szCs w:val="24"/>
      <w:lang w:val="en-US" w:eastAsia="zh-CN" w:bidi="ar-SA"/>
    </w:rPr>
  </w:style>
  <w:style w:type="paragraph" w:styleId="10">
    <w:name w:val="Body Text Indent"/>
    <w:basedOn w:val="1"/>
    <w:link w:val="32"/>
    <w:qFormat/>
    <w:uiPriority w:val="0"/>
    <w:pPr>
      <w:spacing w:after="120"/>
      <w:ind w:left="420" w:leftChars="200"/>
    </w:pPr>
  </w:style>
  <w:style w:type="paragraph" w:styleId="11">
    <w:name w:val="List 2"/>
    <w:unhideWhenUsed/>
    <w:qFormat/>
    <w:uiPriority w:val="99"/>
    <w:pPr>
      <w:widowControl w:val="0"/>
      <w:ind w:left="100" w:leftChars="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2">
    <w:name w:val="toc 3"/>
    <w:next w:val="1"/>
    <w:unhideWhenUsed/>
    <w:qFormat/>
    <w:uiPriority w:val="39"/>
    <w:pPr>
      <w:widowControl w:val="0"/>
      <w:ind w:left="840" w:leftChars="400"/>
      <w:jc w:val="both"/>
    </w:pPr>
    <w:rPr>
      <w:rFonts w:ascii="Times New Roman" w:hAnsi="Times New Roman" w:eastAsia="宋体" w:cs="Times New Roman"/>
      <w:kern w:val="2"/>
      <w:sz w:val="21"/>
      <w:szCs w:val="24"/>
      <w:lang w:val="en-US" w:eastAsia="zh-CN" w:bidi="ar-SA"/>
    </w:rPr>
  </w:style>
  <w:style w:type="paragraph" w:styleId="13">
    <w:name w:val="Plain Text"/>
    <w:basedOn w:val="1"/>
    <w:next w:val="1"/>
    <w:link w:val="33"/>
    <w:unhideWhenUsed/>
    <w:qFormat/>
    <w:uiPriority w:val="0"/>
    <w:rPr>
      <w:rFonts w:hint="eastAsia" w:ascii="宋体" w:hAnsi="Courier New" w:eastAsia="宋体" w:cs="Times New Roman"/>
      <w:sz w:val="24"/>
      <w:szCs w:val="24"/>
      <w:lang w:val="en-US" w:eastAsia="zh-CN" w:bidi="ar-SA"/>
    </w:rPr>
  </w:style>
  <w:style w:type="paragraph" w:styleId="14">
    <w:name w:val="Balloon Text"/>
    <w:basedOn w:val="1"/>
    <w:link w:val="34"/>
    <w:qFormat/>
    <w:uiPriority w:val="0"/>
    <w:rPr>
      <w:sz w:val="18"/>
      <w:szCs w:val="18"/>
    </w:rPr>
  </w:style>
  <w:style w:type="paragraph" w:styleId="15">
    <w:name w:val="footer"/>
    <w:basedOn w:val="1"/>
    <w:link w:val="35"/>
    <w:qFormat/>
    <w:uiPriority w:val="99"/>
    <w:pPr>
      <w:tabs>
        <w:tab w:val="center" w:pos="4153"/>
        <w:tab w:val="right" w:pos="8306"/>
      </w:tabs>
      <w:snapToGrid w:val="0"/>
      <w:jc w:val="left"/>
    </w:pPr>
    <w:rPr>
      <w:sz w:val="18"/>
    </w:rPr>
  </w:style>
  <w:style w:type="paragraph" w:styleId="16">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List"/>
    <w:unhideWhenUsed/>
    <w:qFormat/>
    <w:uiPriority w:val="0"/>
    <w:pPr>
      <w:widowControl w:val="0"/>
      <w:ind w:left="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0">
    <w:name w:val="Normal (Web)"/>
    <w:basedOn w:val="1"/>
    <w:qFormat/>
    <w:uiPriority w:val="0"/>
    <w:rPr>
      <w:sz w:val="24"/>
    </w:rPr>
  </w:style>
  <w:style w:type="paragraph" w:styleId="21">
    <w:name w:val="Title"/>
    <w:basedOn w:val="1"/>
    <w:next w:val="1"/>
    <w:qFormat/>
    <w:uiPriority w:val="0"/>
    <w:pPr>
      <w:spacing w:before="240" w:after="60"/>
      <w:jc w:val="center"/>
      <w:outlineLvl w:val="0"/>
    </w:pPr>
    <w:rPr>
      <w:rFonts w:ascii="Arial" w:hAnsi="Arial"/>
      <w:b/>
      <w:sz w:val="32"/>
      <w:szCs w:val="20"/>
    </w:rPr>
  </w:style>
  <w:style w:type="paragraph" w:styleId="22">
    <w:name w:val="annotation subject"/>
    <w:basedOn w:val="8"/>
    <w:next w:val="8"/>
    <w:link w:val="37"/>
    <w:qFormat/>
    <w:uiPriority w:val="0"/>
    <w:rPr>
      <w:b/>
      <w:bCs/>
    </w:rPr>
  </w:style>
  <w:style w:type="table" w:styleId="24">
    <w:name w:val="Table Grid"/>
    <w:basedOn w:val="2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6">
    <w:name w:val="Strong"/>
    <w:basedOn w:val="25"/>
    <w:qFormat/>
    <w:uiPriority w:val="0"/>
    <w:rPr>
      <w:b/>
    </w:rPr>
  </w:style>
  <w:style w:type="character" w:styleId="27">
    <w:name w:val="FollowedHyperlink"/>
    <w:unhideWhenUsed/>
    <w:qFormat/>
    <w:uiPriority w:val="0"/>
    <w:rPr>
      <w:color w:val="800080"/>
      <w:u w:val="single"/>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customStyle="1" w:styleId="30">
    <w:name w:val="批注文字 字符1"/>
    <w:link w:val="8"/>
    <w:qFormat/>
    <w:uiPriority w:val="0"/>
    <w:rPr>
      <w:kern w:val="2"/>
      <w:sz w:val="21"/>
      <w:szCs w:val="24"/>
    </w:rPr>
  </w:style>
  <w:style w:type="character" w:customStyle="1" w:styleId="31">
    <w:name w:val="正文文本 字符"/>
    <w:link w:val="9"/>
    <w:qFormat/>
    <w:uiPriority w:val="99"/>
    <w:rPr>
      <w:kern w:val="2"/>
      <w:sz w:val="21"/>
      <w:szCs w:val="24"/>
    </w:rPr>
  </w:style>
  <w:style w:type="character" w:customStyle="1" w:styleId="32">
    <w:name w:val="正文文本缩进 字符"/>
    <w:link w:val="10"/>
    <w:qFormat/>
    <w:uiPriority w:val="0"/>
    <w:rPr>
      <w:kern w:val="2"/>
      <w:sz w:val="21"/>
      <w:szCs w:val="24"/>
    </w:rPr>
  </w:style>
  <w:style w:type="character" w:customStyle="1" w:styleId="33">
    <w:name w:val="纯文本 字符"/>
    <w:link w:val="13"/>
    <w:qFormat/>
    <w:uiPriority w:val="0"/>
    <w:rPr>
      <w:rFonts w:ascii="宋体" w:hAnsi="Courier New"/>
      <w:sz w:val="24"/>
      <w:szCs w:val="24"/>
    </w:rPr>
  </w:style>
  <w:style w:type="character" w:customStyle="1" w:styleId="34">
    <w:name w:val="批注框文本 字符"/>
    <w:link w:val="14"/>
    <w:qFormat/>
    <w:uiPriority w:val="0"/>
    <w:rPr>
      <w:kern w:val="2"/>
      <w:sz w:val="18"/>
      <w:szCs w:val="18"/>
    </w:rPr>
  </w:style>
  <w:style w:type="character" w:customStyle="1" w:styleId="35">
    <w:name w:val="页脚 字符"/>
    <w:link w:val="15"/>
    <w:qFormat/>
    <w:uiPriority w:val="99"/>
    <w:rPr>
      <w:kern w:val="2"/>
      <w:sz w:val="18"/>
      <w:szCs w:val="24"/>
    </w:rPr>
  </w:style>
  <w:style w:type="character" w:customStyle="1" w:styleId="36">
    <w:name w:val="页眉 字符"/>
    <w:link w:val="16"/>
    <w:qFormat/>
    <w:uiPriority w:val="0"/>
    <w:rPr>
      <w:kern w:val="2"/>
      <w:sz w:val="18"/>
      <w:szCs w:val="18"/>
    </w:rPr>
  </w:style>
  <w:style w:type="character" w:customStyle="1" w:styleId="37">
    <w:name w:val="批注主题 字符"/>
    <w:link w:val="22"/>
    <w:qFormat/>
    <w:uiPriority w:val="0"/>
    <w:rPr>
      <w:b/>
      <w:bCs/>
      <w:kern w:val="2"/>
      <w:sz w:val="21"/>
      <w:szCs w:val="24"/>
    </w:rPr>
  </w:style>
  <w:style w:type="table" w:customStyle="1" w:styleId="38">
    <w:name w:val="Table Normal"/>
    <w:unhideWhenUsed/>
    <w:qFormat/>
    <w:uiPriority w:val="0"/>
    <w:tblPr>
      <w:tblCellMar>
        <w:top w:w="0" w:type="dxa"/>
        <w:left w:w="0" w:type="dxa"/>
        <w:bottom w:w="0" w:type="dxa"/>
        <w:right w:w="0" w:type="dxa"/>
      </w:tblCellMar>
    </w:tblPr>
  </w:style>
  <w:style w:type="paragraph" w:styleId="39">
    <w:name w:val="List Paragraph"/>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0">
    <w:name w:val="Default"/>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41">
    <w:name w:val="批注文字 Char"/>
    <w:qFormat/>
    <w:uiPriority w:val="0"/>
    <w:rPr>
      <w:kern w:val="2"/>
      <w:sz w:val="21"/>
      <w:szCs w:val="24"/>
    </w:rPr>
  </w:style>
  <w:style w:type="character" w:customStyle="1" w:styleId="42">
    <w:name w:val="批注文字 字符"/>
    <w:qFormat/>
    <w:uiPriority w:val="0"/>
    <w:rPr>
      <w:kern w:val="2"/>
      <w:sz w:val="21"/>
      <w:szCs w:val="24"/>
    </w:rPr>
  </w:style>
  <w:style w:type="paragraph" w:customStyle="1" w:styleId="43">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szCs w:val="20"/>
      <w:lang w:eastAsia="en-US"/>
    </w:rPr>
  </w:style>
  <w:style w:type="paragraph" w:customStyle="1" w:styleId="44">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5">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7570</Words>
  <Characters>8844</Characters>
  <Lines>451</Lines>
  <Paragraphs>127</Paragraphs>
  <TotalTime>44</TotalTime>
  <ScaleCrop>false</ScaleCrop>
  <LinksUpToDate>false</LinksUpToDate>
  <CharactersWithSpaces>9006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2025-02-26T03:42:00Z</dcterms:created>
  <dc:creator>月酱</dc:creator>
  <cp:lastModifiedBy>PENG</cp:lastModifiedBy>
  <cp:lastPrinted>2025-11-17T01:02:00Z</cp:lastPrinted>
  <dcterms:modified xsi:type="dcterms:W3CDTF">2025-12-11T05:16:48Z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1518D6D7B57342CDB57DD37329A5A906_13</vt:lpwstr>
  </property>
  <property fmtid="{D5CDD505-2E9C-101B-9397-08002B2CF9AE}" pid="4" name="KSOTemplateDocerSaveRecord">
    <vt:lpwstr>eyJoZGlkIjoiNGNiNDI4MmU5ZDRlNWYzYmJmYzZmMjA1ZGI2NTAwOWQiLCJ1c2VySWQiOiI4ODAyNzA4OTcifQ==</vt:lpwstr>
  </property>
</Properties>
</file>