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13F790">
      <w:pPr>
        <w:jc w:val="center"/>
        <w:rPr>
          <w:rFonts w:hint="eastAsia" w:ascii="宋体" w:hAnsi="宋体" w:cs="宋体"/>
          <w:b/>
          <w:bCs/>
          <w:color w:val="auto"/>
          <w:sz w:val="48"/>
          <w:szCs w:val="48"/>
          <w:highlight w:val="none"/>
        </w:rPr>
      </w:pPr>
      <w:bookmarkStart w:id="0" w:name="OLE_LINK15"/>
      <w:bookmarkStart w:id="1" w:name="OLE_LINK8"/>
      <w:bookmarkStart w:id="2" w:name="OLE_LINK7"/>
      <w:bookmarkStart w:id="3" w:name="OLE_LINK10"/>
      <w:bookmarkStart w:id="4" w:name="OLE_LINK11"/>
    </w:p>
    <w:p w14:paraId="04F04218">
      <w:pPr>
        <w:jc w:val="center"/>
        <w:rPr>
          <w:rFonts w:hint="eastAsia" w:ascii="宋体" w:hAnsi="宋体" w:cs="宋体"/>
          <w:b/>
          <w:bCs/>
          <w:color w:val="auto"/>
          <w:sz w:val="48"/>
          <w:szCs w:val="48"/>
          <w:highlight w:val="none"/>
        </w:rPr>
      </w:pPr>
    </w:p>
    <w:p w14:paraId="37E6FDBE">
      <w:pPr>
        <w:jc w:val="center"/>
        <w:rPr>
          <w:rFonts w:hint="eastAsia" w:ascii="宋体" w:hAnsi="宋体" w:cs="宋体"/>
          <w:b/>
          <w:bCs/>
          <w:color w:val="auto"/>
          <w:sz w:val="48"/>
          <w:szCs w:val="48"/>
          <w:highlight w:val="none"/>
        </w:rPr>
      </w:pPr>
      <w:r>
        <w:rPr>
          <w:rFonts w:hAnsi="宋体"/>
          <w:color w:val="auto"/>
          <w:kern w:val="0"/>
          <w:szCs w:val="21"/>
          <w:highlight w:val="none"/>
        </w:rPr>
        <w:drawing>
          <wp:anchor distT="0" distB="0" distL="114300" distR="114300" simplePos="0" relativeHeight="251662336" behindDoc="0" locked="0" layoutInCell="1" allowOverlap="1">
            <wp:simplePos x="0" y="0"/>
            <wp:positionH relativeFrom="column">
              <wp:posOffset>-342900</wp:posOffset>
            </wp:positionH>
            <wp:positionV relativeFrom="paragraph">
              <wp:posOffset>-373380</wp:posOffset>
            </wp:positionV>
            <wp:extent cx="6395085" cy="1416685"/>
            <wp:effectExtent l="0" t="0" r="0" b="0"/>
            <wp:wrapNone/>
            <wp:docPr id="2"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03★工作★（硬盘）\2018年项目-2022年项目-招标\5、2022年项目\（2.28投标入库）南宁轨道地产集团有限责任公司2022-2025年招标代理服务\招标公司-名称.png"/>
                    <pic:cNvPicPr>
                      <a:picLocks noChangeAspect="1"/>
                    </pic:cNvPicPr>
                  </pic:nvPicPr>
                  <pic:blipFill>
                    <a:blip r:embed="rId19"/>
                    <a:srcRect r="6451"/>
                    <a:stretch>
                      <a:fillRect/>
                    </a:stretch>
                  </pic:blipFill>
                  <pic:spPr>
                    <a:xfrm>
                      <a:off x="654685" y="1099820"/>
                      <a:ext cx="6395085" cy="1416685"/>
                    </a:xfrm>
                    <a:prstGeom prst="rect">
                      <a:avLst/>
                    </a:prstGeom>
                    <a:noFill/>
                    <a:ln>
                      <a:noFill/>
                    </a:ln>
                  </pic:spPr>
                </pic:pic>
              </a:graphicData>
            </a:graphic>
          </wp:anchor>
        </w:drawing>
      </w:r>
    </w:p>
    <w:p w14:paraId="5BD50E2B">
      <w:pPr>
        <w:jc w:val="center"/>
        <w:rPr>
          <w:rFonts w:hint="eastAsia" w:ascii="宋体" w:hAnsi="宋体" w:cs="宋体"/>
          <w:b/>
          <w:bCs/>
          <w:color w:val="auto"/>
          <w:sz w:val="48"/>
          <w:szCs w:val="48"/>
          <w:highlight w:val="none"/>
        </w:rPr>
      </w:pPr>
    </w:p>
    <w:bookmarkEnd w:id="0"/>
    <w:p w14:paraId="1C449893">
      <w:pPr>
        <w:spacing w:line="360" w:lineRule="auto"/>
        <w:jc w:val="center"/>
        <w:rPr>
          <w:rFonts w:hint="eastAsia" w:ascii="宋体" w:hAnsi="宋体" w:cs="宋体"/>
          <w:b/>
          <w:color w:val="auto"/>
          <w:sz w:val="36"/>
          <w:szCs w:val="36"/>
          <w:highlight w:val="none"/>
        </w:rPr>
      </w:pPr>
      <w:r>
        <w:rPr>
          <w:rFonts w:hint="eastAsia" w:ascii="宋体" w:hAnsi="宋体" w:cs="宋体"/>
          <w:color w:val="auto"/>
          <w:sz w:val="20"/>
          <w:highlight w:val="none"/>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169545</wp:posOffset>
                </wp:positionV>
                <wp:extent cx="5944235" cy="8255"/>
                <wp:effectExtent l="0" t="0" r="0" b="0"/>
                <wp:wrapNone/>
                <wp:docPr id="1"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0.65pt;margin-top:13.35pt;height:0.65pt;width:468.05pt;z-index:251659264;mso-width-relative:page;mso-height-relative:page;" filled="f" stroked="t" coordsize="21600,21600" o:gfxdata="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Z+Ad1wAAAAgBAAAPAAAAAAAAAAEAIAAAACIAAABkcnMvZG93bnJldi54bWxQSwEC&#10;FAAUAAAACACHTuJACkhh9fUBAAD3AwAADgAAAAAAAAABACAAAAAmAQAAZHJzL2Uyb0RvYy54bWxQ&#10;SwUGAAAAAAYABgBZAQAAjQU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14:paraId="39190DC4">
      <w:pPr>
        <w:pStyle w:val="20"/>
        <w:jc w:val="center"/>
        <w:rPr>
          <w:rFonts w:hint="eastAsia" w:hAnsi="宋体" w:cs="宋体"/>
          <w:color w:val="auto"/>
          <w:sz w:val="72"/>
          <w:szCs w:val="72"/>
          <w:highlight w:val="none"/>
        </w:rPr>
      </w:pPr>
    </w:p>
    <w:p w14:paraId="6191EBB8">
      <w:pPr>
        <w:pStyle w:val="20"/>
        <w:jc w:val="center"/>
        <w:rPr>
          <w:rFonts w:hint="eastAsia" w:hAnsi="宋体" w:cs="宋体"/>
          <w:b/>
          <w:bCs/>
          <w:color w:val="auto"/>
          <w:sz w:val="110"/>
          <w:szCs w:val="110"/>
          <w:highlight w:val="none"/>
        </w:rPr>
      </w:pPr>
      <w:r>
        <w:rPr>
          <w:rFonts w:hint="eastAsia" w:hAnsi="宋体" w:cs="宋体"/>
          <w:color w:val="auto"/>
          <w:sz w:val="110"/>
          <w:szCs w:val="110"/>
          <w:highlight w:val="none"/>
        </w:rPr>
        <w:t>招 标 文 件</w:t>
      </w:r>
    </w:p>
    <w:p w14:paraId="7E24C0FD">
      <w:pPr>
        <w:jc w:val="center"/>
        <w:rPr>
          <w:rFonts w:hint="eastAsia" w:ascii="宋体" w:hAnsi="宋体" w:cs="宋体"/>
          <w:b/>
          <w:color w:val="auto"/>
          <w:sz w:val="36"/>
          <w:szCs w:val="36"/>
          <w:highlight w:val="none"/>
        </w:rPr>
      </w:pPr>
    </w:p>
    <w:p w14:paraId="23E33B88">
      <w:pPr>
        <w:pStyle w:val="20"/>
        <w:spacing w:line="360" w:lineRule="auto"/>
        <w:ind w:firstLine="751" w:firstLineChars="250"/>
        <w:jc w:val="left"/>
        <w:rPr>
          <w:rFonts w:hint="eastAsia" w:hAnsi="宋体" w:cs="宋体"/>
          <w:b/>
          <w:color w:val="auto"/>
          <w:sz w:val="30"/>
          <w:szCs w:val="30"/>
          <w:highlight w:val="none"/>
        </w:rPr>
      </w:pPr>
    </w:p>
    <w:p w14:paraId="58400002">
      <w:pPr>
        <w:snapToGrid w:val="0"/>
        <w:spacing w:before="120" w:beforeLines="50"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（全流程电子化采购）</w:t>
      </w:r>
    </w:p>
    <w:p w14:paraId="5187D0D5">
      <w:pPr>
        <w:pStyle w:val="20"/>
        <w:spacing w:line="360" w:lineRule="auto"/>
        <w:ind w:firstLine="751" w:firstLineChars="250"/>
        <w:jc w:val="left"/>
        <w:rPr>
          <w:rFonts w:hint="eastAsia" w:hAnsi="宋体" w:cs="宋体"/>
          <w:b/>
          <w:color w:val="auto"/>
          <w:sz w:val="30"/>
          <w:szCs w:val="30"/>
          <w:highlight w:val="none"/>
        </w:rPr>
      </w:pPr>
    </w:p>
    <w:p w14:paraId="6D9E906B">
      <w:pPr>
        <w:pStyle w:val="20"/>
        <w:spacing w:line="360" w:lineRule="auto"/>
        <w:ind w:firstLine="751" w:firstLineChars="250"/>
        <w:jc w:val="left"/>
        <w:rPr>
          <w:rFonts w:hint="eastAsia" w:hAnsi="宋体" w:cs="宋体"/>
          <w:b/>
          <w:color w:val="auto"/>
          <w:sz w:val="30"/>
          <w:szCs w:val="30"/>
          <w:highlight w:val="none"/>
        </w:rPr>
      </w:pPr>
    </w:p>
    <w:p w14:paraId="041D670D">
      <w:pPr>
        <w:pStyle w:val="20"/>
        <w:spacing w:line="360" w:lineRule="auto"/>
        <w:ind w:firstLine="751" w:firstLineChars="250"/>
        <w:jc w:val="left"/>
        <w:rPr>
          <w:rFonts w:hint="eastAsia" w:hAnsi="宋体" w:cs="宋体"/>
          <w:b/>
          <w:color w:val="auto"/>
          <w:sz w:val="30"/>
          <w:szCs w:val="30"/>
          <w:highlight w:val="none"/>
        </w:rPr>
      </w:pPr>
    </w:p>
    <w:p w14:paraId="656A469A">
      <w:pPr>
        <w:pStyle w:val="20"/>
        <w:spacing w:line="360" w:lineRule="auto"/>
        <w:ind w:left="2254" w:leftChars="358" w:hanging="1502" w:hangingChars="50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项目名称：</w:t>
      </w:r>
      <w:r>
        <w:rPr>
          <w:rFonts w:hint="eastAsia" w:hAnsi="宋体" w:cs="宋体"/>
          <w:b/>
          <w:color w:val="auto"/>
          <w:sz w:val="30"/>
          <w:szCs w:val="30"/>
          <w:highlight w:val="none"/>
          <w:lang w:eastAsia="zh-CN"/>
        </w:rPr>
        <w:t>全区非法堆存、转移涉重固体废物危险特性鉴别及污染释放能力评估项目</w:t>
      </w:r>
    </w:p>
    <w:p w14:paraId="5439D2A0">
      <w:pPr>
        <w:pStyle w:val="20"/>
        <w:spacing w:line="360" w:lineRule="auto"/>
        <w:ind w:firstLine="751" w:firstLineChars="250"/>
        <w:jc w:val="left"/>
        <w:rPr>
          <w:rFonts w:hint="default" w:hAnsi="宋体" w:eastAsia="宋体" w:cs="宋体"/>
          <w:b/>
          <w:color w:val="auto"/>
          <w:sz w:val="30"/>
          <w:szCs w:val="30"/>
          <w:highlight w:val="none"/>
          <w:lang w:val="en-US" w:eastAsia="zh-CN"/>
        </w:rPr>
      </w:pPr>
      <w:r>
        <w:rPr>
          <w:rFonts w:hint="eastAsia" w:hAnsi="宋体" w:cs="宋体"/>
          <w:b/>
          <w:color w:val="auto"/>
          <w:sz w:val="30"/>
          <w:szCs w:val="30"/>
          <w:highlight w:val="none"/>
        </w:rPr>
        <w:t>项目编号：</w:t>
      </w:r>
      <w:r>
        <w:rPr>
          <w:rFonts w:hint="eastAsia" w:hAnsi="宋体" w:cs="宋体"/>
          <w:b/>
          <w:color w:val="auto"/>
          <w:sz w:val="30"/>
          <w:szCs w:val="30"/>
          <w:highlight w:val="none"/>
          <w:lang w:val="en-US" w:eastAsia="zh-CN"/>
        </w:rPr>
        <w:t>GXZC2026-G3-000163-JDZB</w:t>
      </w:r>
    </w:p>
    <w:p w14:paraId="0816937E">
      <w:pPr>
        <w:spacing w:line="600" w:lineRule="exact"/>
        <w:ind w:left="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144145</wp:posOffset>
                </wp:positionV>
                <wp:extent cx="5944235" cy="8255"/>
                <wp:effectExtent l="0" t="0" r="0" b="0"/>
                <wp:wrapNone/>
                <wp:docPr id="3"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7.05pt;margin-top:11.35pt;height:0.65pt;width:468.05pt;z-index:251660288;mso-width-relative:page;mso-height-relative:page;" filled="f" stroked="t" coordsize="21600,21600" o:gfxdata="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vzFLNcAAAAJAQAADwAAAAAAAAABACAAAAAiAAAAZHJzL2Rvd25yZXYueG1sUEsB&#10;AhQAFAAAAAgAh07iQNV1L+72AQAA9wMAAA4AAAAAAAAAAQAgAAAAJgEAAGRycy9lMm9Eb2MueG1s&#10;UEsFBgAAAAAGAAYAWQEAAI4FAAAAAA==&#10;">
                <v:fill on="f" focussize="0,0"/>
                <v:stroke weight="2.25pt" color="#000000" joinstyle="round"/>
                <v:imagedata o:title=""/>
                <o:lock v:ext="edit" aspectratio="f"/>
              </v:line>
            </w:pict>
          </mc:Fallback>
        </mc:AlternateContent>
      </w:r>
    </w:p>
    <w:p w14:paraId="7C9E7287">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采购人：</w:t>
      </w:r>
      <w:r>
        <w:rPr>
          <w:rFonts w:hint="eastAsia" w:hAnsi="宋体" w:cs="宋体"/>
          <w:b/>
          <w:color w:val="auto"/>
          <w:sz w:val="30"/>
          <w:szCs w:val="30"/>
          <w:highlight w:val="none"/>
          <w:lang w:eastAsia="zh-CN"/>
        </w:rPr>
        <w:t>广西壮族自治区生态环境厅</w:t>
      </w:r>
    </w:p>
    <w:p w14:paraId="0718696E">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采购代理机构：</w:t>
      </w:r>
      <w:r>
        <w:rPr>
          <w:rFonts w:hint="eastAsia" w:hAnsi="宋体" w:cs="宋体"/>
          <w:b/>
          <w:color w:val="auto"/>
          <w:sz w:val="30"/>
          <w:szCs w:val="30"/>
          <w:highlight w:val="none"/>
          <w:lang w:eastAsia="zh-CN"/>
        </w:rPr>
        <w:t>广西建设工程机电设备招标中心有限公司</w:t>
      </w:r>
    </w:p>
    <w:p w14:paraId="403DD390">
      <w:pPr>
        <w:pStyle w:val="20"/>
        <w:spacing w:line="360" w:lineRule="auto"/>
        <w:jc w:val="center"/>
        <w:rPr>
          <w:rFonts w:hint="eastAsia" w:hAnsi="宋体" w:cs="宋体"/>
          <w:b/>
          <w:color w:val="auto"/>
          <w:sz w:val="30"/>
          <w:szCs w:val="30"/>
          <w:highlight w:val="none"/>
        </w:rPr>
      </w:pPr>
    </w:p>
    <w:p w14:paraId="3DA574A3">
      <w:pPr>
        <w:pStyle w:val="20"/>
        <w:spacing w:line="360" w:lineRule="auto"/>
        <w:jc w:val="center"/>
        <w:rPr>
          <w:rFonts w:hint="default" w:hAnsi="宋体" w:eastAsia="宋体" w:cs="宋体"/>
          <w:b/>
          <w:bCs/>
          <w:color w:val="auto"/>
          <w:spacing w:val="-27"/>
          <w:sz w:val="60"/>
          <w:szCs w:val="60"/>
          <w:highlight w:val="none"/>
          <w:lang w:val="en-US" w:eastAsia="zh-CN"/>
        </w:rPr>
      </w:pPr>
      <w:r>
        <w:rPr>
          <w:rFonts w:hint="eastAsia" w:hAnsi="宋体" w:cs="宋体"/>
          <w:b/>
          <w:color w:val="auto"/>
          <w:sz w:val="30"/>
          <w:szCs w:val="30"/>
          <w:highlight w:val="none"/>
        </w:rPr>
        <w:t>202</w:t>
      </w:r>
      <w:r>
        <w:rPr>
          <w:rFonts w:hint="eastAsia" w:hAnsi="宋体" w:cs="宋体"/>
          <w:b/>
          <w:color w:val="auto"/>
          <w:sz w:val="30"/>
          <w:szCs w:val="30"/>
          <w:highlight w:val="none"/>
          <w:lang w:val="en-US" w:eastAsia="zh-CN"/>
        </w:rPr>
        <w:t>6</w:t>
      </w:r>
      <w:r>
        <w:rPr>
          <w:rFonts w:hint="eastAsia" w:hAnsi="宋体" w:cs="宋体"/>
          <w:b/>
          <w:color w:val="auto"/>
          <w:sz w:val="30"/>
          <w:szCs w:val="30"/>
          <w:highlight w:val="none"/>
        </w:rPr>
        <w:t>年</w:t>
      </w:r>
      <w:r>
        <w:rPr>
          <w:rFonts w:hint="eastAsia" w:hAnsi="宋体" w:cs="宋体"/>
          <w:b/>
          <w:color w:val="auto"/>
          <w:sz w:val="30"/>
          <w:szCs w:val="30"/>
          <w:highlight w:val="none"/>
          <w:lang w:val="en-US" w:eastAsia="zh-CN"/>
        </w:rPr>
        <w:t>2</w:t>
      </w:r>
      <w:r>
        <w:rPr>
          <w:rFonts w:hint="eastAsia" w:hAnsi="宋体" w:cs="宋体"/>
          <w:b/>
          <w:color w:val="auto"/>
          <w:sz w:val="30"/>
          <w:szCs w:val="30"/>
          <w:highlight w:val="none"/>
        </w:rPr>
        <w:t>月</w:t>
      </w:r>
      <w:r>
        <w:rPr>
          <w:rFonts w:hint="eastAsia" w:hAnsi="宋体" w:cs="宋体"/>
          <w:b/>
          <w:color w:val="auto"/>
          <w:sz w:val="30"/>
          <w:szCs w:val="30"/>
          <w:highlight w:val="none"/>
          <w:lang w:val="en-US" w:eastAsia="zh-CN"/>
        </w:rPr>
        <w:t>13日</w:t>
      </w:r>
    </w:p>
    <w:p w14:paraId="35362ABB">
      <w:pPr>
        <w:pStyle w:val="20"/>
        <w:spacing w:before="120" w:after="120" w:line="360" w:lineRule="auto"/>
        <w:jc w:val="center"/>
        <w:rPr>
          <w:rFonts w:hint="eastAsia" w:hAnsi="宋体" w:cs="宋体"/>
          <w:b/>
          <w:color w:val="auto"/>
          <w:sz w:val="44"/>
          <w:szCs w:val="44"/>
          <w:highlight w:val="none"/>
        </w:rPr>
        <w:sectPr>
          <w:footerReference r:id="rId6" w:type="first"/>
          <w:headerReference r:id="rId3" w:type="default"/>
          <w:footerReference r:id="rId4" w:type="default"/>
          <w:footerReference r:id="rId5" w:type="even"/>
          <w:pgSz w:w="11906" w:h="16838"/>
          <w:pgMar w:top="1440" w:right="1757" w:bottom="1440" w:left="1803" w:header="850" w:footer="850" w:gutter="0"/>
          <w:pgNumType w:start="0"/>
          <w:cols w:space="720" w:num="1"/>
          <w:titlePg/>
          <w:docGrid w:linePitch="312" w:charSpace="0"/>
        </w:sectPr>
      </w:pPr>
    </w:p>
    <w:p w14:paraId="0F5D5988">
      <w:pPr>
        <w:pStyle w:val="20"/>
        <w:keepNext w:val="0"/>
        <w:keepLines w:val="0"/>
        <w:pageBreakBefore w:val="0"/>
        <w:widowControl w:val="0"/>
        <w:kinsoku/>
        <w:wordWrap/>
        <w:overflowPunct/>
        <w:topLinePunct w:val="0"/>
        <w:autoSpaceDE/>
        <w:autoSpaceDN/>
        <w:bidi w:val="0"/>
        <w:adjustRightInd/>
        <w:spacing w:before="120" w:after="120" w:line="360" w:lineRule="auto"/>
        <w:jc w:val="center"/>
        <w:textAlignment w:val="auto"/>
        <w:rPr>
          <w:rFonts w:hint="eastAsia" w:hAnsi="宋体" w:cs="宋体"/>
          <w:b/>
          <w:color w:val="auto"/>
          <w:sz w:val="44"/>
          <w:szCs w:val="44"/>
          <w:highlight w:val="none"/>
        </w:rPr>
      </w:pPr>
      <w:r>
        <w:rPr>
          <w:rFonts w:hint="eastAsia" w:hAnsi="宋体" w:cs="宋体"/>
          <w:b/>
          <w:color w:val="auto"/>
          <w:sz w:val="44"/>
          <w:szCs w:val="44"/>
          <w:highlight w:val="none"/>
        </w:rPr>
        <w:t>目  录</w:t>
      </w:r>
    </w:p>
    <w:p w14:paraId="24695138">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bookmarkStart w:id="5" w:name="OLE_LINK9"/>
      <w:bookmarkStart w:id="6" w:name="OLE_LINK6"/>
      <w:r>
        <w:rPr>
          <w:rFonts w:hint="eastAsia" w:cs="宋体"/>
          <w:b w:val="0"/>
          <w:bCs w:val="0"/>
          <w:color w:val="auto"/>
          <w:highlight w:val="none"/>
        </w:rPr>
        <w:fldChar w:fldCharType="begin"/>
      </w:r>
      <w:r>
        <w:rPr>
          <w:rFonts w:hint="eastAsia" w:cs="宋体"/>
          <w:b w:val="0"/>
          <w:bCs w:val="0"/>
          <w:color w:val="auto"/>
          <w:highlight w:val="none"/>
        </w:rPr>
        <w:instrText xml:space="preserve">TOC \o "1-3" \h \u </w:instrText>
      </w:r>
      <w:r>
        <w:rPr>
          <w:rFonts w:hint="eastAsia" w:cs="宋体"/>
          <w:b w:val="0"/>
          <w:bCs w:val="0"/>
          <w:color w:val="auto"/>
          <w:highlight w:val="none"/>
        </w:rPr>
        <w:fldChar w:fldCharType="separate"/>
      </w:r>
      <w:r>
        <w:rPr>
          <w:rFonts w:hint="eastAsia" w:cs="宋体"/>
          <w:bCs w:val="0"/>
          <w:color w:val="auto"/>
          <w:highlight w:val="none"/>
        </w:rPr>
        <w:fldChar w:fldCharType="begin"/>
      </w:r>
      <w:r>
        <w:rPr>
          <w:rFonts w:hint="eastAsia" w:cs="宋体"/>
          <w:bCs w:val="0"/>
          <w:color w:val="auto"/>
          <w:highlight w:val="none"/>
        </w:rPr>
        <w:instrText xml:space="preserve"> HYPERLINK \l _Toc21030 </w:instrText>
      </w:r>
      <w:r>
        <w:rPr>
          <w:rFonts w:hint="eastAsia" w:cs="宋体"/>
          <w:bCs w:val="0"/>
          <w:color w:val="auto"/>
          <w:highlight w:val="none"/>
        </w:rPr>
        <w:fldChar w:fldCharType="separate"/>
      </w:r>
      <w:r>
        <w:rPr>
          <w:rFonts w:hint="eastAsia" w:ascii="宋体"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_Toc21030 \h </w:instrText>
      </w:r>
      <w:r>
        <w:rPr>
          <w:color w:val="auto"/>
          <w:highlight w:val="none"/>
        </w:rPr>
        <w:fldChar w:fldCharType="separate"/>
      </w:r>
      <w:r>
        <w:rPr>
          <w:color w:val="auto"/>
          <w:highlight w:val="none"/>
        </w:rPr>
        <w:t>1</w:t>
      </w:r>
      <w:r>
        <w:rPr>
          <w:color w:val="auto"/>
          <w:highlight w:val="none"/>
        </w:rPr>
        <w:fldChar w:fldCharType="end"/>
      </w:r>
      <w:r>
        <w:rPr>
          <w:rFonts w:hint="eastAsia" w:cs="宋体"/>
          <w:bCs w:val="0"/>
          <w:color w:val="auto"/>
          <w:highlight w:val="none"/>
        </w:rPr>
        <w:fldChar w:fldCharType="end"/>
      </w:r>
    </w:p>
    <w:p w14:paraId="50DDEA17">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_Toc12941 </w:instrText>
      </w:r>
      <w:r>
        <w:rPr>
          <w:rFonts w:hint="eastAsia" w:ascii="宋体" w:hAnsi="宋体" w:cs="宋体"/>
          <w:color w:val="auto"/>
          <w:highlight w:val="none"/>
        </w:rPr>
        <w:fldChar w:fldCharType="separate"/>
      </w:r>
      <w:r>
        <w:rPr>
          <w:rFonts w:hint="eastAsia" w:ascii="宋体"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_Toc12941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highlight w:val="none"/>
        </w:rPr>
        <w:fldChar w:fldCharType="end"/>
      </w:r>
    </w:p>
    <w:p w14:paraId="517E542C">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_Toc24453 </w:instrText>
      </w:r>
      <w:r>
        <w:rPr>
          <w:rFonts w:hint="eastAsia" w:ascii="宋体" w:hAnsi="宋体" w:cs="宋体"/>
          <w:color w:val="auto"/>
          <w:highlight w:val="none"/>
        </w:rPr>
        <w:fldChar w:fldCharType="separate"/>
      </w:r>
      <w:r>
        <w:rPr>
          <w:rFonts w:hint="eastAsia" w:ascii="宋体"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_Toc24453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p>
    <w:p w14:paraId="0BE94ACD">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_Toc3016 </w:instrText>
      </w:r>
      <w:r>
        <w:rPr>
          <w:rFonts w:hint="eastAsia" w:ascii="宋体" w:hAnsi="宋体" w:cs="宋体"/>
          <w:color w:val="auto"/>
          <w:highlight w:val="none"/>
        </w:rPr>
        <w:fldChar w:fldCharType="separate"/>
      </w:r>
      <w:r>
        <w:rPr>
          <w:rFonts w:hint="eastAsia" w:ascii="宋体" w:hAnsi="宋体" w:cs="宋体"/>
          <w:color w:val="auto"/>
          <w:szCs w:val="36"/>
          <w:highlight w:val="none"/>
        </w:rPr>
        <w:t>投标人须知前附表</w:t>
      </w:r>
      <w:r>
        <w:rPr>
          <w:color w:val="auto"/>
          <w:highlight w:val="none"/>
        </w:rPr>
        <w:tab/>
      </w:r>
      <w:bookmarkStart w:id="269" w:name="_GoBack"/>
      <w:bookmarkEnd w:id="269"/>
      <w:r>
        <w:rPr>
          <w:color w:val="auto"/>
          <w:highlight w:val="none"/>
        </w:rPr>
        <w:fldChar w:fldCharType="begin"/>
      </w:r>
      <w:r>
        <w:rPr>
          <w:color w:val="auto"/>
          <w:highlight w:val="none"/>
        </w:rPr>
        <w:instrText xml:space="preserve"> PAGEREF _Toc3016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p>
    <w:p w14:paraId="7AB4C955">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_Toc21607 </w:instrText>
      </w:r>
      <w:r>
        <w:rPr>
          <w:rFonts w:hint="eastAsia" w:ascii="宋体" w:hAnsi="宋体" w:cs="宋体"/>
          <w:color w:val="auto"/>
          <w:highlight w:val="none"/>
        </w:rPr>
        <w:fldChar w:fldCharType="separate"/>
      </w:r>
      <w:r>
        <w:rPr>
          <w:rFonts w:hint="eastAsia" w:ascii="宋体" w:hAnsi="宋体" w:cs="宋体"/>
          <w:color w:val="auto"/>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_Toc21607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589171A3">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_Toc7551 </w:instrText>
      </w:r>
      <w:r>
        <w:rPr>
          <w:rFonts w:hint="eastAsia" w:ascii="宋体" w:hAnsi="宋体" w:cs="宋体"/>
          <w:color w:val="auto"/>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_Toc7551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2E134AAD">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_Toc30666 </w:instrText>
      </w:r>
      <w:r>
        <w:rPr>
          <w:rFonts w:hint="eastAsia" w:ascii="宋体" w:hAnsi="宋体" w:cs="宋体"/>
          <w:color w:val="auto"/>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_Toc30666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s="宋体"/>
          <w:color w:val="auto"/>
          <w:highlight w:val="none"/>
        </w:rPr>
        <w:fldChar w:fldCharType="end"/>
      </w:r>
    </w:p>
    <w:p w14:paraId="39A13940">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_Toc11493 </w:instrText>
      </w:r>
      <w:r>
        <w:rPr>
          <w:rFonts w:hint="eastAsia" w:ascii="宋体" w:hAnsi="宋体" w:cs="宋体"/>
          <w:color w:val="auto"/>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_Toc11493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cs="宋体"/>
          <w:color w:val="auto"/>
          <w:highlight w:val="none"/>
        </w:rPr>
        <w:fldChar w:fldCharType="end"/>
      </w:r>
    </w:p>
    <w:p w14:paraId="473DDD58">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_Toc21393 </w:instrText>
      </w:r>
      <w:r>
        <w:rPr>
          <w:rFonts w:hint="eastAsia" w:ascii="宋体" w:hAnsi="宋体" w:cs="宋体"/>
          <w:color w:val="auto"/>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_Toc21393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cs="宋体"/>
          <w:color w:val="auto"/>
          <w:highlight w:val="none"/>
        </w:rPr>
        <w:fldChar w:fldCharType="end"/>
      </w:r>
    </w:p>
    <w:p w14:paraId="3EDC5330">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_Toc6086 </w:instrText>
      </w:r>
      <w:r>
        <w:rPr>
          <w:rFonts w:hint="eastAsia" w:ascii="宋体" w:hAnsi="宋体" w:cs="宋体"/>
          <w:color w:val="auto"/>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_Toc6086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14:paraId="2487AE6B">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_Toc17386 </w:instrText>
      </w:r>
      <w:r>
        <w:rPr>
          <w:rFonts w:hint="eastAsia" w:ascii="宋体" w:hAnsi="宋体" w:cs="宋体"/>
          <w:color w:val="auto"/>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_Toc17386 \h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s="宋体"/>
          <w:color w:val="auto"/>
          <w:highlight w:val="none"/>
        </w:rPr>
        <w:fldChar w:fldCharType="end"/>
      </w:r>
    </w:p>
    <w:p w14:paraId="3E40C31F">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_Toc12517 </w:instrText>
      </w:r>
      <w:r>
        <w:rPr>
          <w:rFonts w:hint="eastAsia" w:ascii="宋体" w:hAnsi="宋体" w:cs="宋体"/>
          <w:color w:val="auto"/>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_Toc12517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cs="宋体"/>
          <w:color w:val="auto"/>
          <w:highlight w:val="none"/>
        </w:rPr>
        <w:fldChar w:fldCharType="end"/>
      </w:r>
    </w:p>
    <w:p w14:paraId="6600E53A">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_Toc17072 </w:instrText>
      </w:r>
      <w:r>
        <w:rPr>
          <w:rFonts w:hint="eastAsia" w:ascii="宋体" w:hAnsi="宋体" w:cs="宋体"/>
          <w:color w:val="auto"/>
          <w:highlight w:val="none"/>
        </w:rPr>
        <w:fldChar w:fldCharType="separate"/>
      </w:r>
      <w:r>
        <w:rPr>
          <w:rFonts w:hint="eastAsia" w:ascii="宋体" w:hAnsi="宋体" w:cs="宋体"/>
          <w:color w:val="auto"/>
          <w:highlight w:val="none"/>
        </w:rPr>
        <w:t>八、其他事项</w:t>
      </w:r>
      <w:r>
        <w:rPr>
          <w:color w:val="auto"/>
          <w:highlight w:val="none"/>
        </w:rPr>
        <w:tab/>
      </w:r>
      <w:r>
        <w:rPr>
          <w:color w:val="auto"/>
          <w:highlight w:val="none"/>
        </w:rPr>
        <w:fldChar w:fldCharType="begin"/>
      </w:r>
      <w:r>
        <w:rPr>
          <w:color w:val="auto"/>
          <w:highlight w:val="none"/>
        </w:rPr>
        <w:instrText xml:space="preserve"> PAGEREF _Toc17072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s="宋体"/>
          <w:color w:val="auto"/>
          <w:highlight w:val="none"/>
        </w:rPr>
        <w:fldChar w:fldCharType="end"/>
      </w:r>
    </w:p>
    <w:p w14:paraId="72198096">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_Toc15433 </w:instrText>
      </w:r>
      <w:r>
        <w:rPr>
          <w:rFonts w:hint="eastAsia" w:ascii="宋体" w:hAnsi="宋体" w:cs="宋体"/>
          <w:color w:val="auto"/>
          <w:highlight w:val="none"/>
        </w:rPr>
        <w:fldChar w:fldCharType="separate"/>
      </w:r>
      <w:r>
        <w:rPr>
          <w:rFonts w:hint="eastAsia" w:ascii="宋体" w:hAnsi="宋体" w:cs="宋体"/>
          <w:color w:val="auto"/>
          <w:highlight w:val="none"/>
        </w:rPr>
        <w:t>第四章  评标方法及评标标准</w:t>
      </w:r>
      <w:r>
        <w:rPr>
          <w:color w:val="auto"/>
          <w:highlight w:val="none"/>
        </w:rPr>
        <w:tab/>
      </w:r>
      <w:r>
        <w:rPr>
          <w:color w:val="auto"/>
          <w:highlight w:val="none"/>
        </w:rPr>
        <w:fldChar w:fldCharType="begin"/>
      </w:r>
      <w:r>
        <w:rPr>
          <w:color w:val="auto"/>
          <w:highlight w:val="none"/>
        </w:rPr>
        <w:instrText xml:space="preserve"> PAGEREF _Toc15433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6809E0D7">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_Toc22273 </w:instrText>
      </w:r>
      <w:r>
        <w:rPr>
          <w:rFonts w:hint="eastAsia" w:ascii="宋体" w:hAnsi="宋体" w:cs="宋体"/>
          <w:color w:val="auto"/>
          <w:highlight w:val="none"/>
        </w:rPr>
        <w:fldChar w:fldCharType="separate"/>
      </w:r>
      <w:r>
        <w:rPr>
          <w:rFonts w:hint="eastAsia" w:ascii="宋体" w:hAnsi="宋体" w:cs="宋体"/>
          <w:color w:val="auto"/>
          <w:highlight w:val="none"/>
        </w:rPr>
        <w:t>一、评标方法</w:t>
      </w:r>
      <w:r>
        <w:rPr>
          <w:color w:val="auto"/>
          <w:highlight w:val="none"/>
        </w:rPr>
        <w:tab/>
      </w:r>
      <w:r>
        <w:rPr>
          <w:color w:val="auto"/>
          <w:highlight w:val="none"/>
        </w:rPr>
        <w:fldChar w:fldCharType="begin"/>
      </w:r>
      <w:r>
        <w:rPr>
          <w:color w:val="auto"/>
          <w:highlight w:val="none"/>
        </w:rPr>
        <w:instrText xml:space="preserve"> PAGEREF _Toc22273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11BEC00F">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_Toc29445 </w:instrText>
      </w:r>
      <w:r>
        <w:rPr>
          <w:rFonts w:hint="eastAsia" w:ascii="宋体" w:hAnsi="宋体" w:cs="宋体"/>
          <w:color w:val="auto"/>
          <w:highlight w:val="none"/>
        </w:rPr>
        <w:fldChar w:fldCharType="separate"/>
      </w:r>
      <w:r>
        <w:rPr>
          <w:rFonts w:hint="eastAsia" w:ascii="宋体" w:hAnsi="宋体" w:cs="宋体"/>
          <w:color w:val="auto"/>
          <w:highlight w:val="none"/>
        </w:rPr>
        <w:t>二、评标程序</w:t>
      </w:r>
      <w:r>
        <w:rPr>
          <w:color w:val="auto"/>
          <w:highlight w:val="none"/>
        </w:rPr>
        <w:tab/>
      </w:r>
      <w:r>
        <w:rPr>
          <w:color w:val="auto"/>
          <w:highlight w:val="none"/>
        </w:rPr>
        <w:fldChar w:fldCharType="begin"/>
      </w:r>
      <w:r>
        <w:rPr>
          <w:color w:val="auto"/>
          <w:highlight w:val="none"/>
        </w:rPr>
        <w:instrText xml:space="preserve"> PAGEREF _Toc29445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2F56B9D2">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_Toc4705 </w:instrText>
      </w:r>
      <w:r>
        <w:rPr>
          <w:rFonts w:hint="eastAsia" w:ascii="宋体" w:hAnsi="宋体" w:cs="宋体"/>
          <w:color w:val="auto"/>
          <w:highlight w:val="none"/>
        </w:rPr>
        <w:fldChar w:fldCharType="separate"/>
      </w:r>
      <w:r>
        <w:rPr>
          <w:rFonts w:hint="eastAsia" w:ascii="宋体" w:hAnsi="宋体" w:cs="宋体"/>
          <w:color w:val="auto"/>
          <w:highlight w:val="none"/>
        </w:rPr>
        <w:t>三、评标标准</w:t>
      </w:r>
      <w:r>
        <w:rPr>
          <w:color w:val="auto"/>
          <w:highlight w:val="none"/>
        </w:rPr>
        <w:tab/>
      </w:r>
      <w:r>
        <w:rPr>
          <w:color w:val="auto"/>
          <w:highlight w:val="none"/>
        </w:rPr>
        <w:fldChar w:fldCharType="begin"/>
      </w:r>
      <w:r>
        <w:rPr>
          <w:color w:val="auto"/>
          <w:highlight w:val="none"/>
        </w:rPr>
        <w:instrText xml:space="preserve"> PAGEREF _Toc4705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s="宋体"/>
          <w:color w:val="auto"/>
          <w:highlight w:val="none"/>
        </w:rPr>
        <w:fldChar w:fldCharType="end"/>
      </w:r>
    </w:p>
    <w:p w14:paraId="0040E925">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_Toc29253 </w:instrText>
      </w:r>
      <w:r>
        <w:rPr>
          <w:rFonts w:hint="eastAsia" w:ascii="宋体" w:hAnsi="宋体" w:cs="宋体"/>
          <w:color w:val="auto"/>
          <w:highlight w:val="none"/>
        </w:rPr>
        <w:fldChar w:fldCharType="separate"/>
      </w:r>
      <w:r>
        <w:rPr>
          <w:rFonts w:hint="eastAsia" w:ascii="宋体" w:hAnsi="宋体" w:cs="宋体"/>
          <w:color w:val="auto"/>
          <w:highlight w:val="none"/>
        </w:rPr>
        <w:t>评分标准（综合评分法）</w:t>
      </w:r>
      <w:r>
        <w:rPr>
          <w:color w:val="auto"/>
          <w:highlight w:val="none"/>
        </w:rPr>
        <w:tab/>
      </w:r>
      <w:r>
        <w:rPr>
          <w:color w:val="auto"/>
          <w:highlight w:val="none"/>
        </w:rPr>
        <w:fldChar w:fldCharType="begin"/>
      </w:r>
      <w:r>
        <w:rPr>
          <w:color w:val="auto"/>
          <w:highlight w:val="none"/>
        </w:rPr>
        <w:instrText xml:space="preserve"> PAGEREF _Toc29253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s="宋体"/>
          <w:color w:val="auto"/>
          <w:highlight w:val="none"/>
        </w:rPr>
        <w:fldChar w:fldCharType="end"/>
      </w:r>
    </w:p>
    <w:p w14:paraId="34C7FD1B">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_Toc4130 </w:instrText>
      </w:r>
      <w:r>
        <w:rPr>
          <w:rFonts w:hint="eastAsia" w:ascii="宋体" w:hAnsi="宋体" w:cs="宋体"/>
          <w:color w:val="auto"/>
          <w:highlight w:val="none"/>
        </w:rPr>
        <w:fldChar w:fldCharType="separate"/>
      </w:r>
      <w:r>
        <w:rPr>
          <w:rFonts w:hint="eastAsia" w:ascii="宋体" w:hAnsi="宋体" w:cs="宋体"/>
          <w:color w:val="auto"/>
          <w:highlight w:val="none"/>
        </w:rPr>
        <w:t>四、中标候选人推荐原则</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s="宋体"/>
          <w:color w:val="auto"/>
          <w:highlight w:val="none"/>
        </w:rPr>
        <w:fldChar w:fldCharType="end"/>
      </w:r>
    </w:p>
    <w:p w14:paraId="5DF6EC7D">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_Toc22428 </w:instrText>
      </w:r>
      <w:r>
        <w:rPr>
          <w:rFonts w:hint="eastAsia" w:ascii="宋体" w:hAnsi="宋体" w:cs="宋体"/>
          <w:color w:val="auto"/>
          <w:highlight w:val="none"/>
        </w:rPr>
        <w:fldChar w:fldCharType="separate"/>
      </w:r>
      <w:r>
        <w:rPr>
          <w:rFonts w:hint="eastAsia" w:ascii="宋体"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_Toc22428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cs="宋体"/>
          <w:color w:val="auto"/>
          <w:highlight w:val="none"/>
        </w:rPr>
        <w:fldChar w:fldCharType="end"/>
      </w:r>
    </w:p>
    <w:p w14:paraId="799BF998">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_Toc20718 </w:instrText>
      </w:r>
      <w:r>
        <w:rPr>
          <w:rFonts w:hint="eastAsia" w:ascii="宋体" w:hAnsi="宋体" w:cs="宋体"/>
          <w:color w:val="auto"/>
          <w:highlight w:val="none"/>
        </w:rPr>
        <w:fldChar w:fldCharType="separate"/>
      </w:r>
      <w:r>
        <w:rPr>
          <w:rFonts w:hint="eastAsia" w:ascii="宋体"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_Toc20718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highlight w:val="none"/>
        </w:rPr>
        <w:fldChar w:fldCharType="end"/>
      </w:r>
    </w:p>
    <w:p w14:paraId="4A73971B">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_Toc7400 </w:instrText>
      </w:r>
      <w:r>
        <w:rPr>
          <w:rFonts w:hint="eastAsia" w:ascii="宋体" w:hAnsi="宋体" w:cs="宋体"/>
          <w:color w:val="auto"/>
          <w:highlight w:val="none"/>
        </w:rPr>
        <w:fldChar w:fldCharType="separate"/>
      </w:r>
      <w:r>
        <w:rPr>
          <w:rFonts w:hint="eastAsia" w:ascii="宋体" w:hAnsi="宋体" w:cs="宋体"/>
          <w:color w:val="auto"/>
          <w:szCs w:val="28"/>
          <w:highlight w:val="none"/>
        </w:rPr>
        <w:t>一、报价文件格式</w:t>
      </w:r>
      <w:r>
        <w:rPr>
          <w:color w:val="auto"/>
          <w:highlight w:val="none"/>
        </w:rPr>
        <w:tab/>
      </w:r>
      <w:r>
        <w:rPr>
          <w:color w:val="auto"/>
          <w:highlight w:val="none"/>
        </w:rPr>
        <w:fldChar w:fldCharType="begin"/>
      </w:r>
      <w:r>
        <w:rPr>
          <w:color w:val="auto"/>
          <w:highlight w:val="none"/>
        </w:rPr>
        <w:instrText xml:space="preserve"> PAGEREF _Toc7400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highlight w:val="none"/>
        </w:rPr>
        <w:fldChar w:fldCharType="end"/>
      </w:r>
    </w:p>
    <w:p w14:paraId="16DA855A">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_Toc23452 </w:instrText>
      </w:r>
      <w:r>
        <w:rPr>
          <w:rFonts w:hint="eastAsia" w:ascii="宋体" w:hAnsi="宋体" w:cs="宋体"/>
          <w:color w:val="auto"/>
          <w:highlight w:val="none"/>
        </w:rPr>
        <w:fldChar w:fldCharType="separate"/>
      </w:r>
      <w:r>
        <w:rPr>
          <w:rFonts w:hint="eastAsia"/>
          <w:color w:val="auto"/>
          <w:highlight w:val="none"/>
        </w:rPr>
        <w:t>二、资格证明文件格式</w:t>
      </w:r>
      <w:r>
        <w:rPr>
          <w:color w:val="auto"/>
          <w:highlight w:val="none"/>
        </w:rPr>
        <w:tab/>
      </w:r>
      <w:r>
        <w:rPr>
          <w:color w:val="auto"/>
          <w:highlight w:val="none"/>
        </w:rPr>
        <w:fldChar w:fldCharType="begin"/>
      </w:r>
      <w:r>
        <w:rPr>
          <w:color w:val="auto"/>
          <w:highlight w:val="none"/>
        </w:rPr>
        <w:instrText xml:space="preserve"> PAGEREF _Toc23452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cs="宋体"/>
          <w:color w:val="auto"/>
          <w:highlight w:val="none"/>
        </w:rPr>
        <w:fldChar w:fldCharType="end"/>
      </w:r>
    </w:p>
    <w:p w14:paraId="0DCCA9E8">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_Toc6222 </w:instrText>
      </w:r>
      <w:r>
        <w:rPr>
          <w:rFonts w:hint="eastAsia" w:ascii="宋体" w:hAnsi="宋体" w:cs="宋体"/>
          <w:color w:val="auto"/>
          <w:highlight w:val="none"/>
        </w:rPr>
        <w:fldChar w:fldCharType="separate"/>
      </w:r>
      <w:r>
        <w:rPr>
          <w:rFonts w:hint="eastAsia" w:ascii="宋体" w:hAnsi="宋体" w:cs="宋体"/>
          <w:color w:val="auto"/>
          <w:szCs w:val="28"/>
          <w:highlight w:val="none"/>
        </w:rPr>
        <w:t>三、商务及技术文件格式</w:t>
      </w:r>
      <w:r>
        <w:rPr>
          <w:color w:val="auto"/>
          <w:highlight w:val="none"/>
        </w:rPr>
        <w:tab/>
      </w:r>
      <w:r>
        <w:rPr>
          <w:color w:val="auto"/>
          <w:highlight w:val="none"/>
        </w:rPr>
        <w:fldChar w:fldCharType="begin"/>
      </w:r>
      <w:r>
        <w:rPr>
          <w:color w:val="auto"/>
          <w:highlight w:val="none"/>
        </w:rPr>
        <w:instrText xml:space="preserve"> PAGEREF _Toc6222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cs="宋体"/>
          <w:color w:val="auto"/>
          <w:highlight w:val="none"/>
        </w:rPr>
        <w:fldChar w:fldCharType="end"/>
      </w:r>
    </w:p>
    <w:p w14:paraId="7AB38F9D">
      <w:pPr>
        <w:pStyle w:val="3"/>
        <w:keepNext w:val="0"/>
        <w:keepLines w:val="0"/>
        <w:pageBreakBefore w:val="0"/>
        <w:tabs>
          <w:tab w:val="left" w:pos="0"/>
          <w:tab w:val="left" w:pos="3165"/>
          <w:tab w:val="center" w:pos="4153"/>
        </w:tabs>
        <w:kinsoku/>
        <w:overflowPunct/>
        <w:topLinePunct w:val="0"/>
        <w:autoSpaceDE w:val="0"/>
        <w:autoSpaceDN w:val="0"/>
        <w:bidi w:val="0"/>
        <w:adjustRightInd w:val="0"/>
        <w:spacing w:before="0" w:after="0" w:line="240" w:lineRule="auto"/>
        <w:jc w:val="center"/>
        <w:textAlignment w:val="auto"/>
        <w:rPr>
          <w:rFonts w:hint="eastAsia" w:ascii="宋体" w:hAnsi="宋体" w:cs="宋体"/>
          <w:color w:val="auto"/>
          <w:highlight w:val="none"/>
        </w:rPr>
        <w:sectPr>
          <w:footerReference r:id="rId7" w:type="default"/>
          <w:pgSz w:w="11906" w:h="16838"/>
          <w:pgMar w:top="1440" w:right="1800" w:bottom="1440" w:left="1800" w:header="851" w:footer="992" w:gutter="0"/>
          <w:pgNumType w:fmt="decimal" w:start="1"/>
          <w:cols w:space="720" w:num="1"/>
          <w:docGrid w:type="lines" w:linePitch="312" w:charSpace="0"/>
        </w:sectPr>
      </w:pPr>
    </w:p>
    <w:p w14:paraId="09ADA858">
      <w:pPr>
        <w:pStyle w:val="3"/>
        <w:keepNext w:val="0"/>
        <w:keepLines w:val="0"/>
        <w:pageBreakBefore w:val="0"/>
        <w:tabs>
          <w:tab w:val="left" w:pos="0"/>
          <w:tab w:val="left" w:pos="3165"/>
          <w:tab w:val="center" w:pos="4153"/>
        </w:tabs>
        <w:kinsoku/>
        <w:overflowPunct/>
        <w:topLinePunct w:val="0"/>
        <w:autoSpaceDE w:val="0"/>
        <w:autoSpaceDN w:val="0"/>
        <w:bidi w:val="0"/>
        <w:adjustRightInd w:val="0"/>
        <w:spacing w:before="0" w:after="0" w:line="240" w:lineRule="auto"/>
        <w:jc w:val="center"/>
        <w:textAlignment w:val="auto"/>
        <w:rPr>
          <w:rFonts w:hint="eastAsia" w:ascii="宋体" w:hAnsi="宋体" w:cs="宋体"/>
          <w:color w:val="auto"/>
          <w:highlight w:val="none"/>
        </w:rPr>
      </w:pPr>
      <w:r>
        <w:rPr>
          <w:rFonts w:hint="eastAsia" w:ascii="宋体" w:hAnsi="宋体" w:cs="宋体"/>
          <w:color w:val="auto"/>
          <w:highlight w:val="none"/>
        </w:rPr>
        <w:fldChar w:fldCharType="end"/>
      </w:r>
      <w:bookmarkEnd w:id="5"/>
      <w:bookmarkEnd w:id="6"/>
      <w:bookmarkStart w:id="7" w:name="_Toc254970489"/>
      <w:bookmarkStart w:id="8" w:name="_Toc254970630"/>
      <w:bookmarkStart w:id="9" w:name="_Toc5452"/>
      <w:bookmarkStart w:id="10" w:name="_Toc21030"/>
      <w:bookmarkStart w:id="11" w:name="_Toc16993"/>
      <w:r>
        <w:rPr>
          <w:rFonts w:hint="eastAsia" w:ascii="宋体" w:hAnsi="宋体" w:cs="宋体"/>
          <w:color w:val="auto"/>
          <w:highlight w:val="none"/>
        </w:rPr>
        <w:t>第一章</w:t>
      </w:r>
      <w:bookmarkEnd w:id="7"/>
      <w:bookmarkEnd w:id="8"/>
      <w:bookmarkStart w:id="12" w:name="_Toc28359001"/>
      <w:bookmarkStart w:id="13" w:name="_Toc35393789"/>
      <w:r>
        <w:rPr>
          <w:rFonts w:hint="eastAsia" w:ascii="宋体" w:hAnsi="宋体" w:cs="宋体"/>
          <w:color w:val="auto"/>
          <w:highlight w:val="none"/>
        </w:rPr>
        <w:t xml:space="preserve">  招标公告</w:t>
      </w:r>
      <w:bookmarkEnd w:id="9"/>
      <w:bookmarkEnd w:id="10"/>
      <w:bookmarkEnd w:id="11"/>
      <w:bookmarkEnd w:id="12"/>
      <w:bookmarkEnd w:id="13"/>
    </w:p>
    <w:p w14:paraId="2883A06D">
      <w:pPr>
        <w:keepNext w:val="0"/>
        <w:keepLines w:val="0"/>
        <w:pageBreakBefore w:val="0"/>
        <w:kinsoku/>
        <w:overflowPunct/>
        <w:topLinePunct w:val="0"/>
        <w:bidi w:val="0"/>
        <w:spacing w:line="400" w:lineRule="exact"/>
        <w:jc w:val="center"/>
        <w:textAlignment w:val="auto"/>
        <w:rPr>
          <w:rFonts w:hint="eastAsia" w:ascii="宋体" w:hAnsi="宋体" w:cs="宋体"/>
          <w:color w:val="auto"/>
          <w:sz w:val="24"/>
          <w:highlight w:val="none"/>
        </w:rPr>
      </w:pPr>
      <w:r>
        <w:rPr>
          <w:rFonts w:hint="eastAsia" w:ascii="宋体" w:hAnsi="宋体" w:cs="宋体"/>
          <w:b/>
          <w:bCs/>
          <w:color w:val="auto"/>
          <w:sz w:val="24"/>
          <w:highlight w:val="none"/>
          <w:lang w:eastAsia="zh-CN"/>
        </w:rPr>
        <w:t>广西建设工程机电设备招标中心有限公司</w:t>
      </w:r>
      <w:r>
        <w:rPr>
          <w:rFonts w:hint="eastAsia" w:ascii="宋体" w:hAnsi="宋体" w:cs="宋体"/>
          <w:b/>
          <w:bCs/>
          <w:color w:val="auto"/>
          <w:sz w:val="24"/>
          <w:highlight w:val="none"/>
        </w:rPr>
        <w:t>关于</w:t>
      </w:r>
      <w:r>
        <w:rPr>
          <w:rFonts w:hint="eastAsia" w:ascii="宋体" w:hAnsi="宋体" w:cs="宋体"/>
          <w:b/>
          <w:color w:val="auto"/>
          <w:sz w:val="24"/>
          <w:highlight w:val="none"/>
          <w:lang w:eastAsia="zh-CN"/>
        </w:rPr>
        <w:t>全区非法堆存、转移涉重固体废物危险特性鉴别及污染释放能力评估项目</w:t>
      </w:r>
      <w:r>
        <w:rPr>
          <w:rFonts w:hint="eastAsia" w:ascii="宋体" w:hAnsi="宋体" w:cs="宋体"/>
          <w:b/>
          <w:bCs/>
          <w:color w:val="auto"/>
          <w:sz w:val="24"/>
          <w:highlight w:val="none"/>
        </w:rPr>
        <w:t>(项目编号：</w:t>
      </w:r>
      <w:r>
        <w:rPr>
          <w:rFonts w:hint="eastAsia" w:ascii="宋体" w:hAnsi="宋体" w:cs="宋体"/>
          <w:b/>
          <w:bCs/>
          <w:color w:val="auto"/>
          <w:sz w:val="24"/>
          <w:highlight w:val="none"/>
          <w:lang w:eastAsia="zh-CN"/>
        </w:rPr>
        <w:t>GXZC2026-G3-000163-JDZB</w:t>
      </w:r>
      <w:r>
        <w:rPr>
          <w:rFonts w:hint="eastAsia" w:ascii="宋体" w:hAnsi="宋体" w:cs="宋体"/>
          <w:b/>
          <w:bCs/>
          <w:color w:val="auto"/>
          <w:sz w:val="24"/>
          <w:highlight w:val="none"/>
        </w:rPr>
        <w:t>)公开招标公告</w:t>
      </w:r>
    </w:p>
    <w:p w14:paraId="6B9E8D26">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项目概况</w:t>
      </w:r>
    </w:p>
    <w:p w14:paraId="02F1719A">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u w:val="single"/>
          <w:lang w:eastAsia="zh-CN"/>
        </w:rPr>
        <w:t>全区非法堆存、转移涉重固体废物危险特性鉴别及污染释放能力评估项目</w:t>
      </w:r>
      <w:r>
        <w:rPr>
          <w:rFonts w:hint="eastAsia" w:ascii="宋体" w:hAnsi="宋体" w:cs="宋体"/>
          <w:color w:val="auto"/>
          <w:szCs w:val="21"/>
          <w:highlight w:val="none"/>
        </w:rPr>
        <w:t>招标项目的潜在投标人应在广西政府采购云平台（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11</w:t>
      </w:r>
      <w:r>
        <w:rPr>
          <w:rFonts w:hint="eastAsia" w:ascii="宋体" w:hAnsi="宋体" w:cs="宋体"/>
          <w:bCs/>
          <w:color w:val="auto"/>
          <w:szCs w:val="21"/>
          <w:highlight w:val="none"/>
          <w:u w:val="single"/>
        </w:rPr>
        <w:t>日9时30分（</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14:paraId="58DC7F04">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14" w:name="_Toc28359079"/>
      <w:bookmarkStart w:id="15" w:name="_Toc28359002"/>
      <w:bookmarkStart w:id="16" w:name="_Toc35393790"/>
      <w:bookmarkStart w:id="17" w:name="_Toc35393621"/>
      <w:bookmarkStart w:id="18" w:name="_Hlk24379207"/>
      <w:r>
        <w:rPr>
          <w:rFonts w:hint="eastAsia" w:ascii="宋体" w:hAnsi="宋体" w:cs="宋体"/>
          <w:b/>
          <w:bCs/>
          <w:color w:val="auto"/>
          <w:sz w:val="24"/>
          <w:highlight w:val="none"/>
        </w:rPr>
        <w:t>一、项目基本情况</w:t>
      </w:r>
      <w:bookmarkEnd w:id="14"/>
      <w:bookmarkEnd w:id="15"/>
      <w:bookmarkEnd w:id="16"/>
      <w:bookmarkEnd w:id="17"/>
    </w:p>
    <w:bookmarkEnd w:id="18"/>
    <w:p w14:paraId="6F6F9CED">
      <w:pPr>
        <w:keepNext w:val="0"/>
        <w:keepLines w:val="0"/>
        <w:pageBreakBefore w:val="0"/>
        <w:kinsoku/>
        <w:overflowPunct/>
        <w:topLinePunct w:val="0"/>
        <w:bidi w:val="0"/>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GXZC2026-G3-000163-JDZB</w:t>
      </w:r>
    </w:p>
    <w:p w14:paraId="217B4EA8">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rPr>
        <w:t>项目名称：</w:t>
      </w:r>
      <w:r>
        <w:rPr>
          <w:rFonts w:hint="eastAsia" w:ascii="宋体" w:hAnsi="宋体" w:cs="宋体"/>
          <w:color w:val="auto"/>
          <w:highlight w:val="none"/>
          <w:lang w:eastAsia="zh-CN"/>
        </w:rPr>
        <w:t>全区非法堆存、转移涉重固体废物危险特性鉴别及污染释放能力评估项目</w:t>
      </w:r>
    </w:p>
    <w:p w14:paraId="73B51BCF">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highlight w:val="none"/>
        </w:rPr>
        <w:t>预算总金额（元）</w:t>
      </w:r>
      <w:r>
        <w:rPr>
          <w:rFonts w:hint="eastAsia" w:ascii="宋体" w:hAnsi="宋体" w:cs="宋体"/>
          <w:color w:val="auto"/>
          <w:szCs w:val="21"/>
          <w:highlight w:val="none"/>
        </w:rPr>
        <w:t>：</w:t>
      </w:r>
      <w:r>
        <w:rPr>
          <w:rFonts w:hint="eastAsia" w:ascii="宋体" w:hAnsi="宋体" w:cs="宋体"/>
          <w:color w:val="auto"/>
          <w:szCs w:val="21"/>
          <w:highlight w:val="none"/>
          <w:lang w:eastAsia="zh-CN"/>
        </w:rPr>
        <w:t>5360000.00</w:t>
      </w:r>
    </w:p>
    <w:p w14:paraId="0B7ACEEF">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采购需求：</w:t>
      </w:r>
    </w:p>
    <w:p w14:paraId="0C3C111A">
      <w:pPr>
        <w:keepNext w:val="0"/>
        <w:keepLines w:val="0"/>
        <w:pageBreakBefore w:val="0"/>
        <w:kinsoku/>
        <w:overflowPunct/>
        <w:topLinePunct w:val="0"/>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标项一</w:t>
      </w:r>
    </w:p>
    <w:p w14:paraId="756D5DD2">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lang w:eastAsia="zh-CN"/>
        </w:rPr>
        <w:t>全区非法堆存、转移涉重固体废物危险特性鉴别及污染释放能力评估项目</w:t>
      </w:r>
    </w:p>
    <w:p w14:paraId="087763F1">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数量：1</w:t>
      </w:r>
    </w:p>
    <w:p w14:paraId="3D8FD317">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eastAsia="zh-CN"/>
        </w:rPr>
        <w:t>5360000.00</w:t>
      </w:r>
    </w:p>
    <w:p w14:paraId="455C893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bookmarkStart w:id="19" w:name="_Hlk199265269"/>
      <w:r>
        <w:rPr>
          <w:rFonts w:hint="eastAsia" w:ascii="宋体" w:hAnsi="宋体" w:cs="宋体"/>
          <w:color w:val="auto"/>
          <w:szCs w:val="21"/>
          <w:highlight w:val="none"/>
          <w:lang w:val="en-US" w:eastAsia="zh-CN"/>
        </w:rPr>
        <w:t>（1）对涉重金属排查发现的12处全区非法堆存、转移涉重固体废物进行危险特性鉴别并提出处置建议（2）开展非法堆存、转移涉重固体废物的污染释放能力研究（3）对危废处置后场地土壤遗留的重金属污染物进行评估</w:t>
      </w:r>
      <w:r>
        <w:rPr>
          <w:rFonts w:hint="eastAsia" w:ascii="宋体" w:hAnsi="宋体" w:cs="宋体"/>
          <w:color w:val="auto"/>
          <w:szCs w:val="21"/>
          <w:highlight w:val="none"/>
        </w:rPr>
        <w:t>。</w:t>
      </w:r>
      <w:bookmarkEnd w:id="19"/>
      <w:r>
        <w:rPr>
          <w:rFonts w:hint="eastAsia" w:ascii="宋体" w:hAnsi="宋体" w:cs="宋体"/>
          <w:color w:val="auto"/>
          <w:szCs w:val="21"/>
          <w:highlight w:val="none"/>
          <w:lang w:val="en-US" w:eastAsia="zh-CN"/>
        </w:rPr>
        <w:t>具体</w:t>
      </w:r>
      <w:r>
        <w:rPr>
          <w:rFonts w:hint="eastAsia" w:ascii="宋体" w:hAnsi="宋体" w:cs="宋体"/>
          <w:color w:val="auto"/>
          <w:szCs w:val="21"/>
          <w:highlight w:val="none"/>
        </w:rPr>
        <w:t>详见招标文件第二章采购需求。</w:t>
      </w:r>
    </w:p>
    <w:p w14:paraId="344FAACF">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最高限价（如有）：</w:t>
      </w:r>
      <w:r>
        <w:rPr>
          <w:rFonts w:hint="eastAsia" w:ascii="宋体" w:hAnsi="宋体" w:cs="宋体"/>
          <w:color w:val="auto"/>
          <w:szCs w:val="21"/>
          <w:highlight w:val="none"/>
          <w:lang w:eastAsia="zh-CN"/>
        </w:rPr>
        <w:t>5360000.00</w:t>
      </w:r>
    </w:p>
    <w:p w14:paraId="6AFDD2C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合同履约期限：自合同签订之日起至</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rPr>
        <w:t>31日</w:t>
      </w:r>
      <w:r>
        <w:rPr>
          <w:rFonts w:hint="eastAsia" w:ascii="宋体" w:hAnsi="宋体" w:cs="宋体"/>
          <w:color w:val="auto"/>
          <w:szCs w:val="21"/>
          <w:highlight w:val="none"/>
          <w:lang w:val="en-US" w:eastAsia="zh-CN"/>
        </w:rPr>
        <w:t>前</w:t>
      </w:r>
      <w:r>
        <w:rPr>
          <w:rFonts w:hint="eastAsia" w:ascii="宋体" w:hAnsi="宋体" w:cs="宋体"/>
          <w:color w:val="auto"/>
          <w:szCs w:val="21"/>
          <w:highlight w:val="none"/>
        </w:rPr>
        <w:t>。</w:t>
      </w:r>
    </w:p>
    <w:p w14:paraId="1EC2F1FE">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本标项</w:t>
      </w:r>
      <w:r>
        <w:rPr>
          <w:rFonts w:hint="eastAsia" w:ascii="宋体" w:hAnsi="宋体" w:cs="宋体"/>
          <w:color w:val="auto"/>
          <w:szCs w:val="21"/>
          <w:highlight w:val="none"/>
          <w:lang w:eastAsia="zh-CN"/>
        </w:rPr>
        <w:t>不</w:t>
      </w:r>
      <w:r>
        <w:rPr>
          <w:rFonts w:hint="eastAsia" w:ascii="宋体" w:hAnsi="宋体" w:cs="宋体"/>
          <w:color w:val="auto"/>
          <w:szCs w:val="21"/>
          <w:highlight w:val="none"/>
        </w:rPr>
        <w:t>接受联合体投标。</w:t>
      </w:r>
    </w:p>
    <w:p w14:paraId="02C612E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备注：无</w:t>
      </w:r>
    </w:p>
    <w:p w14:paraId="3D621A17">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20" w:name="_Toc35393622"/>
      <w:bookmarkStart w:id="21" w:name="_Toc35393791"/>
      <w:bookmarkStart w:id="22" w:name="_Toc28359080"/>
      <w:bookmarkStart w:id="23" w:name="_Toc28359003"/>
      <w:r>
        <w:rPr>
          <w:rFonts w:hint="eastAsia" w:ascii="宋体" w:hAnsi="宋体" w:cs="宋体"/>
          <w:b/>
          <w:bCs/>
          <w:color w:val="auto"/>
          <w:sz w:val="24"/>
          <w:highlight w:val="none"/>
        </w:rPr>
        <w:t>二、申请人的资格要求：</w:t>
      </w:r>
      <w:bookmarkEnd w:id="20"/>
      <w:bookmarkEnd w:id="21"/>
      <w:bookmarkEnd w:id="22"/>
      <w:bookmarkEnd w:id="23"/>
    </w:p>
    <w:p w14:paraId="1A542FB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bookmarkStart w:id="24" w:name="_Hlk51746371"/>
      <w:bookmarkStart w:id="25" w:name="_Toc35393623"/>
      <w:bookmarkStart w:id="26" w:name="_Toc28359081"/>
      <w:bookmarkStart w:id="27" w:name="_Toc35393792"/>
      <w:bookmarkStart w:id="28" w:name="_Toc28359004"/>
      <w:r>
        <w:rPr>
          <w:rFonts w:hint="eastAsia" w:ascii="宋体" w:hAnsi="宋体" w:cs="宋体"/>
          <w:color w:val="auto"/>
          <w:szCs w:val="21"/>
          <w:highlight w:val="none"/>
        </w:rPr>
        <w:t>1.满足《中华人民共和国政府采购法》第二十二条规定；</w:t>
      </w:r>
    </w:p>
    <w:p w14:paraId="3B5E1D75">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u w:val="single"/>
        </w:rPr>
        <w:t>本项目非专门面向中小企业采购的项目；</w:t>
      </w:r>
    </w:p>
    <w:p w14:paraId="10CD3B31">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u w:val="single"/>
        </w:rPr>
        <w:t>投标人须取得有效的检验检测机构资质认定证书（CMA）</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检测资质认证检测能力附表中至少具有</w:t>
      </w:r>
      <w:r>
        <w:rPr>
          <w:rFonts w:hint="eastAsia" w:ascii="宋体" w:hAnsi="宋体" w:cs="宋体"/>
          <w:color w:val="auto"/>
          <w:szCs w:val="21"/>
          <w:highlight w:val="none"/>
          <w:u w:val="single"/>
          <w:lang w:val="en-US" w:eastAsia="zh-CN"/>
        </w:rPr>
        <w:t>固体废物类别，固体废物</w:t>
      </w:r>
      <w:r>
        <w:rPr>
          <w:rFonts w:hint="eastAsia" w:ascii="宋体" w:hAnsi="宋体" w:cs="宋体"/>
          <w:color w:val="auto"/>
          <w:szCs w:val="21"/>
          <w:highlight w:val="none"/>
          <w:u w:val="single"/>
        </w:rPr>
        <w:t>资质能力中至少具备铜、锌、镉、铅、汞、镍、银、砷、锰、铊、锑、钡、铝、铬、硒、苯、甲苯、乙苯、二甲苯</w:t>
      </w:r>
      <w:r>
        <w:rPr>
          <w:rFonts w:hint="eastAsia" w:ascii="宋体" w:hAnsi="宋体" w:cs="宋体"/>
          <w:color w:val="auto"/>
          <w:szCs w:val="21"/>
          <w:highlight w:val="none"/>
          <w:u w:val="single"/>
          <w:lang w:eastAsia="zh-CN"/>
        </w:rPr>
        <w:t>检测指标</w:t>
      </w:r>
      <w:r>
        <w:rPr>
          <w:rFonts w:hint="eastAsia" w:ascii="宋体" w:hAnsi="宋体" w:cs="宋体"/>
          <w:color w:val="auto"/>
          <w:szCs w:val="21"/>
          <w:highlight w:val="none"/>
          <w:u w:val="single"/>
          <w:lang w:val="en-US" w:eastAsia="zh-CN"/>
        </w:rPr>
        <w:t>。同时，投标人须</w:t>
      </w:r>
      <w:r>
        <w:rPr>
          <w:rFonts w:hint="eastAsia" w:ascii="宋体" w:hAnsi="宋体" w:cs="宋体"/>
          <w:color w:val="auto"/>
          <w:szCs w:val="21"/>
          <w:highlight w:val="none"/>
          <w:u w:val="single"/>
        </w:rPr>
        <w:t>是全国危险废物鉴别信息公开服务平台危废鉴别注册单位。</w:t>
      </w:r>
    </w:p>
    <w:bookmarkEnd w:id="24"/>
    <w:p w14:paraId="4AE8AC89">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三、获取招标文件</w:t>
      </w:r>
      <w:bookmarkEnd w:id="25"/>
      <w:bookmarkEnd w:id="26"/>
      <w:bookmarkEnd w:id="27"/>
      <w:bookmarkEnd w:id="28"/>
    </w:p>
    <w:p w14:paraId="038C896D">
      <w:pPr>
        <w:keepNext w:val="0"/>
        <w:keepLines w:val="0"/>
        <w:pageBreakBefore w:val="0"/>
        <w:kinsoku/>
        <w:overflowPunct/>
        <w:topLinePunct w:val="0"/>
        <w:bidi w:val="0"/>
        <w:spacing w:line="400" w:lineRule="exact"/>
        <w:ind w:firstLine="54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13</w:t>
      </w:r>
      <w:r>
        <w:rPr>
          <w:rFonts w:hint="eastAsia" w:ascii="宋体" w:hAnsi="宋体" w:cs="宋体"/>
          <w:bCs/>
          <w:color w:val="auto"/>
          <w:kern w:val="0"/>
          <w:szCs w:val="21"/>
          <w:highlight w:val="none"/>
        </w:rPr>
        <w:t>日至202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27</w:t>
      </w:r>
      <w:r>
        <w:rPr>
          <w:rFonts w:hint="eastAsia" w:ascii="宋体" w:hAnsi="宋体" w:cs="宋体"/>
          <w:bCs/>
          <w:color w:val="auto"/>
          <w:kern w:val="0"/>
          <w:szCs w:val="21"/>
          <w:highlight w:val="none"/>
        </w:rPr>
        <w:t>日，每天上午00:00至12:00，下午12:00至23:59（北京时间，法定节假日除外）</w:t>
      </w:r>
    </w:p>
    <w:p w14:paraId="7B6CE134">
      <w:pPr>
        <w:keepNext w:val="0"/>
        <w:keepLines w:val="0"/>
        <w:pageBreakBefore w:val="0"/>
        <w:kinsoku/>
        <w:overflowPunct/>
        <w:topLinePunct w:val="0"/>
        <w:bidi w:val="0"/>
        <w:spacing w:line="400" w:lineRule="exact"/>
        <w:ind w:firstLine="540"/>
        <w:textAlignment w:val="auto"/>
        <w:rPr>
          <w:rFonts w:hint="eastAsia" w:ascii="宋体" w:hAnsi="宋体" w:cs="宋体"/>
          <w:color w:val="auto"/>
          <w:szCs w:val="21"/>
          <w:highlight w:val="none"/>
        </w:rPr>
      </w:pPr>
      <w:r>
        <w:rPr>
          <w:rFonts w:hint="eastAsia" w:ascii="宋体" w:hAnsi="宋体" w:cs="宋体"/>
          <w:bCs/>
          <w:color w:val="auto"/>
          <w:kern w:val="0"/>
          <w:szCs w:val="21"/>
          <w:highlight w:val="none"/>
        </w:rPr>
        <w:t>2.地点：</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p>
    <w:p w14:paraId="73102F88">
      <w:pPr>
        <w:keepNext w:val="0"/>
        <w:keepLines w:val="0"/>
        <w:pageBreakBefore w:val="0"/>
        <w:kinsoku/>
        <w:wordWrap w:val="0"/>
        <w:overflowPunct/>
        <w:topLinePunct w:val="0"/>
        <w:bidi w:val="0"/>
        <w:spacing w:line="400" w:lineRule="exact"/>
        <w:ind w:firstLine="539"/>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3.方式：网上下载。本项目不提供纸质文件，潜在供应商需在</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r>
        <w:rPr>
          <w:rFonts w:hint="eastAsia" w:ascii="宋体" w:hAnsi="宋体" w:cs="宋体"/>
          <w:bCs/>
          <w:color w:val="auto"/>
          <w:kern w:val="0"/>
          <w:szCs w:val="21"/>
          <w:highlight w:val="none"/>
        </w:rPr>
        <w:t>-进入“项目采购”应用，在获取采购文件菜单中选择项目，获取招标文件。</w:t>
      </w:r>
      <w:r>
        <w:rPr>
          <w:rFonts w:hint="eastAsia" w:ascii="宋体" w:hAnsi="宋体" w:cs="宋体"/>
          <w:color w:val="auto"/>
          <w:szCs w:val="21"/>
          <w:highlight w:val="none"/>
        </w:rPr>
        <w:t>电子投标文件制作需要基于广西政府采购云平台获取的招标文件编制，</w:t>
      </w:r>
      <w:r>
        <w:rPr>
          <w:rFonts w:hint="eastAsia" w:ascii="宋体" w:hAnsi="宋体" w:cs="宋体"/>
          <w:bCs/>
          <w:color w:val="auto"/>
          <w:kern w:val="0"/>
          <w:szCs w:val="21"/>
          <w:highlight w:val="none"/>
        </w:rPr>
        <w:t>通过其他方式获取招标文件的，将有可能导致供应商无法在</w:t>
      </w:r>
      <w:r>
        <w:rPr>
          <w:rFonts w:hint="eastAsia" w:ascii="宋体" w:hAnsi="宋体" w:cs="宋体"/>
          <w:color w:val="auto"/>
          <w:szCs w:val="21"/>
          <w:highlight w:val="none"/>
        </w:rPr>
        <w:t>广西政府采购云平台</w:t>
      </w:r>
      <w:r>
        <w:rPr>
          <w:rFonts w:hint="eastAsia" w:ascii="宋体" w:hAnsi="宋体" w:cs="宋体"/>
          <w:bCs/>
          <w:color w:val="auto"/>
          <w:kern w:val="0"/>
          <w:szCs w:val="21"/>
          <w:highlight w:val="none"/>
        </w:rPr>
        <w:t>编制及上传投标文件。</w:t>
      </w:r>
    </w:p>
    <w:p w14:paraId="37030D7D">
      <w:pPr>
        <w:keepNext w:val="0"/>
        <w:keepLines w:val="0"/>
        <w:pageBreakBefore w:val="0"/>
        <w:kinsoku/>
        <w:overflowPunct/>
        <w:topLinePunct w:val="0"/>
        <w:bidi w:val="0"/>
        <w:spacing w:line="400" w:lineRule="exact"/>
        <w:ind w:firstLine="540"/>
        <w:textAlignment w:val="auto"/>
        <w:rPr>
          <w:rFonts w:hint="eastAsia" w:ascii="宋体" w:hAnsi="宋体" w:cs="宋体"/>
          <w:color w:val="auto"/>
          <w:szCs w:val="21"/>
          <w:highlight w:val="none"/>
        </w:rPr>
      </w:pPr>
      <w:r>
        <w:rPr>
          <w:rFonts w:hint="eastAsia" w:ascii="宋体" w:hAnsi="宋体" w:cs="宋体"/>
          <w:bCs/>
          <w:color w:val="auto"/>
          <w:kern w:val="0"/>
          <w:szCs w:val="21"/>
          <w:highlight w:val="none"/>
        </w:rPr>
        <w:t>4.售价（元）：</w:t>
      </w:r>
      <w:r>
        <w:rPr>
          <w:rFonts w:hint="eastAsia" w:ascii="宋体" w:hAnsi="宋体" w:cs="宋体"/>
          <w:color w:val="auto"/>
          <w:szCs w:val="21"/>
          <w:highlight w:val="none"/>
        </w:rPr>
        <w:t>0</w:t>
      </w:r>
    </w:p>
    <w:p w14:paraId="1537B7FB">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29" w:name="_Toc28359082"/>
      <w:bookmarkStart w:id="30" w:name="_Toc28359005"/>
      <w:bookmarkStart w:id="31" w:name="_Toc35393793"/>
      <w:bookmarkStart w:id="32" w:name="_Toc35393624"/>
      <w:r>
        <w:rPr>
          <w:rFonts w:hint="eastAsia" w:ascii="宋体" w:hAnsi="宋体" w:cs="宋体"/>
          <w:b/>
          <w:bCs/>
          <w:color w:val="auto"/>
          <w:sz w:val="24"/>
          <w:highlight w:val="none"/>
        </w:rPr>
        <w:t>四、提交投标文件</w:t>
      </w:r>
      <w:bookmarkEnd w:id="29"/>
      <w:bookmarkEnd w:id="30"/>
      <w:r>
        <w:rPr>
          <w:rFonts w:hint="eastAsia" w:ascii="宋体" w:hAnsi="宋体" w:cs="宋体"/>
          <w:b/>
          <w:bCs/>
          <w:color w:val="auto"/>
          <w:sz w:val="24"/>
          <w:highlight w:val="none"/>
        </w:rPr>
        <w:t>截止时间、开标时间和地点</w:t>
      </w:r>
      <w:bookmarkEnd w:id="31"/>
      <w:bookmarkEnd w:id="32"/>
    </w:p>
    <w:p w14:paraId="748CB5F0">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kern w:val="0"/>
          <w:szCs w:val="21"/>
          <w:highlight w:val="none"/>
        </w:rPr>
      </w:pPr>
      <w:bookmarkStart w:id="33" w:name="_Toc35393794"/>
      <w:bookmarkStart w:id="34" w:name="_Toc28359007"/>
      <w:bookmarkStart w:id="35" w:name="_Toc28359084"/>
      <w:bookmarkStart w:id="36" w:name="_Toc35393625"/>
      <w:r>
        <w:rPr>
          <w:rFonts w:hint="eastAsia" w:ascii="宋体" w:hAnsi="宋体" w:cs="宋体"/>
          <w:bCs/>
          <w:color w:val="auto"/>
          <w:kern w:val="0"/>
          <w:szCs w:val="21"/>
          <w:highlight w:val="none"/>
        </w:rPr>
        <w:t>1.提交投标文件截止时间：202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11</w:t>
      </w:r>
      <w:r>
        <w:rPr>
          <w:rFonts w:hint="eastAsia" w:ascii="宋体" w:hAnsi="宋体" w:cs="宋体"/>
          <w:bCs/>
          <w:color w:val="auto"/>
          <w:kern w:val="0"/>
          <w:szCs w:val="21"/>
          <w:highlight w:val="none"/>
        </w:rPr>
        <w:t>日9时30分（北京时间）</w:t>
      </w:r>
    </w:p>
    <w:p w14:paraId="0E037224">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2.投标地点（网址）：广西政府采购云平台（https://www.gcy.zfcg.gxzf.gov.cn/）</w:t>
      </w:r>
    </w:p>
    <w:p w14:paraId="6F1BADFB">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3.开标时间：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11</w:t>
      </w:r>
      <w:r>
        <w:rPr>
          <w:rFonts w:hint="eastAsia" w:ascii="宋体" w:hAnsi="宋体" w:cs="宋体"/>
          <w:bCs/>
          <w:color w:val="auto"/>
          <w:kern w:val="0"/>
          <w:szCs w:val="21"/>
          <w:highlight w:val="none"/>
        </w:rPr>
        <w:t>日</w:t>
      </w:r>
      <w:r>
        <w:rPr>
          <w:rFonts w:hint="eastAsia" w:ascii="宋体" w:hAnsi="宋体" w:cs="宋体"/>
          <w:bCs/>
          <w:color w:val="auto"/>
          <w:szCs w:val="21"/>
          <w:highlight w:val="none"/>
        </w:rPr>
        <w:t>9时30分</w:t>
      </w:r>
    </w:p>
    <w:p w14:paraId="40FFDD9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bCs/>
          <w:color w:val="auto"/>
          <w:szCs w:val="21"/>
          <w:highlight w:val="none"/>
        </w:rPr>
        <w:t>4.开标地点：广西政府采购云平台电子开标大厅开标。</w:t>
      </w:r>
    </w:p>
    <w:p w14:paraId="22508A29">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五、公告期限</w:t>
      </w:r>
      <w:bookmarkEnd w:id="33"/>
      <w:bookmarkEnd w:id="34"/>
      <w:bookmarkEnd w:id="35"/>
      <w:bookmarkEnd w:id="36"/>
    </w:p>
    <w:p w14:paraId="5B44142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7C804E75">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37" w:name="_Toc35393795"/>
      <w:bookmarkStart w:id="38" w:name="_Toc35393626"/>
      <w:r>
        <w:rPr>
          <w:rFonts w:hint="eastAsia" w:ascii="宋体" w:hAnsi="宋体" w:cs="宋体"/>
          <w:b/>
          <w:bCs/>
          <w:color w:val="auto"/>
          <w:sz w:val="24"/>
          <w:highlight w:val="none"/>
        </w:rPr>
        <w:t>六、其他补充事宜</w:t>
      </w:r>
      <w:bookmarkEnd w:id="37"/>
      <w:bookmarkEnd w:id="38"/>
    </w:p>
    <w:p w14:paraId="11F33CD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bookmarkStart w:id="39" w:name="_Hlk37429585"/>
      <w:bookmarkStart w:id="40" w:name="_Hlk37429595"/>
      <w:bookmarkStart w:id="41" w:name="_Toc28359085"/>
      <w:bookmarkStart w:id="42" w:name="_Toc28359008"/>
      <w:bookmarkStart w:id="43" w:name="_Toc35393796"/>
      <w:bookmarkStart w:id="44" w:name="_Toc35393627"/>
      <w:r>
        <w:rPr>
          <w:rFonts w:hint="eastAsia" w:ascii="宋体" w:hAnsi="宋体" w:cs="宋体"/>
          <w:color w:val="auto"/>
          <w:kern w:val="0"/>
          <w:szCs w:val="21"/>
          <w:highlight w:val="none"/>
        </w:rPr>
        <w:t>1.投标保证金（人民币）：30000.00元。</w:t>
      </w:r>
    </w:p>
    <w:p w14:paraId="19BCAD0F">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投标保证金的缴纳方式：以银行转账、支票、汇票、本票或者金融机构、担保机构出具的保函等非现金形式提交。采用银行转账方式的，在投标截止时间前交至采购代理机构指定账户并且到账。汇款时投标人的汇款单据应注明“</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项目编号）</w:t>
      </w:r>
      <w:r>
        <w:rPr>
          <w:rFonts w:hint="eastAsia" w:ascii="宋体" w:hAnsi="宋体" w:cs="宋体"/>
          <w:color w:val="auto"/>
          <w:kern w:val="0"/>
          <w:szCs w:val="21"/>
          <w:highlight w:val="none"/>
        </w:rPr>
        <w:t>投标保证金”。</w:t>
      </w:r>
    </w:p>
    <w:p w14:paraId="4C90B6A8">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2.网上查询地址</w:t>
      </w:r>
    </w:p>
    <w:bookmarkEnd w:id="39"/>
    <w:p w14:paraId="4EAAA0EA">
      <w:pPr>
        <w:keepNext w:val="0"/>
        <w:keepLines w:val="0"/>
        <w:pageBreakBefore w:val="0"/>
        <w:kinsoku/>
        <w:wordWrap w:val="0"/>
        <w:overflowPunct/>
        <w:topLinePunct w:val="0"/>
        <w:bidi w:val="0"/>
        <w:spacing w:line="400" w:lineRule="exact"/>
        <w:ind w:firstLine="424" w:firstLineChars="202"/>
        <w:textAlignment w:val="auto"/>
        <w:rPr>
          <w:rFonts w:hint="eastAsia" w:ascii="宋体" w:hAnsi="宋体" w:cs="宋体"/>
          <w:i/>
          <w:color w:val="auto"/>
          <w:kern w:val="0"/>
          <w:szCs w:val="21"/>
          <w:highlight w:val="none"/>
        </w:rPr>
      </w:pPr>
      <w:r>
        <w:rPr>
          <w:rFonts w:hint="eastAsia" w:ascii="宋体" w:hAnsi="宋体" w:cs="宋体"/>
          <w:color w:val="auto"/>
          <w:kern w:val="0"/>
          <w:szCs w:val="21"/>
          <w:highlight w:val="none"/>
        </w:rPr>
        <w:t>http://www.ccgp.gov.cn（中国政府采购网）、http://zfcg.gxzf.gov.cn（广西壮族自治区政府采购网）、http://gxggzy.gxzf.gov.cn/（广西壮族自治区公共资源交易中心）、http://jtt.gxzf.gov.cn/（</w:t>
      </w:r>
      <w:r>
        <w:rPr>
          <w:rFonts w:hint="eastAsia" w:ascii="宋体" w:hAnsi="宋体" w:cs="宋体"/>
          <w:color w:val="auto"/>
          <w:kern w:val="0"/>
          <w:szCs w:val="21"/>
          <w:highlight w:val="none"/>
          <w:lang w:eastAsia="zh-CN"/>
        </w:rPr>
        <w:t>广西壮族自治区生态环境厅</w:t>
      </w:r>
      <w:r>
        <w:rPr>
          <w:rFonts w:hint="eastAsia" w:ascii="宋体" w:hAnsi="宋体" w:cs="宋体"/>
          <w:color w:val="auto"/>
          <w:kern w:val="0"/>
          <w:szCs w:val="21"/>
          <w:highlight w:val="none"/>
        </w:rPr>
        <w:t>官网）</w:t>
      </w:r>
      <w:r>
        <w:rPr>
          <w:rFonts w:hint="eastAsia" w:ascii="宋体" w:hAnsi="宋体" w:cs="宋体"/>
          <w:color w:val="auto"/>
          <w:kern w:val="0"/>
          <w:szCs w:val="21"/>
          <w:highlight w:val="none"/>
          <w:lang w:eastAsia="zh-CN"/>
        </w:rPr>
        <w:t>、http://www.guangxibid.com.cn/</w:t>
      </w:r>
      <w:r>
        <w:rPr>
          <w:rFonts w:hint="eastAsia" w:ascii="宋体" w:hAnsi="宋体" w:cs="宋体"/>
          <w:color w:val="auto"/>
          <w:kern w:val="0"/>
          <w:szCs w:val="21"/>
          <w:highlight w:val="none"/>
          <w:lang w:val="en-US" w:eastAsia="zh-CN"/>
        </w:rPr>
        <w:t>（广西招标网）</w:t>
      </w:r>
      <w:r>
        <w:rPr>
          <w:rFonts w:hint="eastAsia" w:ascii="宋体" w:hAnsi="宋体" w:cs="宋体"/>
          <w:color w:val="auto"/>
          <w:kern w:val="0"/>
          <w:szCs w:val="21"/>
          <w:highlight w:val="none"/>
        </w:rPr>
        <w:t>。</w:t>
      </w:r>
    </w:p>
    <w:bookmarkEnd w:id="40"/>
    <w:p w14:paraId="40B97306">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kern w:val="0"/>
          <w:szCs w:val="21"/>
          <w:highlight w:val="none"/>
        </w:rPr>
      </w:pPr>
      <w:bookmarkStart w:id="45" w:name="_Hlk37429674"/>
      <w:r>
        <w:rPr>
          <w:rFonts w:hint="eastAsia" w:ascii="宋体" w:hAnsi="宋体" w:cs="宋体"/>
          <w:color w:val="auto"/>
          <w:szCs w:val="21"/>
          <w:highlight w:val="none"/>
        </w:rPr>
        <w:t>3.</w:t>
      </w:r>
      <w:r>
        <w:rPr>
          <w:rFonts w:hint="eastAsia" w:ascii="宋体" w:hAnsi="宋体" w:cs="宋体"/>
          <w:color w:val="auto"/>
          <w:kern w:val="0"/>
          <w:szCs w:val="21"/>
          <w:highlight w:val="none"/>
        </w:rPr>
        <w:t>本项目需要落实的政府采购政策</w:t>
      </w:r>
    </w:p>
    <w:bookmarkEnd w:id="45"/>
    <w:p w14:paraId="33BFAB2D">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156F38E4">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（2）政府采购促进残疾人就业政策。</w:t>
      </w:r>
    </w:p>
    <w:p w14:paraId="1BB3B3C6">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（3）政府采购支持监狱企业发展。</w:t>
      </w:r>
    </w:p>
    <w:p w14:paraId="6AB3CEBA">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（4）强制采购节能产品；优先采购节能产品、环境标志产品。</w:t>
      </w:r>
    </w:p>
    <w:p w14:paraId="2EC627E8">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（5）扶持不发达地区和少数民族地区政策。</w:t>
      </w:r>
    </w:p>
    <w:p w14:paraId="76AC1932">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BAB1FCC">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1C3B471">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6.投标人</w:t>
      </w:r>
      <w:r>
        <w:rPr>
          <w:rFonts w:hint="eastAsia" w:ascii="宋体" w:hAnsi="宋体" w:cs="宋体"/>
          <w:color w:val="auto"/>
          <w:szCs w:val="21"/>
          <w:highlight w:val="none"/>
        </w:rPr>
        <w:t>投标注意事项</w:t>
      </w:r>
    </w:p>
    <w:p w14:paraId="768AE6C0">
      <w:pPr>
        <w:keepNext w:val="0"/>
        <w:keepLines w:val="0"/>
        <w:pageBreakBefore w:val="0"/>
        <w:widowControl/>
        <w:kinsoku/>
        <w:wordWrap w:val="0"/>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ascii="宋体" w:hAnsi="宋体" w:cs="宋体"/>
          <w:color w:val="auto"/>
          <w:highlight w:val="none"/>
        </w:rPr>
        <w:t>后缀名为“jmbs”的文件</w:t>
      </w:r>
      <w:r>
        <w:rPr>
          <w:rFonts w:hint="eastAsia" w:ascii="宋体" w:hAnsi="宋体" w:cs="宋体"/>
          <w:color w:val="auto"/>
          <w:szCs w:val="21"/>
          <w:highlight w:val="none"/>
        </w:rPr>
        <w:t>），</w:t>
      </w:r>
      <w:r>
        <w:rPr>
          <w:rFonts w:hint="eastAsia" w:ascii="宋体" w:hAnsi="宋体" w:cs="宋体"/>
          <w:b/>
          <w:color w:val="auto"/>
          <w:szCs w:val="21"/>
          <w:highlight w:val="none"/>
        </w:rPr>
        <w:t>投标人在</w:t>
      </w:r>
      <w:r>
        <w:rPr>
          <w:rFonts w:hint="eastAsia" w:ascii="宋体" w:hAnsi="宋体" w:cs="宋体"/>
          <w:color w:val="auto"/>
          <w:szCs w:val="21"/>
          <w:highlight w:val="none"/>
        </w:rPr>
        <w:t>广西政府采购云平台</w:t>
      </w:r>
      <w:r>
        <w:rPr>
          <w:rFonts w:hint="eastAsia" w:ascii="宋体" w:hAnsi="宋体" w:cs="宋体"/>
          <w:b/>
          <w:color w:val="auto"/>
          <w:szCs w:val="21"/>
          <w:highlight w:val="none"/>
        </w:rPr>
        <w:t>提交电子投标文件时，请填写参加远程开标活动经办人联系方式。</w:t>
      </w:r>
      <w:r>
        <w:rPr>
          <w:rFonts w:hint="eastAsia" w:ascii="宋体" w:hAnsi="宋体" w:cs="宋体"/>
          <w:color w:val="auto"/>
          <w:szCs w:val="21"/>
          <w:highlight w:val="none"/>
        </w:rPr>
        <w:t>投标人登录广西政府采购云平台，依次进入“服务中心-项目采购-操作流程-电子招投标-</w:t>
      </w:r>
      <w:r>
        <w:rPr>
          <w:rFonts w:hint="eastAsia" w:ascii="宋体" w:hAnsi="宋体" w:cs="宋体"/>
          <w:color w:val="auto"/>
          <w:highlight w:val="none"/>
        </w:rPr>
        <w:t>政府采购项目电子交易管理操作指南-供应商</w:t>
      </w:r>
      <w:r>
        <w:rPr>
          <w:rFonts w:hint="eastAsia" w:ascii="宋体" w:hAnsi="宋体" w:cs="宋体"/>
          <w:color w:val="auto"/>
          <w:szCs w:val="21"/>
          <w:highlight w:val="none"/>
        </w:rPr>
        <w:t>”查看电子投标具体操作流程。</w:t>
      </w:r>
    </w:p>
    <w:p w14:paraId="35E6C1C3">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rPr>
        <w:t>，</w:t>
      </w:r>
      <w:r>
        <w:rPr>
          <w:rFonts w:hint="eastAsia" w:ascii="宋体" w:hAnsi="宋体" w:cs="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s="宋体"/>
          <w:color w:val="auto"/>
          <w:szCs w:val="21"/>
          <w:highlight w:val="none"/>
        </w:rPr>
        <w:t>）。</w:t>
      </w:r>
    </w:p>
    <w:p w14:paraId="070A4E6F">
      <w:pPr>
        <w:keepNext w:val="0"/>
        <w:keepLines w:val="0"/>
        <w:pageBreakBefore w:val="0"/>
        <w:kinsoku/>
        <w:overflowPunct/>
        <w:topLinePunct w:val="0"/>
        <w:bidi w:val="0"/>
        <w:snapToGrid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电子开标大厅现场按规定时间对加密的投标文件进行解密，否则后果自负。</w:t>
      </w:r>
    </w:p>
    <w:p w14:paraId="492F0BAB">
      <w:pPr>
        <w:keepNext w:val="0"/>
        <w:keepLines w:val="0"/>
        <w:pageBreakBefore w:val="0"/>
        <w:kinsoku/>
        <w:wordWrap w:val="0"/>
        <w:overflowPunct/>
        <w:topLinePunct w:val="0"/>
        <w:bidi w:val="0"/>
        <w:spacing w:line="400" w:lineRule="exact"/>
        <w:ind w:firstLine="424" w:firstLineChars="202"/>
        <w:textAlignment w:val="auto"/>
        <w:rPr>
          <w:rFonts w:hint="eastAsia" w:ascii="宋体" w:hAnsi="宋体" w:cs="宋体"/>
          <w:bCs/>
          <w:color w:val="auto"/>
          <w:szCs w:val="21"/>
          <w:highlight w:val="none"/>
        </w:rPr>
      </w:pPr>
      <w:r>
        <w:rPr>
          <w:rFonts w:hint="eastAsia" w:ascii="宋体" w:hAnsi="宋体" w:cs="宋体"/>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将予以拒收。</w:t>
      </w:r>
    </w:p>
    <w:p w14:paraId="504F347B">
      <w:pPr>
        <w:keepNext w:val="0"/>
        <w:keepLines w:val="0"/>
        <w:pageBreakBefore w:val="0"/>
        <w:kinsoku/>
        <w:wordWrap w:val="0"/>
        <w:overflowPunct/>
        <w:topLinePunct w:val="0"/>
        <w:bidi w:val="0"/>
        <w:spacing w:line="400" w:lineRule="exact"/>
        <w:ind w:firstLine="424" w:firstLineChars="202"/>
        <w:textAlignment w:val="auto"/>
        <w:rPr>
          <w:rFonts w:ascii="宋体" w:hAnsi="宋体" w:cs="宋体"/>
          <w:bCs/>
          <w:color w:val="auto"/>
          <w:szCs w:val="21"/>
          <w:highlight w:val="none"/>
        </w:rPr>
      </w:pPr>
      <w:r>
        <w:rPr>
          <w:rFonts w:hint="eastAsia" w:ascii="宋体" w:hAnsi="宋体" w:cs="宋体"/>
          <w:bCs/>
          <w:color w:val="auto"/>
          <w:szCs w:val="21"/>
          <w:highlight w:val="none"/>
        </w:rPr>
        <w:t>7.采购意向公开链接：https://zfcg.gxzf.gov.cn/site/detail?categoryCode=ZcyAnnouncement&amp;parentId=66485&amp;articleId=oPgeg5OnXK8tcT+E/1+JZQ==</w:t>
      </w:r>
    </w:p>
    <w:p w14:paraId="1F041D23">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bookmarkEnd w:id="41"/>
      <w:bookmarkEnd w:id="42"/>
      <w:bookmarkEnd w:id="43"/>
      <w:bookmarkEnd w:id="44"/>
    </w:p>
    <w:p w14:paraId="1BF8F5B2">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7653774B">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eastAsia="宋体" w:cs="宋体"/>
          <w:color w:val="auto"/>
          <w:szCs w:val="21"/>
          <w:highlight w:val="none"/>
          <w:lang w:eastAsia="zh-CN"/>
        </w:rPr>
      </w:pPr>
      <w:bookmarkStart w:id="46" w:name="_Toc28359009"/>
      <w:bookmarkStart w:id="47" w:name="_Toc28359086"/>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广西壮族自治区生态环境厅</w:t>
      </w:r>
    </w:p>
    <w:p w14:paraId="512EFCFF">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南宁市青秀区佛子岭路16号</w:t>
      </w:r>
    </w:p>
    <w:p w14:paraId="6C0C8234">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黄工</w:t>
      </w:r>
    </w:p>
    <w:p w14:paraId="53B3B4E3">
      <w:pPr>
        <w:keepNext w:val="0"/>
        <w:keepLines w:val="0"/>
        <w:pageBreakBefore w:val="0"/>
        <w:kinsoku/>
        <w:overflowPunct/>
        <w:topLinePunct w:val="0"/>
        <w:bidi w:val="0"/>
        <w:spacing w:line="400" w:lineRule="exact"/>
        <w:ind w:firstLine="424" w:firstLineChars="202"/>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联系方式：</w:t>
      </w:r>
      <w:r>
        <w:rPr>
          <w:rFonts w:hint="eastAsia"/>
          <w:color w:val="auto"/>
          <w:highlight w:val="none"/>
          <w:lang w:val="en-US" w:eastAsia="zh-CN"/>
        </w:rPr>
        <w:t>0771-5313068</w:t>
      </w:r>
    </w:p>
    <w:bookmarkEnd w:id="46"/>
    <w:bookmarkEnd w:id="47"/>
    <w:p w14:paraId="323E7DE2">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C5620EC">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广西建设工程机电设备招标中心有限公司</w:t>
      </w:r>
    </w:p>
    <w:p w14:paraId="6C8324F9">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广西南宁市青秀区枫林路18号广西国控大厦（枫林路办公区）裙楼三楼</w:t>
      </w:r>
    </w:p>
    <w:p w14:paraId="66DF081D">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lang w:eastAsia="zh-CN"/>
        </w:rPr>
        <w:t>0771-5824250</w:t>
      </w:r>
    </w:p>
    <w:p w14:paraId="006FA431">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58889103">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王剑、黄艳颀、陈泰东</w:t>
      </w:r>
    </w:p>
    <w:p w14:paraId="3A2AB17D">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电　话：</w:t>
      </w:r>
      <w:r>
        <w:rPr>
          <w:rFonts w:hint="eastAsia" w:ascii="宋体" w:hAnsi="宋体" w:cs="宋体"/>
          <w:color w:val="auto"/>
          <w:szCs w:val="21"/>
          <w:highlight w:val="none"/>
          <w:lang w:eastAsia="zh-CN"/>
        </w:rPr>
        <w:t>0771-5824250</w:t>
      </w:r>
    </w:p>
    <w:p w14:paraId="7C9466D1">
      <w:pPr>
        <w:keepNext w:val="0"/>
        <w:keepLines w:val="0"/>
        <w:pageBreakBefore w:val="0"/>
        <w:kinsoku/>
        <w:overflowPunct/>
        <w:topLinePunct w:val="0"/>
        <w:bidi w:val="0"/>
        <w:spacing w:line="400" w:lineRule="exact"/>
        <w:textAlignment w:val="auto"/>
        <w:rPr>
          <w:rFonts w:hint="eastAsia" w:ascii="宋体" w:hAnsi="宋体" w:cs="宋体"/>
          <w:color w:val="auto"/>
          <w:szCs w:val="21"/>
          <w:highlight w:val="none"/>
        </w:rPr>
      </w:pPr>
    </w:p>
    <w:p w14:paraId="225E89DA">
      <w:pPr>
        <w:keepNext w:val="0"/>
        <w:keepLines w:val="0"/>
        <w:pageBreakBefore w:val="0"/>
        <w:kinsoku/>
        <w:overflowPunct/>
        <w:topLinePunct w:val="0"/>
        <w:bidi w:val="0"/>
        <w:spacing w:line="400" w:lineRule="exact"/>
        <w:jc w:val="right"/>
        <w:textAlignment w:val="auto"/>
        <w:rPr>
          <w:rFonts w:hint="eastAsia" w:ascii="宋体" w:hAnsi="宋体" w:cs="宋体"/>
          <w:b/>
          <w:bCs/>
          <w:color w:val="auto"/>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广西建设工程机电设备招标中心有限公司</w:t>
      </w:r>
      <w:r>
        <w:rPr>
          <w:rFonts w:hint="eastAsia" w:ascii="宋体" w:hAnsi="宋体" w:cs="宋体"/>
          <w:b/>
          <w:bCs/>
          <w:color w:val="auto"/>
          <w:highlight w:val="none"/>
        </w:rPr>
        <w:t xml:space="preserve"> </w:t>
      </w:r>
    </w:p>
    <w:p w14:paraId="2045E8E6">
      <w:pPr>
        <w:keepNext w:val="0"/>
        <w:keepLines w:val="0"/>
        <w:pageBreakBefore w:val="0"/>
        <w:kinsoku/>
        <w:overflowPunct/>
        <w:topLinePunct w:val="0"/>
        <w:bidi w:val="0"/>
        <w:spacing w:line="400" w:lineRule="exact"/>
        <w:ind w:firstLine="4095" w:firstLineChars="1950"/>
        <w:jc w:val="right"/>
        <w:textAlignment w:val="auto"/>
        <w:rPr>
          <w:rFonts w:hint="eastAsia" w:ascii="宋体" w:hAnsi="宋体" w:cs="宋体"/>
          <w:b/>
          <w:bCs/>
          <w:color w:val="auto"/>
          <w:highlight w:val="none"/>
        </w:rPr>
      </w:pP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13</w:t>
      </w:r>
      <w:r>
        <w:rPr>
          <w:rFonts w:hint="eastAsia" w:ascii="宋体" w:hAnsi="宋体" w:cs="宋体"/>
          <w:bCs/>
          <w:color w:val="auto"/>
          <w:kern w:val="0"/>
          <w:szCs w:val="21"/>
          <w:highlight w:val="none"/>
        </w:rPr>
        <w:t>日</w:t>
      </w:r>
    </w:p>
    <w:p w14:paraId="5D16113C">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r>
        <w:rPr>
          <w:rFonts w:hint="eastAsia" w:ascii="宋体" w:hAnsi="宋体" w:cs="宋体"/>
          <w:color w:val="auto"/>
          <w:sz w:val="24"/>
          <w:szCs w:val="20"/>
          <w:highlight w:val="none"/>
        </w:rPr>
        <w:br w:type="page"/>
      </w:r>
      <w:bookmarkStart w:id="48" w:name="_Toc29892"/>
      <w:bookmarkStart w:id="49" w:name="_Toc28054"/>
      <w:bookmarkStart w:id="50" w:name="_Toc12941"/>
      <w:r>
        <w:rPr>
          <w:rFonts w:hint="eastAsia" w:ascii="宋体" w:hAnsi="宋体" w:cs="宋体"/>
          <w:color w:val="auto"/>
          <w:highlight w:val="none"/>
        </w:rPr>
        <w:t>第二章  采购需求</w:t>
      </w:r>
      <w:bookmarkEnd w:id="48"/>
      <w:bookmarkEnd w:id="49"/>
      <w:bookmarkEnd w:id="50"/>
    </w:p>
    <w:p w14:paraId="2409B9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一、说明：</w:t>
      </w:r>
    </w:p>
    <w:p w14:paraId="29041A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1.为落实政府采购政策需满足的要求</w:t>
      </w:r>
    </w:p>
    <w:p w14:paraId="21C0D8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本招标文件所称中小企业必须符合《政府采购促进中小企业发展管理办法》（财库〔2020〕46号）的规定。</w:t>
      </w:r>
    </w:p>
    <w:p w14:paraId="45986BA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2FD965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3.投标人必须自行为其投标产品侵犯他人的知识产权或者专利成果的行为承担相应法律责任。</w:t>
      </w:r>
    </w:p>
    <w:p w14:paraId="4E5E8D1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b/>
          <w:color w:val="auto"/>
          <w:szCs w:val="21"/>
          <w:highlight w:val="none"/>
        </w:rPr>
        <w:t>4.采购内容的中小企业划分标准所属行业名称：</w:t>
      </w:r>
      <w:r>
        <w:rPr>
          <w:rFonts w:hint="eastAsia" w:ascii="宋体" w:hAnsi="宋体" w:cs="宋体"/>
          <w:b/>
          <w:color w:val="auto"/>
          <w:szCs w:val="21"/>
          <w:highlight w:val="none"/>
          <w:u w:val="single"/>
        </w:rPr>
        <w:t>其他未列明行业</w:t>
      </w:r>
      <w:r>
        <w:rPr>
          <w:rFonts w:hint="eastAsia" w:ascii="宋体" w:hAnsi="宋体" w:cs="宋体"/>
          <w:bCs/>
          <w:color w:val="auto"/>
          <w:szCs w:val="21"/>
          <w:highlight w:val="none"/>
        </w:rPr>
        <w:t>。</w:t>
      </w:r>
    </w:p>
    <w:p w14:paraId="1156EB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b/>
          <w:color w:val="auto"/>
          <w:szCs w:val="21"/>
          <w:highlight w:val="none"/>
        </w:rPr>
        <w:t>5.采购预算</w:t>
      </w:r>
      <w:r>
        <w:rPr>
          <w:rFonts w:hint="eastAsia" w:ascii="宋体" w:hAnsi="宋体" w:cs="宋体"/>
          <w:bCs/>
          <w:color w:val="auto"/>
          <w:szCs w:val="21"/>
          <w:highlight w:val="none"/>
        </w:rPr>
        <w:t>：</w:t>
      </w:r>
      <w:r>
        <w:rPr>
          <w:rFonts w:hint="eastAsia" w:ascii="宋体" w:hAnsi="宋体" w:cs="宋体"/>
          <w:color w:val="auto"/>
          <w:szCs w:val="21"/>
          <w:highlight w:val="none"/>
          <w:u w:val="single"/>
          <w:lang w:eastAsia="zh-CN"/>
        </w:rPr>
        <w:t>5360000.00</w:t>
      </w:r>
      <w:r>
        <w:rPr>
          <w:rFonts w:hint="eastAsia" w:ascii="宋体" w:hAnsi="宋体" w:cs="宋体"/>
          <w:color w:val="auto"/>
          <w:szCs w:val="21"/>
          <w:highlight w:val="none"/>
          <w:u w:val="single"/>
        </w:rPr>
        <w:t>元。</w:t>
      </w:r>
    </w:p>
    <w:p w14:paraId="3899EB3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6.采购需求要求未尽事宜由采购人与中标供应商在采购合同中约定。</w:t>
      </w:r>
    </w:p>
    <w:p w14:paraId="7458A0A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7.</w:t>
      </w: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r>
        <w:rPr>
          <w:rFonts w:hint="eastAsia" w:ascii="宋体" w:hAnsi="宋体" w:eastAsia="宋体" w:cs="宋体"/>
          <w:b/>
          <w:bCs/>
          <w:color w:val="auto"/>
          <w:szCs w:val="21"/>
          <w:highlight w:val="none"/>
          <w:lang w:val="en-US" w:eastAsia="zh-CN"/>
        </w:rPr>
        <w:t xml:space="preserve"> </w:t>
      </w:r>
    </w:p>
    <w:p w14:paraId="39DB04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8.本项目采购需求表中，若有要求提供的证明文件材料或承诺书的，请在《技术要求偏离表》或《商务要求偏离表》中应答时，同时注明相关文件材料或承诺书放置的页码。</w:t>
      </w:r>
    </w:p>
    <w:p w14:paraId="4E8A8F0A">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rPr>
      </w:pPr>
    </w:p>
    <w:p w14:paraId="114E89AD">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 w:val="24"/>
          <w:highlight w:val="none"/>
        </w:rPr>
      </w:pPr>
      <w:r>
        <w:rPr>
          <w:rFonts w:hint="eastAsia" w:ascii="宋体" w:hAnsi="宋体" w:cs="宋体"/>
          <w:b/>
          <w:color w:val="auto"/>
          <w:szCs w:val="21"/>
          <w:highlight w:val="none"/>
        </w:rPr>
        <w:t>二、技术及商务要求：</w:t>
      </w:r>
    </w:p>
    <w:tbl>
      <w:tblPr>
        <w:tblStyle w:val="39"/>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91" w:type="dxa"/>
          <w:bottom w:w="0" w:type="dxa"/>
          <w:right w:w="91" w:type="dxa"/>
        </w:tblCellMar>
      </w:tblPr>
      <w:tblGrid>
        <w:gridCol w:w="610"/>
        <w:gridCol w:w="1167"/>
        <w:gridCol w:w="480"/>
        <w:gridCol w:w="240"/>
        <w:gridCol w:w="657"/>
        <w:gridCol w:w="5917"/>
      </w:tblGrid>
      <w:tr w14:paraId="77C34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9071" w:type="dxa"/>
            <w:gridSpan w:val="6"/>
            <w:tcBorders>
              <w:top w:val="single" w:color="000000" w:sz="2" w:space="0"/>
              <w:left w:val="single" w:color="000000" w:sz="2" w:space="0"/>
              <w:bottom w:val="single" w:color="000000" w:sz="2" w:space="0"/>
              <w:right w:val="single" w:color="000000" w:sz="2" w:space="0"/>
            </w:tcBorders>
            <w:noWrap w:val="0"/>
            <w:vAlign w:val="center"/>
          </w:tcPr>
          <w:p w14:paraId="7502A876">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textAlignment w:val="auto"/>
              <w:rPr>
                <w:rFonts w:hint="eastAsia" w:ascii="宋体" w:hAnsi="宋体" w:cs="宋体"/>
                <w:color w:val="auto"/>
                <w:szCs w:val="21"/>
                <w:highlight w:val="none"/>
              </w:rPr>
            </w:pPr>
            <w:r>
              <w:rPr>
                <w:rFonts w:hint="eastAsia" w:ascii="宋体" w:hAnsi="宋体" w:cs="宋体"/>
                <w:b/>
                <w:bCs/>
                <w:color w:val="auto"/>
                <w:szCs w:val="21"/>
                <w:highlight w:val="none"/>
              </w:rPr>
              <w:t>一、项目要求及技术需求</w:t>
            </w:r>
          </w:p>
        </w:tc>
      </w:tr>
      <w:tr w14:paraId="0E60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6" w:hRule="atLeast"/>
          <w:jc w:val="center"/>
        </w:trPr>
        <w:tc>
          <w:tcPr>
            <w:tcW w:w="610" w:type="dxa"/>
            <w:tcBorders>
              <w:top w:val="single" w:color="000000" w:sz="2" w:space="0"/>
              <w:left w:val="single" w:color="000000" w:sz="2" w:space="0"/>
              <w:bottom w:val="single" w:color="000000" w:sz="2" w:space="0"/>
              <w:right w:val="single" w:color="000000" w:sz="2" w:space="0"/>
            </w:tcBorders>
            <w:noWrap w:val="0"/>
            <w:vAlign w:val="center"/>
          </w:tcPr>
          <w:p w14:paraId="23F946BC">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67" w:type="dxa"/>
            <w:tcBorders>
              <w:top w:val="single" w:color="000000" w:sz="2" w:space="0"/>
              <w:left w:val="single" w:color="000000" w:sz="2" w:space="0"/>
              <w:bottom w:val="single" w:color="000000" w:sz="2" w:space="0"/>
              <w:right w:val="single" w:color="000000" w:sz="2" w:space="0"/>
            </w:tcBorders>
            <w:noWrap w:val="0"/>
            <w:vAlign w:val="center"/>
          </w:tcPr>
          <w:p w14:paraId="3E5030A7">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318FAB35">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1A148070">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6BBE1C24">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项目要求及技术需求</w:t>
            </w:r>
          </w:p>
        </w:tc>
      </w:tr>
      <w:tr w14:paraId="6EB2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610" w:type="dxa"/>
            <w:tcBorders>
              <w:top w:val="single" w:color="000000" w:sz="2" w:space="0"/>
              <w:left w:val="single" w:color="000000" w:sz="2" w:space="0"/>
              <w:bottom w:val="single" w:color="000000" w:sz="2" w:space="0"/>
              <w:right w:val="single" w:color="000000" w:sz="2" w:space="0"/>
            </w:tcBorders>
            <w:noWrap w:val="0"/>
            <w:vAlign w:val="center"/>
          </w:tcPr>
          <w:p w14:paraId="1691542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1167" w:type="dxa"/>
            <w:tcBorders>
              <w:top w:val="single" w:color="000000" w:sz="2" w:space="0"/>
              <w:left w:val="single" w:color="000000" w:sz="2" w:space="0"/>
              <w:bottom w:val="single" w:color="000000" w:sz="2" w:space="0"/>
              <w:right w:val="single" w:color="000000" w:sz="2" w:space="0"/>
            </w:tcBorders>
            <w:noWrap w:val="0"/>
            <w:vAlign w:val="center"/>
          </w:tcPr>
          <w:p w14:paraId="248D536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全区非法堆存、转移涉重固体废物危险特性鉴别及污染释放能力评估项目</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0AED4A5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79E137A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项</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2996222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▲一、总体要求</w:t>
            </w:r>
          </w:p>
          <w:p w14:paraId="450314F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等文件要求，依据《工业固体废物采样制样技术规范》（ HJ/T 20-1998）、《危险废物鉴别技术规范》（HJ 298-2019）、《危险废物鉴别标准》（GB 5085.1~7-2007）等</w:t>
            </w:r>
            <w:r>
              <w:rPr>
                <w:rFonts w:hint="eastAsia" w:ascii="宋体" w:hAnsi="宋体" w:cs="宋体"/>
                <w:color w:val="auto"/>
                <w:szCs w:val="21"/>
                <w:highlight w:val="none"/>
              </w:rPr>
              <w:t>技术规范，完成本项目工作内容。</w:t>
            </w:r>
          </w:p>
          <w:p w14:paraId="38E0D01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▲二、服务内容和技术要求</w:t>
            </w:r>
          </w:p>
          <w:p w14:paraId="07542CA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2.1.1</w:t>
            </w:r>
            <w:r>
              <w:rPr>
                <w:rFonts w:hint="eastAsia" w:ascii="宋体" w:hAnsi="宋体" w:cs="宋体"/>
                <w:color w:val="auto"/>
                <w:szCs w:val="21"/>
                <w:highlight w:val="none"/>
              </w:rPr>
              <w:t>主要技术服务</w:t>
            </w:r>
          </w:p>
          <w:p w14:paraId="11477E1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对涉重金属排查发现的12处涉及非法堆存、转移、处置的不明固体废物开展危险特性鉴别。</w:t>
            </w:r>
          </w:p>
          <w:p w14:paraId="3D4F210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前期调查及鉴别样品采集。</w:t>
            </w:r>
          </w:p>
          <w:p w14:paraId="649FEA5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前期调查应包括对鉴别对象的产生过程、生产工艺、原辅材料及其可能含有的特征污染物等信息的调查与分析。样品采集应严格遵循《工业固体废物采样制样技术规范》（HJ/T 20-1998）</w:t>
            </w:r>
            <w:r>
              <w:rPr>
                <w:rFonts w:hint="eastAsia" w:ascii="宋体" w:hAnsi="宋体" w:cs="宋体"/>
                <w:color w:val="auto"/>
                <w:szCs w:val="21"/>
                <w:highlight w:val="none"/>
                <w:lang w:eastAsia="zh-CN"/>
              </w:rPr>
              <w:t>《</w:t>
            </w:r>
            <w:r>
              <w:rPr>
                <w:rFonts w:hint="eastAsia" w:ascii="宋体" w:hAnsi="宋体" w:cs="宋体"/>
                <w:color w:val="auto"/>
                <w:szCs w:val="21"/>
                <w:highlight w:val="none"/>
              </w:rPr>
              <w:t>固体废物鉴别标准 通则</w:t>
            </w:r>
            <w:r>
              <w:rPr>
                <w:rFonts w:hint="eastAsia" w:ascii="宋体" w:hAnsi="宋体" w:cs="宋体"/>
                <w:color w:val="auto"/>
                <w:szCs w:val="21"/>
                <w:highlight w:val="none"/>
                <w:lang w:eastAsia="zh-CN"/>
              </w:rPr>
              <w:t>》（</w:t>
            </w:r>
            <w:r>
              <w:rPr>
                <w:rFonts w:hint="eastAsia" w:ascii="宋体" w:hAnsi="宋体" w:cs="宋体"/>
                <w:color w:val="auto"/>
                <w:szCs w:val="21"/>
                <w:highlight w:val="none"/>
              </w:rPr>
              <w:t>GB 34330-2017</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、《危险废物鉴别技术规范》（HJ 298-2019）、《危险废物鉴别标准》（GB 5085.1～7-2007）</w:t>
            </w:r>
            <w:r>
              <w:rPr>
                <w:rFonts w:hint="eastAsia" w:ascii="宋体" w:hAnsi="宋体" w:cs="宋体"/>
                <w:color w:val="auto"/>
                <w:szCs w:val="21"/>
                <w:highlight w:val="none"/>
              </w:rPr>
              <w:t>等相关标准，</w:t>
            </w:r>
            <w:r>
              <w:rPr>
                <w:rFonts w:hint="eastAsia" w:ascii="宋体" w:hAnsi="宋体" w:cs="宋体"/>
                <w:color w:val="auto"/>
                <w:szCs w:val="21"/>
                <w:highlight w:val="none"/>
                <w:lang w:eastAsia="zh-CN"/>
              </w:rPr>
              <w:t>编制</w:t>
            </w:r>
            <w:r>
              <w:rPr>
                <w:rFonts w:hint="eastAsia" w:ascii="宋体" w:hAnsi="宋体" w:cs="宋体"/>
                <w:color w:val="auto"/>
                <w:szCs w:val="21"/>
                <w:highlight w:val="none"/>
                <w:lang w:val="en-US" w:eastAsia="zh-CN"/>
              </w:rPr>
              <w:t>12处非法堆存、转移、处置的不明固体废物的</w:t>
            </w:r>
            <w:r>
              <w:rPr>
                <w:rFonts w:hint="eastAsia" w:ascii="宋体" w:hAnsi="宋体" w:cs="宋体"/>
                <w:color w:val="auto"/>
                <w:szCs w:val="21"/>
                <w:highlight w:val="none"/>
              </w:rPr>
              <w:t>采样技术方案、组织实施方案及质量控制措施，确保</w:t>
            </w:r>
            <w:r>
              <w:rPr>
                <w:rFonts w:hint="eastAsia" w:ascii="宋体" w:hAnsi="宋体" w:cs="宋体"/>
                <w:color w:val="auto"/>
                <w:szCs w:val="21"/>
                <w:highlight w:val="none"/>
                <w:lang w:eastAsia="zh-CN"/>
              </w:rPr>
              <w:t>采集的</w:t>
            </w:r>
            <w:r>
              <w:rPr>
                <w:rFonts w:hint="eastAsia" w:ascii="宋体" w:hAnsi="宋体" w:cs="宋体"/>
                <w:color w:val="auto"/>
                <w:szCs w:val="21"/>
                <w:highlight w:val="none"/>
              </w:rPr>
              <w:t>样品具有代表性和可追溯性</w:t>
            </w:r>
            <w:r>
              <w:rPr>
                <w:rFonts w:hint="eastAsia" w:ascii="宋体" w:hAnsi="宋体" w:cs="宋体"/>
                <w:color w:val="auto"/>
                <w:szCs w:val="21"/>
                <w:highlight w:val="none"/>
                <w:lang w:val="en-US" w:eastAsia="zh-CN"/>
              </w:rPr>
              <w:t>；</w:t>
            </w:r>
          </w:p>
          <w:p w14:paraId="612A7E1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实验室分析。</w:t>
            </w:r>
          </w:p>
          <w:p w14:paraId="5068344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实验室分析应严格执行</w:t>
            </w:r>
            <w:r>
              <w:rPr>
                <w:rFonts w:hint="eastAsia" w:ascii="宋体" w:hAnsi="宋体" w:cs="宋体"/>
                <w:color w:val="auto"/>
                <w:szCs w:val="21"/>
                <w:highlight w:val="none"/>
                <w:lang w:eastAsia="zh-CN"/>
              </w:rPr>
              <w:t>《</w:t>
            </w:r>
            <w:r>
              <w:rPr>
                <w:rFonts w:hint="eastAsia" w:ascii="宋体" w:hAnsi="宋体" w:cs="宋体"/>
                <w:color w:val="auto"/>
                <w:szCs w:val="21"/>
                <w:highlight w:val="none"/>
              </w:rPr>
              <w:t>固体废物鉴别标准 通则</w:t>
            </w:r>
            <w:r>
              <w:rPr>
                <w:rFonts w:hint="eastAsia" w:ascii="宋体" w:hAnsi="宋体" w:cs="宋体"/>
                <w:color w:val="auto"/>
                <w:szCs w:val="21"/>
                <w:highlight w:val="none"/>
                <w:lang w:eastAsia="zh-CN"/>
              </w:rPr>
              <w:t>》（</w:t>
            </w:r>
            <w:r>
              <w:rPr>
                <w:rFonts w:hint="eastAsia" w:ascii="宋体" w:hAnsi="宋体" w:cs="宋体"/>
                <w:color w:val="auto"/>
                <w:szCs w:val="21"/>
                <w:highlight w:val="none"/>
              </w:rPr>
              <w:t>GB 34330-2017</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、《危险废物鉴别技术规范》（HJ 298-2019）、《危险废物鉴别标准》（GB 5085.1～7-2007）、</w:t>
            </w:r>
            <w:r>
              <w:rPr>
                <w:rFonts w:hint="eastAsia" w:ascii="宋体" w:hAnsi="宋体" w:cs="宋体"/>
                <w:color w:val="auto"/>
                <w:szCs w:val="21"/>
                <w:highlight w:val="none"/>
                <w:lang w:eastAsia="zh-CN"/>
              </w:rPr>
              <w:t>国家或行业</w:t>
            </w:r>
            <w:r>
              <w:rPr>
                <w:rFonts w:hint="eastAsia" w:ascii="宋体" w:hAnsi="宋体" w:cs="宋体"/>
                <w:color w:val="auto"/>
                <w:szCs w:val="21"/>
                <w:highlight w:val="none"/>
              </w:rPr>
              <w:t>标准方法的</w:t>
            </w:r>
            <w:r>
              <w:rPr>
                <w:rFonts w:hint="eastAsia" w:ascii="宋体" w:hAnsi="宋体" w:cs="宋体"/>
                <w:color w:val="auto"/>
                <w:szCs w:val="21"/>
                <w:highlight w:val="none"/>
                <w:lang w:eastAsia="zh-CN"/>
              </w:rPr>
              <w:t>开展实验室分析，</w:t>
            </w:r>
            <w:r>
              <w:rPr>
                <w:rFonts w:hint="eastAsia" w:ascii="宋体" w:hAnsi="宋体" w:cs="宋体"/>
                <w:color w:val="auto"/>
                <w:szCs w:val="21"/>
                <w:highlight w:val="none"/>
              </w:rPr>
              <w:t>并出具带有CMA标识的检测（监测）报告</w:t>
            </w:r>
            <w:r>
              <w:rPr>
                <w:rFonts w:hint="eastAsia" w:ascii="宋体" w:hAnsi="宋体" w:cs="宋体"/>
                <w:color w:val="auto"/>
                <w:szCs w:val="21"/>
                <w:highlight w:val="none"/>
                <w:lang w:val="en-US" w:eastAsia="zh-CN"/>
              </w:rPr>
              <w:t>；</w:t>
            </w:r>
          </w:p>
          <w:p w14:paraId="681FDD6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c、出具危险特性鉴别报告。</w:t>
            </w:r>
          </w:p>
          <w:p w14:paraId="6CF9866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危险特性</w:t>
            </w:r>
            <w:r>
              <w:rPr>
                <w:rFonts w:hint="eastAsia" w:ascii="宋体" w:hAnsi="宋体" w:cs="宋体"/>
                <w:color w:val="auto"/>
                <w:szCs w:val="21"/>
                <w:highlight w:val="none"/>
              </w:rPr>
              <w:t>鉴别报告包括正文和附件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正文包括基本情况、工作过程、综合分析、结论与建议等内容；附件包括</w:t>
            </w:r>
            <w:r>
              <w:rPr>
                <w:rFonts w:hint="eastAsia" w:ascii="宋体" w:hAnsi="宋体" w:cs="宋体"/>
                <w:color w:val="auto"/>
                <w:szCs w:val="21"/>
                <w:highlight w:val="none"/>
              </w:rPr>
              <w:t>检验检测机构相关资质</w:t>
            </w:r>
            <w:r>
              <w:rPr>
                <w:rFonts w:hint="eastAsia" w:ascii="宋体" w:hAnsi="宋体" w:cs="宋体"/>
                <w:color w:val="auto"/>
                <w:szCs w:val="21"/>
                <w:highlight w:val="none"/>
                <w:lang w:eastAsia="zh-CN"/>
              </w:rPr>
              <w:t>、</w:t>
            </w:r>
            <w:r>
              <w:rPr>
                <w:rFonts w:hint="eastAsia" w:ascii="宋体" w:hAnsi="宋体" w:cs="宋体"/>
                <w:color w:val="auto"/>
                <w:szCs w:val="21"/>
                <w:highlight w:val="none"/>
              </w:rPr>
              <w:t>采样记录</w:t>
            </w:r>
            <w:r>
              <w:rPr>
                <w:rFonts w:hint="eastAsia" w:ascii="宋体" w:hAnsi="宋体" w:cs="宋体"/>
                <w:color w:val="auto"/>
                <w:szCs w:val="21"/>
                <w:highlight w:val="none"/>
                <w:lang w:eastAsia="zh-CN"/>
              </w:rPr>
              <w:t>、</w:t>
            </w:r>
            <w:r>
              <w:rPr>
                <w:rFonts w:hint="eastAsia" w:ascii="宋体" w:hAnsi="宋体" w:cs="宋体"/>
                <w:color w:val="auto"/>
                <w:szCs w:val="21"/>
                <w:highlight w:val="none"/>
              </w:rPr>
              <w:t>检测报告</w:t>
            </w:r>
            <w:r>
              <w:rPr>
                <w:rFonts w:hint="eastAsia" w:ascii="宋体" w:hAnsi="宋体" w:cs="宋体"/>
                <w:color w:val="auto"/>
                <w:szCs w:val="21"/>
                <w:highlight w:val="none"/>
                <w:lang w:val="en-US" w:eastAsia="zh-CN"/>
              </w:rPr>
              <w:t>等相关材料。</w:t>
            </w:r>
          </w:p>
          <w:p w14:paraId="3B0D384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（2）根据12处涉及非法堆存、转移、处置的不明固体废物危废鉴别工作中所采集的样品（至少每处不少于5个点位的样品数量），开展模拟自然淋溶条件下的浸出实验，研究</w:t>
            </w:r>
            <w:r>
              <w:rPr>
                <w:rFonts w:hint="eastAsia" w:ascii="宋体" w:hAnsi="宋体" w:cs="宋体"/>
                <w:color w:val="auto"/>
                <w:szCs w:val="21"/>
                <w:highlight w:val="none"/>
              </w:rPr>
              <w:t>不明固体废物</w:t>
            </w:r>
            <w:r>
              <w:rPr>
                <w:rFonts w:hint="eastAsia" w:ascii="宋体" w:hAnsi="宋体" w:cs="宋体"/>
                <w:color w:val="auto"/>
                <w:szCs w:val="21"/>
                <w:highlight w:val="none"/>
                <w:lang w:val="en-US" w:eastAsia="zh-CN"/>
              </w:rPr>
              <w:t>中在不同的条件（比如不同温度，不同的酸度、不同的浸出时间等）主要污染物持续释放潜力，形成污染释放能力研究报告，为预判污染扩散范围、制定防控措施提供科学依据。</w:t>
            </w:r>
          </w:p>
          <w:p w14:paraId="6C017DD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根据《建设用地土壤环境调查评估技术指南》（环境保护部公告2017年第72号）《工业企业场地环境调查评估与修复工作指南（试行）》（环境保护部公告2014年第78号）、《建设用地土壤污染状况调查技术导则》（HJ 25.1-2019）、《土壤环境质量建设用地土壤污染风险管控标准（试行）》（GB36600-2018）等技术文件要求对于涉重金属排查发现的12处不明固体废物处置后场地土壤的重金属污染残留状况进行排查、采样、分析，并出具危废处置后场地土壤遗留污染物评估报告。</w:t>
            </w:r>
          </w:p>
          <w:p w14:paraId="4A73C94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2.2工作质量控制要求</w:t>
            </w:r>
          </w:p>
          <w:p w14:paraId="08D4107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人需严格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及《工业固体废物采样制样技术规范》（HJ/T20-1998）、《危险废物鉴别技术规范》（HJ 298-2019）、《危险废物鉴别标准》（GB 5085.1～7-2007）等文件相关要求开展质量控制工作，提交成果经采购人验收备案。</w:t>
            </w:r>
          </w:p>
          <w:p w14:paraId="330C2CB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（2）投标人需无条件配合采购方完成所有质量控制工作及满足质量控制要求。</w:t>
            </w:r>
          </w:p>
          <w:p w14:paraId="775C838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2.3数据资料归属及保密要求</w:t>
            </w:r>
          </w:p>
          <w:p w14:paraId="75C6087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本项目所形成的数据和报告归采购人所有。未经采购人授权，不得将数据和报告发送给任何第三方，严格执行项目实施过程中产生数据和报告等资料保密管理。</w:t>
            </w:r>
          </w:p>
          <w:p w14:paraId="35FBEA4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2.4成果提交及项目验收</w:t>
            </w:r>
          </w:p>
          <w:p w14:paraId="4AA1D97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所提交成果需满足“2.2工作质量控制要求”，并通过采购人验收备案：</w:t>
            </w:r>
          </w:p>
          <w:p w14:paraId="04C0F91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（1）出具12份危险特性鉴别</w:t>
            </w:r>
            <w:r>
              <w:rPr>
                <w:rFonts w:hint="eastAsia" w:ascii="宋体" w:hAnsi="宋体" w:cs="宋体"/>
                <w:color w:val="auto"/>
                <w:szCs w:val="21"/>
                <w:highlight w:val="none"/>
              </w:rPr>
              <w:t>检测（监测）报告</w:t>
            </w:r>
          </w:p>
          <w:p w14:paraId="7C8EC93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（2）出具12份危险特性鉴别报告和处置建议。</w:t>
            </w:r>
          </w:p>
          <w:p w14:paraId="1F25B48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（3）出具1份非法堆存、转移涉重固体废物的污染释放能力研究报告。</w:t>
            </w:r>
          </w:p>
          <w:p w14:paraId="14CB795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（4）出具12份危废处置后场地土壤遗留污染物评估报告。</w:t>
            </w:r>
          </w:p>
          <w:p w14:paraId="7D50EE2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（5）项目开展过程中，按采购人要求提供本项目的其他服务成果。</w:t>
            </w:r>
          </w:p>
          <w:p w14:paraId="600480D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按采购人要求提供纸质版和电子版。</w:t>
            </w:r>
          </w:p>
          <w:p w14:paraId="782B01C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2.5仪器设备要求</w:t>
            </w:r>
          </w:p>
          <w:p w14:paraId="00E479D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投标人应同时具备电感耦合等离子体质谱（ICP-MS）、电感耦合等离子体发射光谱仪（ICP-OES）、</w:t>
            </w:r>
            <w:r>
              <w:rPr>
                <w:rFonts w:hint="eastAsia" w:ascii="宋体" w:hAnsi="宋体" w:cs="宋体"/>
                <w:color w:val="auto"/>
                <w:szCs w:val="21"/>
                <w:highlight w:val="none"/>
                <w:lang w:val="en-US" w:eastAsia="zh-CN"/>
              </w:rPr>
              <w:t>原子荧光分光度计</w:t>
            </w:r>
            <w:r>
              <w:rPr>
                <w:rFonts w:hint="eastAsia" w:ascii="宋体" w:hAnsi="宋体" w:cs="宋体"/>
                <w:color w:val="auto"/>
                <w:szCs w:val="21"/>
                <w:highlight w:val="none"/>
              </w:rPr>
              <w:t>、原子吸收分光光度计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气质联用仪</w:t>
            </w:r>
            <w:r>
              <w:rPr>
                <w:rFonts w:hint="eastAsia" w:ascii="宋体" w:hAnsi="宋体" w:cs="宋体"/>
                <w:color w:val="auto"/>
                <w:szCs w:val="21"/>
                <w:highlight w:val="none"/>
              </w:rPr>
              <w:t>各1台。投标时须提供设备发票复印件和有效期内的</w:t>
            </w:r>
            <w:r>
              <w:rPr>
                <w:rFonts w:hint="eastAsia" w:ascii="宋体" w:hAnsi="宋体" w:cs="宋体"/>
                <w:color w:val="auto"/>
                <w:szCs w:val="21"/>
                <w:highlight w:val="none"/>
                <w:lang w:eastAsia="zh-CN"/>
              </w:rPr>
              <w:t>检定证书（校准证书）</w:t>
            </w:r>
            <w:r>
              <w:rPr>
                <w:rFonts w:hint="eastAsia" w:ascii="宋体" w:hAnsi="宋体" w:cs="宋体"/>
                <w:color w:val="auto"/>
                <w:szCs w:val="21"/>
                <w:highlight w:val="none"/>
              </w:rPr>
              <w:t>复印件，作为评审依据。</w:t>
            </w:r>
          </w:p>
          <w:p w14:paraId="26A9C2E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注：需</w:t>
            </w: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rPr>
              <w:t>有效证明（属于供应商自有，租用不予计算），即提供仪器设备列表、设备的彩色照片、采购发票（发票抬头为投标人名字）和有效期限内的检定证书（校准证书）复印件等，并加盖公章，否则将其作为无效投标处理。</w:t>
            </w:r>
          </w:p>
          <w:p w14:paraId="2165DB7D">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▲三、特定资格要求</w:t>
            </w:r>
          </w:p>
          <w:p w14:paraId="4FF7DCE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投标人须取得有效的检验检测机构资质认定证书（CMA）</w:t>
            </w:r>
            <w:r>
              <w:rPr>
                <w:rFonts w:hint="eastAsia" w:ascii="宋体" w:hAnsi="宋体" w:cs="宋体"/>
                <w:color w:val="auto"/>
                <w:szCs w:val="21"/>
                <w:highlight w:val="none"/>
                <w:lang w:eastAsia="zh-CN"/>
              </w:rPr>
              <w:t>，</w:t>
            </w:r>
            <w:r>
              <w:rPr>
                <w:rFonts w:hint="eastAsia" w:ascii="宋体" w:hAnsi="宋体" w:cs="宋体"/>
                <w:color w:val="auto"/>
                <w:szCs w:val="21"/>
                <w:highlight w:val="none"/>
              </w:rPr>
              <w:t>检测资质认证检测能力附表中至少具有</w:t>
            </w:r>
            <w:r>
              <w:rPr>
                <w:rFonts w:hint="eastAsia" w:ascii="宋体" w:hAnsi="宋体" w:cs="宋体"/>
                <w:color w:val="auto"/>
                <w:szCs w:val="21"/>
                <w:highlight w:val="none"/>
                <w:lang w:val="en-US" w:eastAsia="zh-CN"/>
              </w:rPr>
              <w:t>固体废物类别，固体废物</w:t>
            </w:r>
            <w:r>
              <w:rPr>
                <w:rFonts w:hint="eastAsia" w:ascii="宋体" w:hAnsi="宋体" w:cs="宋体"/>
                <w:color w:val="auto"/>
                <w:szCs w:val="21"/>
                <w:highlight w:val="none"/>
              </w:rPr>
              <w:t>资质能力中至少具备铜、锌、镉、铅、汞、镍、银、砷、锰、铊、锑、钡、铝、铬、硒、苯、甲苯、乙苯、二甲苯</w:t>
            </w:r>
            <w:r>
              <w:rPr>
                <w:rFonts w:hint="eastAsia" w:ascii="宋体" w:hAnsi="宋体" w:cs="宋体"/>
                <w:color w:val="auto"/>
                <w:szCs w:val="21"/>
                <w:highlight w:val="none"/>
                <w:lang w:eastAsia="zh-CN"/>
              </w:rPr>
              <w:t>检测指标</w:t>
            </w:r>
            <w:r>
              <w:rPr>
                <w:rFonts w:hint="eastAsia" w:ascii="宋体" w:hAnsi="宋体" w:cs="宋体"/>
                <w:color w:val="auto"/>
                <w:szCs w:val="21"/>
                <w:highlight w:val="none"/>
                <w:lang w:val="en-US" w:eastAsia="zh-CN"/>
              </w:rPr>
              <w:t>。同时，投标人须</w:t>
            </w:r>
            <w:r>
              <w:rPr>
                <w:rFonts w:hint="eastAsia" w:ascii="宋体" w:hAnsi="宋体" w:cs="宋体"/>
                <w:color w:val="auto"/>
                <w:szCs w:val="21"/>
                <w:highlight w:val="none"/>
              </w:rPr>
              <w:t>是全国危险废物鉴别信息公开服务平台危废鉴别注册单位</w:t>
            </w:r>
            <w:r>
              <w:rPr>
                <w:rFonts w:hint="eastAsia" w:ascii="宋体" w:hAnsi="宋体" w:cs="宋体"/>
                <w:color w:val="auto"/>
                <w:szCs w:val="21"/>
                <w:highlight w:val="none"/>
                <w:lang w:eastAsia="zh-CN"/>
              </w:rPr>
              <w:t>。</w:t>
            </w:r>
          </w:p>
          <w:p w14:paraId="5A27079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▲四、服务期限</w:t>
            </w:r>
          </w:p>
          <w:p w14:paraId="4F2DFC3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自合同签订之日起至</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rPr>
              <w:t>31日</w:t>
            </w:r>
            <w:r>
              <w:rPr>
                <w:rFonts w:hint="eastAsia" w:ascii="宋体" w:hAnsi="宋体" w:cs="宋体"/>
                <w:color w:val="auto"/>
                <w:szCs w:val="21"/>
                <w:highlight w:val="none"/>
                <w:lang w:val="en-US" w:eastAsia="zh-CN"/>
              </w:rPr>
              <w:t>前</w:t>
            </w:r>
            <w:r>
              <w:rPr>
                <w:rFonts w:hint="eastAsia" w:ascii="宋体" w:hAnsi="宋体" w:cs="宋体"/>
                <w:color w:val="auto"/>
                <w:szCs w:val="21"/>
                <w:highlight w:val="none"/>
              </w:rPr>
              <w:t>。</w:t>
            </w:r>
          </w:p>
          <w:p w14:paraId="717683B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▲五、</w:t>
            </w:r>
            <w:bookmarkStart w:id="51" w:name="_Hlk178106197"/>
            <w:r>
              <w:rPr>
                <w:rFonts w:hint="eastAsia" w:ascii="宋体" w:hAnsi="宋体" w:cs="宋体"/>
                <w:color w:val="auto"/>
                <w:szCs w:val="21"/>
                <w:highlight w:val="none"/>
              </w:rPr>
              <w:t>项目服务团队</w:t>
            </w:r>
            <w:bookmarkEnd w:id="51"/>
            <w:r>
              <w:rPr>
                <w:rFonts w:hint="eastAsia" w:ascii="宋体" w:hAnsi="宋体" w:cs="宋体"/>
                <w:color w:val="auto"/>
                <w:szCs w:val="21"/>
                <w:highlight w:val="none"/>
              </w:rPr>
              <w:t>要求</w:t>
            </w:r>
          </w:p>
          <w:p w14:paraId="1B07147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项目负责人须具备高级职称（职称专业为环境类、化学类、监测类等相关专业）；</w:t>
            </w:r>
          </w:p>
          <w:p w14:paraId="40DB4C6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w:t>
            </w:r>
            <w:r>
              <w:rPr>
                <w:rFonts w:hint="eastAsia" w:ascii="宋体" w:hAnsi="宋体" w:cs="宋体"/>
                <w:color w:val="auto"/>
                <w:szCs w:val="21"/>
                <w:highlight w:val="none"/>
              </w:rPr>
              <w:t>人须</w:t>
            </w:r>
            <w:r>
              <w:rPr>
                <w:rFonts w:hint="eastAsia" w:ascii="宋体" w:hAnsi="宋体" w:cs="宋体"/>
                <w:color w:val="auto"/>
                <w:szCs w:val="21"/>
                <w:highlight w:val="none"/>
                <w:lang w:val="en-US" w:eastAsia="zh-CN"/>
              </w:rPr>
              <w:t>配备能够承担技术服务工作的相关专业技术人员</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职称专业为：职称专业为环境类、化学类、监测类等相关专业</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项目成员</w:t>
            </w:r>
            <w:r>
              <w:rPr>
                <w:rFonts w:hint="eastAsia" w:ascii="宋体" w:hAnsi="宋体" w:cs="宋体"/>
                <w:color w:val="auto"/>
                <w:szCs w:val="21"/>
                <w:highlight w:val="none"/>
              </w:rPr>
              <w:t>的数量和能力应满足技术服务工作任务的需要，</w:t>
            </w:r>
            <w:r>
              <w:rPr>
                <w:rFonts w:hint="eastAsia" w:ascii="宋体" w:hAnsi="宋体" w:cs="宋体"/>
                <w:color w:val="auto"/>
                <w:szCs w:val="21"/>
                <w:highlight w:val="none"/>
                <w:lang w:val="en-US" w:eastAsia="zh-CN"/>
              </w:rPr>
              <w:t>拟投入本项目专业技术人员不少于20人，其中中级职称不少于7人，高级职称不少于3人。</w:t>
            </w:r>
          </w:p>
          <w:p w14:paraId="670AD34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注：拟投入本项目的以上人员均是投标人在职在岗正式员工（非退休），投标文件需提供人员职称证书证明材料复印件、项目实施人员劳动合同复印件或事业单位编制证明复印件</w:t>
            </w:r>
            <w:r>
              <w:rPr>
                <w:rFonts w:hint="eastAsia" w:ascii="宋体" w:hAnsi="宋体" w:cs="宋体"/>
                <w:color w:val="auto"/>
                <w:szCs w:val="21"/>
                <w:highlight w:val="none"/>
                <w:lang w:eastAsia="zh-CN"/>
              </w:rPr>
              <w:t>等相关证明材料</w:t>
            </w:r>
            <w:r>
              <w:rPr>
                <w:rFonts w:hint="eastAsia" w:ascii="宋体" w:hAnsi="宋体" w:cs="宋体"/>
                <w:color w:val="auto"/>
                <w:szCs w:val="21"/>
                <w:highlight w:val="none"/>
              </w:rPr>
              <w:t>。</w:t>
            </w:r>
          </w:p>
          <w:p w14:paraId="43CCEFB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“▲”是指不能负偏离的条款。</w:t>
            </w:r>
          </w:p>
        </w:tc>
      </w:tr>
      <w:tr w14:paraId="2D949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9071" w:type="dxa"/>
            <w:gridSpan w:val="6"/>
            <w:tcBorders>
              <w:top w:val="single" w:color="000000" w:sz="2" w:space="0"/>
              <w:left w:val="single" w:color="000000" w:sz="2" w:space="0"/>
              <w:bottom w:val="single" w:color="000000" w:sz="2" w:space="0"/>
              <w:right w:val="single" w:color="000000" w:sz="2" w:space="0"/>
            </w:tcBorders>
            <w:noWrap w:val="0"/>
            <w:vAlign w:val="center"/>
          </w:tcPr>
          <w:p w14:paraId="18D61466">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二、商务要求</w:t>
            </w:r>
          </w:p>
        </w:tc>
      </w:tr>
      <w:tr w14:paraId="1E16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71A2A551">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（一）</w:t>
            </w:r>
            <w:r>
              <w:rPr>
                <w:rFonts w:hint="default" w:ascii="宋体" w:hAnsi="宋体" w:eastAsia="宋体" w:cs="宋体"/>
                <w:color w:val="auto"/>
                <w:szCs w:val="21"/>
                <w:highlight w:val="none"/>
              </w:rPr>
              <w:t>合同签订</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7DF32A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自中标通知书发出之日起</w:t>
            </w:r>
            <w:r>
              <w:rPr>
                <w:rFonts w:hint="eastAsia"/>
                <w:color w:val="auto"/>
                <w:sz w:val="21"/>
                <w:szCs w:val="21"/>
                <w:highlight w:val="none"/>
                <w:lang w:val="en-US" w:eastAsia="zh-CN"/>
              </w:rPr>
              <w:t>25</w:t>
            </w:r>
            <w:r>
              <w:rPr>
                <w:rFonts w:hint="default"/>
                <w:color w:val="auto"/>
                <w:sz w:val="21"/>
                <w:szCs w:val="21"/>
                <w:highlight w:val="none"/>
              </w:rPr>
              <w:t>日内。</w:t>
            </w:r>
          </w:p>
        </w:tc>
      </w:tr>
      <w:tr w14:paraId="6E56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A9DF4F5">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（二）</w:t>
            </w:r>
            <w:r>
              <w:rPr>
                <w:rFonts w:hint="default" w:ascii="宋体" w:hAnsi="宋体" w:eastAsia="宋体" w:cs="宋体"/>
                <w:color w:val="auto"/>
                <w:szCs w:val="21"/>
                <w:highlight w:val="none"/>
              </w:rPr>
              <w:t>服务标准</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42C91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符合现行国家相关标准、行业标准、地方标准及本项目要求。</w:t>
            </w:r>
          </w:p>
        </w:tc>
      </w:tr>
      <w:tr w14:paraId="2C86C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7CEC357">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（三）</w:t>
            </w:r>
            <w:r>
              <w:rPr>
                <w:rFonts w:hint="default" w:ascii="宋体" w:hAnsi="宋体" w:eastAsia="宋体" w:cs="宋体"/>
                <w:color w:val="auto"/>
                <w:szCs w:val="21"/>
                <w:highlight w:val="none"/>
              </w:rPr>
              <w:t>交付时间</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79A03B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所有服务和成果提交时间在20</w:t>
            </w:r>
            <w:r>
              <w:rPr>
                <w:rFonts w:hint="default"/>
                <w:color w:val="auto"/>
                <w:sz w:val="21"/>
                <w:szCs w:val="21"/>
                <w:highlight w:val="none"/>
                <w:lang w:val="en-US" w:eastAsia="zh-CN"/>
              </w:rPr>
              <w:t>26</w:t>
            </w:r>
            <w:r>
              <w:rPr>
                <w:rFonts w:hint="default"/>
                <w:color w:val="auto"/>
                <w:sz w:val="21"/>
                <w:szCs w:val="21"/>
                <w:highlight w:val="none"/>
              </w:rPr>
              <w:t>年</w:t>
            </w:r>
            <w:r>
              <w:rPr>
                <w:rFonts w:hint="eastAsia"/>
                <w:color w:val="auto"/>
                <w:sz w:val="21"/>
                <w:szCs w:val="21"/>
                <w:highlight w:val="none"/>
                <w:lang w:val="en-US" w:eastAsia="zh-CN"/>
              </w:rPr>
              <w:t>12</w:t>
            </w:r>
            <w:r>
              <w:rPr>
                <w:rFonts w:hint="default"/>
                <w:color w:val="auto"/>
                <w:sz w:val="21"/>
                <w:szCs w:val="21"/>
                <w:highlight w:val="none"/>
              </w:rPr>
              <w:t>月</w:t>
            </w:r>
            <w:r>
              <w:rPr>
                <w:rFonts w:hint="default"/>
                <w:color w:val="auto"/>
                <w:sz w:val="21"/>
                <w:szCs w:val="21"/>
                <w:highlight w:val="none"/>
                <w:lang w:val="en-US" w:eastAsia="zh-CN"/>
              </w:rPr>
              <w:t>31</w:t>
            </w:r>
            <w:r>
              <w:rPr>
                <w:rFonts w:hint="default"/>
                <w:color w:val="auto"/>
                <w:sz w:val="21"/>
                <w:szCs w:val="21"/>
                <w:highlight w:val="none"/>
              </w:rPr>
              <w:t>日前。</w:t>
            </w:r>
          </w:p>
        </w:tc>
      </w:tr>
      <w:tr w14:paraId="42272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54A234D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（四）</w:t>
            </w:r>
            <w:r>
              <w:rPr>
                <w:rFonts w:hint="default" w:ascii="宋体" w:hAnsi="宋体" w:eastAsia="宋体" w:cs="宋体"/>
                <w:color w:val="auto"/>
                <w:szCs w:val="21"/>
                <w:highlight w:val="none"/>
              </w:rPr>
              <w:t>交付地点</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4FA2D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eastAsia"/>
                <w:color w:val="auto"/>
                <w:sz w:val="21"/>
                <w:szCs w:val="21"/>
                <w:highlight w:val="none"/>
                <w:lang w:val="en-US" w:eastAsia="zh-CN"/>
              </w:rPr>
              <w:t>采购人指定地点（</w:t>
            </w:r>
            <w:r>
              <w:rPr>
                <w:rFonts w:hint="default"/>
                <w:color w:val="auto"/>
                <w:sz w:val="21"/>
                <w:szCs w:val="21"/>
                <w:highlight w:val="none"/>
              </w:rPr>
              <w:t>南宁市佛子岭路16号</w:t>
            </w:r>
            <w:r>
              <w:rPr>
                <w:rFonts w:hint="eastAsia"/>
                <w:color w:val="auto"/>
                <w:sz w:val="21"/>
                <w:szCs w:val="21"/>
                <w:highlight w:val="none"/>
                <w:lang w:val="en-US" w:eastAsia="zh-CN"/>
              </w:rPr>
              <w:t>）</w:t>
            </w:r>
          </w:p>
        </w:tc>
      </w:tr>
      <w:tr w14:paraId="44C0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8783711">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（五）</w:t>
            </w:r>
            <w:r>
              <w:rPr>
                <w:rFonts w:hint="default" w:ascii="宋体" w:hAnsi="宋体" w:eastAsia="宋体" w:cs="宋体"/>
                <w:color w:val="auto"/>
                <w:szCs w:val="21"/>
                <w:highlight w:val="none"/>
              </w:rPr>
              <w:t>付款方式</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017C28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1.合同签订后10个工作日内，采购人向中标人支付</w:t>
            </w:r>
            <w:r>
              <w:rPr>
                <w:rFonts w:hint="eastAsia"/>
                <w:color w:val="auto"/>
                <w:sz w:val="21"/>
                <w:szCs w:val="21"/>
                <w:highlight w:val="none"/>
                <w:lang w:val="en-US" w:eastAsia="zh-CN"/>
              </w:rPr>
              <w:t>3</w:t>
            </w:r>
            <w:r>
              <w:rPr>
                <w:rFonts w:hint="default"/>
                <w:color w:val="auto"/>
                <w:sz w:val="21"/>
                <w:szCs w:val="21"/>
                <w:highlight w:val="none"/>
              </w:rPr>
              <w:t>0%合同款；</w:t>
            </w:r>
          </w:p>
          <w:p w14:paraId="3FD8A56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2.中标人按照合同要求</w:t>
            </w:r>
            <w:r>
              <w:rPr>
                <w:rFonts w:hint="eastAsia"/>
                <w:color w:val="auto"/>
                <w:sz w:val="21"/>
                <w:szCs w:val="21"/>
                <w:highlight w:val="none"/>
                <w:lang w:val="en-US" w:eastAsia="zh-CN"/>
              </w:rPr>
              <w:t>出具危险特性鉴别报告和</w:t>
            </w:r>
            <w:r>
              <w:rPr>
                <w:rFonts w:hint="default"/>
                <w:color w:val="auto"/>
                <w:sz w:val="21"/>
                <w:szCs w:val="21"/>
                <w:highlight w:val="none"/>
                <w:lang w:val="en-US" w:eastAsia="zh-CN"/>
              </w:rPr>
              <w:t>处置建议</w:t>
            </w:r>
            <w:r>
              <w:rPr>
                <w:rFonts w:hint="eastAsia"/>
                <w:color w:val="auto"/>
                <w:sz w:val="21"/>
                <w:szCs w:val="21"/>
                <w:highlight w:val="none"/>
                <w:lang w:val="en-US" w:eastAsia="zh-CN"/>
              </w:rPr>
              <w:t>、出具</w:t>
            </w:r>
            <w:r>
              <w:rPr>
                <w:rFonts w:hint="default"/>
                <w:color w:val="auto"/>
                <w:sz w:val="21"/>
                <w:szCs w:val="21"/>
                <w:highlight w:val="none"/>
                <w:lang w:val="en-US" w:eastAsia="zh-CN"/>
              </w:rPr>
              <w:t>非法堆存、转移涉重固体废物的污染释放能力研究</w:t>
            </w:r>
            <w:r>
              <w:rPr>
                <w:rFonts w:hint="eastAsia"/>
                <w:color w:val="auto"/>
                <w:sz w:val="21"/>
                <w:szCs w:val="21"/>
                <w:highlight w:val="none"/>
                <w:lang w:val="en-US" w:eastAsia="zh-CN"/>
              </w:rPr>
              <w:t>报告和</w:t>
            </w:r>
            <w:r>
              <w:rPr>
                <w:rFonts w:hint="default"/>
                <w:color w:val="auto"/>
                <w:sz w:val="21"/>
                <w:szCs w:val="21"/>
                <w:highlight w:val="none"/>
                <w:lang w:val="en-US" w:eastAsia="zh-CN"/>
              </w:rPr>
              <w:t>危废处置后场地土壤遗留污染物评估</w:t>
            </w:r>
            <w:r>
              <w:rPr>
                <w:rFonts w:hint="eastAsia"/>
                <w:color w:val="auto"/>
                <w:sz w:val="21"/>
                <w:szCs w:val="21"/>
                <w:highlight w:val="none"/>
                <w:lang w:val="en-US" w:eastAsia="zh-CN"/>
              </w:rPr>
              <w:t>报告后</w:t>
            </w:r>
            <w:r>
              <w:rPr>
                <w:rFonts w:hint="default"/>
                <w:color w:val="auto"/>
                <w:sz w:val="21"/>
                <w:szCs w:val="21"/>
                <w:highlight w:val="none"/>
                <w:lang w:val="en-US" w:eastAsia="zh-CN"/>
              </w:rPr>
              <w:t>，</w:t>
            </w:r>
            <w:r>
              <w:rPr>
                <w:rFonts w:hint="default"/>
                <w:color w:val="auto"/>
                <w:sz w:val="21"/>
                <w:szCs w:val="21"/>
                <w:highlight w:val="none"/>
              </w:rPr>
              <w:t>并经采购人确认合格后，采购人于10个工作日内支付</w:t>
            </w:r>
            <w:r>
              <w:rPr>
                <w:rFonts w:hint="eastAsia"/>
                <w:color w:val="auto"/>
                <w:sz w:val="21"/>
                <w:szCs w:val="21"/>
                <w:highlight w:val="none"/>
                <w:lang w:val="en-US" w:eastAsia="zh-CN"/>
              </w:rPr>
              <w:t>50</w:t>
            </w:r>
            <w:r>
              <w:rPr>
                <w:rFonts w:hint="default"/>
                <w:color w:val="auto"/>
                <w:sz w:val="21"/>
                <w:szCs w:val="21"/>
                <w:highlight w:val="none"/>
              </w:rPr>
              <w:t>%合同款；</w:t>
            </w:r>
          </w:p>
          <w:p w14:paraId="446FFF4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lang w:val="en-US" w:eastAsia="zh-CN"/>
              </w:rPr>
              <w:t>3</w:t>
            </w:r>
            <w:r>
              <w:rPr>
                <w:rFonts w:hint="default"/>
                <w:color w:val="auto"/>
                <w:sz w:val="21"/>
                <w:szCs w:val="21"/>
                <w:highlight w:val="none"/>
              </w:rPr>
              <w:t>.中标人按照合同要求提交所有服务成果并经采购人验收合格后，采购人于10个工作日内支付剩余</w:t>
            </w:r>
            <w:r>
              <w:rPr>
                <w:rFonts w:hint="eastAsia"/>
                <w:color w:val="auto"/>
                <w:sz w:val="21"/>
                <w:szCs w:val="21"/>
                <w:highlight w:val="none"/>
                <w:lang w:val="en-US" w:eastAsia="zh-CN"/>
              </w:rPr>
              <w:t>20</w:t>
            </w:r>
            <w:r>
              <w:rPr>
                <w:rFonts w:hint="default"/>
                <w:color w:val="auto"/>
                <w:sz w:val="21"/>
                <w:szCs w:val="21"/>
                <w:highlight w:val="none"/>
              </w:rPr>
              <w:t>%合同款；</w:t>
            </w:r>
          </w:p>
          <w:p w14:paraId="6E8E2E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val="en-US" w:eastAsia="zh-CN"/>
              </w:rPr>
              <w:t>4</w:t>
            </w:r>
            <w:r>
              <w:rPr>
                <w:rFonts w:hint="default"/>
                <w:color w:val="auto"/>
                <w:sz w:val="21"/>
                <w:szCs w:val="21"/>
                <w:highlight w:val="none"/>
              </w:rPr>
              <w:t>.中标人未在规定时间内完成任务，或经抽查发现服务质量不符合要求的，按照合同约定扣减相应费用。</w:t>
            </w:r>
          </w:p>
        </w:tc>
      </w:tr>
      <w:tr w14:paraId="03A5D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5951403F">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（六）</w:t>
            </w:r>
            <w:r>
              <w:rPr>
                <w:rFonts w:hint="default" w:ascii="宋体" w:hAnsi="宋体" w:eastAsia="宋体" w:cs="宋体"/>
                <w:color w:val="auto"/>
                <w:szCs w:val="21"/>
                <w:highlight w:val="none"/>
              </w:rPr>
              <w:t>投标报价要求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DBD80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本项目实行总承包报价；包括现场勘察、协调、实验研究、技术处理、方案编制、报批、项目评审费等工作所需的一切人工、机械、材料、利润、税金、保险等相关的费用。除合同约定的变更以外，该费用不予增减。</w:t>
            </w:r>
          </w:p>
          <w:p w14:paraId="6678AE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rPr>
              <w:t>2.为了确保采购质量和维护公平的竞争，根据《中华人民共和国政府采购法》第七十七条和</w:t>
            </w:r>
            <w:r>
              <w:rPr>
                <w:rFonts w:hint="eastAsia"/>
                <w:color w:val="auto"/>
                <w:sz w:val="21"/>
                <w:szCs w:val="21"/>
                <w:highlight w:val="none"/>
                <w:lang w:eastAsia="zh-CN"/>
              </w:rPr>
              <w:t>《</w:t>
            </w:r>
            <w:r>
              <w:rPr>
                <w:rFonts w:hint="default"/>
                <w:color w:val="auto"/>
                <w:sz w:val="21"/>
                <w:szCs w:val="21"/>
                <w:highlight w:val="none"/>
              </w:rPr>
              <w:t>中华人民共和国反不正当竞争法</w:t>
            </w:r>
            <w:r>
              <w:rPr>
                <w:rFonts w:hint="eastAsia"/>
                <w:color w:val="auto"/>
                <w:sz w:val="21"/>
                <w:szCs w:val="21"/>
                <w:highlight w:val="none"/>
                <w:lang w:eastAsia="zh-CN"/>
              </w:rPr>
              <w:t>》</w:t>
            </w:r>
            <w:r>
              <w:rPr>
                <w:rFonts w:hint="default"/>
                <w:color w:val="auto"/>
                <w:sz w:val="21"/>
                <w:szCs w:val="21"/>
                <w:highlight w:val="none"/>
              </w:rPr>
              <w:t>第十一条，经营者不得以排挤对手为目的，以低于成本的价格销售商品（服务）。采购人不能接受供应商的恶意低价的竞争。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p>
        </w:tc>
      </w:tr>
      <w:tr w14:paraId="62D67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34E4009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（七）履约保证金</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1A405F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highlight w:val="none"/>
              </w:rPr>
            </w:pPr>
            <w:r>
              <w:rPr>
                <w:rFonts w:hint="default"/>
                <w:color w:val="auto"/>
                <w:sz w:val="21"/>
                <w:szCs w:val="21"/>
                <w:highlight w:val="none"/>
              </w:rPr>
              <w:t>本项目收取履约保证金，具体规定如下：</w:t>
            </w:r>
          </w:p>
          <w:p w14:paraId="32E42B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1.履约保证金金额：按</w:t>
            </w:r>
            <w:r>
              <w:rPr>
                <w:rFonts w:hint="eastAsia"/>
                <w:color w:val="auto"/>
                <w:sz w:val="21"/>
                <w:szCs w:val="21"/>
                <w:highlight w:val="none"/>
                <w:lang w:val="en-US" w:eastAsia="zh-CN"/>
              </w:rPr>
              <w:t>中标</w:t>
            </w:r>
            <w:r>
              <w:rPr>
                <w:rFonts w:hint="default"/>
                <w:color w:val="auto"/>
                <w:sz w:val="21"/>
                <w:szCs w:val="21"/>
                <w:highlight w:val="none"/>
                <w:lang w:val="en-US" w:eastAsia="zh-CN"/>
              </w:rPr>
              <w:t>金额的2%。</w:t>
            </w:r>
          </w:p>
          <w:p w14:paraId="5BDB42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2.履约保证金缴纳方式：</w:t>
            </w:r>
            <w:r>
              <w:rPr>
                <w:rFonts w:hint="eastAsia"/>
                <w:color w:val="auto"/>
                <w:sz w:val="21"/>
                <w:szCs w:val="21"/>
                <w:highlight w:val="none"/>
                <w:lang w:val="en-US" w:eastAsia="zh-CN"/>
              </w:rPr>
              <w:t>中标人</w:t>
            </w:r>
            <w:r>
              <w:rPr>
                <w:rFonts w:hint="default"/>
                <w:color w:val="auto"/>
                <w:sz w:val="21"/>
                <w:szCs w:val="21"/>
                <w:highlight w:val="none"/>
              </w:rPr>
              <w:t>须于签订合同后</w:t>
            </w:r>
            <w:r>
              <w:rPr>
                <w:rFonts w:hint="eastAsia"/>
                <w:color w:val="auto"/>
                <w:sz w:val="21"/>
                <w:szCs w:val="21"/>
                <w:highlight w:val="none"/>
                <w:lang w:eastAsia="zh-CN"/>
              </w:rPr>
              <w:t>1</w:t>
            </w:r>
            <w:r>
              <w:rPr>
                <w:rFonts w:hint="eastAsia"/>
                <w:color w:val="auto"/>
                <w:sz w:val="21"/>
                <w:szCs w:val="21"/>
                <w:highlight w:val="none"/>
                <w:lang w:val="en-US" w:eastAsia="zh-CN"/>
              </w:rPr>
              <w:t>0</w:t>
            </w:r>
            <w:r>
              <w:rPr>
                <w:rFonts w:hint="default"/>
                <w:color w:val="auto"/>
                <w:sz w:val="21"/>
                <w:szCs w:val="21"/>
                <w:highlight w:val="none"/>
              </w:rPr>
              <w:t>个工作日内将履约保证金递交到采购人指定账户。递交方式：银行转账、支票、汇票、本票或者金融机构出具的保函等非现金方式</w:t>
            </w:r>
            <w:r>
              <w:rPr>
                <w:rFonts w:hint="default"/>
                <w:color w:val="auto"/>
                <w:sz w:val="21"/>
                <w:szCs w:val="21"/>
                <w:highlight w:val="none"/>
                <w:lang w:eastAsia="zh-CN"/>
              </w:rPr>
              <w:t>，</w:t>
            </w:r>
            <w:r>
              <w:rPr>
                <w:rFonts w:hint="default"/>
                <w:color w:val="auto"/>
                <w:sz w:val="21"/>
                <w:szCs w:val="21"/>
                <w:highlight w:val="none"/>
                <w:lang w:val="en-US" w:eastAsia="zh-CN"/>
              </w:rPr>
              <w:t>转账时请备注“项目名称（可简写）+履约保证金”。</w:t>
            </w:r>
          </w:p>
          <w:p w14:paraId="2CB49D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val="en-US" w:eastAsia="zh-CN"/>
              </w:rPr>
              <w:t>3.履约保证金退付：在本项目服务期限内完成约定工作任务后，由</w:t>
            </w:r>
            <w:r>
              <w:rPr>
                <w:rFonts w:hint="eastAsia"/>
                <w:color w:val="auto"/>
                <w:sz w:val="21"/>
                <w:szCs w:val="21"/>
                <w:highlight w:val="none"/>
                <w:lang w:val="en-US" w:eastAsia="zh-CN"/>
              </w:rPr>
              <w:t>中标人</w:t>
            </w:r>
            <w:r>
              <w:rPr>
                <w:rFonts w:hint="default"/>
                <w:color w:val="auto"/>
                <w:sz w:val="21"/>
                <w:szCs w:val="21"/>
                <w:highlight w:val="none"/>
                <w:lang w:val="en-US" w:eastAsia="zh-CN"/>
              </w:rPr>
              <w:t>向采购人提供《广西壮族自治区政府采购项目合同验收书》</w:t>
            </w:r>
            <w:r>
              <w:rPr>
                <w:rFonts w:hint="eastAsia" w:ascii="宋体" w:hAnsi="宋体" w:cs="宋体"/>
                <w:color w:val="auto"/>
                <w:sz w:val="21"/>
                <w:szCs w:val="21"/>
                <w:highlight w:val="none"/>
                <w:lang w:eastAsia="zh-CN"/>
              </w:rPr>
              <w:t>、履约保证金退付函和乙方履约保证金支付凭证</w:t>
            </w:r>
            <w:r>
              <w:rPr>
                <w:rFonts w:hint="default"/>
                <w:color w:val="auto"/>
                <w:sz w:val="21"/>
                <w:szCs w:val="21"/>
                <w:highlight w:val="none"/>
                <w:lang w:val="en-US" w:eastAsia="zh-CN"/>
              </w:rPr>
              <w:t>，采购人在验收合格并出具验收书后</w:t>
            </w:r>
            <w:r>
              <w:rPr>
                <w:rFonts w:hint="eastAsia"/>
                <w:color w:val="auto"/>
                <w:sz w:val="21"/>
                <w:szCs w:val="21"/>
                <w:highlight w:val="none"/>
                <w:lang w:val="en-US" w:eastAsia="zh-CN"/>
              </w:rPr>
              <w:t>5</w:t>
            </w:r>
            <w:r>
              <w:rPr>
                <w:rFonts w:hint="default"/>
                <w:color w:val="auto"/>
                <w:sz w:val="21"/>
                <w:szCs w:val="21"/>
                <w:highlight w:val="none"/>
              </w:rPr>
              <w:t>个工作日内</w:t>
            </w:r>
            <w:r>
              <w:rPr>
                <w:rFonts w:hint="default"/>
                <w:color w:val="auto"/>
                <w:sz w:val="21"/>
                <w:szCs w:val="21"/>
                <w:highlight w:val="none"/>
                <w:lang w:val="en-US" w:eastAsia="zh-CN"/>
              </w:rPr>
              <w:t>办理退还手续（不计利息）。</w:t>
            </w:r>
          </w:p>
        </w:tc>
      </w:tr>
      <w:tr w14:paraId="26EF3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7F96BB54">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rPr>
              <w:t>（</w:t>
            </w:r>
            <w:r>
              <w:rPr>
                <w:rFonts w:hint="eastAsia" w:ascii="宋体" w:hAnsi="宋体" w:eastAsia="宋体" w:cs="宋体"/>
                <w:color w:val="auto"/>
                <w:szCs w:val="21"/>
                <w:highlight w:val="none"/>
                <w:lang w:eastAsia="zh-CN"/>
              </w:rPr>
              <w:t>八</w:t>
            </w:r>
            <w:r>
              <w:rPr>
                <w:rFonts w:hint="default" w:ascii="宋体" w:hAnsi="宋体" w:eastAsia="宋体" w:cs="宋体"/>
                <w:color w:val="auto"/>
                <w:szCs w:val="21"/>
                <w:highlight w:val="none"/>
              </w:rPr>
              <w:t>）其他要求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5C61C15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1.数据资料归属及保密：本项目所形成的数据和报告归采购人所有。未经采购人授权，不得将数据和报告提供给任何第三方。</w:t>
            </w:r>
          </w:p>
          <w:p w14:paraId="320A1CD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2.如果中标人队伍发生重大变更导致无法按要求开展项目任务或者发生重大责任事故的，采购人将上报政府采购监督管理部门同时追究中标单位相应责任。</w:t>
            </w:r>
          </w:p>
          <w:p w14:paraId="372EB1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3.其他要求：</w:t>
            </w:r>
          </w:p>
          <w:p w14:paraId="6C99CF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w:t>
            </w:r>
            <w:r>
              <w:rPr>
                <w:rFonts w:hint="default"/>
                <w:color w:val="auto"/>
                <w:sz w:val="21"/>
                <w:szCs w:val="21"/>
                <w:highlight w:val="none"/>
                <w:lang w:val="en-US" w:eastAsia="zh-CN"/>
              </w:rPr>
              <w:t>报价为采购人指定服务范围内的全部价格，包括所有服务、技术支持、售后服务、差旅费、劳务费、样品采集和检测费、材料费、培训费、验收费、手续费、包装费、运输费、保险费和各项税金及由于市场价格波动增加的费用，以及不可预见费等全部费用（采购人不再支付任何费用）</w:t>
            </w:r>
            <w:r>
              <w:rPr>
                <w:rFonts w:hint="default"/>
                <w:color w:val="auto"/>
                <w:sz w:val="21"/>
                <w:szCs w:val="21"/>
                <w:highlight w:val="none"/>
              </w:rPr>
              <w:t>。</w:t>
            </w:r>
          </w:p>
          <w:p w14:paraId="70C952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（2）本项目不得</w:t>
            </w:r>
            <w:r>
              <w:rPr>
                <w:rFonts w:hint="eastAsia"/>
                <w:color w:val="auto"/>
                <w:sz w:val="21"/>
                <w:szCs w:val="21"/>
                <w:highlight w:val="none"/>
                <w:lang w:eastAsia="zh-CN"/>
              </w:rPr>
              <w:t>分包</w:t>
            </w:r>
            <w:r>
              <w:rPr>
                <w:rFonts w:hint="default"/>
                <w:color w:val="auto"/>
                <w:sz w:val="21"/>
                <w:szCs w:val="21"/>
                <w:highlight w:val="none"/>
              </w:rPr>
              <w:t>。</w:t>
            </w:r>
          </w:p>
          <w:p w14:paraId="15065E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eastAsia="zh-CN"/>
              </w:rPr>
              <w:t>注：“▲”是指不能负偏离的条款。</w:t>
            </w:r>
          </w:p>
        </w:tc>
      </w:tr>
    </w:tbl>
    <w:p w14:paraId="0A895BAF">
      <w:pPr>
        <w:rPr>
          <w:rFonts w:hint="eastAsia" w:ascii="宋体" w:hAnsi="宋体" w:cs="宋体"/>
          <w:color w:val="auto"/>
          <w:highlight w:val="none"/>
        </w:rPr>
      </w:pPr>
      <w:r>
        <w:rPr>
          <w:rFonts w:ascii="Calibri" w:hAnsi="Calibri"/>
          <w:color w:val="auto"/>
          <w:szCs w:val="22"/>
          <w:highlight w:val="none"/>
        </w:rPr>
        <w:br w:type="page"/>
      </w:r>
      <w:r>
        <w:rPr>
          <w:rFonts w:hint="eastAsia" w:ascii="宋体" w:hAnsi="宋体" w:cs="宋体"/>
          <w:b/>
          <w:bCs/>
          <w:color w:val="auto"/>
          <w:sz w:val="40"/>
          <w:szCs w:val="48"/>
          <w:highlight w:val="none"/>
        </w:rPr>
        <w:t>附件：</w:t>
      </w:r>
    </w:p>
    <w:p w14:paraId="531D1E31">
      <w:pPr>
        <w:spacing w:line="528" w:lineRule="exact"/>
        <w:ind w:left="11" w:hanging="11"/>
        <w:jc w:val="center"/>
        <w:rPr>
          <w:rFonts w:hint="eastAsia"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39"/>
        <w:tblW w:w="9476" w:type="dxa"/>
        <w:jc w:val="center"/>
        <w:tblLayout w:type="fixed"/>
        <w:tblCellMar>
          <w:top w:w="0" w:type="dxa"/>
          <w:left w:w="108" w:type="dxa"/>
          <w:bottom w:w="0" w:type="dxa"/>
          <w:right w:w="108" w:type="dxa"/>
        </w:tblCellMar>
      </w:tblPr>
      <w:tblGrid>
        <w:gridCol w:w="2020"/>
        <w:gridCol w:w="1642"/>
        <w:gridCol w:w="1084"/>
        <w:gridCol w:w="1923"/>
        <w:gridCol w:w="1709"/>
        <w:gridCol w:w="1098"/>
      </w:tblGrid>
      <w:tr w14:paraId="68CDE118">
        <w:trPr>
          <w:trHeight w:val="661" w:hRule="atLeast"/>
          <w:jc w:val="center"/>
        </w:trPr>
        <w:tc>
          <w:tcPr>
            <w:tcW w:w="2020" w:type="dxa"/>
            <w:tcBorders>
              <w:top w:val="single" w:color="auto" w:sz="4" w:space="0"/>
              <w:left w:val="single" w:color="auto" w:sz="4" w:space="0"/>
              <w:bottom w:val="single" w:color="auto" w:sz="4" w:space="0"/>
              <w:right w:val="single" w:color="auto" w:sz="4" w:space="0"/>
            </w:tcBorders>
            <w:noWrap w:val="0"/>
            <w:vAlign w:val="center"/>
          </w:tcPr>
          <w:p w14:paraId="45DA76EC">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642" w:type="dxa"/>
            <w:tcBorders>
              <w:top w:val="single" w:color="auto" w:sz="4" w:space="0"/>
              <w:left w:val="nil"/>
              <w:bottom w:val="single" w:color="auto" w:sz="4" w:space="0"/>
              <w:right w:val="single" w:color="auto" w:sz="4" w:space="0"/>
            </w:tcBorders>
            <w:noWrap w:val="0"/>
            <w:vAlign w:val="center"/>
          </w:tcPr>
          <w:p w14:paraId="41A0651B">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1084" w:type="dxa"/>
            <w:tcBorders>
              <w:top w:val="single" w:color="auto" w:sz="4" w:space="0"/>
              <w:left w:val="nil"/>
              <w:bottom w:val="single" w:color="auto" w:sz="4" w:space="0"/>
              <w:right w:val="single" w:color="auto" w:sz="4" w:space="0"/>
            </w:tcBorders>
            <w:noWrap w:val="0"/>
            <w:vAlign w:val="center"/>
          </w:tcPr>
          <w:p w14:paraId="77043EE3">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923" w:type="dxa"/>
            <w:tcBorders>
              <w:top w:val="single" w:color="auto" w:sz="4" w:space="0"/>
              <w:left w:val="nil"/>
              <w:bottom w:val="single" w:color="auto" w:sz="4" w:space="0"/>
              <w:right w:val="single" w:color="auto" w:sz="4" w:space="0"/>
            </w:tcBorders>
            <w:noWrap w:val="0"/>
            <w:vAlign w:val="center"/>
          </w:tcPr>
          <w:p w14:paraId="183BEFB4">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74A6124F">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520AB0F">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微型</w:t>
            </w:r>
          </w:p>
        </w:tc>
      </w:tr>
      <w:tr w14:paraId="63898243">
        <w:trPr>
          <w:trHeight w:val="336" w:hRule="atLeast"/>
          <w:jc w:val="center"/>
        </w:trPr>
        <w:tc>
          <w:tcPr>
            <w:tcW w:w="2020" w:type="dxa"/>
            <w:tcBorders>
              <w:top w:val="nil"/>
              <w:left w:val="single" w:color="auto" w:sz="4" w:space="0"/>
              <w:bottom w:val="single" w:color="auto" w:sz="4" w:space="0"/>
              <w:right w:val="single" w:color="auto" w:sz="4" w:space="0"/>
            </w:tcBorders>
            <w:noWrap w:val="0"/>
            <w:vAlign w:val="bottom"/>
          </w:tcPr>
          <w:p w14:paraId="135687D5">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642" w:type="dxa"/>
            <w:tcBorders>
              <w:top w:val="nil"/>
              <w:left w:val="nil"/>
              <w:bottom w:val="single" w:color="auto" w:sz="4" w:space="0"/>
              <w:right w:val="single" w:color="auto" w:sz="4" w:space="0"/>
            </w:tcBorders>
            <w:noWrap w:val="0"/>
            <w:vAlign w:val="center"/>
          </w:tcPr>
          <w:p w14:paraId="2B9D54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11A223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32C8C3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5FA23C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50≤Y＜500</w:t>
            </w:r>
          </w:p>
        </w:tc>
        <w:tc>
          <w:tcPr>
            <w:tcW w:w="1098" w:type="dxa"/>
            <w:tcBorders>
              <w:top w:val="nil"/>
              <w:left w:val="nil"/>
              <w:bottom w:val="single" w:color="auto" w:sz="4" w:space="0"/>
              <w:right w:val="single" w:color="auto" w:sz="4" w:space="0"/>
            </w:tcBorders>
            <w:noWrap w:val="0"/>
            <w:vAlign w:val="center"/>
          </w:tcPr>
          <w:p w14:paraId="3210835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155CCE19">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F30E69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642" w:type="dxa"/>
            <w:tcBorders>
              <w:top w:val="nil"/>
              <w:left w:val="nil"/>
              <w:bottom w:val="single" w:color="auto" w:sz="4" w:space="0"/>
              <w:right w:val="single" w:color="auto" w:sz="4" w:space="0"/>
            </w:tcBorders>
            <w:noWrap w:val="0"/>
            <w:vAlign w:val="center"/>
          </w:tcPr>
          <w:p w14:paraId="3C3B197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00717AF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ACCBC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7D681E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12F7737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3F3CDB0F">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70CD969">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4AD9CC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8D998A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A72E8D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09" w:type="dxa"/>
            <w:tcBorders>
              <w:top w:val="nil"/>
              <w:left w:val="nil"/>
              <w:bottom w:val="single" w:color="auto" w:sz="4" w:space="0"/>
              <w:right w:val="single" w:color="auto" w:sz="4" w:space="0"/>
            </w:tcBorders>
            <w:noWrap w:val="0"/>
            <w:vAlign w:val="center"/>
          </w:tcPr>
          <w:p w14:paraId="6967F74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1098" w:type="dxa"/>
            <w:tcBorders>
              <w:top w:val="nil"/>
              <w:left w:val="nil"/>
              <w:bottom w:val="single" w:color="auto" w:sz="4" w:space="0"/>
              <w:right w:val="single" w:color="auto" w:sz="4" w:space="0"/>
            </w:tcBorders>
            <w:noWrap w:val="0"/>
            <w:vAlign w:val="center"/>
          </w:tcPr>
          <w:p w14:paraId="2A4F81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43DFA4BB">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0E680AEA">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642" w:type="dxa"/>
            <w:tcBorders>
              <w:top w:val="nil"/>
              <w:left w:val="nil"/>
              <w:bottom w:val="single" w:color="auto" w:sz="4" w:space="0"/>
              <w:right w:val="single" w:color="auto" w:sz="4" w:space="0"/>
            </w:tcBorders>
            <w:noWrap w:val="0"/>
            <w:vAlign w:val="center"/>
          </w:tcPr>
          <w:p w14:paraId="68B422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0F562A2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A3E1A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09" w:type="dxa"/>
            <w:tcBorders>
              <w:top w:val="nil"/>
              <w:left w:val="nil"/>
              <w:bottom w:val="single" w:color="auto" w:sz="4" w:space="0"/>
              <w:right w:val="single" w:color="auto" w:sz="4" w:space="0"/>
            </w:tcBorders>
            <w:noWrap w:val="0"/>
            <w:vAlign w:val="center"/>
          </w:tcPr>
          <w:p w14:paraId="21024C3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1098" w:type="dxa"/>
            <w:tcBorders>
              <w:top w:val="nil"/>
              <w:left w:val="nil"/>
              <w:bottom w:val="single" w:color="auto" w:sz="4" w:space="0"/>
              <w:right w:val="single" w:color="auto" w:sz="4" w:space="0"/>
            </w:tcBorders>
            <w:noWrap w:val="0"/>
            <w:vAlign w:val="center"/>
          </w:tcPr>
          <w:p w14:paraId="6E9813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59CAF314">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5EA9018D">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487EC8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4EFBD41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0067468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09" w:type="dxa"/>
            <w:tcBorders>
              <w:top w:val="nil"/>
              <w:left w:val="nil"/>
              <w:bottom w:val="single" w:color="auto" w:sz="4" w:space="0"/>
              <w:right w:val="single" w:color="auto" w:sz="4" w:space="0"/>
            </w:tcBorders>
            <w:noWrap w:val="0"/>
            <w:vAlign w:val="center"/>
          </w:tcPr>
          <w:p w14:paraId="056ADCC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1098" w:type="dxa"/>
            <w:tcBorders>
              <w:top w:val="nil"/>
              <w:left w:val="nil"/>
              <w:bottom w:val="single" w:color="auto" w:sz="4" w:space="0"/>
              <w:right w:val="single" w:color="auto" w:sz="4" w:space="0"/>
            </w:tcBorders>
            <w:noWrap w:val="0"/>
            <w:vAlign w:val="center"/>
          </w:tcPr>
          <w:p w14:paraId="425C11A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Z＜300</w:t>
            </w:r>
          </w:p>
        </w:tc>
      </w:tr>
      <w:tr w14:paraId="102D022A">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5EE1379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642" w:type="dxa"/>
            <w:tcBorders>
              <w:top w:val="nil"/>
              <w:left w:val="nil"/>
              <w:bottom w:val="single" w:color="auto" w:sz="4" w:space="0"/>
              <w:right w:val="single" w:color="auto" w:sz="4" w:space="0"/>
            </w:tcBorders>
            <w:noWrap w:val="0"/>
            <w:vAlign w:val="center"/>
          </w:tcPr>
          <w:p w14:paraId="3DD1F0A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D4ABAA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5F49D5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09" w:type="dxa"/>
            <w:tcBorders>
              <w:top w:val="nil"/>
              <w:left w:val="nil"/>
              <w:bottom w:val="single" w:color="auto" w:sz="4" w:space="0"/>
              <w:right w:val="single" w:color="auto" w:sz="4" w:space="0"/>
            </w:tcBorders>
            <w:noWrap w:val="0"/>
            <w:vAlign w:val="center"/>
          </w:tcPr>
          <w:p w14:paraId="4DBC94F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5≤X＜20</w:t>
            </w:r>
          </w:p>
        </w:tc>
        <w:tc>
          <w:tcPr>
            <w:tcW w:w="1098" w:type="dxa"/>
            <w:tcBorders>
              <w:top w:val="nil"/>
              <w:left w:val="nil"/>
              <w:bottom w:val="single" w:color="auto" w:sz="4" w:space="0"/>
              <w:right w:val="single" w:color="auto" w:sz="4" w:space="0"/>
            </w:tcBorders>
            <w:noWrap w:val="0"/>
            <w:vAlign w:val="center"/>
          </w:tcPr>
          <w:p w14:paraId="10C429F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X＜5</w:t>
            </w:r>
          </w:p>
        </w:tc>
      </w:tr>
      <w:tr w14:paraId="785C9AF3">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0062307">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285340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916DF9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52A91D1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09" w:type="dxa"/>
            <w:tcBorders>
              <w:top w:val="nil"/>
              <w:left w:val="nil"/>
              <w:bottom w:val="single" w:color="auto" w:sz="4" w:space="0"/>
              <w:right w:val="single" w:color="auto" w:sz="4" w:space="0"/>
            </w:tcBorders>
            <w:noWrap w:val="0"/>
            <w:vAlign w:val="center"/>
          </w:tcPr>
          <w:p w14:paraId="6CA54C6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098" w:type="dxa"/>
            <w:tcBorders>
              <w:top w:val="nil"/>
              <w:left w:val="nil"/>
              <w:bottom w:val="single" w:color="auto" w:sz="4" w:space="0"/>
              <w:right w:val="single" w:color="auto" w:sz="4" w:space="0"/>
            </w:tcBorders>
            <w:noWrap w:val="0"/>
            <w:vAlign w:val="center"/>
          </w:tcPr>
          <w:p w14:paraId="14D6CB5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Y＜1000</w:t>
            </w:r>
          </w:p>
        </w:tc>
      </w:tr>
      <w:tr w14:paraId="339785CD">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45A045A0">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642" w:type="dxa"/>
            <w:tcBorders>
              <w:top w:val="nil"/>
              <w:left w:val="nil"/>
              <w:bottom w:val="single" w:color="auto" w:sz="4" w:space="0"/>
              <w:right w:val="single" w:color="auto" w:sz="4" w:space="0"/>
            </w:tcBorders>
            <w:noWrap w:val="0"/>
            <w:vAlign w:val="center"/>
          </w:tcPr>
          <w:p w14:paraId="0AFEA8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3A505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A65F8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09" w:type="dxa"/>
            <w:tcBorders>
              <w:top w:val="nil"/>
              <w:left w:val="nil"/>
              <w:bottom w:val="single" w:color="auto" w:sz="4" w:space="0"/>
              <w:right w:val="single" w:color="auto" w:sz="4" w:space="0"/>
            </w:tcBorders>
            <w:noWrap w:val="0"/>
            <w:vAlign w:val="center"/>
          </w:tcPr>
          <w:p w14:paraId="389B612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10≤X＜50</w:t>
            </w:r>
          </w:p>
        </w:tc>
        <w:tc>
          <w:tcPr>
            <w:tcW w:w="1098" w:type="dxa"/>
            <w:tcBorders>
              <w:top w:val="nil"/>
              <w:left w:val="nil"/>
              <w:bottom w:val="single" w:color="auto" w:sz="4" w:space="0"/>
              <w:right w:val="single" w:color="auto" w:sz="4" w:space="0"/>
            </w:tcBorders>
            <w:noWrap w:val="0"/>
            <w:vAlign w:val="center"/>
          </w:tcPr>
          <w:p w14:paraId="4203019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4E89B10">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6826DE2">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6DFFAF8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606B41C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CE7AEF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4E6EAC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100≤Y＜500</w:t>
            </w:r>
          </w:p>
        </w:tc>
        <w:tc>
          <w:tcPr>
            <w:tcW w:w="1098" w:type="dxa"/>
            <w:tcBorders>
              <w:top w:val="nil"/>
              <w:left w:val="nil"/>
              <w:bottom w:val="single" w:color="auto" w:sz="4" w:space="0"/>
              <w:right w:val="single" w:color="auto" w:sz="4" w:space="0"/>
            </w:tcBorders>
            <w:noWrap w:val="0"/>
            <w:vAlign w:val="center"/>
          </w:tcPr>
          <w:p w14:paraId="465197E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63910B55">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C19C9E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642" w:type="dxa"/>
            <w:tcBorders>
              <w:top w:val="nil"/>
              <w:left w:val="nil"/>
              <w:bottom w:val="single" w:color="auto" w:sz="4" w:space="0"/>
              <w:right w:val="single" w:color="auto" w:sz="4" w:space="0"/>
            </w:tcBorders>
            <w:noWrap w:val="0"/>
            <w:vAlign w:val="center"/>
          </w:tcPr>
          <w:p w14:paraId="631141A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54AADC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7BC61D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1781272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2AAB9CC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0B8026D8">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1310DCC9">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74F16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82045F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A5162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09" w:type="dxa"/>
            <w:tcBorders>
              <w:top w:val="nil"/>
              <w:left w:val="nil"/>
              <w:bottom w:val="single" w:color="auto" w:sz="4" w:space="0"/>
              <w:right w:val="single" w:color="auto" w:sz="4" w:space="0"/>
            </w:tcBorders>
            <w:noWrap w:val="0"/>
            <w:vAlign w:val="center"/>
          </w:tcPr>
          <w:p w14:paraId="7D976DC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1098" w:type="dxa"/>
            <w:tcBorders>
              <w:top w:val="nil"/>
              <w:left w:val="nil"/>
              <w:bottom w:val="single" w:color="auto" w:sz="4" w:space="0"/>
              <w:right w:val="single" w:color="auto" w:sz="4" w:space="0"/>
            </w:tcBorders>
            <w:noWrap w:val="0"/>
            <w:vAlign w:val="center"/>
          </w:tcPr>
          <w:p w14:paraId="2BB2F6C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w:t>
            </w:r>
          </w:p>
        </w:tc>
      </w:tr>
      <w:tr w14:paraId="73EC4BB6">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267A5EA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642" w:type="dxa"/>
            <w:tcBorders>
              <w:top w:val="nil"/>
              <w:left w:val="nil"/>
              <w:bottom w:val="single" w:color="auto" w:sz="4" w:space="0"/>
              <w:right w:val="single" w:color="auto" w:sz="4" w:space="0"/>
            </w:tcBorders>
            <w:noWrap w:val="0"/>
            <w:vAlign w:val="center"/>
          </w:tcPr>
          <w:p w14:paraId="38192D9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659F5D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C36B3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09" w:type="dxa"/>
            <w:tcBorders>
              <w:top w:val="nil"/>
              <w:left w:val="nil"/>
              <w:bottom w:val="single" w:color="auto" w:sz="4" w:space="0"/>
              <w:right w:val="single" w:color="auto" w:sz="4" w:space="0"/>
            </w:tcBorders>
            <w:noWrap w:val="0"/>
            <w:vAlign w:val="center"/>
          </w:tcPr>
          <w:p w14:paraId="678B366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20≤X＜100</w:t>
            </w:r>
          </w:p>
        </w:tc>
        <w:tc>
          <w:tcPr>
            <w:tcW w:w="1098" w:type="dxa"/>
            <w:tcBorders>
              <w:top w:val="nil"/>
              <w:left w:val="nil"/>
              <w:bottom w:val="single" w:color="auto" w:sz="4" w:space="0"/>
              <w:right w:val="single" w:color="auto" w:sz="4" w:space="0"/>
            </w:tcBorders>
            <w:noWrap w:val="0"/>
            <w:vAlign w:val="center"/>
          </w:tcPr>
          <w:p w14:paraId="201EEA4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4B3DCEA7">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9ECB265">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5EFC83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012FE3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344770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09" w:type="dxa"/>
            <w:tcBorders>
              <w:top w:val="nil"/>
              <w:left w:val="nil"/>
              <w:bottom w:val="single" w:color="auto" w:sz="4" w:space="0"/>
              <w:right w:val="single" w:color="auto" w:sz="4" w:space="0"/>
            </w:tcBorders>
            <w:noWrap w:val="0"/>
            <w:vAlign w:val="center"/>
          </w:tcPr>
          <w:p w14:paraId="409D350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098" w:type="dxa"/>
            <w:tcBorders>
              <w:top w:val="nil"/>
              <w:left w:val="nil"/>
              <w:bottom w:val="single" w:color="auto" w:sz="4" w:space="0"/>
              <w:right w:val="single" w:color="auto" w:sz="4" w:space="0"/>
            </w:tcBorders>
            <w:noWrap w:val="0"/>
            <w:vAlign w:val="center"/>
          </w:tcPr>
          <w:p w14:paraId="372F959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380B05D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0B973B3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642" w:type="dxa"/>
            <w:tcBorders>
              <w:top w:val="nil"/>
              <w:left w:val="nil"/>
              <w:bottom w:val="single" w:color="auto" w:sz="4" w:space="0"/>
              <w:right w:val="single" w:color="auto" w:sz="4" w:space="0"/>
            </w:tcBorders>
            <w:noWrap w:val="0"/>
            <w:vAlign w:val="center"/>
          </w:tcPr>
          <w:p w14:paraId="6364ED2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802029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D99F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5DBC92E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7B908C2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796BC15F">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7A85599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4DC88D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857E9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9E2DAD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09" w:type="dxa"/>
            <w:tcBorders>
              <w:top w:val="nil"/>
              <w:left w:val="nil"/>
              <w:bottom w:val="single" w:color="auto" w:sz="4" w:space="0"/>
              <w:right w:val="single" w:color="auto" w:sz="4" w:space="0"/>
            </w:tcBorders>
            <w:noWrap w:val="0"/>
            <w:vAlign w:val="center"/>
          </w:tcPr>
          <w:p w14:paraId="348F8C3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48F9D1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069878A">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C8B4B7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642" w:type="dxa"/>
            <w:tcBorders>
              <w:top w:val="nil"/>
              <w:left w:val="nil"/>
              <w:bottom w:val="single" w:color="auto" w:sz="4" w:space="0"/>
              <w:right w:val="single" w:color="auto" w:sz="4" w:space="0"/>
            </w:tcBorders>
            <w:noWrap w:val="0"/>
            <w:vAlign w:val="center"/>
          </w:tcPr>
          <w:p w14:paraId="73C434F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9DE521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69D2D4C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2D94A8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7727DC2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28D3F04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E66457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83B4A1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3F1A2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1603D4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2807CAF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05FCD1C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2538FED1">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4060D73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642" w:type="dxa"/>
            <w:tcBorders>
              <w:top w:val="nil"/>
              <w:left w:val="nil"/>
              <w:bottom w:val="single" w:color="auto" w:sz="4" w:space="0"/>
              <w:right w:val="single" w:color="auto" w:sz="4" w:space="0"/>
            </w:tcBorders>
            <w:noWrap w:val="0"/>
            <w:vAlign w:val="center"/>
          </w:tcPr>
          <w:p w14:paraId="3213EAA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5351B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6FAAB1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C942C8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63CE504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517AA39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2F4979D1">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16179EB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8C828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0174ABD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1579F98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373D87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7B2F801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4E185B4">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642" w:type="dxa"/>
            <w:tcBorders>
              <w:top w:val="nil"/>
              <w:left w:val="nil"/>
              <w:bottom w:val="single" w:color="auto" w:sz="4" w:space="0"/>
              <w:right w:val="single" w:color="auto" w:sz="4" w:space="0"/>
            </w:tcBorders>
            <w:noWrap w:val="0"/>
            <w:vAlign w:val="center"/>
          </w:tcPr>
          <w:p w14:paraId="4C49B7E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E4EEE2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DB47F0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09" w:type="dxa"/>
            <w:tcBorders>
              <w:top w:val="nil"/>
              <w:left w:val="nil"/>
              <w:bottom w:val="single" w:color="auto" w:sz="4" w:space="0"/>
              <w:right w:val="single" w:color="auto" w:sz="4" w:space="0"/>
            </w:tcBorders>
            <w:noWrap w:val="0"/>
            <w:vAlign w:val="center"/>
          </w:tcPr>
          <w:p w14:paraId="3914114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520A97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0509DDB7">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609C87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3997F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648048E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0A446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09" w:type="dxa"/>
            <w:tcBorders>
              <w:top w:val="nil"/>
              <w:left w:val="nil"/>
              <w:bottom w:val="single" w:color="auto" w:sz="4" w:space="0"/>
              <w:right w:val="single" w:color="auto" w:sz="4" w:space="0"/>
            </w:tcBorders>
            <w:noWrap w:val="0"/>
            <w:vAlign w:val="center"/>
          </w:tcPr>
          <w:p w14:paraId="41E166A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098" w:type="dxa"/>
            <w:tcBorders>
              <w:top w:val="nil"/>
              <w:left w:val="nil"/>
              <w:bottom w:val="single" w:color="auto" w:sz="4" w:space="0"/>
              <w:right w:val="single" w:color="auto" w:sz="4" w:space="0"/>
            </w:tcBorders>
            <w:noWrap w:val="0"/>
            <w:vAlign w:val="center"/>
          </w:tcPr>
          <w:p w14:paraId="27E72D0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70EC766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3E7CABF">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642" w:type="dxa"/>
            <w:tcBorders>
              <w:top w:val="nil"/>
              <w:left w:val="nil"/>
              <w:bottom w:val="single" w:color="auto" w:sz="4" w:space="0"/>
              <w:right w:val="single" w:color="auto" w:sz="4" w:space="0"/>
            </w:tcBorders>
            <w:noWrap w:val="0"/>
            <w:vAlign w:val="center"/>
          </w:tcPr>
          <w:p w14:paraId="3EA5674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24F638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C0052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C93D6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468FFB0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2632E841">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26D26D7F">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B960C2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7C139C4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3D986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09" w:type="dxa"/>
            <w:tcBorders>
              <w:top w:val="nil"/>
              <w:left w:val="nil"/>
              <w:bottom w:val="single" w:color="auto" w:sz="4" w:space="0"/>
              <w:right w:val="single" w:color="auto" w:sz="4" w:space="0"/>
            </w:tcBorders>
            <w:noWrap w:val="0"/>
            <w:vAlign w:val="center"/>
          </w:tcPr>
          <w:p w14:paraId="4D88705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50≤Y＜1000</w:t>
            </w:r>
          </w:p>
        </w:tc>
        <w:tc>
          <w:tcPr>
            <w:tcW w:w="1098" w:type="dxa"/>
            <w:tcBorders>
              <w:top w:val="nil"/>
              <w:left w:val="nil"/>
              <w:bottom w:val="single" w:color="auto" w:sz="4" w:space="0"/>
              <w:right w:val="single" w:color="auto" w:sz="4" w:space="0"/>
            </w:tcBorders>
            <w:noWrap w:val="0"/>
            <w:vAlign w:val="center"/>
          </w:tcPr>
          <w:p w14:paraId="792A74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3337AE4D">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3A12BF1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642" w:type="dxa"/>
            <w:tcBorders>
              <w:top w:val="nil"/>
              <w:left w:val="nil"/>
              <w:bottom w:val="single" w:color="auto" w:sz="4" w:space="0"/>
              <w:right w:val="single" w:color="auto" w:sz="4" w:space="0"/>
            </w:tcBorders>
            <w:noWrap w:val="0"/>
            <w:vAlign w:val="center"/>
          </w:tcPr>
          <w:p w14:paraId="0CA95E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C2CFA1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0EF916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09" w:type="dxa"/>
            <w:tcBorders>
              <w:top w:val="nil"/>
              <w:left w:val="nil"/>
              <w:bottom w:val="single" w:color="auto" w:sz="4" w:space="0"/>
              <w:right w:val="single" w:color="auto" w:sz="4" w:space="0"/>
            </w:tcBorders>
            <w:noWrap w:val="0"/>
            <w:vAlign w:val="center"/>
          </w:tcPr>
          <w:p w14:paraId="20FCAFC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1098" w:type="dxa"/>
            <w:tcBorders>
              <w:top w:val="nil"/>
              <w:left w:val="nil"/>
              <w:bottom w:val="single" w:color="auto" w:sz="4" w:space="0"/>
              <w:right w:val="single" w:color="auto" w:sz="4" w:space="0"/>
            </w:tcBorders>
            <w:noWrap w:val="0"/>
            <w:vAlign w:val="center"/>
          </w:tcPr>
          <w:p w14:paraId="0CA67B5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0063AB8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CE8B835">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92CABC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129D6B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7ED20D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09" w:type="dxa"/>
            <w:tcBorders>
              <w:top w:val="nil"/>
              <w:left w:val="nil"/>
              <w:bottom w:val="single" w:color="auto" w:sz="4" w:space="0"/>
              <w:right w:val="single" w:color="auto" w:sz="4" w:space="0"/>
            </w:tcBorders>
            <w:noWrap w:val="0"/>
            <w:vAlign w:val="center"/>
          </w:tcPr>
          <w:p w14:paraId="6F868C2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1098" w:type="dxa"/>
            <w:tcBorders>
              <w:top w:val="nil"/>
              <w:left w:val="nil"/>
              <w:bottom w:val="single" w:color="auto" w:sz="4" w:space="0"/>
              <w:right w:val="single" w:color="auto" w:sz="4" w:space="0"/>
            </w:tcBorders>
            <w:noWrap w:val="0"/>
            <w:vAlign w:val="center"/>
          </w:tcPr>
          <w:p w14:paraId="31599D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Y＜2000</w:t>
            </w:r>
          </w:p>
        </w:tc>
      </w:tr>
      <w:tr w14:paraId="062074FF">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935ED2D">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642" w:type="dxa"/>
            <w:tcBorders>
              <w:top w:val="nil"/>
              <w:left w:val="nil"/>
              <w:bottom w:val="single" w:color="auto" w:sz="4" w:space="0"/>
              <w:right w:val="single" w:color="auto" w:sz="4" w:space="0"/>
            </w:tcBorders>
            <w:noWrap w:val="0"/>
            <w:vAlign w:val="center"/>
          </w:tcPr>
          <w:p w14:paraId="1BFEE6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5DCCC1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A8FCC7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082CEAE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098" w:type="dxa"/>
            <w:tcBorders>
              <w:top w:val="nil"/>
              <w:left w:val="nil"/>
              <w:bottom w:val="single" w:color="auto" w:sz="4" w:space="0"/>
              <w:right w:val="single" w:color="auto" w:sz="4" w:space="0"/>
            </w:tcBorders>
            <w:noWrap w:val="0"/>
            <w:vAlign w:val="center"/>
          </w:tcPr>
          <w:p w14:paraId="46DF35E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268BEAB8">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4A096574">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7432DD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B65F7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8E8581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09" w:type="dxa"/>
            <w:tcBorders>
              <w:top w:val="nil"/>
              <w:left w:val="nil"/>
              <w:bottom w:val="single" w:color="auto" w:sz="4" w:space="0"/>
              <w:right w:val="single" w:color="auto" w:sz="4" w:space="0"/>
            </w:tcBorders>
            <w:noWrap w:val="0"/>
            <w:vAlign w:val="center"/>
          </w:tcPr>
          <w:p w14:paraId="04F6418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1098" w:type="dxa"/>
            <w:tcBorders>
              <w:top w:val="nil"/>
              <w:left w:val="nil"/>
              <w:bottom w:val="single" w:color="auto" w:sz="4" w:space="0"/>
              <w:right w:val="single" w:color="auto" w:sz="4" w:space="0"/>
            </w:tcBorders>
            <w:noWrap w:val="0"/>
            <w:vAlign w:val="center"/>
          </w:tcPr>
          <w:p w14:paraId="48B3E9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Y＜500</w:t>
            </w:r>
          </w:p>
        </w:tc>
      </w:tr>
      <w:tr w14:paraId="7F5A9CE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58B25A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642" w:type="dxa"/>
            <w:tcBorders>
              <w:top w:val="nil"/>
              <w:left w:val="nil"/>
              <w:bottom w:val="single" w:color="auto" w:sz="4" w:space="0"/>
              <w:right w:val="single" w:color="auto" w:sz="4" w:space="0"/>
            </w:tcBorders>
            <w:noWrap w:val="0"/>
            <w:vAlign w:val="center"/>
          </w:tcPr>
          <w:p w14:paraId="4CF164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647917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0F7A06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303D89D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620F079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61D538C">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2106788">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C6B8BC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02E2F41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6B960B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09" w:type="dxa"/>
            <w:tcBorders>
              <w:top w:val="nil"/>
              <w:left w:val="nil"/>
              <w:bottom w:val="single" w:color="auto" w:sz="4" w:space="0"/>
              <w:right w:val="single" w:color="auto" w:sz="4" w:space="0"/>
            </w:tcBorders>
            <w:noWrap w:val="0"/>
            <w:vAlign w:val="center"/>
          </w:tcPr>
          <w:p w14:paraId="4EFEE20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1098" w:type="dxa"/>
            <w:tcBorders>
              <w:top w:val="nil"/>
              <w:left w:val="nil"/>
              <w:bottom w:val="single" w:color="auto" w:sz="4" w:space="0"/>
              <w:right w:val="single" w:color="auto" w:sz="4" w:space="0"/>
            </w:tcBorders>
            <w:noWrap w:val="0"/>
            <w:vAlign w:val="center"/>
          </w:tcPr>
          <w:p w14:paraId="037A33C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236CEDE7">
        <w:trPr>
          <w:trHeight w:val="346" w:hRule="atLeast"/>
          <w:jc w:val="center"/>
        </w:trPr>
        <w:tc>
          <w:tcPr>
            <w:tcW w:w="2020" w:type="dxa"/>
            <w:tcBorders>
              <w:top w:val="nil"/>
              <w:left w:val="single" w:color="auto" w:sz="4" w:space="0"/>
              <w:bottom w:val="single" w:color="auto" w:sz="4" w:space="0"/>
              <w:right w:val="single" w:color="auto" w:sz="4" w:space="0"/>
            </w:tcBorders>
            <w:noWrap w:val="0"/>
            <w:vAlign w:val="bottom"/>
          </w:tcPr>
          <w:p w14:paraId="5247F04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642" w:type="dxa"/>
            <w:tcBorders>
              <w:top w:val="nil"/>
              <w:left w:val="nil"/>
              <w:bottom w:val="single" w:color="auto" w:sz="4" w:space="0"/>
              <w:right w:val="single" w:color="auto" w:sz="4" w:space="0"/>
            </w:tcBorders>
            <w:noWrap w:val="0"/>
            <w:vAlign w:val="center"/>
          </w:tcPr>
          <w:p w14:paraId="75C66CB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A5D72E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65657C0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9C2ABA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40B5B81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bl>
    <w:p w14:paraId="7EAF5329">
      <w:pPr>
        <w:spacing w:line="360" w:lineRule="auto"/>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8772C25">
      <w:pPr>
        <w:spacing w:line="400" w:lineRule="exact"/>
        <w:rPr>
          <w:rFonts w:hint="eastAsia" w:ascii="宋体" w:hAnsi="宋体" w:cs="宋体"/>
          <w:color w:val="auto"/>
          <w:szCs w:val="21"/>
          <w:highlight w:val="none"/>
        </w:rPr>
      </w:pPr>
    </w:p>
    <w:p w14:paraId="4067787B">
      <w:pPr>
        <w:pStyle w:val="25"/>
        <w:rPr>
          <w:rFonts w:hint="eastAsia"/>
          <w:color w:val="auto"/>
          <w:highlight w:val="none"/>
        </w:rPr>
      </w:pPr>
    </w:p>
    <w:p w14:paraId="3BC79F68">
      <w:pPr>
        <w:pStyle w:val="3"/>
        <w:keepNext w:val="0"/>
        <w:keepLines w:val="0"/>
        <w:tabs>
          <w:tab w:val="left" w:pos="0"/>
          <w:tab w:val="left" w:pos="3165"/>
          <w:tab w:val="center" w:pos="4153"/>
        </w:tabs>
        <w:autoSpaceDE w:val="0"/>
        <w:autoSpaceDN w:val="0"/>
        <w:adjustRightInd w:val="0"/>
        <w:spacing w:before="0" w:after="0" w:line="240" w:lineRule="auto"/>
        <w:jc w:val="center"/>
        <w:rPr>
          <w:rFonts w:hint="eastAsia" w:ascii="宋体" w:hAnsi="宋体" w:cs="宋体"/>
          <w:color w:val="auto"/>
          <w:highlight w:val="none"/>
        </w:rPr>
      </w:pPr>
      <w:bookmarkStart w:id="52" w:name="_Toc6950"/>
      <w:bookmarkStart w:id="53" w:name="_Toc24453"/>
      <w:bookmarkStart w:id="54" w:name="_Toc21295"/>
      <w:r>
        <w:rPr>
          <w:rFonts w:hint="eastAsia" w:ascii="宋体" w:hAnsi="宋体" w:cs="宋体"/>
          <w:color w:val="auto"/>
          <w:highlight w:val="none"/>
        </w:rPr>
        <w:t>第三章  投标人须知</w:t>
      </w:r>
      <w:bookmarkEnd w:id="52"/>
      <w:bookmarkEnd w:id="53"/>
      <w:bookmarkEnd w:id="54"/>
    </w:p>
    <w:p w14:paraId="79253C80">
      <w:pPr>
        <w:pStyle w:val="4"/>
        <w:spacing w:line="240" w:lineRule="auto"/>
        <w:jc w:val="center"/>
        <w:rPr>
          <w:rFonts w:hint="eastAsia" w:ascii="宋体" w:hAnsi="宋体" w:eastAsia="宋体" w:cs="宋体"/>
          <w:color w:val="auto"/>
          <w:sz w:val="36"/>
          <w:szCs w:val="36"/>
          <w:highlight w:val="none"/>
        </w:rPr>
      </w:pPr>
      <w:bookmarkStart w:id="55" w:name="_Toc254970526"/>
      <w:bookmarkStart w:id="56" w:name="_Toc25167"/>
      <w:bookmarkStart w:id="57" w:name="_Toc4963"/>
      <w:bookmarkStart w:id="58" w:name="_Toc3016"/>
      <w:bookmarkStart w:id="59" w:name="_Toc254970667"/>
      <w:r>
        <w:rPr>
          <w:rFonts w:hint="eastAsia" w:ascii="宋体" w:hAnsi="宋体" w:eastAsia="宋体" w:cs="宋体"/>
          <w:color w:val="auto"/>
          <w:sz w:val="36"/>
          <w:szCs w:val="36"/>
          <w:highlight w:val="none"/>
        </w:rPr>
        <w:t>投标人须知前附表</w:t>
      </w:r>
      <w:bookmarkEnd w:id="55"/>
      <w:bookmarkEnd w:id="56"/>
      <w:bookmarkEnd w:id="57"/>
      <w:bookmarkEnd w:id="58"/>
      <w:bookmarkEnd w:id="59"/>
    </w:p>
    <w:tbl>
      <w:tblPr>
        <w:tblStyle w:val="39"/>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48ED57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D0B3FC2">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4010208">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39DF9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0AB504">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A8B1F98">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234F80DD">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76D71BB9">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542FEA1">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62A85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13BD8C4">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0" w:name="_9.2"/>
            <w:bookmarkEnd w:id="60"/>
            <w:bookmarkStart w:id="61" w:name="_8.1"/>
            <w:bookmarkEnd w:id="61"/>
            <w:bookmarkStart w:id="62" w:name="_5"/>
            <w:bookmarkEnd w:id="62"/>
            <w:r>
              <w:rPr>
                <w:rFonts w:hint="eastAsia" w:ascii="宋体" w:hAnsi="宋体" w:cs="宋体"/>
                <w:color w:val="auto"/>
                <w:szCs w:val="21"/>
                <w:highlight w:val="none"/>
              </w:rPr>
              <w:t>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66E7ECC">
            <w:pPr>
              <w:pStyle w:val="13"/>
              <w:keepNext w:val="0"/>
              <w:keepLines w:val="0"/>
              <w:pageBreakBefore w:val="0"/>
              <w:widowControl w:val="0"/>
              <w:kinsoku/>
              <w:overflowPunct/>
              <w:topLinePunct w:val="0"/>
              <w:bidi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本项目是否接受联合体投标：详见招标公告。</w:t>
            </w:r>
          </w:p>
        </w:tc>
      </w:tr>
      <w:tr w14:paraId="1A302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7657A92">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C68A8D3">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3" w:name="_Hlk54105293"/>
            <w:r>
              <w:rPr>
                <w:rFonts w:hint="eastAsia" w:ascii="宋体" w:hAnsi="宋体" w:cs="宋体"/>
                <w:color w:val="auto"/>
                <w:szCs w:val="21"/>
                <w:highlight w:val="none"/>
              </w:rPr>
              <w:t>如接受联合体投标，</w:t>
            </w:r>
            <w:bookmarkEnd w:id="63"/>
            <w:r>
              <w:rPr>
                <w:rFonts w:hint="eastAsia" w:ascii="宋体" w:hAnsi="宋体" w:cs="宋体"/>
                <w:color w:val="auto"/>
                <w:szCs w:val="21"/>
                <w:highlight w:val="none"/>
              </w:rPr>
              <w:t>联合体投标要求如下：</w:t>
            </w:r>
          </w:p>
          <w:p w14:paraId="7D3E6CA5">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1.两个或两个以上投标人可以组成一个投标联合体，以一个投标人的身份共同参加投标。</w:t>
            </w:r>
            <w:r>
              <w:rPr>
                <w:rFonts w:hint="eastAsia" w:ascii="宋体" w:hAnsi="宋体" w:cs="宋体"/>
                <w:b/>
                <w:bCs/>
                <w:color w:val="auto"/>
                <w:szCs w:val="21"/>
                <w:highlight w:val="none"/>
              </w:rPr>
              <w:t>联合体投标人的名称应统一按“XXX公司与XXX公司的联合体”的规则填写</w:t>
            </w:r>
            <w:r>
              <w:rPr>
                <w:rFonts w:hint="eastAsia" w:ascii="宋体" w:hAnsi="宋体" w:cs="宋体"/>
                <w:color w:val="auto"/>
                <w:szCs w:val="21"/>
                <w:highlight w:val="none"/>
              </w:rPr>
              <w:t>。联合体投标的，须提供《联合体投标协议书》（格式后附）。</w:t>
            </w:r>
          </w:p>
          <w:p w14:paraId="3A6DABA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230D3D3D">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3.联合体各方之间必须签订联合投标协议，协议书必须明确主体方（或者牵头方）并明确约定联合体各方承担的工作和相应的责任（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各方承担责任与义务的分工必须符合采购需求，否则，联合体投标无效</w:t>
            </w:r>
            <w:r>
              <w:rPr>
                <w:rFonts w:hint="eastAsia" w:ascii="宋体" w:hAnsi="宋体" w:cs="宋体"/>
                <w:color w:val="auto"/>
                <w:szCs w:val="21"/>
                <w:highlight w:val="none"/>
              </w:rPr>
              <w:t>），并将联合投标协议放入投标文件。联合体各方必须共同与采购人签订采购合同，就采购合同约定的事项对采购人承担连带责任。</w:t>
            </w:r>
          </w:p>
          <w:p w14:paraId="01C2C2F0">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4.以联合体形式参加政府采购活动的，联合体各方不得再单独参加或者与其他投标人另外组成联合体参加同一合同项下的政府采购活动。</w:t>
            </w:r>
          </w:p>
          <w:p w14:paraId="651FAE5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5.联合体中有同类资质的投标人按照联合体分工承担相同工作的，应当按照资质等级较低的投标人确定资质等级。</w:t>
            </w:r>
          </w:p>
          <w:p w14:paraId="257B55FE">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6.联合体投标业绩、履约能力按照联合体各方其中较高的一方认定并计算（招标文件另有规定的除外）。</w:t>
            </w:r>
          </w:p>
          <w:p w14:paraId="648328A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7.投标人为联合体的，可以由联合体中的一方或者多方共同交纳投标保证金，其交纳的保证金对联合体各方均具有约束力。</w:t>
            </w:r>
          </w:p>
          <w:p w14:paraId="5E70BDFA">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8.联合体各方均应按照招标文件的规定提交资格证明文件。</w:t>
            </w:r>
          </w:p>
        </w:tc>
      </w:tr>
      <w:tr w14:paraId="2E7DDF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1FE113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5AF8E08B">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☑不允许分包</w:t>
            </w:r>
          </w:p>
          <w:p w14:paraId="5D9FE332">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4" w:name="OLE_LINK12"/>
            <w:r>
              <w:rPr>
                <w:rFonts w:hint="eastAsia" w:ascii="宋体" w:hAnsi="宋体" w:cs="宋体"/>
                <w:color w:val="auto"/>
                <w:szCs w:val="21"/>
                <w:highlight w:val="none"/>
              </w:rPr>
              <w:t>□</w:t>
            </w:r>
            <w:bookmarkEnd w:id="64"/>
            <w:r>
              <w:rPr>
                <w:rFonts w:hint="eastAsia" w:ascii="宋体" w:hAnsi="宋体" w:cs="宋体"/>
                <w:color w:val="auto"/>
                <w:szCs w:val="21"/>
                <w:highlight w:val="none"/>
              </w:rPr>
              <w:t>允许分包</w:t>
            </w:r>
          </w:p>
          <w:p w14:paraId="4BF667CD">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w:t>
            </w:r>
          </w:p>
          <w:p w14:paraId="32351911">
            <w:pPr>
              <w:pStyle w:val="13"/>
              <w:keepNext w:val="0"/>
              <w:keepLines w:val="0"/>
              <w:pageBreakBefore w:val="0"/>
              <w:widowControl w:val="0"/>
              <w:kinsoku/>
              <w:overflowPunct/>
              <w:topLinePunct w:val="0"/>
              <w:bidi w:val="0"/>
              <w:spacing w:line="400" w:lineRule="exact"/>
              <w:jc w:val="both"/>
              <w:rPr>
                <w:rFonts w:hint="eastAsia" w:ascii="宋体" w:hAnsi="宋体" w:cs="宋体"/>
                <w:color w:val="auto"/>
                <w:szCs w:val="21"/>
                <w:highlight w:val="none"/>
                <w:u w:val="singl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w:t>
            </w:r>
          </w:p>
        </w:tc>
      </w:tr>
      <w:tr w14:paraId="19801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0" w:hRule="atLeast"/>
        </w:trPr>
        <w:tc>
          <w:tcPr>
            <w:tcW w:w="978" w:type="dxa"/>
            <w:vMerge w:val="restart"/>
            <w:tcBorders>
              <w:top w:val="single" w:color="auto" w:sz="4" w:space="0"/>
              <w:left w:val="single" w:color="auto" w:sz="4" w:space="0"/>
              <w:right w:val="single" w:color="auto" w:sz="4" w:space="0"/>
            </w:tcBorders>
            <w:noWrap w:val="0"/>
            <w:vAlign w:val="center"/>
          </w:tcPr>
          <w:p w14:paraId="3C7C4B98">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11.2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3850D1C">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bookmarkStart w:id="65" w:name="OLE_LINK13"/>
            <w:r>
              <w:rPr>
                <w:rFonts w:hint="eastAsia" w:ascii="宋体" w:hAnsi="宋体" w:cs="宋体"/>
                <w:color w:val="auto"/>
                <w:szCs w:val="21"/>
                <w:highlight w:val="none"/>
              </w:rPr>
              <w:t>☑</w:t>
            </w:r>
            <w:bookmarkEnd w:id="65"/>
            <w:r>
              <w:rPr>
                <w:rFonts w:hint="eastAsia" w:ascii="宋体" w:hAnsi="宋体" w:cs="宋体"/>
                <w:color w:val="auto"/>
                <w:szCs w:val="21"/>
                <w:highlight w:val="none"/>
              </w:rPr>
              <w:t>不组织现场考察</w:t>
            </w:r>
          </w:p>
        </w:tc>
      </w:tr>
      <w:tr w14:paraId="34647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3" w:hRule="atLeast"/>
        </w:trPr>
        <w:tc>
          <w:tcPr>
            <w:tcW w:w="978" w:type="dxa"/>
            <w:vMerge w:val="continue"/>
            <w:tcBorders>
              <w:left w:val="single" w:color="auto" w:sz="4" w:space="0"/>
              <w:bottom w:val="single" w:color="auto" w:sz="4" w:space="0"/>
              <w:right w:val="single" w:color="auto" w:sz="4" w:space="0"/>
            </w:tcBorders>
            <w:noWrap w:val="0"/>
            <w:vAlign w:val="center"/>
          </w:tcPr>
          <w:p w14:paraId="63F0837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A4C63A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☑不组织召开开标前答疑会</w:t>
            </w:r>
          </w:p>
        </w:tc>
      </w:tr>
      <w:tr w14:paraId="629E7B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restart"/>
            <w:tcBorders>
              <w:top w:val="single" w:color="auto" w:sz="4" w:space="0"/>
              <w:left w:val="single" w:color="auto" w:sz="4" w:space="0"/>
              <w:right w:val="single" w:color="auto" w:sz="4" w:space="0"/>
            </w:tcBorders>
            <w:noWrap w:val="0"/>
            <w:vAlign w:val="center"/>
          </w:tcPr>
          <w:p w14:paraId="4076AC1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6" w:name="_13.1"/>
            <w:bookmarkEnd w:id="66"/>
            <w:r>
              <w:rPr>
                <w:rFonts w:hint="eastAsia" w:ascii="宋体" w:hAnsi="宋体" w:cs="宋体"/>
                <w:color w:val="auto"/>
                <w:szCs w:val="21"/>
                <w:highlight w:val="none"/>
              </w:rPr>
              <w:t>13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22D699A">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4596B456">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1.投标函（格式后附）；</w:t>
            </w:r>
            <w:r>
              <w:rPr>
                <w:rFonts w:hint="eastAsia" w:ascii="宋体" w:hAnsi="宋体" w:cs="宋体"/>
                <w:b/>
                <w:color w:val="auto"/>
                <w:szCs w:val="21"/>
                <w:highlight w:val="none"/>
              </w:rPr>
              <w:t>（必须提供，否则按无效投标处理）</w:t>
            </w:r>
          </w:p>
          <w:p w14:paraId="3B7BD9D2">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2.开标一览表（格式后附）；（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52DB795">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3.中小企业声明函或监狱企业证明文件或残疾人福利性单位声明函；（如有请提供）</w:t>
            </w:r>
          </w:p>
          <w:p w14:paraId="09CB0365">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4.投标人针对报价需要说明的其他文件和说明（格式自拟）。（如有请提供）</w:t>
            </w:r>
          </w:p>
          <w:p w14:paraId="03B96D4D">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b/>
                <w:color w:val="auto"/>
                <w:szCs w:val="21"/>
                <w:highlight w:val="none"/>
              </w:rPr>
            </w:pPr>
            <w:r>
              <w:rPr>
                <w:rFonts w:hint="eastAsia" w:ascii="宋体" w:hAnsi="宋体" w:cs="宋体"/>
                <w:b/>
                <w:color w:val="auto"/>
                <w:szCs w:val="21"/>
                <w:highlight w:val="none"/>
              </w:rPr>
              <w:t>注：1.以上标明“必须提供”的材料的，必须加盖投标人电子签章，否则按无效投标处理；</w:t>
            </w:r>
          </w:p>
          <w:p w14:paraId="0B190DD2">
            <w:pPr>
              <w:keepNext w:val="0"/>
              <w:keepLines w:val="0"/>
              <w:pageBreakBefore w:val="0"/>
              <w:widowControl w:val="0"/>
              <w:tabs>
                <w:tab w:val="left" w:pos="459"/>
              </w:tabs>
              <w:kinsoku/>
              <w:overflowPunct/>
              <w:topLinePunct w:val="0"/>
              <w:bidi w:val="0"/>
              <w:snapToGrid w:val="0"/>
              <w:spacing w:line="400" w:lineRule="exact"/>
              <w:ind w:left="-2" w:leftChars="-1" w:firstLine="841" w:firstLineChars="400"/>
              <w:rPr>
                <w:rFonts w:hint="eastAsia" w:ascii="宋体" w:hAnsi="宋体" w:cs="宋体"/>
                <w:b/>
                <w:color w:val="auto"/>
                <w:szCs w:val="21"/>
                <w:highlight w:val="none"/>
              </w:rPr>
            </w:pPr>
            <w:r>
              <w:rPr>
                <w:rFonts w:hint="eastAsia" w:ascii="宋体" w:hAnsi="宋体" w:cs="宋体"/>
                <w:b/>
                <w:color w:val="auto"/>
                <w:szCs w:val="21"/>
                <w:highlight w:val="none"/>
              </w:rPr>
              <w:t>2.联合体投标时，盖章处须加盖联合体牵头人电子签章，规定签字处签字（或者电子签名），否则响应文件按无效处理。</w:t>
            </w:r>
          </w:p>
        </w:tc>
      </w:tr>
      <w:tr w14:paraId="73440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continue"/>
            <w:tcBorders>
              <w:left w:val="single" w:color="auto" w:sz="4" w:space="0"/>
              <w:right w:val="single" w:color="auto" w:sz="4" w:space="0"/>
            </w:tcBorders>
            <w:noWrap w:val="0"/>
            <w:vAlign w:val="center"/>
          </w:tcPr>
          <w:p w14:paraId="67C99A82">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7" w:name="_13.2"/>
            <w:bookmarkEnd w:id="67"/>
          </w:p>
        </w:tc>
        <w:tc>
          <w:tcPr>
            <w:tcW w:w="8175" w:type="dxa"/>
            <w:tcBorders>
              <w:top w:val="single" w:color="auto" w:sz="4" w:space="0"/>
              <w:left w:val="single" w:color="auto" w:sz="4" w:space="0"/>
              <w:bottom w:val="single" w:color="auto" w:sz="4" w:space="0"/>
              <w:right w:val="single" w:color="auto" w:sz="4" w:space="0"/>
            </w:tcBorders>
            <w:noWrap w:val="0"/>
            <w:vAlign w:val="center"/>
          </w:tcPr>
          <w:p w14:paraId="1CD319A4">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1133781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74"/>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2D48AE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税收的证明材料的凭据复印件；依法免税的投标人，必须提供相应文件证明其依法免税。从成立之日起到投标文件提交截止时间止不足要求月数的，只需提供从成立之日起的依法缴纳税收相应证明文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F70E0C7">
            <w:pPr>
              <w:keepNext w:val="0"/>
              <w:keepLines w:val="0"/>
              <w:pageBreakBefore w:val="0"/>
              <w:widowControl w:val="0"/>
              <w:kinsoku/>
              <w:overflowPunct/>
              <w:topLinePunct w:val="0"/>
              <w:bidi w:val="0"/>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的依法缴纳社会保障资金的缴费凭证（专用收据或者社会保险缴纳清单或者社保部门的证明）复印件；依法不需要缴纳社会保障资金的投标人，必须提供相应文件证明不需要缴纳社会保障资金。从成立之日起到投标文件提交截止时间止不足要求月数的只需提供从成立之日起的依法缴纳社会保障资金的相应证明文件]（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4649DA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s="宋体"/>
                <w:color w:val="auto"/>
                <w:szCs w:val="21"/>
                <w:highlight w:val="none"/>
                <w:u w:val="single"/>
              </w:rPr>
              <w:t>2024年度</w:t>
            </w:r>
            <w:r>
              <w:rPr>
                <w:rFonts w:hint="eastAsia" w:ascii="宋体" w:hAnsi="宋体" w:cs="宋体"/>
                <w:color w:val="auto"/>
                <w:szCs w:val="21"/>
                <w:highlight w:val="none"/>
              </w:rPr>
              <w:t>的财务审计报告（至少包括资产负债表、利润表、现金流量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DF9528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C3C8F5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需法定代表人签字或电子签名，必须提供，否则按无效投标处理</w:t>
            </w:r>
            <w:r>
              <w:rPr>
                <w:rFonts w:hint="eastAsia" w:ascii="宋体" w:hAnsi="宋体" w:cs="宋体"/>
                <w:color w:val="auto"/>
                <w:szCs w:val="21"/>
                <w:highlight w:val="none"/>
              </w:rPr>
              <w:t>）</w:t>
            </w:r>
          </w:p>
          <w:p w14:paraId="5E2F0B55">
            <w:pPr>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u w:val="none"/>
                <w:lang w:val="en-US" w:eastAsia="zh-CN"/>
              </w:rPr>
              <w:t>7.</w:t>
            </w:r>
            <w:r>
              <w:rPr>
                <w:rFonts w:hint="eastAsia" w:ascii="宋体" w:hAnsi="宋体" w:eastAsia="宋体" w:cs="宋体"/>
                <w:color w:val="auto"/>
                <w:szCs w:val="21"/>
                <w:highlight w:val="none"/>
                <w:u w:val="none"/>
              </w:rPr>
              <w:t>投标人须取得有效的检验检测机构资质认定证书（CMA）</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检测资质认证检测能力附表中至少具有</w:t>
            </w:r>
            <w:r>
              <w:rPr>
                <w:rFonts w:hint="eastAsia" w:ascii="宋体" w:hAnsi="宋体" w:eastAsia="宋体" w:cs="宋体"/>
                <w:color w:val="auto"/>
                <w:szCs w:val="21"/>
                <w:highlight w:val="none"/>
                <w:u w:val="none"/>
                <w:lang w:val="en-US" w:eastAsia="zh-CN"/>
              </w:rPr>
              <w:t>固体废物类别，固体废物</w:t>
            </w:r>
            <w:r>
              <w:rPr>
                <w:rFonts w:hint="eastAsia" w:ascii="宋体" w:hAnsi="宋体" w:eastAsia="宋体" w:cs="宋体"/>
                <w:color w:val="auto"/>
                <w:szCs w:val="21"/>
                <w:highlight w:val="none"/>
                <w:u w:val="none"/>
              </w:rPr>
              <w:t>资质能力中至少具备铜、锌、镉、铅、汞、镍、银、砷、锰、铊、锑、钡、铝、铬、硒、苯、甲苯、乙苯、二甲苯</w:t>
            </w:r>
            <w:r>
              <w:rPr>
                <w:rFonts w:hint="eastAsia" w:ascii="宋体" w:hAnsi="宋体" w:eastAsia="宋体" w:cs="宋体"/>
                <w:color w:val="auto"/>
                <w:szCs w:val="21"/>
                <w:highlight w:val="none"/>
                <w:u w:val="none"/>
                <w:lang w:eastAsia="zh-CN"/>
              </w:rPr>
              <w:t>检测指标</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lang w:val="en-US" w:eastAsia="zh-CN"/>
              </w:rPr>
              <w:t>CMA证书及能力附表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none"/>
                <w:lang w:val="en-US" w:eastAsia="zh-CN"/>
              </w:rPr>
              <w:t>。同时，投标人须</w:t>
            </w:r>
            <w:r>
              <w:rPr>
                <w:rFonts w:hint="eastAsia" w:ascii="宋体" w:hAnsi="宋体" w:eastAsia="宋体" w:cs="宋体"/>
                <w:color w:val="auto"/>
                <w:szCs w:val="21"/>
                <w:highlight w:val="none"/>
                <w:u w:val="none"/>
              </w:rPr>
              <w:t>是全国危险废物鉴别信息公开服务平台危废鉴别注册单位</w:t>
            </w:r>
            <w:r>
              <w:rPr>
                <w:rFonts w:hint="eastAsia" w:ascii="宋体" w:hAnsi="宋体" w:eastAsia="宋体" w:cs="宋体"/>
                <w:color w:val="auto"/>
                <w:szCs w:val="21"/>
                <w:highlight w:val="none"/>
                <w:lang w:eastAsia="zh-CN"/>
              </w:rPr>
              <w:t>（提供全国危险废物鉴别信息公开服务平台https://gfmh.meescc.cn/solidPortal/#/上的</w:t>
            </w:r>
            <w:r>
              <w:rPr>
                <w:rFonts w:hint="eastAsia" w:ascii="宋体" w:hAnsi="宋体" w:eastAsia="宋体" w:cs="宋体"/>
                <w:color w:val="auto"/>
                <w:szCs w:val="21"/>
                <w:highlight w:val="none"/>
              </w:rPr>
              <w:t>危废鉴别注册单位</w:t>
            </w:r>
            <w:r>
              <w:rPr>
                <w:rFonts w:hint="eastAsia" w:ascii="宋体" w:hAnsi="宋体" w:eastAsia="宋体" w:cs="宋体"/>
                <w:color w:val="auto"/>
                <w:szCs w:val="21"/>
                <w:highlight w:val="none"/>
                <w:lang w:eastAsia="zh-CN"/>
              </w:rPr>
              <w:t>截图）；</w:t>
            </w:r>
            <w:r>
              <w:rPr>
                <w:rFonts w:hint="eastAsia" w:ascii="宋体" w:hAnsi="宋体" w:eastAsia="宋体" w:cs="宋体"/>
                <w:b/>
                <w:bCs/>
                <w:color w:val="auto"/>
                <w:szCs w:val="21"/>
                <w:highlight w:val="none"/>
              </w:rPr>
              <w:t>（必须提供，否则按无效投标处理）</w:t>
            </w:r>
          </w:p>
          <w:p w14:paraId="3CF6AB5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.联合体协议书（格式后附）；（</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6381640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.除招标文件规定必须提供以外，投标人认为需要提供的其他证明材料。（如有请提供）</w:t>
            </w:r>
          </w:p>
          <w:p w14:paraId="64CAC82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r>
              <w:rPr>
                <w:rFonts w:hint="eastAsia" w:ascii="宋体" w:hAnsi="宋体" w:cs="宋体"/>
                <w:b/>
                <w:color w:val="auto"/>
                <w:szCs w:val="21"/>
                <w:highlight w:val="none"/>
              </w:rPr>
              <w:t>格式中有要求法定代表人或者委托代理人签字的，必须按要求签字（或是电子签名），并加盖供应商电子签章，否则响应文件按无效处理。</w:t>
            </w:r>
          </w:p>
          <w:p w14:paraId="0423C60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2.联合体投标时，第1-5项资格证明文件联合体各方均必须分别提供，</w:t>
            </w:r>
            <w:r>
              <w:rPr>
                <w:rFonts w:hint="eastAsia" w:ascii="宋体" w:hAnsi="宋体" w:cs="宋体"/>
                <w:b/>
                <w:color w:val="auto"/>
                <w:szCs w:val="21"/>
                <w:highlight w:val="none"/>
              </w:rPr>
              <w:t>并由联合体牵头人加盖电子签章，规定签字处签字</w:t>
            </w:r>
            <w:r>
              <w:rPr>
                <w:rFonts w:hint="eastAsia" w:ascii="宋体" w:hAnsi="宋体" w:cs="宋体"/>
                <w:b/>
                <w:bCs/>
                <w:color w:val="auto"/>
                <w:szCs w:val="21"/>
                <w:highlight w:val="none"/>
              </w:rPr>
              <w:t>（或者电子签名），否则按无效投标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tc>
      </w:tr>
      <w:tr w14:paraId="342B8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continue"/>
            <w:tcBorders>
              <w:left w:val="single" w:color="auto" w:sz="4" w:space="0"/>
              <w:right w:val="single" w:color="auto" w:sz="4" w:space="0"/>
            </w:tcBorders>
            <w:noWrap w:val="0"/>
            <w:vAlign w:val="center"/>
          </w:tcPr>
          <w:p w14:paraId="589DC458">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8" w:name="_13.3"/>
            <w:bookmarkEnd w:id="68"/>
          </w:p>
        </w:tc>
        <w:tc>
          <w:tcPr>
            <w:tcW w:w="8175" w:type="dxa"/>
            <w:tcBorders>
              <w:top w:val="single" w:color="auto" w:sz="4" w:space="0"/>
              <w:left w:val="single" w:color="auto" w:sz="4" w:space="0"/>
              <w:bottom w:val="single" w:color="auto" w:sz="4" w:space="0"/>
              <w:right w:val="single" w:color="auto" w:sz="4" w:space="0"/>
            </w:tcBorders>
            <w:noWrap w:val="0"/>
            <w:vAlign w:val="center"/>
          </w:tcPr>
          <w:p w14:paraId="46A0373D">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kern w:val="0"/>
                <w:szCs w:val="21"/>
                <w:highlight w:val="none"/>
              </w:rPr>
              <w:t>商务及技术文件</w:t>
            </w:r>
            <w:r>
              <w:rPr>
                <w:rFonts w:hint="eastAsia" w:ascii="宋体" w:hAnsi="宋体" w:cs="宋体"/>
                <w:b/>
                <w:color w:val="auto"/>
                <w:szCs w:val="21"/>
                <w:highlight w:val="none"/>
              </w:rPr>
              <w:t>：</w:t>
            </w:r>
          </w:p>
          <w:p w14:paraId="131D0BCA">
            <w:pPr>
              <w:pStyle w:val="34"/>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商务文件：</w:t>
            </w:r>
          </w:p>
          <w:p w14:paraId="5F9F099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1.无串通投标行为的承诺函（格式后附）；（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CA07AA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2.投标保证金缴纳证明；（</w:t>
            </w:r>
            <w:r>
              <w:rPr>
                <w:rFonts w:hint="eastAsia" w:ascii="宋体" w:hAnsi="宋体" w:cs="宋体"/>
                <w:b/>
                <w:bCs/>
                <w:color w:val="auto"/>
                <w:szCs w:val="21"/>
                <w:highlight w:val="none"/>
              </w:rPr>
              <w:t>如要求提交投标保证金的则必须提供</w:t>
            </w:r>
            <w:r>
              <w:rPr>
                <w:rFonts w:hint="eastAsia" w:ascii="宋体" w:hAnsi="宋体" w:cs="宋体"/>
                <w:b/>
                <w:color w:val="auto"/>
                <w:szCs w:val="21"/>
                <w:highlight w:val="none"/>
              </w:rPr>
              <w:t>，否则按无效投标处理</w:t>
            </w:r>
            <w:r>
              <w:rPr>
                <w:rFonts w:hint="eastAsia" w:ascii="宋体" w:hAnsi="宋体" w:cs="宋体"/>
                <w:color w:val="auto"/>
                <w:szCs w:val="21"/>
                <w:highlight w:val="none"/>
              </w:rPr>
              <w:t>）</w:t>
            </w:r>
          </w:p>
          <w:p w14:paraId="6282BAB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869DA4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委托时必须提供，否则按无效投标处理</w:t>
            </w:r>
            <w:r>
              <w:rPr>
                <w:rFonts w:hint="eastAsia" w:ascii="宋体" w:hAnsi="宋体" w:cs="宋体"/>
                <w:color w:val="auto"/>
                <w:szCs w:val="21"/>
                <w:highlight w:val="none"/>
              </w:rPr>
              <w:t>）</w:t>
            </w:r>
          </w:p>
          <w:p w14:paraId="6031627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B91E6B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6.售后服务承诺（格式自拟）；（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0C7B13C">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7.投标人情况介绍（格式自拟）；（如有请提供）</w:t>
            </w:r>
          </w:p>
          <w:p w14:paraId="52A591A1">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8.投标人业绩证明材料（格式后附）；（如有请提供）</w:t>
            </w:r>
          </w:p>
          <w:p w14:paraId="5ED5420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9.除招标文件规定必须提供以外，投标人认为需要提供的其他证明材料（格式自拟）。（投标人根据“第二章 采购需求”及“第四章 评标方法及评标标准”提供有关证明材料）。（如有请提供）</w:t>
            </w:r>
          </w:p>
          <w:p w14:paraId="440558CF">
            <w:pPr>
              <w:pStyle w:val="34"/>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技术文件：</w:t>
            </w:r>
          </w:p>
          <w:p w14:paraId="4DBC4E5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1.技术要求偏离表（格式后附）；（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63F695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2.服务实施方案（格式自拟）；（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44A9FB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3.项目实施人员一览表（格式后附）；（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518039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4.投标人对本项目的合理化建议和改进措施（格式自拟）；（如有请提供）</w:t>
            </w:r>
          </w:p>
          <w:p w14:paraId="75FD26E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5.除招标文件规定必须提供以外，投标人认为需要提供的其他证明材料（格式自拟）。（投标人根据“第二章 采购需求”及“第四章 评标方法及评标标准”提供有关证明材料）。（如有请提供）</w:t>
            </w:r>
          </w:p>
          <w:p w14:paraId="67E6D57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p>
          <w:p w14:paraId="38F77C2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2.联合体投标时，盖章处须加盖联合体牵头人电子签章，规定签字处签字（或者电子签名），否则响应文件按无效处理。</w:t>
            </w:r>
          </w:p>
        </w:tc>
      </w:tr>
      <w:tr w14:paraId="3EE6A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02969C9">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9" w:name="_13.4"/>
            <w:bookmarkEnd w:id="69"/>
            <w:bookmarkStart w:id="70" w:name="_16.2"/>
            <w:bookmarkEnd w:id="70"/>
            <w:bookmarkStart w:id="71" w:name="_13.5"/>
            <w:bookmarkEnd w:id="71"/>
            <w:r>
              <w:rPr>
                <w:rFonts w:hint="eastAsia" w:ascii="宋体" w:hAnsi="宋体" w:cs="宋体"/>
                <w:color w:val="auto"/>
                <w:szCs w:val="21"/>
                <w:highlight w:val="none"/>
              </w:rPr>
              <w:t>16</w:t>
            </w:r>
            <w:bookmarkStart w:id="72" w:name="_Hlt19693759"/>
            <w:bookmarkStart w:id="73" w:name="_Hlt19194066"/>
            <w:bookmarkStart w:id="74" w:name="_Hlt19693758"/>
            <w:bookmarkStart w:id="75" w:name="_Hlt19194067"/>
            <w:r>
              <w:rPr>
                <w:rFonts w:hint="eastAsia" w:ascii="宋体" w:hAnsi="宋体" w:cs="宋体"/>
                <w:color w:val="auto"/>
                <w:szCs w:val="21"/>
                <w:highlight w:val="none"/>
              </w:rPr>
              <w:t>.</w:t>
            </w:r>
            <w:bookmarkEnd w:id="72"/>
            <w:bookmarkEnd w:id="73"/>
            <w:bookmarkEnd w:id="74"/>
            <w:bookmarkEnd w:id="75"/>
            <w:r>
              <w:rPr>
                <w:rFonts w:hint="eastAsia" w:ascii="宋体" w:hAnsi="宋体" w:cs="宋体"/>
                <w:color w:val="auto"/>
                <w:szCs w:val="21"/>
                <w:highlight w:val="none"/>
              </w:rPr>
              <w:t>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C00764A">
            <w:pPr>
              <w:keepNext w:val="0"/>
              <w:keepLines w:val="0"/>
              <w:pageBreakBefore w:val="0"/>
              <w:widowControl w:val="0"/>
              <w:kinsoku/>
              <w:overflowPunct/>
              <w:topLinePunct w:val="0"/>
              <w:bidi w:val="0"/>
              <w:snapToGrid w:val="0"/>
              <w:spacing w:line="400" w:lineRule="exact"/>
              <w:rPr>
                <w:rFonts w:hint="eastAsia" w:ascii="宋体" w:hAnsi="宋体" w:cs="宋体"/>
                <w:b/>
                <w:i/>
                <w:color w:val="auto"/>
                <w:szCs w:val="21"/>
                <w:highlight w:val="none"/>
              </w:rPr>
            </w:pPr>
            <w:r>
              <w:rPr>
                <w:rFonts w:hint="eastAsia" w:ascii="宋体" w:hAnsi="宋体" w:cs="宋体"/>
                <w:color w:val="auto"/>
                <w:szCs w:val="21"/>
                <w:highlight w:val="none"/>
              </w:rPr>
              <w:t>投标报价是履行合同的最终价格。</w:t>
            </w:r>
          </w:p>
        </w:tc>
      </w:tr>
      <w:tr w14:paraId="451B4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7EA252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6" w:name="_17.1"/>
            <w:bookmarkEnd w:id="76"/>
            <w:r>
              <w:rPr>
                <w:rFonts w:hint="eastAsia" w:ascii="宋体" w:hAnsi="宋体" w:cs="宋体"/>
                <w:color w:val="auto"/>
                <w:szCs w:val="21"/>
                <w:highlight w:val="none"/>
              </w:rPr>
              <w:t>17.2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569E77F">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90</w:t>
            </w:r>
            <w:r>
              <w:rPr>
                <w:rFonts w:hint="eastAsia" w:ascii="宋体" w:hAnsi="宋体" w:cs="宋体"/>
                <w:color w:val="auto"/>
                <w:szCs w:val="21"/>
                <w:highlight w:val="none"/>
              </w:rPr>
              <w:t>日。</w:t>
            </w:r>
          </w:p>
        </w:tc>
      </w:tr>
      <w:tr w14:paraId="640EA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337E49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7" w:name="_18"/>
            <w:bookmarkEnd w:id="77"/>
            <w:r>
              <w:rPr>
                <w:rFonts w:hint="eastAsia" w:ascii="宋体" w:hAnsi="宋体" w:cs="宋体"/>
                <w:color w:val="auto"/>
                <w:szCs w:val="21"/>
                <w:highlight w:val="none"/>
              </w:rPr>
              <w:t>18.1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F6A59E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□本项目不收取投标保证金。</w:t>
            </w:r>
          </w:p>
          <w:p w14:paraId="71E128F8">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eastAsia="宋体" w:cs="宋体"/>
                <w:color w:val="auto"/>
                <w:szCs w:val="21"/>
                <w:highlight w:val="none"/>
              </w:rPr>
              <w:t>本项目收取投标保证金，具体规定</w:t>
            </w:r>
            <w:r>
              <w:rPr>
                <w:rFonts w:hint="eastAsia" w:ascii="宋体" w:hAnsi="宋体" w:eastAsia="宋体" w:cs="宋体"/>
                <w:color w:val="auto"/>
                <w:szCs w:val="21"/>
                <w:highlight w:val="none"/>
                <w:lang w:val="en-US" w:eastAsia="zh-CN"/>
              </w:rPr>
              <w:t>如下：</w:t>
            </w:r>
          </w:p>
          <w:p w14:paraId="74BBEFD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投标保证金人民币 </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lang w:eastAsia="zh-CN"/>
              </w:rPr>
              <w:t>000</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元。</w:t>
            </w:r>
          </w:p>
          <w:p w14:paraId="50C100D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的交纳方式：银行转账、支票、汇票、本票或者金融、担保机构出具的保函（包含电子保函），禁止采用现钞方式。采用银行转账方式的，在投标截止时间前从投标人账户交至指定账户并且到账【开户银行：招商银行南宁分行营业部，开户名称：</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，银行账号：】；采用支票、汇票、本票或者保函等方式的，在投标截止时间前，投标人必须递交单独密封的支票、汇票、本票或者保函原件。否则视为无效投标保证金。</w:t>
            </w:r>
          </w:p>
          <w:p w14:paraId="4B59547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5730671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1.投标保证金采用银行转账交纳方式的，在投标截止时间前交至指定账户并且到账，投标人应将银行转账底单的复印件作为投标保证金提交凭证，放置于商务及技术文件中，</w:t>
            </w:r>
            <w:r>
              <w:rPr>
                <w:rFonts w:hint="eastAsia" w:ascii="宋体" w:hAnsi="宋体" w:eastAsia="宋体" w:cs="宋体"/>
                <w:b/>
                <w:bCs/>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52A0691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银行、保险机构出具的保函（包含电子保函）交纳方式的，投标人应将支票、汇票、本票或者银行、保险机构出具的保函（包含电子保函）的复印件作为投标保证金提交凭证，放置于商务及技术文件中，</w:t>
            </w:r>
            <w:r>
              <w:rPr>
                <w:rFonts w:hint="eastAsia" w:ascii="宋体" w:hAnsi="宋体" w:eastAsia="宋体" w:cs="宋体"/>
                <w:b/>
                <w:bCs/>
                <w:color w:val="auto"/>
                <w:szCs w:val="21"/>
                <w:highlight w:val="none"/>
              </w:rPr>
              <w:t>否则投标无效</w:t>
            </w:r>
            <w:r>
              <w:rPr>
                <w:rFonts w:hint="eastAsia" w:ascii="宋体" w:hAnsi="宋体" w:eastAsia="宋体" w:cs="宋体"/>
                <w:color w:val="auto"/>
                <w:szCs w:val="21"/>
                <w:highlight w:val="none"/>
              </w:rPr>
              <w:t>。投标人必须在投标截止时间前采用现场或邮寄方式（现场提交地址：广西壮族自治区公共资源交易中心（广西南宁市青秀区</w:t>
            </w:r>
            <w:r>
              <w:rPr>
                <w:rFonts w:hint="eastAsia" w:ascii="宋体" w:hAnsi="宋体" w:eastAsia="宋体" w:cs="宋体"/>
                <w:color w:val="auto"/>
                <w:szCs w:val="21"/>
                <w:highlight w:val="none"/>
                <w:lang w:eastAsia="zh-CN"/>
              </w:rPr>
              <w:t>星湖路22号开标楼</w:t>
            </w:r>
            <w:r>
              <w:rPr>
                <w:rFonts w:hint="eastAsia" w:ascii="宋体" w:hAnsi="宋体" w:eastAsia="宋体" w:cs="宋体"/>
                <w:color w:val="auto"/>
                <w:szCs w:val="21"/>
                <w:highlight w:val="none"/>
              </w:rPr>
              <w:t>）（具体根据开标当日电子屏幕显示的安排）；邮寄地址：</w:t>
            </w:r>
            <w:r>
              <w:rPr>
                <w:rFonts w:hint="eastAsia" w:ascii="宋体" w:hAnsi="宋体" w:eastAsia="宋体" w:cs="宋体"/>
                <w:color w:val="auto"/>
                <w:szCs w:val="21"/>
                <w:highlight w:val="none"/>
                <w:lang w:eastAsia="zh-CN"/>
              </w:rPr>
              <w:t>南宁市青秀区枫林路18号广西国控集团（枫林路办公区）裙楼三层</w:t>
            </w: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lang w:val="en-US" w:eastAsia="zh-CN"/>
              </w:rPr>
              <w:t>王剑</w:t>
            </w:r>
            <w:r>
              <w:rPr>
                <w:rFonts w:hint="eastAsia" w:ascii="宋体" w:hAnsi="宋体" w:eastAsia="宋体" w:cs="宋体"/>
                <w:color w:val="auto"/>
                <w:szCs w:val="21"/>
                <w:highlight w:val="none"/>
              </w:rPr>
              <w:t>，联系方式：0771-</w:t>
            </w:r>
            <w:r>
              <w:rPr>
                <w:rFonts w:hint="eastAsia" w:ascii="宋体" w:hAnsi="宋体" w:eastAsia="宋体" w:cs="宋体"/>
                <w:color w:val="auto"/>
                <w:szCs w:val="21"/>
                <w:highlight w:val="none"/>
                <w:lang w:val="en-US" w:eastAsia="zh-CN"/>
              </w:rPr>
              <w:t>5824250</w:t>
            </w:r>
            <w:r>
              <w:rPr>
                <w:rFonts w:hint="eastAsia" w:ascii="宋体" w:hAnsi="宋体" w:eastAsia="宋体" w:cs="宋体"/>
                <w:color w:val="auto"/>
                <w:szCs w:val="21"/>
                <w:highlight w:val="none"/>
              </w:rPr>
              <w:t>）将单独密封的支票、汇票、本票或者银行、保险机构出具的保函原件提交给采购人或者采购代理机构，未按时提交的，投标无效，由采购人或者采购代理机构向投标人出具回执（邮寄方式的除外），并妥善保管。</w:t>
            </w:r>
          </w:p>
          <w:p w14:paraId="72B1B52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投标人为联合体的，可以由联合体中的一方或者多方共同交纳投标保证金，其交纳的保证金对联合体各方均具有约束力。</w:t>
            </w:r>
          </w:p>
          <w:p w14:paraId="6A5CE58D">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备注： </w:t>
            </w:r>
          </w:p>
          <w:p w14:paraId="23D08E7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1.投标保证金在投标截止时间后提交的，或者不按规定交纳方式交纳的，或者未足额交纳的（包含保函额度不足的），视为无效投标保证金。</w:t>
            </w:r>
          </w:p>
          <w:p w14:paraId="27F52B4F">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2.投标人采用现钞方式或者从个人账户（自然人投标除外）转出的投标保证金，视为无效投标保证金。</w:t>
            </w:r>
          </w:p>
          <w:p w14:paraId="7491FE4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3.支票、汇票或者本票出现无效或者背书情形的，视为无效投标保证金。</w:t>
            </w:r>
          </w:p>
          <w:p w14:paraId="74630C2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4.保函有效期低于投标有效期的，视为无效投标保证金。</w:t>
            </w:r>
          </w:p>
          <w:p w14:paraId="1629E5CE">
            <w:pPr>
              <w:keepNext w:val="0"/>
              <w:keepLines w:val="0"/>
              <w:pageBreakBefore w:val="0"/>
              <w:widowControl w:val="0"/>
              <w:kinsoku/>
              <w:overflowPunct/>
              <w:topLinePunct w:val="0"/>
              <w:bidi w:val="0"/>
              <w:snapToGrid w:val="0"/>
              <w:spacing w:line="400" w:lineRule="exact"/>
              <w:ind w:firstLine="420" w:firstLineChars="200"/>
              <w:rPr>
                <w:rFonts w:hint="eastAsia"/>
                <w:color w:val="auto"/>
                <w:highlight w:val="none"/>
              </w:rPr>
            </w:pPr>
            <w:r>
              <w:rPr>
                <w:rFonts w:hint="eastAsia" w:ascii="宋体" w:hAnsi="宋体" w:eastAsia="宋体" w:cs="宋体"/>
                <w:b/>
                <w:bCs/>
                <w:color w:val="auto"/>
                <w:szCs w:val="21"/>
                <w:highlight w:val="none"/>
              </w:rPr>
              <w:t>5.采用银行、保险机构出具保函的，必须为无条件保函，否则视为无效投标保证金。</w:t>
            </w:r>
          </w:p>
        </w:tc>
      </w:tr>
      <w:tr w14:paraId="491A8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93"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5DD78DE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8" w:name="_19.2"/>
            <w:bookmarkEnd w:id="78"/>
            <w:bookmarkStart w:id="79" w:name="_21.1"/>
            <w:bookmarkEnd w:id="79"/>
            <w:r>
              <w:rPr>
                <w:rFonts w:hint="eastAsia" w:ascii="宋体" w:hAnsi="宋体" w:cs="宋体"/>
                <w:color w:val="auto"/>
                <w:szCs w:val="21"/>
                <w:highlight w:val="none"/>
              </w:rPr>
              <w:t>20</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BBE4EF6">
            <w:pPr>
              <w:keepNext w:val="0"/>
              <w:keepLines w:val="0"/>
              <w:pageBreakBefore w:val="0"/>
              <w:widowControl w:val="0"/>
              <w:kinsoku/>
              <w:overflowPunct/>
              <w:topLinePunct w:val="0"/>
              <w:autoSpaceDE w:val="0"/>
              <w:autoSpaceDN w:val="0"/>
              <w:bidi w:val="0"/>
              <w:adjustRightIn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本项目不接受电子备份投标文件 </w:t>
            </w:r>
          </w:p>
        </w:tc>
      </w:tr>
      <w:tr w14:paraId="4D546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7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4024167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86C1EDF">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1.提交投标文件截止时间：详见招标公告</w:t>
            </w:r>
          </w:p>
          <w:p w14:paraId="58601536">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2.投标地点：详见招标公告</w:t>
            </w:r>
          </w:p>
        </w:tc>
      </w:tr>
      <w:tr w14:paraId="7D7F0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83E402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0" w:name="_23"/>
            <w:bookmarkEnd w:id="80"/>
            <w:r>
              <w:rPr>
                <w:rFonts w:hint="eastAsia" w:ascii="宋体" w:hAnsi="宋体" w:cs="宋体"/>
                <w:color w:val="auto"/>
                <w:szCs w:val="21"/>
                <w:highlight w:val="none"/>
              </w:rPr>
              <w:t>23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191CE6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1.开标时间：详见招标公告</w:t>
            </w:r>
          </w:p>
          <w:p w14:paraId="6C702DD0">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2.开标地点：详见招标公告</w:t>
            </w:r>
          </w:p>
        </w:tc>
      </w:tr>
      <w:tr w14:paraId="40D9AE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58AD45A">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24.3（1）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3B80111">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3FC55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F249F3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1" w:name="_25.3"/>
            <w:bookmarkEnd w:id="81"/>
            <w:r>
              <w:rPr>
                <w:rFonts w:hint="eastAsia" w:ascii="宋体" w:hAnsi="宋体" w:cs="宋体"/>
                <w:color w:val="auto"/>
                <w:szCs w:val="21"/>
                <w:highlight w:val="none"/>
              </w:rPr>
              <w:t>25.3（2）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BFFFDB3">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2A8F1A08">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查询渠道：“信用中国”网站（www.creditchina.gov.cn）、中国政府采购网（www.ccgp.gov.cn）。</w:t>
            </w:r>
          </w:p>
          <w:p w14:paraId="6E4BD349">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61633E9E">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）作为附件上传保存。</w:t>
            </w:r>
          </w:p>
          <w:p w14:paraId="2D4022FB">
            <w:pPr>
              <w:keepNext w:val="0"/>
              <w:keepLines w:val="0"/>
              <w:pageBreakBefore w:val="0"/>
              <w:widowControl w:val="0"/>
              <w:kinsoku/>
              <w:wordWrap w:val="0"/>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或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622E6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0F9758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2" w:name="_26"/>
            <w:bookmarkEnd w:id="82"/>
            <w:r>
              <w:rPr>
                <w:rFonts w:hint="eastAsia" w:ascii="宋体" w:hAnsi="宋体" w:cs="宋体"/>
                <w:color w:val="auto"/>
                <w:szCs w:val="21"/>
                <w:highlight w:val="none"/>
              </w:rPr>
              <w:t>26.1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6656C60">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评标委员会的人数：</w:t>
            </w:r>
            <w:r>
              <w:rPr>
                <w:rFonts w:hint="eastAsia" w:ascii="宋体" w:hAnsi="宋体" w:cs="宋体"/>
                <w:color w:val="auto"/>
                <w:szCs w:val="21"/>
                <w:highlight w:val="none"/>
                <w:u w:val="single"/>
              </w:rPr>
              <w:t>5</w:t>
            </w:r>
            <w:r>
              <w:rPr>
                <w:rFonts w:hint="eastAsia" w:ascii="宋体" w:hAnsi="宋体" w:cs="宋体"/>
                <w:color w:val="auto"/>
                <w:szCs w:val="21"/>
                <w:highlight w:val="none"/>
              </w:rPr>
              <w:t>人</w:t>
            </w:r>
          </w:p>
        </w:tc>
      </w:tr>
      <w:tr w14:paraId="4C07A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8E88DA2">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3" w:name="_28.3"/>
            <w:bookmarkEnd w:id="83"/>
            <w:r>
              <w:rPr>
                <w:rFonts w:hint="eastAsia" w:ascii="宋体" w:hAnsi="宋体" w:cs="宋体"/>
                <w:color w:val="auto"/>
                <w:szCs w:val="21"/>
                <w:highlight w:val="none"/>
              </w:rPr>
              <w:t>29.1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F83A137">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评标方法：综合评分法</w:t>
            </w:r>
          </w:p>
        </w:tc>
      </w:tr>
      <w:tr w14:paraId="77960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52C0354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4" w:name="_29.2.2（2）"/>
            <w:bookmarkEnd w:id="84"/>
            <w:r>
              <w:rPr>
                <w:rFonts w:hint="eastAsia" w:ascii="宋体" w:hAnsi="宋体" w:cs="宋体"/>
                <w:color w:val="auto"/>
                <w:szCs w:val="21"/>
                <w:highlight w:val="none"/>
              </w:rPr>
              <w:t>29.2</w:t>
            </w:r>
          </w:p>
        </w:tc>
        <w:tc>
          <w:tcPr>
            <w:tcW w:w="8175" w:type="dxa"/>
            <w:tcBorders>
              <w:top w:val="single" w:color="auto" w:sz="4" w:space="0"/>
              <w:left w:val="single" w:color="auto" w:sz="4" w:space="0"/>
              <w:right w:val="single" w:color="auto" w:sz="4" w:space="0"/>
            </w:tcBorders>
            <w:noWrap w:val="0"/>
            <w:vAlign w:val="center"/>
          </w:tcPr>
          <w:p w14:paraId="46AFE5F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60E79121">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1B3AB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978" w:type="dxa"/>
            <w:tcBorders>
              <w:top w:val="single" w:color="auto" w:sz="4" w:space="0"/>
              <w:left w:val="single" w:color="auto" w:sz="4" w:space="0"/>
              <w:right w:val="single" w:color="auto" w:sz="4" w:space="0"/>
            </w:tcBorders>
            <w:noWrap w:val="0"/>
            <w:vAlign w:val="center"/>
          </w:tcPr>
          <w:p w14:paraId="101C76FA">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29.3</w:t>
            </w:r>
          </w:p>
        </w:tc>
        <w:tc>
          <w:tcPr>
            <w:tcW w:w="8175" w:type="dxa"/>
            <w:tcBorders>
              <w:top w:val="single" w:color="auto" w:sz="4" w:space="0"/>
              <w:left w:val="single" w:color="auto" w:sz="4" w:space="0"/>
              <w:right w:val="single" w:color="auto" w:sz="4" w:space="0"/>
            </w:tcBorders>
            <w:noWrap w:val="0"/>
            <w:vAlign w:val="center"/>
          </w:tcPr>
          <w:p w14:paraId="48F44C10">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中标候选人推荐数量：</w:t>
            </w:r>
            <w:r>
              <w:rPr>
                <w:rFonts w:hint="eastAsia" w:ascii="宋体" w:hAnsi="宋体" w:cs="宋体"/>
                <w:color w:val="auto"/>
                <w:szCs w:val="21"/>
                <w:highlight w:val="none"/>
                <w:u w:val="single"/>
              </w:rPr>
              <w:t>3</w:t>
            </w:r>
            <w:r>
              <w:rPr>
                <w:rFonts w:hint="eastAsia" w:ascii="宋体" w:hAnsi="宋体" w:cs="宋体"/>
                <w:color w:val="auto"/>
                <w:szCs w:val="21"/>
                <w:highlight w:val="none"/>
              </w:rPr>
              <w:t>名</w:t>
            </w:r>
          </w:p>
        </w:tc>
      </w:tr>
      <w:tr w14:paraId="494ED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CEA80F8">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30.1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0FFF2A9">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采用综合评分法的采购项目，采购人确定中标人时，出现中标候选人并列的情形，采购人按以下的方式确定中标人：</w:t>
            </w:r>
            <w:r>
              <w:rPr>
                <w:rFonts w:hint="eastAsia" w:ascii="宋体" w:hAnsi="宋体" w:cs="宋体"/>
                <w:iCs/>
                <w:color w:val="auto"/>
                <w:szCs w:val="21"/>
                <w:highlight w:val="none"/>
              </w:rPr>
              <w:t>依次按投标报价低的优先、投标报价评分得分高的优先、服务方案评分高的顺序确定；按上述方式无法确定的，由采购人随机抽取。</w:t>
            </w:r>
          </w:p>
        </w:tc>
      </w:tr>
      <w:tr w14:paraId="388D2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60"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82F17E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5" w:name="_39.1"/>
            <w:bookmarkEnd w:id="85"/>
            <w:r>
              <w:rPr>
                <w:rFonts w:hint="eastAsia" w:ascii="宋体" w:hAnsi="宋体" w:cs="宋体"/>
                <w:color w:val="auto"/>
                <w:szCs w:val="21"/>
                <w:highlight w:val="none"/>
              </w:rPr>
              <w:t>35.1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CEF8797">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本项目不收取履约保证金。</w:t>
            </w:r>
          </w:p>
          <w:p w14:paraId="70268901">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eastAsia="宋体" w:cs="宋体"/>
                <w:iCs/>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本项目收取履约保证金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rPr>
              <w:t>具体规定详见第</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章《</w:t>
            </w:r>
            <w:r>
              <w:rPr>
                <w:rFonts w:hint="eastAsia" w:ascii="宋体" w:hAnsi="宋体" w:cs="宋体"/>
                <w:color w:val="auto"/>
                <w:szCs w:val="21"/>
                <w:highlight w:val="none"/>
                <w:lang w:val="en-US" w:eastAsia="zh-CN"/>
              </w:rPr>
              <w:t>采购需求</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商务要求</w:t>
            </w:r>
            <w:r>
              <w:rPr>
                <w:rFonts w:hint="eastAsia" w:ascii="宋体" w:hAnsi="宋体" w:cs="宋体"/>
                <w:color w:val="auto"/>
                <w:szCs w:val="21"/>
                <w:highlight w:val="none"/>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履约</w:t>
            </w:r>
            <w:r>
              <w:rPr>
                <w:rFonts w:hint="eastAsia" w:ascii="宋体" w:hAnsi="宋体" w:cs="宋体"/>
                <w:color w:val="auto"/>
                <w:szCs w:val="21"/>
                <w:highlight w:val="none"/>
              </w:rPr>
              <w:t>保证金”的要求。</w:t>
            </w:r>
          </w:p>
          <w:p w14:paraId="3BDBBF60">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备注：</w:t>
            </w:r>
          </w:p>
          <w:p w14:paraId="3F592CB2">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1. 根据《广西壮族自治区财政厅关于贯彻落实政府采购优化营商环境百日攻坚行动方案的通知》（桂财采〔2020〕49号）规定、广西壮族自治区财政厅关于规范政府采购货物和服务项目保证金管理的通知（桂财规〔2022〕8号 ）和《广西壮族自治区财政厅关于持续优化政府采购营商环境推动高质量发展的通知》（桂财采〔2024〕55 号），采购文件要求中标或者中标人提交履约保证金的，履约保证金数额不得超过政府采购合同金额的5%，对中小企业收取的履约保证金数额不得超过政府采购合同金额的2%。采购人可根据供应商的资信等情况减免履约保证金。</w:t>
            </w:r>
          </w:p>
          <w:p w14:paraId="2E5B0B74">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A6911C6">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3.采用银行、保险机构出具的保函的，必须为无条件保函，否则不予签订合同。</w:t>
            </w:r>
          </w:p>
          <w:p w14:paraId="1A33595F">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b/>
                <w:iCs/>
                <w:color w:val="auto"/>
                <w:szCs w:val="21"/>
                <w:highlight w:val="none"/>
              </w:rPr>
              <w:t>4.投标人为联合体的，由联合体其中一方按规定提交的履约保证金，视为有效履约保证金。</w:t>
            </w:r>
          </w:p>
        </w:tc>
      </w:tr>
      <w:tr w14:paraId="63CB1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C362143">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6" w:name="_40.1"/>
            <w:bookmarkEnd w:id="86"/>
            <w:r>
              <w:rPr>
                <w:rFonts w:hint="eastAsia" w:ascii="宋体" w:hAnsi="宋体" w:cs="宋体"/>
                <w:color w:val="auto"/>
                <w:szCs w:val="21"/>
                <w:highlight w:val="none"/>
              </w:rPr>
              <w:t>36.1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15D78CD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签订合同携带的证明材料：</w:t>
            </w:r>
          </w:p>
          <w:p w14:paraId="33FA952E">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2149C883">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3BBC4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1A598A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38.2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2509BC5">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2716EF8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质疑联系部门及联系方式：</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0771-5824250</w:t>
            </w:r>
            <w:r>
              <w:rPr>
                <w:rFonts w:hint="eastAsia" w:ascii="宋体" w:hAnsi="宋体" w:cs="宋体"/>
                <w:color w:val="auto"/>
                <w:szCs w:val="21"/>
                <w:highlight w:val="none"/>
              </w:rPr>
              <w:t>，通讯地址：</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w:t>
            </w:r>
            <w:r>
              <w:rPr>
                <w:rFonts w:hint="eastAsia" w:ascii="宋体" w:hAnsi="宋体" w:cs="宋体"/>
                <w:color w:val="auto"/>
                <w:szCs w:val="21"/>
                <w:highlight w:val="none"/>
                <w:lang w:eastAsia="zh-CN"/>
              </w:rPr>
              <w:t>广西南宁市青秀区枫林路18号广西国控大厦（枫林路办公区）裙楼三楼</w:t>
            </w:r>
            <w:r>
              <w:rPr>
                <w:rFonts w:hint="eastAsia" w:ascii="宋体" w:hAnsi="宋体" w:cs="宋体"/>
                <w:color w:val="auto"/>
                <w:szCs w:val="21"/>
                <w:highlight w:val="none"/>
              </w:rPr>
              <w:t>）</w:t>
            </w:r>
          </w:p>
          <w:p w14:paraId="5787498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业务时间：工作日每天上午8时30分到12时00分，下午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0分到</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w:t>
            </w:r>
          </w:p>
        </w:tc>
      </w:tr>
      <w:tr w14:paraId="02527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68C520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7" w:name="_42"/>
            <w:bookmarkEnd w:id="87"/>
            <w:bookmarkStart w:id="88" w:name="_41"/>
            <w:bookmarkEnd w:id="88"/>
            <w:bookmarkStart w:id="89" w:name="_Hlt17709148"/>
            <w:r>
              <w:rPr>
                <w:rFonts w:hint="eastAsia" w:ascii="宋体" w:hAnsi="宋体" w:cs="宋体"/>
                <w:color w:val="auto"/>
                <w:szCs w:val="21"/>
                <w:highlight w:val="none"/>
              </w:rPr>
              <w:t>3</w:t>
            </w:r>
            <w:bookmarkEnd w:id="89"/>
            <w:r>
              <w:rPr>
                <w:rFonts w:hint="eastAsia" w:ascii="宋体" w:hAnsi="宋体" w:cs="宋体"/>
                <w:color w:val="auto"/>
                <w:szCs w:val="21"/>
                <w:highlight w:val="none"/>
              </w:rPr>
              <w:t>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177E913">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1.采购代理费支付方式：本项目代理服务费由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62D5C4FC">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2.采购代理费收取标准：</w:t>
            </w:r>
          </w:p>
          <w:p w14:paraId="4F91ABAE">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以中标金额为计费额，按本须知正文第39.1条规定的收费计算标准（服务类）采用差额定率累进法计算出收费基准价格，采购代理收费以收费</w:t>
            </w:r>
            <w:r>
              <w:rPr>
                <w:rFonts w:hint="eastAsia" w:hAnsi="宋体" w:cs="宋体"/>
                <w:color w:val="auto"/>
                <w:highlight w:val="none"/>
                <w:lang w:val="en-US" w:eastAsia="zh-CN"/>
              </w:rPr>
              <w:t>标准</w:t>
            </w:r>
            <w:r>
              <w:rPr>
                <w:rFonts w:hint="eastAsia" w:hAnsi="宋体" w:cs="宋体"/>
                <w:color w:val="auto"/>
                <w:highlight w:val="none"/>
              </w:rPr>
              <w:t>收取。</w:t>
            </w:r>
          </w:p>
          <w:p w14:paraId="22E9969C">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3.账户名称：</w:t>
            </w:r>
            <w:r>
              <w:rPr>
                <w:rFonts w:hint="eastAsia" w:ascii="宋体" w:hAnsi="宋体" w:cs="宋体"/>
                <w:color w:val="auto"/>
                <w:kern w:val="0"/>
                <w:szCs w:val="21"/>
                <w:highlight w:val="none"/>
                <w:lang w:eastAsia="zh-CN"/>
              </w:rPr>
              <w:t>广西建设工程机电设备招标中心有限公司</w:t>
            </w:r>
          </w:p>
          <w:p w14:paraId="4562FCC0">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lang w:eastAsia="zh-CN"/>
              </w:rPr>
            </w:pPr>
            <w:r>
              <w:rPr>
                <w:rFonts w:hint="eastAsia" w:hAnsi="宋体" w:cs="宋体"/>
                <w:color w:val="auto"/>
                <w:highlight w:val="none"/>
              </w:rPr>
              <w:t>银行账号：</w:t>
            </w:r>
          </w:p>
          <w:p w14:paraId="718FC651">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开户银行：</w:t>
            </w:r>
            <w:r>
              <w:rPr>
                <w:rFonts w:hint="eastAsia" w:hAnsi="宋体" w:cs="宋体"/>
                <w:color w:val="auto"/>
                <w:highlight w:val="none"/>
                <w:lang w:eastAsia="zh-CN"/>
              </w:rPr>
              <w:t>招商银行南宁分行营业部</w:t>
            </w:r>
          </w:p>
        </w:tc>
      </w:tr>
      <w:tr w14:paraId="1EFCC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089CD82">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19844C4">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CD26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4A78756">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12D1421">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46B75C6">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2.本招标文件所称的“</w:t>
            </w:r>
            <w:r>
              <w:rPr>
                <w:rFonts w:hint="eastAsia" w:hAnsi="宋体" w:cs="宋体"/>
                <w:color w:val="auto"/>
                <w:highlight w:val="none"/>
              </w:rPr>
              <w:t>电子签章</w:t>
            </w:r>
            <w:r>
              <w:rPr>
                <w:rFonts w:hint="eastAsia" w:hAnsi="宋体" w:cs="宋体"/>
                <w:bCs/>
                <w:color w:val="auto"/>
                <w:highlight w:val="none"/>
              </w:rPr>
              <w:t>”、“电子签名”</w:t>
            </w:r>
            <w:r>
              <w:rPr>
                <w:rFonts w:hint="eastAsia" w:hAnsi="宋体" w:cs="宋体"/>
                <w:color w:val="auto"/>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45BBCA44">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374D301">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2FF9C128">
            <w:pPr>
              <w:keepNext w:val="0"/>
              <w:keepLines w:val="0"/>
              <w:pageBreakBefore w:val="0"/>
              <w:widowControl w:val="0"/>
              <w:kinsoku/>
              <w:overflowPunct/>
              <w:topLinePunct w:val="0"/>
              <w:bidi w:val="0"/>
              <w:spacing w:line="400" w:lineRule="exact"/>
              <w:jc w:val="left"/>
              <w:rPr>
                <w:rFonts w:hint="eastAsia"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bCs/>
                <w:color w:val="auto"/>
                <w:kern w:val="0"/>
                <w:szCs w:val="21"/>
                <w:highlight w:val="none"/>
              </w:rPr>
              <w:t>本招标文件所称的“以上”“以下”“以内”“届满”，包括本数；所称的“不满”“超过”“以外”，不包括本数。</w:t>
            </w:r>
          </w:p>
        </w:tc>
      </w:tr>
    </w:tbl>
    <w:p w14:paraId="0303A2CC">
      <w:pPr>
        <w:snapToGrid w:val="0"/>
        <w:rPr>
          <w:rFonts w:hint="eastAsia" w:ascii="宋体" w:hAnsi="宋体" w:cs="宋体"/>
          <w:color w:val="auto"/>
          <w:sz w:val="24"/>
          <w:szCs w:val="20"/>
          <w:highlight w:val="none"/>
        </w:rPr>
      </w:pPr>
    </w:p>
    <w:p w14:paraId="1A5F149D">
      <w:pPr>
        <w:snapToGrid w:val="0"/>
        <w:rPr>
          <w:rFonts w:hint="eastAsia" w:ascii="宋体" w:hAnsi="宋体" w:cs="宋体"/>
          <w:color w:val="auto"/>
          <w:sz w:val="24"/>
          <w:szCs w:val="20"/>
          <w:highlight w:val="none"/>
        </w:rPr>
      </w:pPr>
    </w:p>
    <w:p w14:paraId="2AF86159">
      <w:pPr>
        <w:pStyle w:val="4"/>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90" w:name="_Toc4106"/>
      <w:bookmarkStart w:id="91" w:name="_Toc21607"/>
      <w:bookmarkStart w:id="92" w:name="_Toc978"/>
      <w:r>
        <w:rPr>
          <w:rFonts w:hint="eastAsia" w:ascii="宋体" w:hAnsi="宋体" w:eastAsia="宋体" w:cs="宋体"/>
          <w:color w:val="auto"/>
          <w:highlight w:val="none"/>
        </w:rPr>
        <w:t>投标人须知正文</w:t>
      </w:r>
      <w:bookmarkEnd w:id="90"/>
      <w:bookmarkEnd w:id="91"/>
      <w:bookmarkEnd w:id="92"/>
    </w:p>
    <w:p w14:paraId="360D546E">
      <w:pPr>
        <w:pStyle w:val="5"/>
        <w:keepNext w:val="0"/>
        <w:keepLines w:val="0"/>
        <w:jc w:val="center"/>
        <w:rPr>
          <w:rFonts w:hint="eastAsia" w:ascii="宋体" w:hAnsi="宋体" w:cs="宋体"/>
          <w:color w:val="auto"/>
          <w:highlight w:val="none"/>
        </w:rPr>
      </w:pPr>
      <w:bookmarkStart w:id="93" w:name="_Toc7551"/>
      <w:bookmarkStart w:id="94" w:name="_Toc1149"/>
      <w:r>
        <w:rPr>
          <w:rFonts w:hint="eastAsia" w:ascii="宋体" w:hAnsi="宋体" w:cs="宋体"/>
          <w:color w:val="auto"/>
          <w:highlight w:val="none"/>
        </w:rPr>
        <w:t>一、总  则</w:t>
      </w:r>
      <w:bookmarkEnd w:id="93"/>
      <w:bookmarkEnd w:id="94"/>
    </w:p>
    <w:p w14:paraId="44D0119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95" w:name="_Toc254970668"/>
      <w:bookmarkStart w:id="96" w:name="_Toc254970527"/>
      <w:r>
        <w:rPr>
          <w:rFonts w:hint="eastAsia" w:ascii="宋体" w:hAnsi="宋体" w:cs="宋体"/>
          <w:b/>
          <w:color w:val="auto"/>
          <w:sz w:val="24"/>
          <w:highlight w:val="none"/>
        </w:rPr>
        <w:t>1.适用范围</w:t>
      </w:r>
      <w:bookmarkEnd w:id="95"/>
      <w:bookmarkEnd w:id="96"/>
    </w:p>
    <w:p w14:paraId="3D9544F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3670CF4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456CE0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97" w:name="_Toc254970528"/>
      <w:bookmarkStart w:id="98" w:name="_Toc254970669"/>
      <w:r>
        <w:rPr>
          <w:rFonts w:hint="eastAsia" w:ascii="宋体" w:hAnsi="宋体" w:cs="宋体"/>
          <w:b/>
          <w:color w:val="auto"/>
          <w:sz w:val="24"/>
          <w:highlight w:val="none"/>
        </w:rPr>
        <w:t>2.定义</w:t>
      </w:r>
      <w:bookmarkEnd w:id="97"/>
      <w:bookmarkEnd w:id="98"/>
    </w:p>
    <w:p w14:paraId="027FC2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67D461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5AE915D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96C845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18088C1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2.5“服务”是指除货物和工程以外的其他政府采购对象。</w:t>
      </w:r>
    </w:p>
    <w:p w14:paraId="3BC64F0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0F98326">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2.7“实质性要求”是指招标文件中已经指明不满足则投标无效的条款，或者不能负偏离的条款，或者采购需求中带“▲”的条款。</w:t>
      </w:r>
    </w:p>
    <w:p w14:paraId="33A44FA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030DD814">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70DF3E4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99" w:name="_Toc254970529"/>
      <w:bookmarkStart w:id="100" w:name="_Toc254970670"/>
    </w:p>
    <w:p w14:paraId="67DF13E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w:t>
      </w:r>
      <w:bookmarkEnd w:id="99"/>
      <w:bookmarkEnd w:id="100"/>
      <w:r>
        <w:rPr>
          <w:rFonts w:hint="eastAsia" w:ascii="宋体" w:hAnsi="宋体" w:cs="宋体"/>
          <w:b/>
          <w:color w:val="auto"/>
          <w:sz w:val="24"/>
          <w:highlight w:val="none"/>
        </w:rPr>
        <w:t>投标人的资格要求</w:t>
      </w:r>
    </w:p>
    <w:p w14:paraId="4FD16B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340F859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01" w:name="_Toc254970530"/>
      <w:bookmarkStart w:id="102" w:name="_Toc254970671"/>
      <w:r>
        <w:rPr>
          <w:rFonts w:hint="eastAsia" w:ascii="宋体" w:hAnsi="宋体" w:cs="宋体"/>
          <w:b/>
          <w:color w:val="auto"/>
          <w:sz w:val="24"/>
          <w:highlight w:val="none"/>
        </w:rPr>
        <w:t>4.投标委托</w:t>
      </w:r>
      <w:bookmarkEnd w:id="101"/>
      <w:bookmarkEnd w:id="102"/>
    </w:p>
    <w:p w14:paraId="4E55DA4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3B7937E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03" w:name="_5.投标费用"/>
      <w:bookmarkEnd w:id="103"/>
      <w:bookmarkStart w:id="104" w:name="_Toc254970531"/>
      <w:bookmarkStart w:id="105" w:name="_Toc254970672"/>
      <w:r>
        <w:rPr>
          <w:rFonts w:hint="eastAsia" w:ascii="宋体" w:hAnsi="宋体" w:cs="宋体"/>
          <w:b/>
          <w:color w:val="auto"/>
          <w:sz w:val="24"/>
          <w:highlight w:val="none"/>
        </w:rPr>
        <w:t>5.投标费用</w:t>
      </w:r>
      <w:bookmarkEnd w:id="104"/>
      <w:bookmarkEnd w:id="105"/>
    </w:p>
    <w:p w14:paraId="070317C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131D6E9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6.联合体投标</w:t>
      </w:r>
    </w:p>
    <w:p w14:paraId="59A37C7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38862D2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7CF19DA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bCs/>
          <w:color w:val="auto"/>
          <w:szCs w:val="21"/>
          <w:highlight w:val="none"/>
        </w:rPr>
        <w:t>6.3</w:t>
      </w:r>
      <w:r>
        <w:rPr>
          <w:rFonts w:hint="eastAsia" w:ascii="宋体" w:hAnsi="宋体" w:cs="宋体"/>
          <w:color w:val="auto"/>
          <w:szCs w:val="21"/>
          <w:highlight w:val="none"/>
        </w:rPr>
        <w:t>根据《政府采购促进中小企业发展管理办法》（财库〔2020〕46号）第九条第二款、《财政部关于进一步加大政府采购支持中小企业力度的通知》（财库〔2022〕19号）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p>
    <w:p w14:paraId="27F441C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7.转包与分包</w:t>
      </w:r>
    </w:p>
    <w:p w14:paraId="23B3397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06" w:name="_Toc254970673"/>
      <w:bookmarkStart w:id="107" w:name="_Toc254970532"/>
      <w:r>
        <w:rPr>
          <w:rFonts w:hint="eastAsia" w:ascii="宋体" w:hAnsi="宋体" w:cs="宋体"/>
          <w:color w:val="auto"/>
          <w:szCs w:val="21"/>
          <w:highlight w:val="none"/>
        </w:rPr>
        <w:t>7.1本项目不允许转包。</w:t>
      </w:r>
    </w:p>
    <w:p w14:paraId="7B0B12B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3FADF19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483A58F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8.特别说明</w:t>
      </w:r>
      <w:bookmarkEnd w:id="106"/>
      <w:bookmarkEnd w:id="107"/>
    </w:p>
    <w:p w14:paraId="0EC9A7D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8.1如果本招标文件要求提供投标人或制造商的资格、信誉、荣誉、业绩与企业认证等材料的，资格、信誉、荣誉、业绩与企业认证等必须为投标人或者制造商所拥有或自身获得 。</w:t>
      </w:r>
    </w:p>
    <w:p w14:paraId="1BDE908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8.2投标人应仔细阅读招标文件的所有内容，按照招标文件的要求提交投标文件，并对所提供的全部资料的真实性承担法律责任。</w:t>
      </w:r>
    </w:p>
    <w:p w14:paraId="71AA2C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153A54B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9.回避与串通投标</w:t>
      </w:r>
    </w:p>
    <w:p w14:paraId="628FC75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9.1在政府采购活动中，采购人员及相关人员与供应商有下列利害关系之一的，应当回避：</w:t>
      </w:r>
    </w:p>
    <w:p w14:paraId="67D24C1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77E6C1B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64A13E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794864F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5002E6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693686F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EF39C8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9.2有下列情形之一的视为投标人相互串通投标，投标文件将被视为无效：</w:t>
      </w:r>
    </w:p>
    <w:p w14:paraId="0A612D0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（1）不同投标人的投标文件由同一单位或者个人编制；或者不同投标人报名的IP地址一致的；或者编制标书硬件设备CPU编号、硬盘编号、网卡地址一致的情况。</w:t>
      </w:r>
    </w:p>
    <w:p w14:paraId="37EA23F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（2）不同投标人委托同一单位或者个人办理投标事宜；</w:t>
      </w:r>
    </w:p>
    <w:p w14:paraId="03C7542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（3）不同的投标人的投标文件载明的项目管理员为同一个人；</w:t>
      </w:r>
    </w:p>
    <w:p w14:paraId="10D060F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（4）不同投标人的投标文件异常一致或者投标报价呈规律性差异；</w:t>
      </w:r>
    </w:p>
    <w:p w14:paraId="74B64197">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（5）不同投标人的投标文件相互混装；</w:t>
      </w:r>
    </w:p>
    <w:p w14:paraId="6D4818C7">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（6）不同投标人的投标保证金从同一单位或者个人账户转出。</w:t>
      </w:r>
    </w:p>
    <w:p w14:paraId="692AC28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4AB2338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14:paraId="7368FDF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14:paraId="2B9EB03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14:paraId="23932A3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0C84B0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2DF7EBF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14:paraId="2FEA891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14:paraId="0652FCDD">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08" w:name="_Toc254970534"/>
      <w:bookmarkStart w:id="109" w:name="_Toc30666"/>
      <w:bookmarkStart w:id="110" w:name="_Toc16733"/>
      <w:bookmarkStart w:id="111" w:name="_Toc254970675"/>
      <w:r>
        <w:rPr>
          <w:rFonts w:hint="eastAsia" w:ascii="宋体" w:hAnsi="宋体" w:cs="宋体"/>
          <w:color w:val="auto"/>
          <w:highlight w:val="none"/>
        </w:rPr>
        <w:t>二、招标文件</w:t>
      </w:r>
      <w:bookmarkEnd w:id="108"/>
      <w:bookmarkEnd w:id="109"/>
      <w:bookmarkEnd w:id="110"/>
      <w:bookmarkEnd w:id="111"/>
    </w:p>
    <w:p w14:paraId="7172CD7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10.招标文件的组成</w:t>
      </w:r>
    </w:p>
    <w:p w14:paraId="723F0006">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（1）招标公告；</w:t>
      </w:r>
    </w:p>
    <w:p w14:paraId="53CE8293">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（2）采购需求； </w:t>
      </w:r>
    </w:p>
    <w:p w14:paraId="47C6E36C">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3A323153">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09A9FC31">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5F23475E">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02F121E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11.招标文件的澄清、修改 、现场考察和答疑会</w:t>
      </w:r>
    </w:p>
    <w:p w14:paraId="7A5D801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446142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2F4559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highlight w:val="none"/>
        </w:rPr>
      </w:pPr>
      <w:r>
        <w:rPr>
          <w:rFonts w:hint="eastAsia" w:hAnsi="宋体" w:cs="宋体"/>
          <w:color w:val="auto"/>
          <w:highlight w:val="none"/>
        </w:rPr>
        <w:t>11.2</w:t>
      </w:r>
      <w:bookmarkStart w:id="112" w:name="_Hlk53134511"/>
      <w:r>
        <w:rPr>
          <w:rFonts w:hint="eastAsia" w:hAnsi="宋体" w:cs="宋体"/>
          <w:color w:val="auto"/>
          <w:highlight w:val="none"/>
        </w:rPr>
        <w:t>采购人或者采购代理机构可以在招标文件提供期限截止后，组织已获取招标文件的潜在投标人现场考察或者召开开标前答疑会，具体详见“投标人须知前附表”。</w:t>
      </w:r>
      <w:bookmarkEnd w:id="112"/>
      <w:bookmarkStart w:id="113" w:name="_Toc254970535"/>
      <w:bookmarkStart w:id="114" w:name="_Toc28609"/>
      <w:bookmarkStart w:id="115" w:name="_Toc254970676"/>
      <w:bookmarkStart w:id="116" w:name="_Toc11493"/>
    </w:p>
    <w:p w14:paraId="05E4830D">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r>
        <w:rPr>
          <w:rFonts w:hint="eastAsia" w:ascii="宋体" w:hAnsi="宋体" w:cs="宋体"/>
          <w:color w:val="auto"/>
          <w:highlight w:val="none"/>
        </w:rPr>
        <w:t>三、投标文件的编制</w:t>
      </w:r>
      <w:bookmarkEnd w:id="113"/>
      <w:bookmarkEnd w:id="114"/>
      <w:bookmarkEnd w:id="115"/>
      <w:bookmarkEnd w:id="116"/>
    </w:p>
    <w:p w14:paraId="4390D57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17" w:name="_Toc254970677"/>
      <w:bookmarkStart w:id="118" w:name="_Toc254970536"/>
      <w:r>
        <w:rPr>
          <w:rFonts w:hint="eastAsia" w:ascii="宋体" w:hAnsi="宋体" w:cs="宋体"/>
          <w:b/>
          <w:color w:val="auto"/>
          <w:sz w:val="24"/>
          <w:highlight w:val="none"/>
        </w:rPr>
        <w:t>12.投标文件的编制原则</w:t>
      </w:r>
    </w:p>
    <w:p w14:paraId="25467F12">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555B5F8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13.投标文件的组成</w:t>
      </w:r>
      <w:bookmarkEnd w:id="117"/>
      <w:bookmarkEnd w:id="118"/>
    </w:p>
    <w:p w14:paraId="44593AF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投标文件由报价文件、资格证明文件、商务及技术文件三部分组成。</w:t>
      </w:r>
    </w:p>
    <w:p w14:paraId="1633D26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19" w:name="_13.1报价文件:_具体材料见“投标人须知前附表”。"/>
      <w:bookmarkEnd w:id="119"/>
      <w:r>
        <w:rPr>
          <w:rFonts w:hint="eastAsia" w:ascii="宋体" w:hAnsi="宋体" w:cs="宋体"/>
          <w:color w:val="auto"/>
          <w:szCs w:val="21"/>
          <w:highlight w:val="none"/>
        </w:rPr>
        <w:t>（1）报价文件：具体材料见“投标人须知前附表”。</w:t>
      </w:r>
    </w:p>
    <w:p w14:paraId="3F4BDAC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0" w:name="_13.2资格证明文件：具体材料见“投标人须知前附表”。"/>
      <w:bookmarkEnd w:id="120"/>
      <w:r>
        <w:rPr>
          <w:rFonts w:hint="eastAsia" w:ascii="宋体" w:hAnsi="宋体" w:cs="宋体"/>
          <w:color w:val="auto"/>
          <w:szCs w:val="21"/>
          <w:highlight w:val="none"/>
        </w:rPr>
        <w:t>（2）资格证明文件：具体材料见“投标人须知前附表”。</w:t>
      </w:r>
    </w:p>
    <w:p w14:paraId="729DF7D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1" w:name="_13.3商务文件:_具体材料见“投标人须知前附表”。"/>
      <w:bookmarkEnd w:id="121"/>
      <w:r>
        <w:rPr>
          <w:rFonts w:hint="eastAsia" w:ascii="宋体" w:hAnsi="宋体" w:cs="宋体"/>
          <w:color w:val="auto"/>
          <w:szCs w:val="21"/>
          <w:highlight w:val="none"/>
        </w:rPr>
        <w:t>（3）商务及技术文件：具体材料见“投标人须知前附表”。</w:t>
      </w:r>
    </w:p>
    <w:p w14:paraId="7A58667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22" w:name="_13.5投标文件电子版：具体材料见“投标人须知前附表”。"/>
      <w:bookmarkEnd w:id="122"/>
      <w:bookmarkStart w:id="123" w:name="_13.4技术文件：具体材料见“投标人须知前附表”。"/>
      <w:bookmarkEnd w:id="123"/>
      <w:bookmarkStart w:id="124" w:name="_Toc254970678"/>
      <w:bookmarkStart w:id="125" w:name="_Toc254970537"/>
      <w:r>
        <w:rPr>
          <w:rFonts w:hint="eastAsia" w:ascii="宋体" w:hAnsi="宋体" w:cs="宋体"/>
          <w:b/>
          <w:color w:val="auto"/>
          <w:sz w:val="24"/>
          <w:highlight w:val="none"/>
        </w:rPr>
        <w:t>14.投标文件的语言及计量</w:t>
      </w:r>
      <w:bookmarkEnd w:id="124"/>
      <w:bookmarkEnd w:id="125"/>
    </w:p>
    <w:p w14:paraId="67CD4ED6">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14.1语言文字</w:t>
      </w:r>
    </w:p>
    <w:p w14:paraId="7CBBF1F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5E336F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14.2投标计量单位</w:t>
      </w:r>
    </w:p>
    <w:p w14:paraId="7C5B40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
          <w:color w:val="auto"/>
          <w:szCs w:val="21"/>
          <w:highlight w:val="none"/>
        </w:rPr>
        <w:t>否则视同未响应</w:t>
      </w:r>
      <w:r>
        <w:rPr>
          <w:rFonts w:hint="eastAsia" w:ascii="宋体" w:hAnsi="宋体" w:cs="宋体"/>
          <w:color w:val="auto"/>
          <w:szCs w:val="21"/>
          <w:highlight w:val="none"/>
        </w:rPr>
        <w:t>。</w:t>
      </w:r>
    </w:p>
    <w:p w14:paraId="45C51D9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15.投标的风险</w:t>
      </w:r>
    </w:p>
    <w:p w14:paraId="476EC79F">
      <w:pPr>
        <w:pStyle w:val="20"/>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hAnsi="宋体" w:cs="宋体"/>
          <w:color w:val="auto"/>
          <w:highlight w:val="none"/>
        </w:rPr>
      </w:pPr>
      <w:r>
        <w:rPr>
          <w:rFonts w:hint="eastAsia" w:hAnsi="宋体" w:cs="宋体"/>
          <w:color w:val="auto"/>
          <w:highlight w:val="none"/>
        </w:rPr>
        <w:t>投标人没有按照招标文件要求提供全部资料，或者投标人没有对招标文件作出实质性响应是投标人的风险，并可能导致其投标被拒绝。</w:t>
      </w:r>
    </w:p>
    <w:p w14:paraId="3BA94BE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26" w:name="_Toc254970679"/>
      <w:bookmarkStart w:id="127" w:name="_Toc254970538"/>
      <w:r>
        <w:rPr>
          <w:rFonts w:hint="eastAsia" w:ascii="宋体" w:hAnsi="宋体" w:cs="宋体"/>
          <w:b/>
          <w:color w:val="auto"/>
          <w:sz w:val="24"/>
          <w:highlight w:val="none"/>
        </w:rPr>
        <w:t>16.投标报价</w:t>
      </w:r>
      <w:bookmarkEnd w:id="126"/>
      <w:bookmarkEnd w:id="127"/>
    </w:p>
    <w:p w14:paraId="73F08DD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16.1投标报价应按“第六章　投标文件格式”中“开标一览表”格式填写。</w:t>
      </w:r>
    </w:p>
    <w:p w14:paraId="0FFC5D6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8" w:name="_16.2投标报价具体定义见投标人须知前附表。"/>
      <w:bookmarkEnd w:id="128"/>
      <w:r>
        <w:rPr>
          <w:rFonts w:hint="eastAsia" w:ascii="宋体" w:hAnsi="宋体" w:cs="宋体"/>
          <w:color w:val="auto"/>
          <w:szCs w:val="21"/>
          <w:highlight w:val="none"/>
        </w:rPr>
        <w:t>16.2投标报价具体包括内容详见“投标人须知前附表”。</w:t>
      </w:r>
    </w:p>
    <w:p w14:paraId="7250F1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16.3投标人必须就所投每个分标的全部内容分别作完整唯一总价报价，不得存在漏项报价；投标人必须就所投分标的单项内容作唯一报价。</w:t>
      </w:r>
    </w:p>
    <w:p w14:paraId="08EDFEB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17.投标有效期</w:t>
      </w:r>
    </w:p>
    <w:p w14:paraId="2314885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9" w:name="_17.1投标有效期应按“投标人须知中的前附表”规定的期限。"/>
      <w:bookmarkEnd w:id="129"/>
      <w:r>
        <w:rPr>
          <w:rFonts w:hint="eastAsia" w:ascii="宋体" w:hAnsi="宋体" w:cs="宋体"/>
          <w:color w:val="auto"/>
          <w:szCs w:val="21"/>
          <w:highlight w:val="none"/>
        </w:rPr>
        <w:t>17.1投标有效期是指为保证采购人有足够的时间在开标后完成评标、定标、合同签订等工作而要求投标人提交的投标文件在一定时间内保持有效的期限。</w:t>
      </w:r>
    </w:p>
    <w:p w14:paraId="72F944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17.2</w:t>
      </w:r>
      <w:bookmarkStart w:id="130" w:name="_Toc254970540"/>
      <w:bookmarkStart w:id="131" w:name="_Toc254970681"/>
      <w:r>
        <w:rPr>
          <w:rFonts w:hint="eastAsia" w:ascii="宋体" w:hAnsi="宋体" w:cs="宋体"/>
          <w:color w:val="auto"/>
          <w:szCs w:val="21"/>
          <w:highlight w:val="none"/>
        </w:rPr>
        <w:t xml:space="preserve"> 投标有效期应按招标文件规定的期限作出承诺，具体详见“投标人须知前附表”。</w:t>
      </w:r>
      <w:r>
        <w:rPr>
          <w:rFonts w:hint="eastAsia" w:ascii="宋体" w:hAnsi="宋体" w:cs="宋体"/>
          <w:b/>
          <w:color w:val="auto"/>
          <w:szCs w:val="21"/>
          <w:highlight w:val="none"/>
        </w:rPr>
        <w:t>承诺的投标有效期低于招标文件规定期限的，按无效投标处理</w:t>
      </w:r>
      <w:r>
        <w:rPr>
          <w:rFonts w:hint="eastAsia" w:ascii="宋体" w:hAnsi="宋体" w:cs="宋体"/>
          <w:color w:val="auto"/>
          <w:szCs w:val="21"/>
          <w:highlight w:val="none"/>
        </w:rPr>
        <w:t>。</w:t>
      </w:r>
    </w:p>
    <w:p w14:paraId="47E350A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17.3投标人的投标文件在投标有效期内均保持有效。</w:t>
      </w:r>
      <w:bookmarkEnd w:id="130"/>
      <w:bookmarkEnd w:id="131"/>
    </w:p>
    <w:p w14:paraId="23A3310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32" w:name="_18.投标保证金"/>
      <w:bookmarkEnd w:id="132"/>
      <w:bookmarkStart w:id="133" w:name="_Toc254970682"/>
      <w:bookmarkStart w:id="134" w:name="_Toc254970541"/>
      <w:r>
        <w:rPr>
          <w:rFonts w:hint="eastAsia" w:ascii="宋体" w:hAnsi="宋体" w:cs="宋体"/>
          <w:b/>
          <w:color w:val="auto"/>
          <w:sz w:val="24"/>
          <w:highlight w:val="none"/>
        </w:rPr>
        <w:t>18.投标保证金</w:t>
      </w:r>
      <w:bookmarkEnd w:id="133"/>
      <w:bookmarkEnd w:id="134"/>
    </w:p>
    <w:p w14:paraId="5CB1274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18.1投标人须按“投标人须知前附表” 的规定提交投标保证金。</w:t>
      </w:r>
    </w:p>
    <w:p w14:paraId="312541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18.2投标保证金的退还</w:t>
      </w:r>
    </w:p>
    <w:p w14:paraId="0F6D387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未中标人的投标保证金自中标通知书发出之日起5个工作日内退还；中标人的投标保证金自政府采购合同签订之日起5个工作日内退还。 </w:t>
      </w:r>
    </w:p>
    <w:p w14:paraId="684687F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18.3除逾期退还投标保证金和终止招标的情形以外，投标保证金不计息。</w:t>
      </w:r>
    </w:p>
    <w:p w14:paraId="6F083CE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18.4投标人有下列情形之一的，投标保证金将不予退还：</w:t>
      </w:r>
    </w:p>
    <w:p w14:paraId="1A1152D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0412EA6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3D614DC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64391C1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7111590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35" w:name="_Toc254970683"/>
      <w:bookmarkStart w:id="136" w:name="_Toc254970542"/>
      <w:r>
        <w:rPr>
          <w:rFonts w:hint="eastAsia" w:ascii="宋体" w:hAnsi="宋体" w:cs="宋体"/>
          <w:color w:val="auto"/>
          <w:szCs w:val="21"/>
          <w:highlight w:val="none"/>
        </w:rPr>
        <w:t>（5）投标人出现本章第9.2、9.3情形的；</w:t>
      </w:r>
    </w:p>
    <w:p w14:paraId="03D6130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35"/>
    <w:bookmarkEnd w:id="136"/>
    <w:p w14:paraId="3A7191F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19.投标文件的编制</w:t>
      </w:r>
    </w:p>
    <w:p w14:paraId="438ECF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647B959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37" w:name="_19.2投标文件应按报价文件、资格证明文件、商务文件、技术文件分别编制"/>
      <w:bookmarkEnd w:id="137"/>
      <w:r>
        <w:rPr>
          <w:rFonts w:hint="eastAsia" w:hAnsi="宋体" w:cs="宋体"/>
          <w:color w:val="auto"/>
          <w:highlight w:val="none"/>
        </w:rPr>
        <w:t>19.2为确保网上操作合法、有效和安全，投标人应当在投标截止时间前完成在广西政府采购云平台的身份认证，确保在电子投标过程中能够对相关数据电文进行加密和使用电子签章。</w:t>
      </w:r>
    </w:p>
    <w:p w14:paraId="1BBD792A">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19.3投标文件须由投标人在规定位置签字（或者电子签名）、盖章（具体以投标人须知前附表或投标文件格式规定为准），</w:t>
      </w:r>
      <w:r>
        <w:rPr>
          <w:rFonts w:hint="eastAsia" w:hAnsi="宋体" w:cs="宋体"/>
          <w:b/>
          <w:color w:val="auto"/>
          <w:highlight w:val="none"/>
        </w:rPr>
        <w:t>否则按无效投标处理</w:t>
      </w:r>
      <w:r>
        <w:rPr>
          <w:rFonts w:hint="eastAsia" w:hAnsi="宋体" w:cs="宋体"/>
          <w:color w:val="auto"/>
          <w:highlight w:val="none"/>
        </w:rPr>
        <w:t>。</w:t>
      </w:r>
    </w:p>
    <w:p w14:paraId="5209432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hAnsi="宋体" w:cs="宋体"/>
          <w:b/>
          <w:color w:val="auto"/>
          <w:highlight w:val="none"/>
        </w:rPr>
        <w:t>否则按无效投标处理</w:t>
      </w:r>
      <w:r>
        <w:rPr>
          <w:rFonts w:hint="eastAsia" w:hAnsi="宋体" w:cs="宋体"/>
          <w:color w:val="auto"/>
          <w:highlight w:val="none"/>
        </w:rPr>
        <w:t>。</w:t>
      </w:r>
    </w:p>
    <w:p w14:paraId="25245BF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036A3C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20.电子备份投标文件</w:t>
      </w:r>
    </w:p>
    <w:p w14:paraId="64FA36C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电子备份投标文件是指通过“广西政府采购云电子投标客户端”在线编制生成且后缀名为“bfbs”的文件，是否接受电子备份投标文件详见“投标人须知前附表”。</w:t>
      </w:r>
    </w:p>
    <w:p w14:paraId="49D006A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21.投标文件的提交</w:t>
      </w:r>
    </w:p>
    <w:p w14:paraId="0D7AA7C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
          <w:color w:val="auto"/>
          <w:highlight w:val="none"/>
        </w:rPr>
      </w:pPr>
      <w:bookmarkStart w:id="138" w:name="_21.1投标人必须在“投标人须知中的前附表”规定的投标文件接收时间和投"/>
      <w:bookmarkEnd w:id="138"/>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提交投标文件截止时间前将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b/>
          <w:color w:val="auto"/>
          <w:szCs w:val="21"/>
          <w:highlight w:val="none"/>
        </w:rPr>
        <w:t>广西政府采购云平台</w:t>
      </w:r>
      <w:r>
        <w:rPr>
          <w:rFonts w:hint="eastAsia" w:ascii="宋体" w:hAnsi="宋体" w:cs="宋体"/>
          <w:bCs/>
          <w:color w:val="auto"/>
          <w:szCs w:val="21"/>
          <w:highlight w:val="none"/>
        </w:rPr>
        <w:t>。</w:t>
      </w:r>
    </w:p>
    <w:p w14:paraId="1813419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63D1007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22. 投标文件的补充、修改、撤回与退回</w:t>
      </w:r>
    </w:p>
    <w:p w14:paraId="3B746722">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bookmarkStart w:id="139" w:name="_Toc254970684"/>
      <w:bookmarkStart w:id="140" w:name="_Toc254970543"/>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139"/>
    <w:bookmarkEnd w:id="140"/>
    <w:p w14:paraId="4BDC8C5F">
      <w:pPr>
        <w:pStyle w:val="78"/>
        <w:keepNext w:val="0"/>
        <w:keepLines w:val="0"/>
        <w:pageBreakBefore w:val="0"/>
        <w:widowControl w:val="0"/>
        <w:kinsoku/>
        <w:wordWrap/>
        <w:overflowPunct/>
        <w:topLinePunct w:val="0"/>
        <w:autoSpaceDE/>
        <w:autoSpaceDN/>
        <w:bidi w:val="0"/>
        <w:spacing w:before="0" w:line="400" w:lineRule="exact"/>
        <w:ind w:firstLine="42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260A2E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47D528F3">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1" w:name="_Toc21393"/>
      <w:bookmarkStart w:id="142" w:name="_Toc23160"/>
      <w:bookmarkStart w:id="143" w:name="_Toc254970685"/>
      <w:bookmarkStart w:id="144" w:name="_Toc254970544"/>
      <w:r>
        <w:rPr>
          <w:rFonts w:hint="eastAsia" w:ascii="宋体" w:hAnsi="宋体" w:cs="宋体"/>
          <w:color w:val="auto"/>
          <w:highlight w:val="none"/>
        </w:rPr>
        <w:t>四、开  标</w:t>
      </w:r>
      <w:bookmarkEnd w:id="141"/>
      <w:bookmarkEnd w:id="142"/>
      <w:bookmarkEnd w:id="143"/>
      <w:bookmarkEnd w:id="144"/>
    </w:p>
    <w:p w14:paraId="09D4532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45" w:name="_23.开标时间和地点"/>
      <w:bookmarkEnd w:id="145"/>
      <w:r>
        <w:rPr>
          <w:rFonts w:hint="eastAsia" w:ascii="宋体" w:hAnsi="宋体" w:cs="宋体"/>
          <w:b/>
          <w:color w:val="auto"/>
          <w:sz w:val="24"/>
          <w:highlight w:val="none"/>
        </w:rPr>
        <w:t>23.开标时间和地点</w:t>
      </w:r>
    </w:p>
    <w:p w14:paraId="2475176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6D9F9D6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24.开标程序</w:t>
      </w:r>
    </w:p>
    <w:p w14:paraId="012E2C4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648828F1">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676D91FF">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24.3开标程序</w:t>
      </w:r>
    </w:p>
    <w:p w14:paraId="4AB58D35">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50A0CA89">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（2）电子唱标。投标文件解密结束，宣布的内容均在广西政府采购云平台远程开标大厅展示，具体详见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6F5C8F0A">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4D3B195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61D889A">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（5）开标结束。</w:t>
      </w:r>
    </w:p>
    <w:p w14:paraId="045F58E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特别说明：如遇广西政府采购云平台电子化开标或评审程序调整的，按调整后执行。</w:t>
      </w:r>
    </w:p>
    <w:p w14:paraId="196521DF">
      <w:pPr>
        <w:pStyle w:val="20"/>
        <w:keepNext w:val="0"/>
        <w:keepLines w:val="0"/>
        <w:pageBreakBefore w:val="0"/>
        <w:widowControl w:val="0"/>
        <w:kinsoku/>
        <w:wordWrap/>
        <w:overflowPunct/>
        <w:topLinePunct w:val="0"/>
        <w:autoSpaceDE/>
        <w:autoSpaceDN/>
        <w:bidi w:val="0"/>
        <w:snapToGrid w:val="0"/>
        <w:spacing w:line="400" w:lineRule="exact"/>
        <w:ind w:left="689" w:leftChars="228" w:hanging="210" w:hangingChars="100"/>
        <w:textAlignment w:val="auto"/>
        <w:rPr>
          <w:rFonts w:hint="eastAsia" w:hAnsi="宋体" w:cs="宋体"/>
          <w:color w:val="auto"/>
          <w:highlight w:val="none"/>
        </w:rPr>
      </w:pPr>
    </w:p>
    <w:p w14:paraId="63EAECDC">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6" w:name="_Toc2525"/>
      <w:bookmarkStart w:id="147" w:name="_Toc6086"/>
      <w:r>
        <w:rPr>
          <w:rFonts w:hint="eastAsia" w:ascii="宋体" w:hAnsi="宋体" w:cs="宋体"/>
          <w:color w:val="auto"/>
          <w:highlight w:val="none"/>
        </w:rPr>
        <w:t>五、资格审查</w:t>
      </w:r>
      <w:bookmarkEnd w:id="146"/>
      <w:bookmarkEnd w:id="147"/>
    </w:p>
    <w:p w14:paraId="2B1C764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25.资格审查</w:t>
      </w:r>
    </w:p>
    <w:p w14:paraId="3AE4C8C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25.1开标结束后，采购人或者采购代理机构通过电子开评标系统依据招标文件对电子投标文件进行线上资格审查。</w:t>
      </w:r>
    </w:p>
    <w:p w14:paraId="0DABDB07">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25.2资格审查标准为本招标文件中载明对投标人资格要求的条件。本项目资格审查采用合格制，凡符合招标文件规定的投标人资格要求的投标人均通过资格审查。</w:t>
      </w:r>
    </w:p>
    <w:p w14:paraId="2838AEEA">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bookmarkStart w:id="148" w:name="_25.3_投标人有下列情形之一的，资格审查不通过而导致其投标无效："/>
      <w:bookmarkEnd w:id="148"/>
      <w:r>
        <w:rPr>
          <w:rFonts w:hint="eastAsia" w:hAnsi="宋体" w:cs="宋体"/>
          <w:b/>
          <w:color w:val="auto"/>
          <w:highlight w:val="none"/>
        </w:rPr>
        <w:t>25.3 投标人有下列情形之一的，资格审查不通过，作无效投标处理：</w:t>
      </w:r>
    </w:p>
    <w:p w14:paraId="58CD1253">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（1）不具备招标文件中规定的资格要求的；</w:t>
      </w:r>
    </w:p>
    <w:p w14:paraId="432F5A0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14D9688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5923CA7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（4）投标文件中的资格证明文件缺少任一项“投标人须知前附表”资格证明文件规定“必须提供”的文件资料的；</w:t>
      </w:r>
    </w:p>
    <w:p w14:paraId="0ED37D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（5）投标文件中的资格证明文件出现任一项不符合“投标人须知前附表”资格证明文件规定“必须提供”的文件资料要求或者无效的。</w:t>
      </w:r>
    </w:p>
    <w:p w14:paraId="0E68BBB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25.4合格投标人不足3家的，不得评标。</w:t>
      </w:r>
    </w:p>
    <w:p w14:paraId="48EE4136">
      <w:pPr>
        <w:pStyle w:val="20"/>
        <w:keepNext w:val="0"/>
        <w:keepLines w:val="0"/>
        <w:pageBreakBefore w:val="0"/>
        <w:widowControl w:val="0"/>
        <w:kinsoku/>
        <w:wordWrap/>
        <w:overflowPunct/>
        <w:topLinePunct w:val="0"/>
        <w:autoSpaceDE/>
        <w:autoSpaceDN/>
        <w:bidi w:val="0"/>
        <w:snapToGrid w:val="0"/>
        <w:spacing w:line="400" w:lineRule="exact"/>
        <w:ind w:left="689" w:leftChars="228" w:hanging="210" w:hangingChars="100"/>
        <w:textAlignment w:val="auto"/>
        <w:rPr>
          <w:rFonts w:hint="eastAsia" w:hAnsi="宋体" w:cs="宋体"/>
          <w:color w:val="auto"/>
          <w:highlight w:val="none"/>
        </w:rPr>
      </w:pPr>
    </w:p>
    <w:p w14:paraId="764A4AC2">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9" w:name="_Toc17386"/>
      <w:bookmarkStart w:id="150" w:name="_Toc31107"/>
      <w:r>
        <w:rPr>
          <w:rFonts w:hint="eastAsia" w:ascii="宋体" w:hAnsi="宋体" w:cs="宋体"/>
          <w:color w:val="auto"/>
          <w:highlight w:val="none"/>
        </w:rPr>
        <w:t>六、评  标</w:t>
      </w:r>
      <w:bookmarkEnd w:id="149"/>
      <w:bookmarkEnd w:id="150"/>
    </w:p>
    <w:p w14:paraId="3B19881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51" w:name="_26.组建评标委员会"/>
      <w:bookmarkEnd w:id="151"/>
      <w:r>
        <w:rPr>
          <w:rFonts w:hint="eastAsia" w:ascii="宋体" w:hAnsi="宋体" w:cs="宋体"/>
          <w:b/>
          <w:color w:val="auto"/>
          <w:sz w:val="24"/>
          <w:highlight w:val="none"/>
        </w:rPr>
        <w:t>26.组建评标委员会</w:t>
      </w:r>
    </w:p>
    <w:p w14:paraId="410C991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26.1评标委员会由采购人代表和评审专家组成，具体人数详见“投标人须知前附表”，其中评审专家不得少于成员总数的三分之二。</w:t>
      </w:r>
    </w:p>
    <w:p w14:paraId="2568D749">
      <w:pPr>
        <w:pStyle w:val="20"/>
        <w:keepNext w:val="0"/>
        <w:keepLines w:val="0"/>
        <w:pageBreakBefore w:val="0"/>
        <w:widowControl w:val="0"/>
        <w:kinsoku/>
        <w:wordWrap/>
        <w:overflowPunct/>
        <w:topLinePunct w:val="0"/>
        <w:autoSpaceDE/>
        <w:autoSpaceDN/>
        <w:bidi w:val="0"/>
        <w:snapToGrid w:val="0"/>
        <w:spacing w:line="400" w:lineRule="exact"/>
        <w:ind w:left="2" w:leftChars="1" w:firstLine="420" w:firstLineChars="200"/>
        <w:textAlignment w:val="auto"/>
        <w:rPr>
          <w:rFonts w:hint="eastAsia" w:hAnsi="宋体" w:cs="宋体"/>
          <w:color w:val="auto"/>
          <w:highlight w:val="none"/>
        </w:rPr>
      </w:pPr>
      <w:r>
        <w:rPr>
          <w:rFonts w:hint="eastAsia" w:hAnsi="宋体" w:cs="宋体"/>
          <w:color w:val="auto"/>
          <w:highlight w:val="none"/>
        </w:rPr>
        <w:t>26.2参加过采购项目前期咨询论证的专家，不得参加该采购项目的评审活动。</w:t>
      </w:r>
    </w:p>
    <w:p w14:paraId="2201360C">
      <w:pPr>
        <w:pStyle w:val="20"/>
        <w:keepNext w:val="0"/>
        <w:keepLines w:val="0"/>
        <w:pageBreakBefore w:val="0"/>
        <w:widowControl w:val="0"/>
        <w:kinsoku/>
        <w:wordWrap/>
        <w:overflowPunct/>
        <w:topLinePunct w:val="0"/>
        <w:autoSpaceDE/>
        <w:autoSpaceDN/>
        <w:bidi w:val="0"/>
        <w:snapToGrid w:val="0"/>
        <w:spacing w:line="400" w:lineRule="exact"/>
        <w:ind w:left="2" w:leftChars="1" w:firstLine="420" w:firstLineChars="200"/>
        <w:textAlignment w:val="auto"/>
        <w:rPr>
          <w:rFonts w:hint="eastAsia" w:hAnsi="宋体" w:cs="宋体"/>
          <w:color w:val="auto"/>
          <w:highlight w:val="none"/>
        </w:rPr>
      </w:pPr>
      <w:r>
        <w:rPr>
          <w:rFonts w:hint="eastAsia" w:hAnsi="宋体" w:cs="宋体"/>
          <w:color w:val="auto"/>
          <w:highlight w:val="none"/>
        </w:rPr>
        <w:t>26.3</w:t>
      </w:r>
      <w:r>
        <w:rPr>
          <w:rFonts w:hint="eastAsia" w:hAnsi="宋体" w:cs="宋体"/>
          <w:bCs/>
          <w:color w:val="auto"/>
          <w:highlight w:val="none"/>
        </w:rPr>
        <w:t>采购代理机构应当基于广西政府采购云平台抽（选）取评审专家。</w:t>
      </w:r>
    </w:p>
    <w:p w14:paraId="769EA0F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27.评标的依据</w:t>
      </w:r>
    </w:p>
    <w:p w14:paraId="11D2866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评标委员会以“第四章 评标方法和评标标准”为依据对投标文件进行评审，没有规定的方法、评审因素和标准，不作为评标依据。</w:t>
      </w:r>
    </w:p>
    <w:p w14:paraId="3C42D93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28.评标原则</w:t>
      </w:r>
    </w:p>
    <w:p w14:paraId="679272A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ED97A5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28.2</w:t>
      </w:r>
      <w:bookmarkStart w:id="152" w:name="_28.3评标方法。本项目将按须知前附表规定的评标办法进行评标，具体评标"/>
      <w:bookmarkEnd w:id="152"/>
      <w:r>
        <w:rPr>
          <w:rFonts w:hint="eastAsia" w:hAnsi="宋体" w:cs="宋体"/>
          <w:color w:val="auto"/>
          <w:highlight w:val="none"/>
        </w:rPr>
        <w:t>评委表决。评标委员会成员对需要共同认定的事项存在争议的，应当按照少数服从多数的原则作出结论。</w:t>
      </w:r>
    </w:p>
    <w:p w14:paraId="1626C55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4FCD09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28.4评标过程的监控。本项目电子评标过程实行网上留痕、全程录音、录像监控，</w:t>
      </w:r>
      <w:r>
        <w:rPr>
          <w:rFonts w:hint="eastAsia" w:hAnsi="宋体" w:cs="宋体"/>
          <w:b/>
          <w:color w:val="auto"/>
          <w:highlight w:val="none"/>
        </w:rPr>
        <w:t>投标人在评标过程中所进行的试图影响评标结果的不公正活动，可能导致其投标按无效处理。</w:t>
      </w:r>
    </w:p>
    <w:p w14:paraId="1E6C959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29.评标方法及中标候选人推荐</w:t>
      </w:r>
    </w:p>
    <w:p w14:paraId="750AFCF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29.1本项目的评标方法详见“投标人须知前附表”。</w:t>
      </w:r>
    </w:p>
    <w:p w14:paraId="0238D0D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29.2 商务/技术要求允许负偏离的条款数详见“投标人须知前附表”。</w:t>
      </w:r>
    </w:p>
    <w:p w14:paraId="15635FFF">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29.3 中标候选人推荐数量详见“投标人须知前附表”。</w:t>
      </w:r>
    </w:p>
    <w:p w14:paraId="159A3DE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29.4 电子交易活动的中止。采购过程中出现以下情形，导致电子交易平台无法正常运行，或者无法保证电子交易的公平、公正和安全时，采购代理机构可以中止电子交易活动：</w:t>
      </w:r>
    </w:p>
    <w:p w14:paraId="025DBAC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（1）电子交易平台发生故障而无法登录访问的；</w:t>
      </w:r>
    </w:p>
    <w:p w14:paraId="635A4B8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（2）电子交易平台应用或数据库出现错误，不能进行正常操作的；</w:t>
      </w:r>
    </w:p>
    <w:p w14:paraId="701C9FD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（3）电子交易平台发现严重安全漏洞，有潜在泄密危险的；</w:t>
      </w:r>
    </w:p>
    <w:p w14:paraId="16848AE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（4）病毒发作导致不能进行正常操作的；</w:t>
      </w:r>
    </w:p>
    <w:p w14:paraId="5AC583A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（5）其他无法保证电子交易的公平、公正和安全的情况。</w:t>
      </w:r>
    </w:p>
    <w:p w14:paraId="386899D4">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92B1CD9">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29.5出现下列情形之一的，应予废标：</w:t>
      </w:r>
    </w:p>
    <w:p w14:paraId="3480521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（1）符合专业条件的供应商或者对招标文件作实质响应的供应商不足三家的；</w:t>
      </w:r>
    </w:p>
    <w:p w14:paraId="5558B9E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（2）出现影响采购公正的违法、违规行为的；</w:t>
      </w:r>
    </w:p>
    <w:p w14:paraId="68A11DB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（3）投标人的报价均超过了采购预算，采购人不能支付的；</w:t>
      </w:r>
    </w:p>
    <w:p w14:paraId="031AAFF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（4）因重大变故，采购任务取消的。</w:t>
      </w:r>
    </w:p>
    <w:p w14:paraId="7A29E28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废标后，采购人应当将废标理由通知所有投标人。</w:t>
      </w:r>
    </w:p>
    <w:p w14:paraId="44DB008D">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color w:val="auto"/>
          <w:highlight w:val="none"/>
        </w:rPr>
      </w:pPr>
    </w:p>
    <w:p w14:paraId="5D04B6A3">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53" w:name="_Toc254970546"/>
      <w:bookmarkStart w:id="154" w:name="_Toc254970687"/>
      <w:bookmarkStart w:id="155" w:name="_Toc12517"/>
      <w:bookmarkStart w:id="156" w:name="_Toc3006"/>
      <w:r>
        <w:rPr>
          <w:rFonts w:hint="eastAsia" w:ascii="宋体" w:hAnsi="宋体" w:cs="宋体"/>
          <w:color w:val="auto"/>
          <w:highlight w:val="none"/>
        </w:rPr>
        <w:t>七、</w:t>
      </w:r>
      <w:bookmarkEnd w:id="153"/>
      <w:bookmarkEnd w:id="154"/>
      <w:r>
        <w:rPr>
          <w:rFonts w:hint="eastAsia" w:ascii="宋体" w:hAnsi="宋体" w:cs="宋体"/>
          <w:color w:val="auto"/>
          <w:highlight w:val="none"/>
        </w:rPr>
        <w:t>中标和合同</w:t>
      </w:r>
      <w:bookmarkEnd w:id="155"/>
      <w:bookmarkEnd w:id="156"/>
    </w:p>
    <w:p w14:paraId="3053E40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30 确定中标人</w:t>
      </w:r>
    </w:p>
    <w:p w14:paraId="4141719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3C4970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30.2采购人在收到评标报告5个工作日内未按评标报告推荐的中标候选人顺序确定中标人，又不能说明合法理由的，视同按评标报告推荐的顺序确定排名第一的中标候选人为中标人。</w:t>
      </w:r>
    </w:p>
    <w:p w14:paraId="791DDCC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31.结果公告</w:t>
      </w:r>
    </w:p>
    <w:p w14:paraId="02462D5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213F2D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以上信息查询记录及相关证据与招标文件一并保存。</w:t>
      </w:r>
    </w:p>
    <w:p w14:paraId="3A398A5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31.2中标供应商享受《政府采购促进中小企业发展管理办法》（财库〔2020〕46号）规定的中小企业扶持政策的，采购人、采购代理机构应当随中标结果公开中标供应商的《中小企业声明函》。</w:t>
      </w:r>
    </w:p>
    <w:p w14:paraId="70212AE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32.发出中标通知书</w:t>
      </w:r>
    </w:p>
    <w:p w14:paraId="26D44E3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9A6E88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33.无义务解释未中标原因</w:t>
      </w:r>
    </w:p>
    <w:p w14:paraId="35B6CFF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采购代理机构无义务向未中标的投标人解释未中标原因。</w:t>
      </w:r>
    </w:p>
    <w:p w14:paraId="45E3807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34.合同授予标准</w:t>
      </w:r>
    </w:p>
    <w:p w14:paraId="77CAC687">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6EF9311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35.履约保证金</w:t>
      </w:r>
    </w:p>
    <w:p w14:paraId="6130802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57" w:name="_39.1中标人须于签订合同前按本须知前附表规定的金额转账或电汇到指定账"/>
      <w:bookmarkEnd w:id="157"/>
      <w:r>
        <w:rPr>
          <w:rFonts w:hint="eastAsia" w:hAnsi="宋体" w:cs="宋体"/>
          <w:color w:val="auto"/>
          <w:highlight w:val="none"/>
        </w:rPr>
        <w:t>35.1 履约保证金的金额、提交方式、缴纳期限、退付的时间和条件详见 “投标人须知前附表”。中标人未按规定提交履约保证金的，视为拒绝与采购人签订合同。</w:t>
      </w:r>
    </w:p>
    <w:p w14:paraId="21BDD4A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35.2在履约保证金退还日期前，若中标人的开户名称、开户银行、账号有变动的，请以书面形式通知履约保证金收取单位，否则由此产生的后果由中标人自行承担。</w:t>
      </w:r>
    </w:p>
    <w:p w14:paraId="7B4991D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36.签订合同</w:t>
      </w:r>
    </w:p>
    <w:p w14:paraId="1EDC8DE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58" w:name="_40.1投标人接到中标通知书后，按须知前附表规定向采购人出示相关资格证"/>
      <w:bookmarkEnd w:id="158"/>
      <w:r>
        <w:rPr>
          <w:rFonts w:hint="eastAsia" w:hAnsi="宋体" w:cs="宋体"/>
          <w:color w:val="auto"/>
          <w:highlight w:val="none"/>
        </w:rPr>
        <w:t>36.1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40969F8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线下签订纸质合同：投标人领取中标通知书后，按“投标人须知前附表”规定向采购人出示相关证明材料，经采购人核验合格后方可签订合同。</w:t>
      </w:r>
    </w:p>
    <w:p w14:paraId="08A2FF36">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36.2签订合同时间：按中标通知书规定的时间与采购人签订合同。</w:t>
      </w:r>
    </w:p>
    <w:p w14:paraId="72B7EBA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0A28501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48168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1732262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36.6如签订合同并生效后，供应商无故拒绝或延期，除按照合同条款处理外，将承担相应的法律责任。</w:t>
      </w:r>
    </w:p>
    <w:p w14:paraId="6C6F60F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0266275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59" w:name="_41.政府采购合同公告"/>
      <w:bookmarkEnd w:id="159"/>
      <w:r>
        <w:rPr>
          <w:rFonts w:hint="eastAsia" w:ascii="宋体" w:hAnsi="宋体" w:cs="宋体"/>
          <w:b/>
          <w:color w:val="auto"/>
          <w:sz w:val="24"/>
          <w:highlight w:val="none"/>
        </w:rPr>
        <w:t>37.政府采购合同公告</w:t>
      </w:r>
    </w:p>
    <w:p w14:paraId="641E08D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3C3B34E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38.询问、质疑和投诉</w:t>
      </w:r>
    </w:p>
    <w:p w14:paraId="078BCA0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4D597BC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3F75719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（1）对可以质疑的招标文件提出质疑的，为收到招标文件之日或者招标文件公告期限届满之日；</w:t>
      </w:r>
    </w:p>
    <w:p w14:paraId="62689C99">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（2）对采购过程提出质疑的，为各采购程序环节结束之日；</w:t>
      </w:r>
    </w:p>
    <w:p w14:paraId="7C917F64">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color w:val="auto"/>
          <w:highlight w:val="none"/>
        </w:rPr>
        <w:t>（3）对中标结果提出质疑的，为中标结果公告期限届满之日。</w:t>
      </w:r>
    </w:p>
    <w:p w14:paraId="4104A8F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60" w:name="_9.2质疑、投诉应当采用书面形式，质疑函、投诉书均应明确阐述招标文件、"/>
      <w:bookmarkEnd w:id="160"/>
      <w:r>
        <w:rPr>
          <w:rFonts w:hint="eastAsia" w:hAnsi="宋体" w:cs="宋体"/>
          <w:color w:val="auto"/>
          <w:highlight w:val="none"/>
        </w:rPr>
        <w:t>38.3供应商提出质疑应当提交质疑函和必要的证明材料，针对同一采购程序环节的质疑必须在法定质疑期内一次性提出。质疑函应当包括下列内容（质疑函格式后附）：</w:t>
      </w:r>
    </w:p>
    <w:p w14:paraId="53F4BA1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（1）供应商的姓名或者名称、地址、邮编、联系人及联系电话；</w:t>
      </w:r>
    </w:p>
    <w:p w14:paraId="70E46485">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（2）质疑项目的名称、编号；</w:t>
      </w:r>
    </w:p>
    <w:p w14:paraId="3D36AB1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（3）具体、明确的质疑事项和与质疑事项相关的请求；</w:t>
      </w:r>
    </w:p>
    <w:p w14:paraId="0EEA290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（4）事实依据；</w:t>
      </w:r>
    </w:p>
    <w:p w14:paraId="3E99B4A8">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（5）必要的法律依据；</w:t>
      </w:r>
    </w:p>
    <w:p w14:paraId="7477590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（6）提出质疑的日期。</w:t>
      </w:r>
    </w:p>
    <w:p w14:paraId="28139A8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供应商为自然人的，应当由本人签字；供应商为法人或者其他组织的，应当由法定代表人、主要负责人，或者其委托代理人签字或者盖章，并加盖公章。</w:t>
      </w:r>
    </w:p>
    <w:p w14:paraId="3ECE393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38.4采购人、采购代理机构认为供应商质疑不成立，或者成立但未对中标结果构成影响的，继续开展采购活动；认为供应商质疑成立且影响或者可能影响中标结果的，按照下列情况处理：</w:t>
      </w:r>
    </w:p>
    <w:p w14:paraId="653BD883">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bCs/>
          <w:color w:val="auto"/>
          <w:highlight w:val="none"/>
        </w:rPr>
      </w:pPr>
      <w:r>
        <w:rPr>
          <w:rFonts w:hint="eastAsia"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276DE83E">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bCs/>
          <w:color w:val="auto"/>
          <w:highlight w:val="none"/>
        </w:rPr>
      </w:pPr>
      <w:r>
        <w:rPr>
          <w:rFonts w:hint="eastAsia"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3C355DF1">
      <w:pPr>
        <w:pStyle w:val="20"/>
        <w:keepNext w:val="0"/>
        <w:keepLines w:val="0"/>
        <w:pageBreakBefore w:val="0"/>
        <w:widowControl w:val="0"/>
        <w:kinsoku/>
        <w:wordWrap/>
        <w:overflowPunct/>
        <w:topLinePunct w:val="0"/>
        <w:autoSpaceDE/>
        <w:autoSpaceDN/>
        <w:bidi w:val="0"/>
        <w:snapToGrid w:val="0"/>
        <w:spacing w:line="400" w:lineRule="exact"/>
        <w:ind w:firstLine="420"/>
        <w:textAlignment w:val="auto"/>
        <w:rPr>
          <w:rFonts w:hint="eastAsia" w:hAnsi="宋体" w:cs="宋体"/>
          <w:bCs/>
          <w:color w:val="auto"/>
          <w:highlight w:val="none"/>
        </w:rPr>
      </w:pPr>
      <w:r>
        <w:rPr>
          <w:rFonts w:hint="eastAsia" w:hAnsi="宋体" w:cs="宋体"/>
          <w:bCs/>
          <w:color w:val="auto"/>
          <w:highlight w:val="none"/>
        </w:rPr>
        <w:t>质疑答复导致中标结果改变的，采购人或者采购代理机构应当将有关情况书面报告本级财政部门。</w:t>
      </w:r>
    </w:p>
    <w:p w14:paraId="29D8163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B2B78BC">
      <w:pPr>
        <w:pStyle w:val="5"/>
        <w:keepNext w:val="0"/>
        <w:keepLines w:val="0"/>
        <w:pageBreakBefore w:val="0"/>
        <w:widowControl w:val="0"/>
        <w:kinsoku/>
        <w:wordWrap/>
        <w:overflowPunct/>
        <w:topLinePunct w:val="0"/>
        <w:autoSpaceDE/>
        <w:autoSpaceDN/>
        <w:bidi w:val="0"/>
        <w:spacing w:before="240" w:after="240" w:line="400" w:lineRule="exact"/>
        <w:jc w:val="center"/>
        <w:textAlignment w:val="auto"/>
        <w:rPr>
          <w:rFonts w:hint="eastAsia" w:ascii="宋体" w:hAnsi="宋体" w:cs="宋体"/>
          <w:color w:val="auto"/>
          <w:highlight w:val="none"/>
        </w:rPr>
      </w:pPr>
      <w:bookmarkStart w:id="161" w:name="_八、其他事项"/>
      <w:bookmarkEnd w:id="161"/>
      <w:bookmarkStart w:id="162" w:name="_Toc17072"/>
      <w:bookmarkStart w:id="163" w:name="_Toc24956"/>
      <w:r>
        <w:rPr>
          <w:rFonts w:hint="eastAsia" w:ascii="宋体" w:hAnsi="宋体" w:cs="宋体"/>
          <w:color w:val="auto"/>
          <w:highlight w:val="none"/>
        </w:rPr>
        <w:t>八、其他事项</w:t>
      </w:r>
      <w:bookmarkEnd w:id="162"/>
      <w:bookmarkEnd w:id="163"/>
    </w:p>
    <w:p w14:paraId="7E8F7AB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64" w:name="_42.代理服务费"/>
      <w:bookmarkEnd w:id="164"/>
      <w:r>
        <w:rPr>
          <w:rFonts w:hint="eastAsia" w:ascii="宋体" w:hAnsi="宋体" w:cs="宋体"/>
          <w:b/>
          <w:color w:val="auto"/>
          <w:sz w:val="24"/>
          <w:highlight w:val="none"/>
        </w:rPr>
        <w:t>39.代理服务费</w:t>
      </w:r>
    </w:p>
    <w:p w14:paraId="1CFCF30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39.1代理服务费收取标准参照国家发展计划委员会《招标代理服务费管理暂行办法》（计价格（2002）1980号、《国家发展改革委关于降低部分建设项目收费标准规范收费行为等有关问题的通知》（发改价格[2011]534号）收费标准（服务类）下浮20%向供应商收取，供应商为联合体的，可以由联合体中的一方或者多方共同交纳代理服务费。代理服务费缴费账户详见“投标人须知前附表”。</w:t>
      </w:r>
    </w:p>
    <w:p w14:paraId="3A22E1F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代理服务费收取标准附表：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1720"/>
        <w:gridCol w:w="1749"/>
        <w:gridCol w:w="1454"/>
      </w:tblGrid>
      <w:tr w14:paraId="247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tcBorders>
              <w:tl2br w:val="single" w:color="auto" w:sz="4" w:space="0"/>
            </w:tcBorders>
            <w:noWrap w:val="0"/>
            <w:vAlign w:val="center"/>
          </w:tcPr>
          <w:p w14:paraId="5CF6D214">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费率</w:t>
            </w:r>
          </w:p>
          <w:p w14:paraId="5D298EC0">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009" w:type="pct"/>
            <w:noWrap w:val="0"/>
            <w:vAlign w:val="center"/>
          </w:tcPr>
          <w:p w14:paraId="63D51DB5">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026" w:type="pct"/>
            <w:noWrap w:val="0"/>
            <w:vAlign w:val="center"/>
          </w:tcPr>
          <w:p w14:paraId="2E32148E">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853" w:type="pct"/>
            <w:noWrap w:val="0"/>
            <w:vAlign w:val="center"/>
          </w:tcPr>
          <w:p w14:paraId="11EE12C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2B78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433E6EF9">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009" w:type="pct"/>
            <w:noWrap w:val="0"/>
            <w:vAlign w:val="center"/>
          </w:tcPr>
          <w:p w14:paraId="101BA9F3">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026" w:type="pct"/>
            <w:noWrap w:val="0"/>
            <w:vAlign w:val="center"/>
          </w:tcPr>
          <w:p w14:paraId="2CD80913">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853" w:type="pct"/>
            <w:noWrap w:val="0"/>
            <w:vAlign w:val="center"/>
          </w:tcPr>
          <w:p w14:paraId="114762B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1.0%</w:t>
            </w:r>
          </w:p>
        </w:tc>
      </w:tr>
      <w:tr w14:paraId="26D8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F857B62">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100万元～500万元</w:t>
            </w:r>
          </w:p>
        </w:tc>
        <w:tc>
          <w:tcPr>
            <w:tcW w:w="1009" w:type="pct"/>
            <w:noWrap w:val="0"/>
            <w:vAlign w:val="center"/>
          </w:tcPr>
          <w:p w14:paraId="6C69144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1.1%</w:t>
            </w:r>
          </w:p>
        </w:tc>
        <w:tc>
          <w:tcPr>
            <w:tcW w:w="1026" w:type="pct"/>
            <w:noWrap w:val="0"/>
            <w:vAlign w:val="center"/>
          </w:tcPr>
          <w:p w14:paraId="0FF66D45">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853" w:type="pct"/>
            <w:noWrap w:val="0"/>
            <w:vAlign w:val="center"/>
          </w:tcPr>
          <w:p w14:paraId="562EA864">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0.7%</w:t>
            </w:r>
          </w:p>
        </w:tc>
      </w:tr>
      <w:tr w14:paraId="5845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600A3C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500万元～1000万元</w:t>
            </w:r>
          </w:p>
        </w:tc>
        <w:tc>
          <w:tcPr>
            <w:tcW w:w="1009" w:type="pct"/>
            <w:noWrap w:val="0"/>
            <w:vAlign w:val="center"/>
          </w:tcPr>
          <w:p w14:paraId="36B53CC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026" w:type="pct"/>
            <w:noWrap w:val="0"/>
            <w:vAlign w:val="center"/>
          </w:tcPr>
          <w:p w14:paraId="6A9C791E">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853" w:type="pct"/>
            <w:noWrap w:val="0"/>
            <w:vAlign w:val="center"/>
          </w:tcPr>
          <w:p w14:paraId="5B2AEADC">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242B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7B623CB">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1000万元～5000万元</w:t>
            </w:r>
          </w:p>
        </w:tc>
        <w:tc>
          <w:tcPr>
            <w:tcW w:w="1009" w:type="pct"/>
            <w:noWrap w:val="0"/>
            <w:vAlign w:val="center"/>
          </w:tcPr>
          <w:p w14:paraId="443A8E3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0.5%</w:t>
            </w:r>
          </w:p>
        </w:tc>
        <w:tc>
          <w:tcPr>
            <w:tcW w:w="1026" w:type="pct"/>
            <w:noWrap w:val="0"/>
            <w:vAlign w:val="center"/>
          </w:tcPr>
          <w:p w14:paraId="71F8053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853" w:type="pct"/>
            <w:noWrap w:val="0"/>
            <w:vAlign w:val="center"/>
          </w:tcPr>
          <w:p w14:paraId="6AE20DB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0.35%</w:t>
            </w:r>
          </w:p>
        </w:tc>
      </w:tr>
      <w:tr w14:paraId="21FA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40C0ECF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009" w:type="pct"/>
            <w:noWrap w:val="0"/>
            <w:vAlign w:val="center"/>
          </w:tcPr>
          <w:p w14:paraId="3A3096F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026" w:type="pct"/>
            <w:noWrap w:val="0"/>
            <w:vAlign w:val="center"/>
          </w:tcPr>
          <w:p w14:paraId="12E0CF2F">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853" w:type="pct"/>
            <w:noWrap w:val="0"/>
            <w:vAlign w:val="center"/>
          </w:tcPr>
          <w:p w14:paraId="31203FEF">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3A1A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7D48B509">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1亿元～5亿元</w:t>
            </w:r>
          </w:p>
        </w:tc>
        <w:tc>
          <w:tcPr>
            <w:tcW w:w="1009" w:type="pct"/>
            <w:noWrap w:val="0"/>
            <w:vAlign w:val="center"/>
          </w:tcPr>
          <w:p w14:paraId="1B6F6A0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c>
          <w:tcPr>
            <w:tcW w:w="1026" w:type="pct"/>
            <w:noWrap w:val="0"/>
            <w:vAlign w:val="center"/>
          </w:tcPr>
          <w:p w14:paraId="29210C50">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c>
          <w:tcPr>
            <w:tcW w:w="853" w:type="pct"/>
            <w:noWrap w:val="0"/>
            <w:vAlign w:val="center"/>
          </w:tcPr>
          <w:p w14:paraId="29976F8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r>
      <w:tr w14:paraId="23A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4039895">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5亿元～10亿元</w:t>
            </w:r>
          </w:p>
        </w:tc>
        <w:tc>
          <w:tcPr>
            <w:tcW w:w="1009" w:type="pct"/>
            <w:noWrap w:val="0"/>
            <w:vAlign w:val="center"/>
          </w:tcPr>
          <w:p w14:paraId="0565901D">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026" w:type="pct"/>
            <w:noWrap w:val="0"/>
            <w:vAlign w:val="center"/>
          </w:tcPr>
          <w:p w14:paraId="315BA92B">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c>
          <w:tcPr>
            <w:tcW w:w="853" w:type="pct"/>
            <w:noWrap w:val="0"/>
            <w:vAlign w:val="center"/>
          </w:tcPr>
          <w:p w14:paraId="33AD3CC0">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r>
      <w:tr w14:paraId="5392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2A7D111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10亿元～50亿元</w:t>
            </w:r>
          </w:p>
        </w:tc>
        <w:tc>
          <w:tcPr>
            <w:tcW w:w="1009" w:type="pct"/>
            <w:noWrap w:val="0"/>
            <w:vAlign w:val="center"/>
          </w:tcPr>
          <w:p w14:paraId="522C2FEE">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026" w:type="pct"/>
            <w:noWrap w:val="0"/>
            <w:vAlign w:val="center"/>
          </w:tcPr>
          <w:p w14:paraId="05C3B79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c>
          <w:tcPr>
            <w:tcW w:w="853" w:type="pct"/>
            <w:noWrap w:val="0"/>
            <w:vAlign w:val="center"/>
          </w:tcPr>
          <w:p w14:paraId="57C11069">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r>
      <w:tr w14:paraId="11A6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ACF565C">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50亿元～100亿元</w:t>
            </w:r>
          </w:p>
        </w:tc>
        <w:tc>
          <w:tcPr>
            <w:tcW w:w="1009" w:type="pct"/>
            <w:noWrap w:val="0"/>
            <w:vAlign w:val="center"/>
          </w:tcPr>
          <w:p w14:paraId="5092354F">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026" w:type="pct"/>
            <w:noWrap w:val="0"/>
            <w:vAlign w:val="center"/>
          </w:tcPr>
          <w:p w14:paraId="4F6DA74B">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c>
          <w:tcPr>
            <w:tcW w:w="853" w:type="pct"/>
            <w:noWrap w:val="0"/>
            <w:vAlign w:val="center"/>
          </w:tcPr>
          <w:p w14:paraId="60C4E972">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r>
      <w:tr w14:paraId="519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F869DB7">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009" w:type="pct"/>
            <w:noWrap w:val="0"/>
            <w:vAlign w:val="center"/>
          </w:tcPr>
          <w:p w14:paraId="393217F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026" w:type="pct"/>
            <w:noWrap w:val="0"/>
            <w:vAlign w:val="center"/>
          </w:tcPr>
          <w:p w14:paraId="13F6A42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c>
          <w:tcPr>
            <w:tcW w:w="853" w:type="pct"/>
            <w:noWrap w:val="0"/>
            <w:vAlign w:val="center"/>
          </w:tcPr>
          <w:p w14:paraId="377A2609">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4D010B6D">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w:t>
      </w:r>
    </w:p>
    <w:p w14:paraId="2260786F">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2B148300">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2FDF22D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0FB475A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100 万元×l.5 %＝ 1.5 万元</w:t>
      </w:r>
    </w:p>
    <w:p w14:paraId="1073017C">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（200－100）万元 ×0.8%＝0.8万元</w:t>
      </w:r>
    </w:p>
    <w:p w14:paraId="178EE60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合计收费＝ 1.5+0.8＝ 2.3（万元）</w:t>
      </w:r>
    </w:p>
    <w:p w14:paraId="61DA9CE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40. 需要补充的其他内容</w:t>
      </w:r>
    </w:p>
    <w:p w14:paraId="3307E22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40.1本招标文件解释规则详见“投标人须知前附表”。</w:t>
      </w:r>
    </w:p>
    <w:p w14:paraId="7243710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40.2 其他事项详见“投标人须知前附表”。</w:t>
      </w:r>
    </w:p>
    <w:p w14:paraId="2FAC04C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622710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（1）在货物采购项目中，货物由中小企业制造，即货物由中小企业生产且使用该中小企业商号或者注册商标，不对其中涉及的工程承建商和服务的承接商作出要求；</w:t>
      </w:r>
    </w:p>
    <w:p w14:paraId="7ABA1226">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（2）在工程采购项目中，工程由中小企业承建，即工程施工单位为中小企业，不对其中涉及的货物的制造商和服务的承接商作出要求；</w:t>
      </w:r>
    </w:p>
    <w:p w14:paraId="3258938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5D650C1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7DB4769">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Ansi="宋体" w:cs="宋体"/>
          <w:color w:val="auto"/>
          <w:highlight w:val="none"/>
        </w:rPr>
      </w:pPr>
      <w:r>
        <w:rPr>
          <w:rFonts w:hint="eastAsia" w:hAnsi="宋体" w:cs="宋体"/>
          <w:color w:val="auto"/>
          <w:highlight w:val="none"/>
        </w:rPr>
        <w:t>依据本招标文件规定享受扶持政策获得政府采购合同的，小微企业不得将合同分包给大中型企业，中型企业不得将合同分包给大型企业。</w:t>
      </w:r>
    </w:p>
    <w:p w14:paraId="45D76C3C">
      <w:pPr>
        <w:pStyle w:val="2"/>
        <w:spacing w:line="360" w:lineRule="auto"/>
        <w:rPr>
          <w:rFonts w:hint="eastAsia" w:ascii="宋体" w:hAnsi="宋体" w:cs="宋体"/>
          <w:color w:val="auto"/>
          <w:highlight w:val="none"/>
        </w:rPr>
      </w:pPr>
      <w:r>
        <w:rPr>
          <w:color w:val="auto"/>
          <w:highlight w:val="none"/>
        </w:rPr>
        <w:br w:type="page"/>
      </w:r>
      <w:r>
        <w:rPr>
          <w:rFonts w:hint="eastAsia" w:ascii="宋体" w:hAnsi="宋体" w:cs="宋体"/>
          <w:b/>
          <w:bCs/>
          <w:color w:val="auto"/>
          <w:sz w:val="36"/>
          <w:szCs w:val="36"/>
          <w:highlight w:val="none"/>
        </w:rPr>
        <w:t>附件1：</w:t>
      </w:r>
    </w:p>
    <w:p w14:paraId="233A1B51">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广西壮族自治区政府采购项目合同验收书</w:t>
      </w:r>
    </w:p>
    <w:p w14:paraId="455F6D52">
      <w:pPr>
        <w:keepNext w:val="0"/>
        <w:keepLines w:val="0"/>
        <w:pageBreakBefore w:val="0"/>
        <w:widowControl/>
        <w:shd w:val="clear" w:color="auto" w:fill="FFFFFF"/>
        <w:kinsoku/>
        <w:wordWrap/>
        <w:overflowPunct/>
        <w:topLinePunct w:val="0"/>
        <w:autoSpaceDE/>
        <w:autoSpaceDN/>
        <w:bidi w:val="0"/>
        <w:adjustRightInd/>
        <w:spacing w:line="400" w:lineRule="exact"/>
        <w:jc w:val="center"/>
        <w:textAlignment w:val="auto"/>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（格式）</w:t>
      </w:r>
    </w:p>
    <w:p w14:paraId="22CAAF2E">
      <w:pPr>
        <w:keepNext w:val="0"/>
        <w:keepLines w:val="0"/>
        <w:pageBreakBefore w:val="0"/>
        <w:widowControl/>
        <w:shd w:val="clear" w:color="auto" w:fill="FFFFFF"/>
        <w:kinsoku/>
        <w:wordWrap/>
        <w:overflowPunct/>
        <w:topLinePunct w:val="0"/>
        <w:autoSpaceDE/>
        <w:autoSpaceDN/>
        <w:bidi w:val="0"/>
        <w:adjustRightInd/>
        <w:snapToGrid w:val="0"/>
        <w:spacing w:line="400" w:lineRule="exact"/>
        <w:ind w:firstLine="480"/>
        <w:jc w:val="left"/>
        <w:textAlignment w:val="auto"/>
        <w:rPr>
          <w:rFonts w:hint="eastAsia" w:ascii="宋体" w:hAnsi="宋体" w:cs="宋体"/>
          <w:color w:val="auto"/>
          <w:kern w:val="0"/>
          <w:szCs w:val="21"/>
          <w:highlight w:val="none"/>
        </w:rPr>
      </w:pPr>
      <w:r>
        <w:rPr>
          <w:rFonts w:hint="eastAsia" w:ascii="宋体" w:hAnsi="宋体" w:cs="宋体"/>
          <w:color w:val="auto"/>
          <w:kern w:val="0"/>
          <w:highlight w:val="none"/>
        </w:rPr>
        <w:t>根据政府采购项目（</w:t>
      </w:r>
      <w:r>
        <w:rPr>
          <w:rFonts w:hint="eastAsia" w:ascii="宋体" w:hAnsi="宋体" w:cs="宋体"/>
          <w:color w:val="auto"/>
          <w:kern w:val="0"/>
          <w:highlight w:val="none"/>
          <w:u w:val="single"/>
        </w:rPr>
        <w:t>采购合同编号：</w:t>
      </w:r>
      <w:r>
        <w:rPr>
          <w:rFonts w:hint="eastAsia" w:ascii="宋体" w:hAnsi="宋体" w:cs="宋体"/>
          <w:color w:val="auto"/>
          <w:kern w:val="0"/>
          <w:highlight w:val="none"/>
          <w:u w:val="single"/>
        </w:rPr>
        <w:softHyphen/>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）的约定，我单位对（</w:t>
      </w:r>
      <w:r>
        <w:rPr>
          <w:rFonts w:hint="eastAsia" w:ascii="宋体" w:hAnsi="宋体" w:cs="宋体"/>
          <w:color w:val="auto"/>
          <w:kern w:val="0"/>
          <w:highlight w:val="none"/>
          <w:u w:val="single"/>
        </w:rPr>
        <w:t xml:space="preserve"> 项目名称 </w:t>
      </w:r>
      <w:r>
        <w:rPr>
          <w:rFonts w:hint="eastAsia" w:ascii="宋体" w:hAnsi="宋体" w:cs="宋体"/>
          <w:color w:val="auto"/>
          <w:kern w:val="0"/>
          <w:highlight w:val="none"/>
        </w:rPr>
        <w:t>） 政府采购项目中标（或成交）供应商（</w:t>
      </w:r>
      <w:r>
        <w:rPr>
          <w:rFonts w:hint="eastAsia" w:ascii="宋体" w:hAnsi="宋体" w:cs="宋体"/>
          <w:color w:val="auto"/>
          <w:kern w:val="0"/>
          <w:highlight w:val="none"/>
          <w:u w:val="single"/>
        </w:rPr>
        <w:t xml:space="preserve"> 公司名称 </w:t>
      </w:r>
      <w:r>
        <w:rPr>
          <w:rFonts w:hint="eastAsia" w:ascii="宋体" w:hAnsi="宋体" w:cs="宋体"/>
          <w:color w:val="auto"/>
          <w:kern w:val="0"/>
          <w:highlight w:val="none"/>
        </w:rPr>
        <w:t>） 提供的货物（或工程、服务）进行了验收，验收情况如下：</w:t>
      </w:r>
    </w:p>
    <w:tbl>
      <w:tblPr>
        <w:tblStyle w:val="39"/>
        <w:tblW w:w="9371" w:type="dxa"/>
        <w:jc w:val="center"/>
        <w:tblLayout w:type="fixed"/>
        <w:tblCellMar>
          <w:top w:w="0" w:type="dxa"/>
          <w:left w:w="0" w:type="dxa"/>
          <w:bottom w:w="0" w:type="dxa"/>
          <w:right w:w="0" w:type="dxa"/>
        </w:tblCellMar>
      </w:tblPr>
      <w:tblGrid>
        <w:gridCol w:w="1486"/>
        <w:gridCol w:w="1766"/>
        <w:gridCol w:w="798"/>
        <w:gridCol w:w="102"/>
        <w:gridCol w:w="2002"/>
        <w:gridCol w:w="178"/>
        <w:gridCol w:w="685"/>
        <w:gridCol w:w="2354"/>
      </w:tblGrid>
      <w:tr w14:paraId="6C4CE9F6">
        <w:trPr>
          <w:trHeight w:val="382"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EC1E85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67EEAD18">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80"/>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□自行验收 □委托验收</w:t>
            </w:r>
          </w:p>
        </w:tc>
      </w:tr>
      <w:tr w14:paraId="61164E80">
        <w:trPr>
          <w:trHeight w:val="622" w:hRule="atLeast"/>
          <w:jc w:val="center"/>
        </w:trPr>
        <w:tc>
          <w:tcPr>
            <w:tcW w:w="1486" w:type="dxa"/>
            <w:tcBorders>
              <w:top w:val="nil"/>
              <w:left w:val="single" w:color="auto" w:sz="8" w:space="0"/>
              <w:bottom w:val="single" w:color="auto" w:sz="8" w:space="0"/>
              <w:right w:val="single" w:color="auto" w:sz="8" w:space="0"/>
            </w:tcBorders>
            <w:noWrap w:val="0"/>
            <w:vAlign w:val="center"/>
          </w:tcPr>
          <w:p w14:paraId="2751361A">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序号</w:t>
            </w:r>
          </w:p>
        </w:tc>
        <w:tc>
          <w:tcPr>
            <w:tcW w:w="1766" w:type="dxa"/>
            <w:tcBorders>
              <w:top w:val="nil"/>
              <w:left w:val="nil"/>
              <w:bottom w:val="single" w:color="auto" w:sz="8" w:space="0"/>
              <w:right w:val="single" w:color="auto" w:sz="8" w:space="0"/>
            </w:tcBorders>
            <w:noWrap w:val="0"/>
            <w:vAlign w:val="center"/>
          </w:tcPr>
          <w:p w14:paraId="583FF86B">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7DCAB3E">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货物型号规格、标准及配置等（或服务内容、标准）</w:t>
            </w:r>
          </w:p>
        </w:tc>
        <w:tc>
          <w:tcPr>
            <w:tcW w:w="863" w:type="dxa"/>
            <w:gridSpan w:val="2"/>
            <w:tcBorders>
              <w:top w:val="nil"/>
              <w:left w:val="nil"/>
              <w:bottom w:val="single" w:color="auto" w:sz="8" w:space="0"/>
              <w:right w:val="single" w:color="auto" w:sz="8" w:space="0"/>
            </w:tcBorders>
            <w:noWrap w:val="0"/>
            <w:vAlign w:val="center"/>
          </w:tcPr>
          <w:p w14:paraId="5BA39F15">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数量</w:t>
            </w:r>
          </w:p>
        </w:tc>
        <w:tc>
          <w:tcPr>
            <w:tcW w:w="2354" w:type="dxa"/>
            <w:tcBorders>
              <w:top w:val="nil"/>
              <w:left w:val="nil"/>
              <w:bottom w:val="single" w:color="auto" w:sz="8" w:space="0"/>
              <w:right w:val="single" w:color="auto" w:sz="8" w:space="0"/>
            </w:tcBorders>
            <w:noWrap w:val="0"/>
            <w:vAlign w:val="center"/>
          </w:tcPr>
          <w:p w14:paraId="3C1034FA">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金 额</w:t>
            </w:r>
          </w:p>
        </w:tc>
      </w:tr>
      <w:tr w14:paraId="55DECB21">
        <w:trPr>
          <w:trHeight w:val="487" w:hRule="atLeast"/>
          <w:jc w:val="center"/>
        </w:trPr>
        <w:tc>
          <w:tcPr>
            <w:tcW w:w="1486" w:type="dxa"/>
            <w:tcBorders>
              <w:top w:val="nil"/>
              <w:left w:val="single" w:color="auto" w:sz="8" w:space="0"/>
              <w:bottom w:val="single" w:color="auto" w:sz="8" w:space="0"/>
              <w:right w:val="single" w:color="auto" w:sz="8" w:space="0"/>
            </w:tcBorders>
            <w:noWrap w:val="0"/>
            <w:vAlign w:val="center"/>
          </w:tcPr>
          <w:p w14:paraId="432674F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1766" w:type="dxa"/>
            <w:tcBorders>
              <w:top w:val="nil"/>
              <w:left w:val="nil"/>
              <w:bottom w:val="single" w:color="auto" w:sz="8" w:space="0"/>
              <w:right w:val="single" w:color="auto" w:sz="8" w:space="0"/>
            </w:tcBorders>
            <w:noWrap w:val="0"/>
            <w:vAlign w:val="center"/>
          </w:tcPr>
          <w:p w14:paraId="1E71FEB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902" w:type="dxa"/>
            <w:gridSpan w:val="3"/>
            <w:tcBorders>
              <w:top w:val="nil"/>
              <w:left w:val="nil"/>
              <w:bottom w:val="single" w:color="auto" w:sz="8" w:space="0"/>
              <w:right w:val="single" w:color="auto" w:sz="8" w:space="0"/>
            </w:tcBorders>
            <w:noWrap w:val="0"/>
            <w:vAlign w:val="center"/>
          </w:tcPr>
          <w:p w14:paraId="29279E4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863" w:type="dxa"/>
            <w:gridSpan w:val="2"/>
            <w:tcBorders>
              <w:top w:val="nil"/>
              <w:left w:val="nil"/>
              <w:bottom w:val="single" w:color="auto" w:sz="8" w:space="0"/>
              <w:right w:val="single" w:color="auto" w:sz="8" w:space="0"/>
            </w:tcBorders>
            <w:noWrap w:val="0"/>
            <w:vAlign w:val="center"/>
          </w:tcPr>
          <w:p w14:paraId="674BEF30">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17445398">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5778756C">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269DBD04">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 计</w:t>
            </w:r>
          </w:p>
        </w:tc>
        <w:tc>
          <w:tcPr>
            <w:tcW w:w="863" w:type="dxa"/>
            <w:gridSpan w:val="2"/>
            <w:tcBorders>
              <w:top w:val="nil"/>
              <w:left w:val="nil"/>
              <w:bottom w:val="single" w:color="auto" w:sz="8" w:space="0"/>
              <w:right w:val="single" w:color="auto" w:sz="8" w:space="0"/>
            </w:tcBorders>
            <w:noWrap w:val="0"/>
            <w:vAlign w:val="center"/>
          </w:tcPr>
          <w:p w14:paraId="430A34B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142B4FE1">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0792302C">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783C23F7">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合计大写金额： 仟 佰 拾 万 仟 佰 拾 元</w:t>
            </w:r>
          </w:p>
        </w:tc>
      </w:tr>
      <w:tr w14:paraId="7371E1E1">
        <w:trPr>
          <w:trHeight w:val="491" w:hRule="atLeast"/>
          <w:jc w:val="center"/>
        </w:trPr>
        <w:tc>
          <w:tcPr>
            <w:tcW w:w="1486" w:type="dxa"/>
            <w:tcBorders>
              <w:top w:val="nil"/>
              <w:left w:val="single" w:color="auto" w:sz="8" w:space="0"/>
              <w:bottom w:val="single" w:color="auto" w:sz="8" w:space="0"/>
              <w:right w:val="single" w:color="auto" w:sz="8" w:space="0"/>
            </w:tcBorders>
            <w:noWrap w:val="0"/>
            <w:vAlign w:val="center"/>
          </w:tcPr>
          <w:p w14:paraId="4AFBAB4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实际供货日期</w:t>
            </w:r>
          </w:p>
        </w:tc>
        <w:tc>
          <w:tcPr>
            <w:tcW w:w="2564" w:type="dxa"/>
            <w:gridSpan w:val="2"/>
            <w:tcBorders>
              <w:top w:val="nil"/>
              <w:left w:val="nil"/>
              <w:bottom w:val="single" w:color="auto" w:sz="8" w:space="0"/>
              <w:right w:val="single" w:color="auto" w:sz="8" w:space="0"/>
            </w:tcBorders>
            <w:noWrap w:val="0"/>
            <w:vAlign w:val="center"/>
          </w:tcPr>
          <w:p w14:paraId="30E75EE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2A96B4F2">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6"/>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664DC82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2E7F4EE9">
        <w:trPr>
          <w:trHeight w:val="394" w:hRule="atLeast"/>
          <w:jc w:val="center"/>
        </w:trPr>
        <w:tc>
          <w:tcPr>
            <w:tcW w:w="1486" w:type="dxa"/>
            <w:tcBorders>
              <w:top w:val="nil"/>
              <w:left w:val="single" w:color="auto" w:sz="8" w:space="0"/>
              <w:bottom w:val="single" w:color="auto" w:sz="8" w:space="0"/>
              <w:right w:val="single" w:color="auto" w:sz="8" w:space="0"/>
            </w:tcBorders>
            <w:noWrap w:val="0"/>
            <w:vAlign w:val="center"/>
          </w:tcPr>
          <w:p w14:paraId="00C0DCE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564" w:type="dxa"/>
            <w:gridSpan w:val="2"/>
            <w:tcBorders>
              <w:top w:val="nil"/>
              <w:left w:val="nil"/>
              <w:bottom w:val="single" w:color="auto" w:sz="8" w:space="0"/>
              <w:right w:val="single" w:color="auto" w:sz="8" w:space="0"/>
            </w:tcBorders>
            <w:noWrap w:val="0"/>
            <w:vAlign w:val="center"/>
          </w:tcPr>
          <w:p w14:paraId="58BDDD49">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6A4AFFE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3039" w:type="dxa"/>
            <w:gridSpan w:val="2"/>
            <w:tcBorders>
              <w:top w:val="nil"/>
              <w:left w:val="nil"/>
              <w:bottom w:val="single" w:color="auto" w:sz="8" w:space="0"/>
              <w:right w:val="single" w:color="auto" w:sz="8" w:space="0"/>
            </w:tcBorders>
            <w:noWrap w:val="0"/>
            <w:vAlign w:val="center"/>
          </w:tcPr>
          <w:p w14:paraId="2C725BD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21AF339F">
        <w:trPr>
          <w:trHeight w:val="693" w:hRule="atLeast"/>
          <w:jc w:val="center"/>
        </w:trPr>
        <w:tc>
          <w:tcPr>
            <w:tcW w:w="148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D9E5154">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验收具体内容</w:t>
            </w:r>
          </w:p>
        </w:tc>
        <w:tc>
          <w:tcPr>
            <w:tcW w:w="788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076C8A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应按采购合同、采购文件、投标响应文件及验收方案等进行验收；并核对中标或者中标人在安装调试等方面是否违反合同约定或服务规范要求、提供的质量保证证明材料是否齐全、应有的配件及附件是否达到合同约定等。可附件）</w:t>
            </w:r>
          </w:p>
        </w:tc>
      </w:tr>
      <w:tr w14:paraId="61A5BD9D">
        <w:trPr>
          <w:trHeight w:val="510" w:hRule="atLeast"/>
          <w:jc w:val="center"/>
        </w:trPr>
        <w:tc>
          <w:tcPr>
            <w:tcW w:w="1486"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CBE7BC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验收小组意见</w:t>
            </w:r>
          </w:p>
        </w:tc>
        <w:tc>
          <w:tcPr>
            <w:tcW w:w="7885" w:type="dxa"/>
            <w:gridSpan w:val="7"/>
            <w:tcBorders>
              <w:top w:val="nil"/>
              <w:left w:val="nil"/>
              <w:bottom w:val="single" w:color="auto" w:sz="8" w:space="0"/>
              <w:right w:val="single" w:color="auto" w:sz="8" w:space="0"/>
            </w:tcBorders>
            <w:noWrap w:val="0"/>
            <w:vAlign w:val="center"/>
          </w:tcPr>
          <w:p w14:paraId="30085B9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验收结论性意见：</w:t>
            </w:r>
          </w:p>
        </w:tc>
      </w:tr>
      <w:tr w14:paraId="02896FE3">
        <w:trPr>
          <w:trHeight w:val="424" w:hRule="atLeast"/>
          <w:jc w:val="center"/>
        </w:trPr>
        <w:tc>
          <w:tcPr>
            <w:tcW w:w="1486" w:type="dxa"/>
            <w:vMerge w:val="continue"/>
            <w:tcBorders>
              <w:top w:val="nil"/>
              <w:left w:val="single" w:color="auto" w:sz="8" w:space="0"/>
              <w:bottom w:val="single" w:color="auto" w:sz="8" w:space="0"/>
              <w:right w:val="single" w:color="auto" w:sz="8" w:space="0"/>
            </w:tcBorders>
            <w:noWrap w:val="0"/>
            <w:vAlign w:val="center"/>
          </w:tcPr>
          <w:p w14:paraId="550CA8E7">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cs="宋体"/>
                <w:color w:val="auto"/>
                <w:kern w:val="0"/>
                <w:szCs w:val="21"/>
                <w:highlight w:val="none"/>
              </w:rPr>
            </w:pPr>
          </w:p>
        </w:tc>
        <w:tc>
          <w:tcPr>
            <w:tcW w:w="7885" w:type="dxa"/>
            <w:gridSpan w:val="7"/>
            <w:tcBorders>
              <w:top w:val="nil"/>
              <w:left w:val="nil"/>
              <w:bottom w:val="single" w:color="auto" w:sz="8" w:space="0"/>
              <w:right w:val="single" w:color="auto" w:sz="8" w:space="0"/>
            </w:tcBorders>
            <w:noWrap w:val="0"/>
            <w:vAlign w:val="center"/>
          </w:tcPr>
          <w:p w14:paraId="2710A233">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96"/>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有异议的意见和说明理由：</w:t>
            </w:r>
          </w:p>
          <w:p w14:paraId="77CD470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签字：</w:t>
            </w:r>
          </w:p>
        </w:tc>
      </w:tr>
      <w:tr w14:paraId="741B1241">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FD3CC10">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验收小组成员签字：</w:t>
            </w:r>
          </w:p>
        </w:tc>
      </w:tr>
      <w:tr w14:paraId="14E1B337">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B20F3B">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监督人员或其他相关人员签字：</w:t>
            </w:r>
          </w:p>
          <w:p w14:paraId="3B451F3E">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或受邀机构的意见（盖章）：</w:t>
            </w:r>
          </w:p>
        </w:tc>
      </w:tr>
      <w:tr w14:paraId="6DD3B728">
        <w:trPr>
          <w:trHeight w:val="986"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07CD251E">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 xml:space="preserve">中标或者成交供应商负责人签字或盖章：      </w:t>
            </w:r>
          </w:p>
          <w:p w14:paraId="4AD0505F">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162A92F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采购人或受托机构的意见（盖章）：</w:t>
            </w:r>
          </w:p>
          <w:p w14:paraId="6EA6506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r>
    </w:tbl>
    <w:p w14:paraId="2B1382D7">
      <w:pPr>
        <w:pStyle w:val="20"/>
        <w:snapToGrid w:val="0"/>
        <w:spacing w:before="120" w:after="120"/>
        <w:rPr>
          <w:rFonts w:hint="eastAsia" w:hAnsi="宋体" w:cs="宋体"/>
          <w:color w:val="auto"/>
          <w:highlight w:val="none"/>
        </w:rPr>
      </w:pPr>
    </w:p>
    <w:p w14:paraId="465BD7BA">
      <w:pPr>
        <w:spacing w:line="360" w:lineRule="auto"/>
        <w:jc w:val="left"/>
        <w:rPr>
          <w:rFonts w:hint="eastAsia" w:ascii="宋体" w:hAnsi="宋体" w:cs="宋体"/>
          <w:color w:val="auto"/>
          <w:sz w:val="18"/>
          <w:szCs w:val="18"/>
          <w:highlight w:val="none"/>
        </w:rPr>
      </w:pPr>
      <w:r>
        <w:rPr>
          <w:rFonts w:hint="eastAsia" w:ascii="宋体" w:hAnsi="宋体" w:cs="宋体"/>
          <w:color w:val="auto"/>
          <w:highlight w:val="none"/>
        </w:rPr>
        <w:br w:type="page"/>
      </w:r>
      <w:r>
        <w:rPr>
          <w:rFonts w:hint="eastAsia" w:ascii="宋体" w:hAnsi="宋体" w:cs="宋体"/>
          <w:b/>
          <w:bCs/>
          <w:color w:val="auto"/>
          <w:sz w:val="28"/>
          <w:szCs w:val="36"/>
          <w:highlight w:val="none"/>
        </w:rPr>
        <w:t>附件2：</w:t>
      </w:r>
    </w:p>
    <w:p w14:paraId="6B6561CD">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政府采购项目履约保证金退付意见书（参考）</w:t>
      </w:r>
    </w:p>
    <w:tbl>
      <w:tblPr>
        <w:tblStyle w:val="39"/>
        <w:tblW w:w="86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610"/>
      </w:tblGrid>
      <w:tr w14:paraId="7C48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trPr>
        <w:tc>
          <w:tcPr>
            <w:tcW w:w="1008" w:type="dxa"/>
            <w:vMerge w:val="restart"/>
            <w:noWrap w:val="0"/>
            <w:vAlign w:val="center"/>
          </w:tcPr>
          <w:p w14:paraId="4792CB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供</w:t>
            </w:r>
          </w:p>
          <w:p w14:paraId="79649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应</w:t>
            </w:r>
          </w:p>
          <w:p w14:paraId="07D966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商</w:t>
            </w:r>
          </w:p>
          <w:p w14:paraId="4902F6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申</w:t>
            </w:r>
          </w:p>
          <w:p w14:paraId="6C5F3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请</w:t>
            </w:r>
          </w:p>
        </w:tc>
        <w:tc>
          <w:tcPr>
            <w:tcW w:w="7610" w:type="dxa"/>
            <w:noWrap w:val="0"/>
            <w:vAlign w:val="center"/>
          </w:tcPr>
          <w:p w14:paraId="03CD6A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项目编号：</w:t>
            </w:r>
          </w:p>
        </w:tc>
      </w:tr>
      <w:tr w14:paraId="2FAE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8" w:hRule="atLeast"/>
        </w:trPr>
        <w:tc>
          <w:tcPr>
            <w:tcW w:w="1008" w:type="dxa"/>
            <w:vMerge w:val="continue"/>
            <w:noWrap w:val="0"/>
            <w:vAlign w:val="center"/>
          </w:tcPr>
          <w:p w14:paraId="1B7053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7610" w:type="dxa"/>
            <w:noWrap w:val="0"/>
            <w:vAlign w:val="center"/>
          </w:tcPr>
          <w:p w14:paraId="0CDFFF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项目名称：</w:t>
            </w:r>
          </w:p>
        </w:tc>
      </w:tr>
      <w:tr w14:paraId="10F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08" w:type="dxa"/>
            <w:vMerge w:val="continue"/>
            <w:noWrap w:val="0"/>
            <w:vAlign w:val="top"/>
          </w:tcPr>
          <w:p w14:paraId="008F65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7610" w:type="dxa"/>
            <w:noWrap w:val="0"/>
            <w:vAlign w:val="top"/>
          </w:tcPr>
          <w:p w14:paraId="47BF48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03A0956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w:t>
            </w:r>
          </w:p>
          <w:p w14:paraId="5D7F02F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（小写）退付到达以下账户。</w:t>
            </w:r>
          </w:p>
          <w:p w14:paraId="0D90B26C">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单位名称：</w:t>
            </w:r>
          </w:p>
          <w:p w14:paraId="0FD7C6F2">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开户银行：</w:t>
            </w:r>
          </w:p>
          <w:p w14:paraId="41FECE69">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账   号：</w:t>
            </w:r>
          </w:p>
          <w:p w14:paraId="14DA30B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w:t>
            </w:r>
          </w:p>
          <w:p w14:paraId="57DA20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2A53F9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投标人签章：</w:t>
            </w:r>
          </w:p>
          <w:p w14:paraId="2D11FE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316D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6" w:hRule="atLeast"/>
        </w:trPr>
        <w:tc>
          <w:tcPr>
            <w:tcW w:w="1008" w:type="dxa"/>
            <w:noWrap w:val="0"/>
            <w:vAlign w:val="center"/>
          </w:tcPr>
          <w:p w14:paraId="1FDDAB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采</w:t>
            </w:r>
          </w:p>
          <w:p w14:paraId="56F87D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购</w:t>
            </w:r>
          </w:p>
          <w:p w14:paraId="7DB06E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人</w:t>
            </w:r>
          </w:p>
          <w:p w14:paraId="1B6353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意</w:t>
            </w:r>
          </w:p>
          <w:p w14:paraId="6375BC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见</w:t>
            </w:r>
          </w:p>
        </w:tc>
        <w:tc>
          <w:tcPr>
            <w:tcW w:w="7610" w:type="dxa"/>
            <w:noWrap w:val="0"/>
            <w:vAlign w:val="top"/>
          </w:tcPr>
          <w:p w14:paraId="3133E3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6DB4C7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14:paraId="01BEF0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675191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73AD221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398D8F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308398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                         采购人签章</w:t>
            </w:r>
          </w:p>
          <w:p w14:paraId="2CD214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6C66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5" w:hRule="atLeast"/>
        </w:trPr>
        <w:tc>
          <w:tcPr>
            <w:tcW w:w="1008" w:type="dxa"/>
            <w:noWrap w:val="0"/>
            <w:vAlign w:val="center"/>
          </w:tcPr>
          <w:p w14:paraId="7648ED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备注</w:t>
            </w:r>
          </w:p>
        </w:tc>
        <w:tc>
          <w:tcPr>
            <w:tcW w:w="7610" w:type="dxa"/>
            <w:noWrap w:val="0"/>
            <w:vAlign w:val="top"/>
          </w:tcPr>
          <w:p w14:paraId="2DBA0B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r>
    </w:tbl>
    <w:p w14:paraId="1BBF93AC">
      <w:pPr>
        <w:pStyle w:val="2"/>
        <w:keepNext w:val="0"/>
        <w:keepLines w:val="0"/>
        <w:pageBreakBefore w:val="0"/>
        <w:widowControl w:val="0"/>
        <w:kinsoku/>
        <w:wordWrap/>
        <w:overflowPunct/>
        <w:topLinePunct w:val="0"/>
        <w:autoSpaceDE/>
        <w:autoSpaceDN/>
        <w:bidi w:val="0"/>
        <w:adjustRightInd/>
        <w:snapToGrid/>
        <w:spacing w:line="400" w:lineRule="exact"/>
        <w:ind w:left="449" w:leftChars="114" w:hanging="210" w:hangingChars="1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注：投标人凭经采购人审批的退付意见书到保证金收取单位办理履约保证金退付事宜。</w:t>
      </w:r>
    </w:p>
    <w:p w14:paraId="08134522">
      <w:pPr>
        <w:pStyle w:val="20"/>
        <w:snapToGrid w:val="0"/>
        <w:spacing w:before="120" w:after="120"/>
        <w:rPr>
          <w:rFonts w:hint="eastAsia" w:hAnsi="宋体" w:cs="宋体"/>
          <w:color w:val="auto"/>
          <w:highlight w:val="none"/>
        </w:rPr>
      </w:pPr>
    </w:p>
    <w:p w14:paraId="776B30D1">
      <w:pPr>
        <w:pStyle w:val="3"/>
        <w:spacing w:before="0" w:after="0" w:line="360" w:lineRule="auto"/>
        <w:jc w:val="center"/>
        <w:rPr>
          <w:rFonts w:hint="eastAsia" w:ascii="宋体" w:hAnsi="宋体" w:cs="宋体"/>
          <w:color w:val="auto"/>
          <w:highlight w:val="none"/>
        </w:rPr>
      </w:pPr>
      <w:bookmarkStart w:id="165" w:name="_Toc254970548"/>
      <w:bookmarkStart w:id="166" w:name="_Toc15433"/>
      <w:bookmarkStart w:id="167" w:name="_Toc2178"/>
      <w:bookmarkStart w:id="168" w:name="_Toc254970689"/>
      <w:bookmarkStart w:id="169" w:name="_Toc330456896"/>
      <w:bookmarkStart w:id="170" w:name="_Toc27431"/>
      <w:r>
        <w:rPr>
          <w:rFonts w:hint="eastAsia" w:ascii="宋体" w:hAnsi="宋体" w:cs="宋体"/>
          <w:color w:val="auto"/>
          <w:highlight w:val="none"/>
        </w:rPr>
        <w:t>第四章  评标方法及评标标准</w:t>
      </w:r>
      <w:bookmarkEnd w:id="165"/>
      <w:bookmarkEnd w:id="166"/>
      <w:bookmarkEnd w:id="167"/>
      <w:bookmarkEnd w:id="168"/>
      <w:bookmarkEnd w:id="169"/>
      <w:bookmarkEnd w:id="170"/>
    </w:p>
    <w:p w14:paraId="40B2886B">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1" w:name="_Toc22273"/>
      <w:bookmarkStart w:id="172" w:name="_Toc23781"/>
      <w:r>
        <w:rPr>
          <w:rFonts w:hint="eastAsia" w:ascii="宋体" w:hAnsi="宋体" w:eastAsia="宋体" w:cs="宋体"/>
          <w:color w:val="auto"/>
          <w:highlight w:val="none"/>
        </w:rPr>
        <w:t>一、评标方法</w:t>
      </w:r>
      <w:bookmarkEnd w:id="171"/>
      <w:bookmarkEnd w:id="172"/>
    </w:p>
    <w:p w14:paraId="334D762C">
      <w:pPr>
        <w:pStyle w:val="20"/>
        <w:pageBreakBefore w:val="0"/>
        <w:kinsoku/>
        <w:wordWrap/>
        <w:overflowPunct/>
        <w:topLinePunct w:val="0"/>
        <w:autoSpaceDE/>
        <w:autoSpaceDN/>
        <w:bidi w:val="0"/>
        <w:spacing w:line="400" w:lineRule="exact"/>
        <w:ind w:firstLine="420"/>
        <w:textAlignment w:val="auto"/>
        <w:rPr>
          <w:rFonts w:hint="eastAsia" w:hAnsi="宋体" w:cs="宋体"/>
          <w:color w:val="auto"/>
          <w:highlight w:val="none"/>
        </w:rPr>
      </w:pPr>
      <w:r>
        <w:rPr>
          <w:rFonts w:hint="eastAsia" w:hAnsi="宋体" w:cs="宋体"/>
          <w:color w:val="auto"/>
          <w:highlight w:val="none"/>
        </w:rPr>
        <w:t>综合评分法，是指投标文件满足招标文件全部实质性要求，且按照评审因素的量化指标评审得分最高的投标人为中标候选人的评标方法。</w:t>
      </w:r>
    </w:p>
    <w:p w14:paraId="649FDC2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3" w:name="_Toc29445"/>
      <w:bookmarkStart w:id="174" w:name="_Toc3353"/>
      <w:r>
        <w:rPr>
          <w:rFonts w:hint="eastAsia" w:ascii="宋体" w:hAnsi="宋体" w:eastAsia="宋体" w:cs="宋体"/>
          <w:color w:val="auto"/>
          <w:highlight w:val="none"/>
        </w:rPr>
        <w:t>二、评标程序</w:t>
      </w:r>
      <w:bookmarkEnd w:id="173"/>
      <w:bookmarkEnd w:id="174"/>
    </w:p>
    <w:p w14:paraId="00974253">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1.符合性审查</w:t>
      </w:r>
    </w:p>
    <w:p w14:paraId="1FB4AFED">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评标委员会应当对符合资格的投标人的投标文件进行投标报价、商务、技术等实质性内容符合性审查，以确定其是否满足招标文件的实质性要求。</w:t>
      </w:r>
    </w:p>
    <w:p w14:paraId="031E57A9">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2.符合性审查不通过而导致投标无效的情形</w:t>
      </w:r>
    </w:p>
    <w:p w14:paraId="46ACB75C">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14:paraId="36BC4463">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2.1在报价评审时，如发现下列情形之一的，将被视为投标无效：</w:t>
      </w:r>
    </w:p>
    <w:p w14:paraId="4D886E7D">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报价文件未提供“投标人须知前附表”第13条</w:t>
      </w:r>
      <w:r>
        <w:rPr>
          <w:rFonts w:hint="eastAsia" w:ascii="宋体" w:hAnsi="宋体" w:cs="宋体"/>
          <w:b/>
          <w:color w:val="auto"/>
          <w:szCs w:val="21"/>
          <w:highlight w:val="none"/>
        </w:rPr>
        <w:t>“报价文件”</w:t>
      </w:r>
      <w:r>
        <w:rPr>
          <w:rFonts w:hint="eastAsia" w:ascii="宋体" w:hAnsi="宋体" w:cs="宋体"/>
          <w:b/>
          <w:color w:val="auto"/>
          <w:spacing w:val="-6"/>
          <w:szCs w:val="21"/>
          <w:highlight w:val="none"/>
        </w:rPr>
        <w:t>规定中“必须提供”的文件资料的；</w:t>
      </w:r>
    </w:p>
    <w:p w14:paraId="35ED8467">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14:paraId="49F70FA3">
      <w:pPr>
        <w:pStyle w:val="10"/>
        <w:pageBreakBefore w:val="0"/>
        <w:numPr>
          <w:ilvl w:val="0"/>
          <w:numId w:val="1"/>
        </w:numPr>
        <w:kinsoku/>
        <w:wordWrap/>
        <w:overflowPunct/>
        <w:topLinePunct w:val="0"/>
        <w:autoSpaceDE/>
        <w:autoSpaceDN/>
        <w:bidi w:val="0"/>
        <w:spacing w:line="400" w:lineRule="exact"/>
        <w:ind w:firstLine="422"/>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各分标报价超出招标文件相应分标规定最高限价，或者超出相应分标采购预算金额的；</w:t>
      </w:r>
    </w:p>
    <w:p w14:paraId="4EED864A">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2F6101D">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修正后的报价，投标人不确认的；</w:t>
      </w:r>
    </w:p>
    <w:p w14:paraId="120902FD">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投标人属于本章第5.1条（2）项情形的。</w:t>
      </w:r>
    </w:p>
    <w:p w14:paraId="29F465C9">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响应的标的数量及单位与招标文件要求实质性不一致的。</w:t>
      </w:r>
    </w:p>
    <w:p w14:paraId="12D3B14A">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4D43CF5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14:paraId="1B648CC3">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 xml:space="preserve">委托代理人未能出具有效身份证或者出具的身份证与授权委托书中的信息不符的； </w:t>
      </w:r>
    </w:p>
    <w:p w14:paraId="069900F7">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为无效投标保证金的或者未按照招标文件的规定提交投标保证金的；</w:t>
      </w:r>
    </w:p>
    <w:p w14:paraId="5BB0511C">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投标文件未提供“投标人须知前附表”第13.1条规定中“必须提供”或者“委托时必须提供”的文件资料的；</w:t>
      </w:r>
    </w:p>
    <w:p w14:paraId="5F0F5135">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商务要求评审允许负偏离的条款数超过“投标人须知前附表”规定项数的；</w:t>
      </w:r>
    </w:p>
    <w:p w14:paraId="3CDD2B7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14:paraId="377A43BD">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14:paraId="50ED970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14:paraId="51F12A9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14:paraId="5DF9F0AC">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投标文件标注的项目名称或者项目编号与招标文件标注的项目名称或者项目编号不一致的；</w:t>
      </w:r>
    </w:p>
    <w:p w14:paraId="20E3B228">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招标文件明确不允许分包，投标文件拟分包的；</w:t>
      </w:r>
    </w:p>
    <w:p w14:paraId="55B9C73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未响应招标文件实质性要求的；</w:t>
      </w:r>
    </w:p>
    <w:p w14:paraId="573C2DF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14:paraId="7EB1232F">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7CC226F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（1）技术要求评审允许负偏离的条款数超过“投标人须知前附表”规定项数的；</w:t>
      </w:r>
    </w:p>
    <w:p w14:paraId="3FFFF5F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（2）投标文件未提供“投标人须知前附表”第13.1条规定中“必须提供”的文件资料的；</w:t>
      </w:r>
    </w:p>
    <w:p w14:paraId="04560B01">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（3）虚假投标，或者出现其他情形而导致被评标委员会认定无效的；</w:t>
      </w:r>
    </w:p>
    <w:p w14:paraId="76361E18">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w:t>
      </w:r>
      <w:bookmarkStart w:id="175" w:name="_Hlk71706244"/>
      <w:r>
        <w:rPr>
          <w:rFonts w:hint="eastAsia" w:hAnsi="宋体" w:cs="宋体"/>
          <w:b/>
          <w:color w:val="auto"/>
          <w:sz w:val="21"/>
          <w:szCs w:val="21"/>
          <w:highlight w:val="none"/>
        </w:rPr>
        <w:t>招标文件未载明允许提供备选（替代）投标方案或明确不允许提供备选（替代）投标方案时，投标人提供了备选（替代）投标方案的；</w:t>
      </w:r>
      <w:bookmarkEnd w:id="175"/>
    </w:p>
    <w:p w14:paraId="0FE94871">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color w:val="auto"/>
          <w:highlight w:val="none"/>
        </w:rPr>
      </w:pPr>
      <w:r>
        <w:rPr>
          <w:rFonts w:hint="eastAsia" w:hAnsi="宋体" w:cs="宋体"/>
          <w:b/>
          <w:color w:val="auto"/>
          <w:sz w:val="21"/>
          <w:szCs w:val="21"/>
          <w:highlight w:val="none"/>
        </w:rPr>
        <w:t>（5）未响应招标文件实质性要求的。</w:t>
      </w:r>
    </w:p>
    <w:p w14:paraId="0E12D4C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2.4其他投标无效的情形：</w:t>
      </w:r>
    </w:p>
    <w:p w14:paraId="06A1617A">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（1）投标文件未按招标文件要求签署或CA电子签章的；</w:t>
      </w:r>
    </w:p>
    <w:p w14:paraId="7A3B5978">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（2）投标人提交两份或两份以上内容不同的投标文件；</w:t>
      </w:r>
    </w:p>
    <w:p w14:paraId="59DFCBDE">
      <w:pPr>
        <w:pStyle w:val="16"/>
        <w:pageBreakBefore w:val="0"/>
        <w:kinsoku/>
        <w:wordWrap/>
        <w:overflowPunct/>
        <w:topLinePunct w:val="0"/>
        <w:autoSpaceDE/>
        <w:autoSpaceDN/>
        <w:bidi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（3）投标人在线制作投标文件时填写的报价金额与解密后“电子加密投标文件”中《开标一览表》填写的金额不一致并拒绝按招标文件要求接受调整的；</w:t>
      </w:r>
    </w:p>
    <w:p w14:paraId="5C44BBE3">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（4）法律、法规和招标文件规定的其他无效情形（或出现重大偏差）。</w:t>
      </w:r>
    </w:p>
    <w:p w14:paraId="11634D77">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3.澄清补正</w:t>
      </w:r>
    </w:p>
    <w:p w14:paraId="75B5848F">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0F10717B">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00CBE4F">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4BA1DEE6">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4.投标文件修正</w:t>
      </w:r>
    </w:p>
    <w:p w14:paraId="34E13124">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4.1投标文件报价出现前后不一致的，按照下列规定修正：</w:t>
      </w:r>
    </w:p>
    <w:p w14:paraId="2596F79E">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（1）投标文件中开标一览表（报价表）内容与投标文件中相应内容不一致的，以开标一览表（报价表）为准；</w:t>
      </w:r>
    </w:p>
    <w:p w14:paraId="68C0EB2B">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（2）大写金额和小写金额不一致的，以大写金额为准；</w:t>
      </w:r>
    </w:p>
    <w:p w14:paraId="5F71BBD1">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（3）单价金额小数点或者百分比有明显错位的，以开标一览表的总价为准，并修改单价；</w:t>
      </w:r>
    </w:p>
    <w:p w14:paraId="4F7CE3B9">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（4）总价金额与按单价汇总金额不一致的，以单价金额计算结果为准。</w:t>
      </w:r>
    </w:p>
    <w:p w14:paraId="1B69EDBB">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同时出现两种以上不一致的，按照以上（1）-（4）规定的顺序修正。修正后的报价经投标人确认后产生约束力，投标人不确认的，</w:t>
      </w:r>
      <w:r>
        <w:rPr>
          <w:rFonts w:hint="eastAsia" w:hAnsi="宋体" w:cs="宋体"/>
          <w:b/>
          <w:color w:val="auto"/>
          <w:highlight w:val="none"/>
        </w:rPr>
        <w:t>其投标无效</w:t>
      </w:r>
      <w:r>
        <w:rPr>
          <w:rFonts w:hint="eastAsia" w:hAnsi="宋体" w:cs="宋体"/>
          <w:color w:val="auto"/>
          <w:highlight w:val="none"/>
        </w:rPr>
        <w:t>。</w:t>
      </w:r>
    </w:p>
    <w:p w14:paraId="059E74AB">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w:t>
      </w:r>
      <w:r>
        <w:rPr>
          <w:rFonts w:hint="eastAsia" w:ascii="宋体" w:hAnsi="宋体" w:cs="宋体"/>
          <w:b/>
          <w:color w:val="auto"/>
          <w:szCs w:val="21"/>
          <w:highlight w:val="none"/>
        </w:rPr>
        <w:t>投标人的投标文件作无效投标处理</w:t>
      </w:r>
      <w:r>
        <w:rPr>
          <w:rFonts w:hint="eastAsia" w:ascii="宋体" w:hAnsi="宋体" w:cs="宋体"/>
          <w:color w:val="auto"/>
          <w:szCs w:val="21"/>
          <w:highlight w:val="none"/>
        </w:rPr>
        <w:t>。</w:t>
      </w:r>
    </w:p>
    <w:p w14:paraId="7C92C5F6">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7A271506">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5.比较与评价</w:t>
      </w:r>
    </w:p>
    <w:p w14:paraId="19992D7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5.1采用综合评分法的</w:t>
      </w:r>
    </w:p>
    <w:p w14:paraId="30B1179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732C6541">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2FB34FA3">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3A6F945B">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73D19728">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10CF23D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8DA6045">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6.异常低价审查 </w:t>
      </w:r>
    </w:p>
    <w:p w14:paraId="1489512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6.1</w:t>
      </w:r>
      <w:r>
        <w:rPr>
          <w:rFonts w:hint="eastAsia" w:ascii="宋体" w:hAnsi="宋体" w:eastAsia="宋体" w:cs="宋体"/>
          <w:color w:val="auto"/>
          <w:szCs w:val="21"/>
          <w:highlight w:val="none"/>
        </w:rPr>
        <w:t>依据规定</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"http://www.ccgp.gov.cn/news/202601/t20260122_26102509.htm" \t "_blank" \o "附件链接：《财政部关于推动解决政府采购异常低价问题的通知》（财库〔2026〕2号）"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《财政部关于推动解决政府采购异常低价问题的通知》（财库〔2026〕2号）</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规定，政府采购评审中出现以下异常低价情形，评标委员会应当启动异常低价投标审查程序：</w:t>
      </w:r>
    </w:p>
    <w:p w14:paraId="79DB9270">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（1）投标报价低于全部通过符合性审查供应商投标）报价平均值</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1D559108">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（2）投标报价低于通过符合性审查的次低报价供应商投标报价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406DDF79">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（3）投标报价低于采购项目最高限价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45</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％的（注：此处由采购人根据项目实际情况填写，填写范围不得低于45％，最高不得超过65％）；</w:t>
      </w:r>
    </w:p>
    <w:p w14:paraId="3198B70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（4）评标委员会基于专业判断，认为供应商报价过低，有可能影响产品质量或者不能诚信履约的其他情形。相关法律法规对供应商报价有规定的，从其规定。</w:t>
      </w:r>
    </w:p>
    <w:p w14:paraId="5066ABF7">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（5）相关法律法规对供应商报价有规定的，从其规定。</w:t>
      </w:r>
    </w:p>
    <w:p w14:paraId="6A92845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6.2</w:t>
      </w:r>
      <w:r>
        <w:rPr>
          <w:rFonts w:hint="eastAsia" w:ascii="宋体" w:hAnsi="宋体" w:eastAsia="宋体" w:cs="宋体"/>
          <w:color w:val="auto"/>
          <w:szCs w:val="21"/>
          <w:highlight w:val="none"/>
        </w:rPr>
        <w:t>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E49A261">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无效投标（响应）处理。</w:t>
      </w:r>
    </w:p>
    <w:p w14:paraId="164020CF">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82A193E">
      <w:pPr>
        <w:pageBreakBefore w:val="0"/>
        <w:kinsoku/>
        <w:wordWrap/>
        <w:overflowPunct/>
        <w:topLinePunct w:val="0"/>
        <w:autoSpaceDE/>
        <w:autoSpaceDN/>
        <w:bidi w:val="0"/>
        <w:snapToGrid w:val="0"/>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记录及归档:异常低价投标审查的启动原因、审查意见和审查结果应当在评审报告中记录，并随供应商提供的相关书面说明及证明材料，以及评审委员会有关互联网浏览、查询历史一并归档。</w:t>
      </w:r>
    </w:p>
    <w:p w14:paraId="183389D7">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6" w:name="_Toc4705"/>
      <w:bookmarkStart w:id="177" w:name="_Toc5924"/>
      <w:r>
        <w:rPr>
          <w:rFonts w:hint="eastAsia" w:ascii="宋体" w:hAnsi="宋体" w:eastAsia="宋体" w:cs="宋体"/>
          <w:color w:val="auto"/>
          <w:highlight w:val="none"/>
        </w:rPr>
        <w:t>三、评标标准</w:t>
      </w:r>
      <w:bookmarkEnd w:id="176"/>
      <w:bookmarkEnd w:id="177"/>
    </w:p>
    <w:p w14:paraId="317C100F">
      <w:pPr>
        <w:pageBreakBefore w:val="0"/>
        <w:widowControl/>
        <w:kinsoku/>
        <w:wordWrap/>
        <w:overflowPunct/>
        <w:topLinePunct w:val="0"/>
        <w:autoSpaceDE/>
        <w:autoSpaceDN/>
        <w:bidi w:val="0"/>
        <w:adjustRightInd w:val="0"/>
        <w:snapToGrid w:val="0"/>
        <w:spacing w:line="400" w:lineRule="exact"/>
        <w:ind w:firstLine="42"/>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一、评标原则</w:t>
      </w:r>
    </w:p>
    <w:p w14:paraId="0DF923B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（一）评委构成：《政府采购货物和服务招标投标管理办法》第四十七条 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14:paraId="284E2AE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（二）</w:t>
      </w:r>
      <w:r>
        <w:rPr>
          <w:rFonts w:hint="eastAsia" w:ascii="宋体" w:hAnsi="宋体" w:cs="宋体"/>
          <w:color w:val="auto"/>
          <w:kern w:val="0"/>
          <w:szCs w:val="21"/>
          <w:highlight w:val="none"/>
        </w:rPr>
        <w:t>评标依据：</w:t>
      </w:r>
      <w:r>
        <w:rPr>
          <w:rFonts w:hint="eastAsia" w:ascii="宋体" w:hAnsi="宋体" w:cs="宋体"/>
          <w:bCs/>
          <w:color w:val="auto"/>
          <w:kern w:val="0"/>
          <w:szCs w:val="21"/>
          <w:highlight w:val="none"/>
        </w:rPr>
        <w:t>评委将以招投标文件为评标依据，对投标人的内容按百分制打分。</w:t>
      </w:r>
    </w:p>
    <w:p w14:paraId="1C1C211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szCs w:val="21"/>
          <w:highlight w:val="none"/>
        </w:rPr>
      </w:pPr>
      <w:r>
        <w:rPr>
          <w:rFonts w:hint="eastAsia" w:ascii="宋体" w:hAnsi="宋体" w:cs="宋体"/>
          <w:bCs/>
          <w:color w:val="auto"/>
          <w:szCs w:val="21"/>
          <w:highlight w:val="none"/>
        </w:rPr>
        <w:t>（三）评标方式：以封闭方式进行。</w:t>
      </w:r>
    </w:p>
    <w:p w14:paraId="65E2B104">
      <w:pPr>
        <w:pageBreakBefore w:val="0"/>
        <w:kinsoku/>
        <w:wordWrap/>
        <w:overflowPunct/>
        <w:topLinePunct w:val="0"/>
        <w:autoSpaceDE/>
        <w:autoSpaceDN/>
        <w:bidi w:val="0"/>
        <w:adjustRightInd w:val="0"/>
        <w:snapToGrid w:val="0"/>
        <w:spacing w:line="400" w:lineRule="exact"/>
        <w:ind w:firstLine="42" w:firstLineChars="20"/>
        <w:textAlignment w:val="auto"/>
        <w:rPr>
          <w:rFonts w:hint="eastAsia" w:ascii="宋体" w:hAnsi="宋体" w:cs="宋体"/>
          <w:b/>
          <w:color w:val="auto"/>
          <w:szCs w:val="21"/>
          <w:highlight w:val="none"/>
        </w:rPr>
      </w:pPr>
      <w:r>
        <w:rPr>
          <w:rFonts w:hint="eastAsia" w:ascii="宋体" w:hAnsi="宋体" w:cs="宋体"/>
          <w:b/>
          <w:color w:val="auto"/>
          <w:szCs w:val="21"/>
          <w:highlight w:val="none"/>
        </w:rPr>
        <w:t>二、评标方法</w:t>
      </w:r>
    </w:p>
    <w:p w14:paraId="04BB365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（一）对进入详评的，采用百分制综合评分法。</w:t>
      </w:r>
    </w:p>
    <w:p w14:paraId="57AA46A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（二）计分办法（按四舍五入取至百分位）：</w:t>
      </w:r>
    </w:p>
    <w:p w14:paraId="3BDCDA9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8" w:name="_Toc29253"/>
      <w:bookmarkStart w:id="179" w:name="_Toc1515"/>
      <w:bookmarkStart w:id="180" w:name="_Toc26687"/>
    </w:p>
    <w:p w14:paraId="657E1D4E">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评分标准（综合评分法）</w:t>
      </w:r>
      <w:bookmarkEnd w:id="178"/>
      <w:bookmarkEnd w:id="179"/>
      <w:bookmarkEnd w:id="180"/>
    </w:p>
    <w:tbl>
      <w:tblPr>
        <w:tblStyle w:val="39"/>
        <w:tblW w:w="87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781"/>
        <w:gridCol w:w="7142"/>
      </w:tblGrid>
      <w:tr w14:paraId="7FC70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jc w:val="center"/>
        </w:trPr>
        <w:tc>
          <w:tcPr>
            <w:tcW w:w="846" w:type="dxa"/>
            <w:noWrap w:val="0"/>
            <w:vAlign w:val="bottom"/>
          </w:tcPr>
          <w:p w14:paraId="29F5F8C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评标项目</w:t>
            </w:r>
          </w:p>
        </w:tc>
        <w:tc>
          <w:tcPr>
            <w:tcW w:w="781" w:type="dxa"/>
            <w:noWrap w:val="0"/>
            <w:vAlign w:val="bottom"/>
          </w:tcPr>
          <w:p w14:paraId="618980FB">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评标分值</w:t>
            </w:r>
          </w:p>
        </w:tc>
        <w:tc>
          <w:tcPr>
            <w:tcW w:w="7142" w:type="dxa"/>
            <w:noWrap w:val="0"/>
            <w:vAlign w:val="bottom"/>
          </w:tcPr>
          <w:p w14:paraId="091FE2F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评标方法描述</w:t>
            </w:r>
          </w:p>
        </w:tc>
      </w:tr>
      <w:tr w14:paraId="6EA5E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jc w:val="center"/>
        </w:trPr>
        <w:tc>
          <w:tcPr>
            <w:tcW w:w="8769" w:type="dxa"/>
            <w:gridSpan w:val="3"/>
            <w:noWrap w:val="0"/>
            <w:vAlign w:val="center"/>
          </w:tcPr>
          <w:p w14:paraId="714A23CC">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（一）价格分（满分10分）</w:t>
            </w:r>
          </w:p>
        </w:tc>
      </w:tr>
      <w:tr w14:paraId="46D2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6F9C47E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投标报价</w:t>
            </w:r>
          </w:p>
        </w:tc>
        <w:tc>
          <w:tcPr>
            <w:tcW w:w="781" w:type="dxa"/>
            <w:noWrap w:val="0"/>
            <w:vAlign w:val="center"/>
          </w:tcPr>
          <w:p w14:paraId="6032E08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10分</w:t>
            </w:r>
          </w:p>
        </w:tc>
        <w:tc>
          <w:tcPr>
            <w:tcW w:w="7142" w:type="dxa"/>
            <w:noWrap w:val="0"/>
            <w:vAlign w:val="center"/>
          </w:tcPr>
          <w:p w14:paraId="62CCE82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（1）评标报价为投标人的投标报价进行政策性扣除后的价格，评标报价只是作为评标时使用。最终中标人的中标金额等于投标报价。</w:t>
            </w:r>
          </w:p>
          <w:p w14:paraId="7C3D2D7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按照《政府采购促进中小企业发展管理办法》（财库〔2020〕46号）的规定，投标人在其投标文件中提供《中小企业声明函》，且其服务为小型和微型企业承接的，按《关于进一步加大政府采购支持中小企业力度的通知》（财库〔2022〕19号）、《广西壮族自治区财政厅关于持续优化政府采购营商环境推动高质量发展的通知》（桂财采〔202</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55</w:t>
            </w:r>
            <w:r>
              <w:rPr>
                <w:rFonts w:hint="eastAsia" w:ascii="宋体" w:hAnsi="宋体" w:cs="宋体"/>
                <w:bCs/>
                <w:color w:val="auto"/>
                <w:kern w:val="0"/>
                <w:szCs w:val="21"/>
                <w:highlight w:val="none"/>
              </w:rPr>
              <w:t>号）的规定</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对其最后报价给予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w:t>
            </w:r>
            <w:r>
              <w:rPr>
                <w:rFonts w:hint="eastAsia" w:ascii="宋体" w:hAnsi="宋体" w:cs="宋体"/>
                <w:bCs/>
                <w:color w:val="auto"/>
                <w:kern w:val="0"/>
                <w:szCs w:val="21"/>
                <w:highlight w:val="none"/>
                <w:lang w:eastAsia="zh-CN"/>
              </w:rPr>
              <w:t>（范围为</w:t>
            </w:r>
            <w:r>
              <w:rPr>
                <w:rFonts w:hint="eastAsia" w:ascii="宋体" w:hAnsi="宋体" w:cs="宋体"/>
                <w:bCs/>
                <w:color w:val="auto"/>
                <w:kern w:val="0"/>
                <w:szCs w:val="21"/>
                <w:highlight w:val="none"/>
                <w:lang w:val="en-US" w:eastAsia="zh-CN"/>
              </w:rPr>
              <w:t>10-20%）</w:t>
            </w:r>
            <w:r>
              <w:rPr>
                <w:rFonts w:hint="eastAsia" w:ascii="宋体" w:hAnsi="宋体" w:cs="宋体"/>
                <w:bCs/>
                <w:color w:val="auto"/>
                <w:kern w:val="0"/>
                <w:szCs w:val="21"/>
                <w:highlight w:val="none"/>
              </w:rPr>
              <w:t>的扣除。</w:t>
            </w:r>
          </w:p>
          <w:p w14:paraId="48F5798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7514AD3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222F7A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（5）政策性扣除计算方法。</w:t>
            </w:r>
          </w:p>
          <w:p w14:paraId="0BF837B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在服务采购项目中，服务由小微企业承接；对符合上述要求的投标人的投标报价给予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0%的扣除，扣除后的价格为评标报价，即评标报价=投标报价×（1-</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%（范围为4%-6%）的扣除，用扣除后的价格参加评审，扣除后的价格为评标报价，即评标报价=投标报价×（1-</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%）。除上述情况外，评标报价=投标报价。</w:t>
            </w:r>
          </w:p>
          <w:p w14:paraId="23FAA7C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（6）满足招标文件要求且评标报价最低的评标报价为评标基准价，其价格分为满分。</w:t>
            </w:r>
          </w:p>
          <w:p w14:paraId="52B3FC51">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（7）价格分计算公式：</w:t>
            </w:r>
          </w:p>
          <w:p w14:paraId="346308D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Cs/>
                <w:color w:val="auto"/>
                <w:kern w:val="0"/>
                <w:szCs w:val="21"/>
                <w:highlight w:val="none"/>
              </w:rPr>
              <w:t>价格分=(评标基准价／评标报价)×10分</w:t>
            </w:r>
            <w:r>
              <w:rPr>
                <w:rFonts w:hint="eastAsia" w:ascii="宋体" w:hAnsi="宋体" w:cs="宋体"/>
                <w:bCs/>
                <w:color w:val="auto"/>
                <w:kern w:val="0"/>
                <w:szCs w:val="21"/>
                <w:highlight w:val="none"/>
                <w:lang w:eastAsia="zh-CN"/>
              </w:rPr>
              <w:t>。</w:t>
            </w:r>
          </w:p>
          <w:p w14:paraId="1C8421B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8）异常低价说明。</w:t>
            </w:r>
          </w:p>
          <w:p w14:paraId="3B33726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p>
        </w:tc>
      </w:tr>
      <w:tr w14:paraId="3D992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638B7B81">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二</w:t>
            </w: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技术分（满分75分）</w:t>
            </w:r>
          </w:p>
        </w:tc>
      </w:tr>
      <w:tr w14:paraId="5156F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2B911206">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项目技术方案质量</w:t>
            </w:r>
          </w:p>
        </w:tc>
        <w:tc>
          <w:tcPr>
            <w:tcW w:w="781" w:type="dxa"/>
            <w:noWrap w:val="0"/>
            <w:vAlign w:val="center"/>
          </w:tcPr>
          <w:p w14:paraId="43B380E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30分</w:t>
            </w:r>
          </w:p>
        </w:tc>
        <w:tc>
          <w:tcPr>
            <w:tcW w:w="7142" w:type="dxa"/>
            <w:noWrap w:val="0"/>
            <w:vAlign w:val="center"/>
          </w:tcPr>
          <w:p w14:paraId="634A29A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由评标委员会对投标人提供的实施方案</w:t>
            </w:r>
            <w:r>
              <w:rPr>
                <w:rFonts w:hint="eastAsia" w:ascii="宋体" w:hAnsi="宋体" w:cs="宋体"/>
                <w:bCs/>
                <w:color w:val="auto"/>
                <w:kern w:val="0"/>
                <w:szCs w:val="21"/>
                <w:highlight w:val="none"/>
              </w:rPr>
              <w:t>（至少包括：工作计划、人员、进度安排，组织措施和保障方案）的合理性、科学性、可操作性，</w:t>
            </w:r>
            <w:r>
              <w:rPr>
                <w:rFonts w:hint="eastAsia" w:ascii="宋体" w:hAnsi="宋体" w:cs="宋体"/>
                <w:bCs/>
                <w:color w:val="auto"/>
                <w:kern w:val="0"/>
                <w:szCs w:val="21"/>
                <w:highlight w:val="none"/>
                <w:lang w:val="en-US" w:eastAsia="zh-CN"/>
              </w:rPr>
              <w:t>在相应档次内独立打分。</w:t>
            </w:r>
          </w:p>
          <w:p w14:paraId="1D43678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一档（0 分）：方案不完整，未针对本项目编写或存在其他无关本项目表述； </w:t>
            </w:r>
          </w:p>
          <w:p w14:paraId="09C148F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二档（10 分）：方案符合项目基本要求，</w:t>
            </w:r>
            <w:r>
              <w:rPr>
                <w:rFonts w:hint="eastAsia" w:ascii="宋体" w:hAnsi="宋体" w:cs="宋体"/>
                <w:bCs/>
                <w:color w:val="auto"/>
                <w:kern w:val="0"/>
                <w:szCs w:val="21"/>
                <w:highlight w:val="none"/>
              </w:rPr>
              <w:t>工作计划、人员、进度安排，组织措施和保障方案</w:t>
            </w:r>
            <w:r>
              <w:rPr>
                <w:rFonts w:hint="eastAsia" w:ascii="宋体" w:hAnsi="宋体" w:cs="宋体"/>
                <w:bCs/>
                <w:color w:val="auto"/>
                <w:kern w:val="0"/>
                <w:szCs w:val="21"/>
                <w:highlight w:val="none"/>
                <w:lang w:val="en-US" w:eastAsia="zh-CN"/>
              </w:rPr>
              <w:t xml:space="preserve">等各项工作内容按照项目需求制定且规范，对各项工作任务较简单，整体方案基本满足项目需求； </w:t>
            </w:r>
          </w:p>
          <w:p w14:paraId="16A3C487">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三档（20 分）：方案符合项目要求，</w:t>
            </w:r>
            <w:r>
              <w:rPr>
                <w:rFonts w:hint="eastAsia" w:ascii="宋体" w:hAnsi="宋体" w:cs="宋体"/>
                <w:bCs/>
                <w:color w:val="auto"/>
                <w:kern w:val="0"/>
                <w:szCs w:val="21"/>
                <w:highlight w:val="none"/>
              </w:rPr>
              <w:t>工作计划、人员、进度安排，组织措施和保障方案</w:t>
            </w:r>
            <w:r>
              <w:rPr>
                <w:rFonts w:hint="eastAsia" w:ascii="宋体" w:hAnsi="宋体" w:cs="宋体"/>
                <w:bCs/>
                <w:color w:val="auto"/>
                <w:kern w:val="0"/>
                <w:szCs w:val="21"/>
                <w:highlight w:val="none"/>
                <w:lang w:val="en-US" w:eastAsia="zh-CN"/>
              </w:rPr>
              <w:t xml:space="preserve">等各项工作内容按照项目需求制定且规范，对各项工作任务分析全面，分工明确，安全保证机制完整，整体方案满足项目需求； </w:t>
            </w:r>
          </w:p>
          <w:p w14:paraId="46E9005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四档（30 分）：方案符合项目要求，</w:t>
            </w:r>
            <w:r>
              <w:rPr>
                <w:rFonts w:hint="eastAsia" w:ascii="宋体" w:hAnsi="宋体" w:cs="宋体"/>
                <w:bCs/>
                <w:color w:val="auto"/>
                <w:kern w:val="0"/>
                <w:szCs w:val="21"/>
                <w:highlight w:val="none"/>
              </w:rPr>
              <w:t>对项目背景、需求理解、</w:t>
            </w:r>
            <w:r>
              <w:rPr>
                <w:rFonts w:hint="eastAsia" w:ascii="宋体" w:hAnsi="宋体" w:cs="宋体"/>
                <w:bCs/>
                <w:color w:val="auto"/>
                <w:kern w:val="0"/>
                <w:szCs w:val="21"/>
                <w:highlight w:val="none"/>
                <w:lang w:eastAsia="zh-CN"/>
              </w:rPr>
              <w:t>项目特点及</w:t>
            </w:r>
            <w:r>
              <w:rPr>
                <w:rFonts w:hint="eastAsia" w:ascii="宋体" w:hAnsi="宋体" w:cs="宋体"/>
                <w:bCs/>
                <w:color w:val="auto"/>
                <w:kern w:val="0"/>
                <w:szCs w:val="21"/>
                <w:highlight w:val="none"/>
              </w:rPr>
              <w:t>重难点分析准确</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熟悉项目情况，且阐述符合实际现状；已有工作基础扎实、内容详细，符合项目需求；工作计划、人员、进度安排，组织措施和保障方案</w:t>
            </w:r>
            <w:r>
              <w:rPr>
                <w:rFonts w:hint="eastAsia" w:ascii="宋体" w:hAnsi="宋体" w:cs="宋体"/>
                <w:bCs/>
                <w:color w:val="auto"/>
                <w:kern w:val="0"/>
                <w:szCs w:val="21"/>
                <w:highlight w:val="none"/>
                <w:lang w:val="en-US" w:eastAsia="zh-CN"/>
              </w:rPr>
              <w:t>等各项工作内容按照项目需求制定且规范，对各项工作任务分析理解深刻、完全把握采购目的，满足相关标准规范要求、可操作性强，工作流程规划描述详细、工作计划合理，内容充分切合本项目特色，整体方案明显优于项目需求。</w:t>
            </w:r>
          </w:p>
        </w:tc>
      </w:tr>
      <w:tr w14:paraId="68987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4D72E27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项目技术</w:t>
            </w:r>
            <w:r>
              <w:rPr>
                <w:rFonts w:hint="eastAsia" w:ascii="宋体" w:hAnsi="宋体" w:cs="宋体"/>
                <w:b/>
                <w:bCs w:val="0"/>
                <w:color w:val="auto"/>
                <w:kern w:val="0"/>
                <w:szCs w:val="21"/>
                <w:highlight w:val="none"/>
                <w:lang w:val="en-US" w:eastAsia="zh-CN"/>
              </w:rPr>
              <w:t>质量控制方案</w:t>
            </w:r>
          </w:p>
        </w:tc>
        <w:tc>
          <w:tcPr>
            <w:tcW w:w="781" w:type="dxa"/>
            <w:noWrap w:val="0"/>
            <w:vAlign w:val="center"/>
          </w:tcPr>
          <w:p w14:paraId="3F113E8C">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18分</w:t>
            </w:r>
          </w:p>
        </w:tc>
        <w:tc>
          <w:tcPr>
            <w:tcW w:w="7142" w:type="dxa"/>
            <w:noWrap w:val="0"/>
            <w:vAlign w:val="center"/>
          </w:tcPr>
          <w:p w14:paraId="3485A54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由评标委员会对投标人提供的</w:t>
            </w:r>
            <w:r>
              <w:rPr>
                <w:rFonts w:hint="eastAsia" w:ascii="宋体" w:hAnsi="宋体" w:cs="宋体"/>
                <w:bCs/>
                <w:color w:val="auto"/>
                <w:kern w:val="0"/>
                <w:szCs w:val="21"/>
                <w:highlight w:val="none"/>
              </w:rPr>
              <w:t>质量控制方案（至少包括：控制项目、控制措施、控制环节、质量评价指标和标准、实施频次和时间、实施部门和人员、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w:t>
            </w:r>
            <w:r>
              <w:rPr>
                <w:rFonts w:hint="eastAsia" w:ascii="宋体" w:hAnsi="宋体" w:cs="宋体"/>
                <w:bCs/>
                <w:color w:val="auto"/>
                <w:kern w:val="0"/>
                <w:szCs w:val="21"/>
                <w:highlight w:val="none"/>
              </w:rPr>
              <w:t>等）的合理性、科学性，从以下方面进行评分：</w:t>
            </w:r>
          </w:p>
          <w:p w14:paraId="12251DD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一档（0分）：</w:t>
            </w:r>
            <w:r>
              <w:rPr>
                <w:rFonts w:hint="eastAsia" w:ascii="宋体" w:hAnsi="宋体" w:cs="宋体"/>
                <w:bCs/>
                <w:color w:val="auto"/>
                <w:kern w:val="0"/>
                <w:szCs w:val="21"/>
                <w:highlight w:val="none"/>
              </w:rPr>
              <w:t>方案在项目执行过程</w:t>
            </w:r>
            <w:r>
              <w:rPr>
                <w:rFonts w:hint="eastAsia" w:ascii="宋体" w:hAnsi="宋体" w:cs="宋体"/>
                <w:bCs/>
                <w:color w:val="auto"/>
                <w:kern w:val="0"/>
                <w:szCs w:val="21"/>
                <w:highlight w:val="none"/>
                <w:lang w:val="en-US" w:eastAsia="zh-CN"/>
              </w:rPr>
              <w:t>中</w:t>
            </w:r>
            <w:r>
              <w:rPr>
                <w:rFonts w:hint="eastAsia" w:ascii="宋体" w:hAnsi="宋体" w:cs="宋体"/>
                <w:bCs/>
                <w:color w:val="auto"/>
                <w:kern w:val="0"/>
                <w:szCs w:val="21"/>
                <w:highlight w:val="none"/>
              </w:rPr>
              <w:t>不具</w:t>
            </w:r>
            <w:r>
              <w:rPr>
                <w:rFonts w:hint="eastAsia" w:ascii="宋体" w:hAnsi="宋体" w:cs="宋体"/>
                <w:bCs/>
                <w:color w:val="auto"/>
                <w:kern w:val="0"/>
                <w:szCs w:val="21"/>
                <w:highlight w:val="none"/>
                <w:lang w:eastAsia="zh-CN"/>
              </w:rPr>
              <w:t>有</w:t>
            </w:r>
            <w:r>
              <w:rPr>
                <w:rFonts w:hint="eastAsia" w:ascii="宋体" w:hAnsi="宋体" w:cs="宋体"/>
                <w:bCs/>
                <w:color w:val="auto"/>
                <w:kern w:val="0"/>
                <w:szCs w:val="21"/>
                <w:highlight w:val="none"/>
              </w:rPr>
              <w:t>可实施性</w:t>
            </w:r>
            <w:r>
              <w:rPr>
                <w:rFonts w:hint="eastAsia" w:ascii="宋体" w:hAnsi="宋体" w:cs="宋体"/>
                <w:bCs/>
                <w:color w:val="auto"/>
                <w:kern w:val="0"/>
                <w:szCs w:val="21"/>
                <w:highlight w:val="none"/>
                <w:lang w:val="en-US" w:eastAsia="zh-CN"/>
              </w:rPr>
              <w:t>，未建立质量管理体系，或仅笼统描述“保证质量”而无具体方案；无质控样品、无数据审核流程；最终报告无附件或拒绝接受采购方核查。</w:t>
            </w:r>
          </w:p>
          <w:p w14:paraId="6B4655BC">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二档（6分）：体系框架初步建立但缺陷明显，未包含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质量管理体系仅简单提及（无明确责任分工或关键环节制度缺失），部分环节不符合规范（如采样无记录、运输无防污染措施）；实施规范性不足：采样方案随意（无科学布点依据）；质控措施薄弱：质控样品设置不足（如无加标回收样），质控指标不达标（如平行样偏差＞15%），数据审核仅为一级（采样员自审）；风险控制与结果可靠性低：历史项目存在一般质量问题；最终报告附件缺失（如无质控报告），法律责任承诺模糊。</w:t>
            </w:r>
          </w:p>
          <w:p w14:paraId="1F2A84C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三档（12分）：体系基本完整但细节待完善，未包含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有质量管理体系（可能缺少细化分工或部分环节制度），基本符合国家/行业规范；实施基本规范但存在不足：采样方案合理但布点/方法细节不足（如未分层取样），运输监控措施不全面（如无温湿度实时监控）；数据审核层级为二级（缺少技术负责人终审）；质控基本有效但覆盖有限：设置质控样品（如平行样比例≥5%）但类型或比例未完全达标，质控指标基本符合要求（如平行样偏差≤15%）；数据经二级审核，异常数据有调查但流程不够明确；风险控制与结果较可靠；历史项目无重大质量问题；最终报告附主要附件（如原始数据），由负责人签字但承诺法律责任表述较笼统。</w:t>
            </w:r>
          </w:p>
          <w:p w14:paraId="37B4183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四档（18分）：体系完整且严格合规，未包含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建立覆盖“采样-运输-检测-分析-报告”全流程的三级质量管理体系（项目总负责人-技术组-质控组），明确各环节责任分工，制度符合国家/行业最新标准；实施科学规范：采样方案基于专业判断（如分区布点、分层取样），使用合规工具并全程记录（影像）；运输采用专用防污染容器，实时监控关键参数；质控严格有效：设置合理比例的平行样、空白样、加标回收样，质控指标（如平行样偏差≤10%）100%达标；数据经三级审核（采样员-分析员-技术负责人），异常数据启动溯源调查（如重新采样）；风险可控且结果可靠：，历史类似项目无重大质量问题；最终报告附完整原始数据等附件，由负责人签字并承诺法律责任，接受采购人抽查。</w:t>
            </w:r>
          </w:p>
        </w:tc>
      </w:tr>
      <w:tr w14:paraId="60A83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jc w:val="center"/>
        </w:trPr>
        <w:tc>
          <w:tcPr>
            <w:tcW w:w="846" w:type="dxa"/>
            <w:noWrap w:val="0"/>
            <w:vAlign w:val="center"/>
          </w:tcPr>
          <w:p w14:paraId="25ADEF6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服务承诺</w:t>
            </w:r>
          </w:p>
        </w:tc>
        <w:tc>
          <w:tcPr>
            <w:tcW w:w="781" w:type="dxa"/>
            <w:noWrap w:val="0"/>
            <w:vAlign w:val="center"/>
          </w:tcPr>
          <w:p w14:paraId="0704B3AA">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2分</w:t>
            </w:r>
          </w:p>
        </w:tc>
        <w:tc>
          <w:tcPr>
            <w:tcW w:w="7142" w:type="dxa"/>
            <w:noWrap w:val="0"/>
            <w:vAlign w:val="center"/>
          </w:tcPr>
          <w:p w14:paraId="0DEF7A8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不提供或不满足一档要求不得分。</w:t>
            </w:r>
          </w:p>
          <w:p w14:paraId="30E5DB2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一档（0分）：供应商未提供有服务承诺，售后服务响应及承诺不能满足采购文件需求；</w:t>
            </w:r>
          </w:p>
          <w:p w14:paraId="6604DA0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二档（1分）：供应商提供详细的服务承诺，并提供针对监测分析及监测结果有详细具体的承诺，承诺监测结果数据符合国家相关标准，并能按时向采购人提交相关监测调查结果材料，售后服务响应时间及承诺满足招标文件需求。</w:t>
            </w:r>
          </w:p>
          <w:p w14:paraId="182C2A1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档（2分）：供应商提供有详细完整的服务承诺，并提供针对监测分析及监测结果有详细具体的承诺，承诺监测结果数据符合国家相关标准，并能及时向采购人提交相关监测调查结果材料，以及承诺保证样品信息、监测数据的安全和保密性，确保不泄密。售后服务响应时间及承诺完全满足招标文件需求。</w:t>
            </w:r>
          </w:p>
        </w:tc>
      </w:tr>
      <w:tr w14:paraId="6E0F7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4FA6454B">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rPr>
              <w:t>设备设施</w:t>
            </w:r>
          </w:p>
        </w:tc>
        <w:tc>
          <w:tcPr>
            <w:tcW w:w="781" w:type="dxa"/>
            <w:noWrap w:val="0"/>
            <w:vAlign w:val="center"/>
          </w:tcPr>
          <w:p w14:paraId="12B01C31">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 xml:space="preserve">5 </w:t>
            </w:r>
            <w:r>
              <w:rPr>
                <w:rFonts w:hint="eastAsia" w:ascii="宋体" w:hAnsi="宋体" w:cs="宋体"/>
                <w:b/>
                <w:bCs w:val="0"/>
                <w:color w:val="auto"/>
                <w:kern w:val="0"/>
                <w:szCs w:val="21"/>
                <w:highlight w:val="none"/>
              </w:rPr>
              <w:t>分</w:t>
            </w:r>
          </w:p>
        </w:tc>
        <w:tc>
          <w:tcPr>
            <w:tcW w:w="7142" w:type="dxa"/>
            <w:noWrap w:val="0"/>
            <w:vAlign w:val="center"/>
          </w:tcPr>
          <w:p w14:paraId="5C699E8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本项目的</w:t>
            </w:r>
            <w:r>
              <w:rPr>
                <w:rFonts w:hint="eastAsia" w:ascii="宋体" w:hAnsi="宋体" w:cs="宋体"/>
                <w:color w:val="auto"/>
                <w:szCs w:val="21"/>
                <w:highlight w:val="none"/>
              </w:rPr>
              <w:t>仪器设备要求</w:t>
            </w:r>
            <w:r>
              <w:rPr>
                <w:rFonts w:hint="eastAsia" w:ascii="宋体" w:hAnsi="宋体" w:cs="宋体"/>
                <w:bCs/>
                <w:color w:val="auto"/>
                <w:kern w:val="0"/>
                <w:szCs w:val="21"/>
                <w:highlight w:val="none"/>
                <w:lang w:val="en-US" w:eastAsia="zh-CN"/>
              </w:rPr>
              <w:t>含</w:t>
            </w:r>
            <w:r>
              <w:rPr>
                <w:rFonts w:hint="eastAsia" w:ascii="宋体" w:hAnsi="宋体" w:cs="宋体"/>
                <w:bCs/>
                <w:color w:val="auto"/>
                <w:kern w:val="0"/>
                <w:szCs w:val="21"/>
                <w:highlight w:val="none"/>
              </w:rPr>
              <w:t>电感耦合等离子体质谱（ICP-MS）、电感耦合等离子体发射光谱仪（ICP-OES）、</w:t>
            </w:r>
            <w:r>
              <w:rPr>
                <w:rFonts w:hint="eastAsia" w:ascii="宋体" w:hAnsi="宋体" w:cs="宋体"/>
                <w:bCs/>
                <w:color w:val="auto"/>
                <w:kern w:val="0"/>
                <w:szCs w:val="21"/>
                <w:highlight w:val="none"/>
                <w:lang w:val="en-US" w:eastAsia="zh-CN"/>
              </w:rPr>
              <w:t>原子荧光分光度计</w:t>
            </w:r>
            <w:r>
              <w:rPr>
                <w:rFonts w:hint="eastAsia" w:ascii="宋体" w:hAnsi="宋体" w:cs="宋体"/>
                <w:bCs/>
                <w:color w:val="auto"/>
                <w:kern w:val="0"/>
                <w:szCs w:val="21"/>
                <w:highlight w:val="none"/>
              </w:rPr>
              <w:t>、原子吸收分光光度计</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气质联用仪各1台外，在此基础上，投标人拟投入本项目的设备“手持式X荧光光谱仪、X射线荧光光谱仪（能谱）、便携式可挥发有机物测试仪”每增加1台加1分，满分5分。</w:t>
            </w:r>
          </w:p>
          <w:p w14:paraId="7C982C01">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w:t>
            </w:r>
            <w:r>
              <w:rPr>
                <w:rFonts w:hint="eastAsia" w:ascii="宋体" w:hAnsi="宋体" w:cs="宋体"/>
                <w:bCs/>
                <w:color w:val="auto"/>
                <w:kern w:val="0"/>
                <w:szCs w:val="21"/>
                <w:highlight w:val="none"/>
              </w:rPr>
              <w:t>需</w:t>
            </w:r>
            <w:r>
              <w:rPr>
                <w:rFonts w:hint="eastAsia" w:ascii="宋体" w:hAnsi="宋体" w:cs="宋体"/>
                <w:bCs/>
                <w:color w:val="auto"/>
                <w:kern w:val="0"/>
                <w:szCs w:val="21"/>
                <w:highlight w:val="none"/>
                <w:lang w:val="en-US" w:eastAsia="zh-CN"/>
              </w:rPr>
              <w:t>提供</w:t>
            </w:r>
            <w:r>
              <w:rPr>
                <w:rFonts w:hint="eastAsia" w:ascii="宋体" w:hAnsi="宋体" w:cs="宋体"/>
                <w:bCs/>
                <w:color w:val="auto"/>
                <w:kern w:val="0"/>
                <w:szCs w:val="21"/>
                <w:highlight w:val="none"/>
              </w:rPr>
              <w:t>有效证明（属于供应商自有，租用不予计算），即提供仪器设备列表、设备的彩色照片、采购发票（发票抬头为投标人名字）和有效期限内的检定证书（校准证书）复印件等，并加盖公章，否则将其作为无效投标处理</w:t>
            </w:r>
            <w:r>
              <w:rPr>
                <w:rFonts w:hint="eastAsia" w:ascii="宋体" w:hAnsi="宋体" w:cs="宋体"/>
                <w:bCs/>
                <w:color w:val="auto"/>
                <w:kern w:val="0"/>
                <w:szCs w:val="21"/>
                <w:highlight w:val="none"/>
                <w:lang w:eastAsia="zh-CN"/>
              </w:rPr>
              <w:t>。</w:t>
            </w:r>
          </w:p>
        </w:tc>
      </w:tr>
      <w:tr w14:paraId="34717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5F16F87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项目负责人</w:t>
            </w:r>
          </w:p>
        </w:tc>
        <w:tc>
          <w:tcPr>
            <w:tcW w:w="781" w:type="dxa"/>
            <w:noWrap w:val="0"/>
            <w:vAlign w:val="center"/>
          </w:tcPr>
          <w:p w14:paraId="17E4B5B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5分</w:t>
            </w:r>
          </w:p>
        </w:tc>
        <w:tc>
          <w:tcPr>
            <w:tcW w:w="7142" w:type="dxa"/>
            <w:noWrap w:val="0"/>
            <w:vAlign w:val="center"/>
          </w:tcPr>
          <w:p w14:paraId="6BB8802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一档（2 分）：项目负责人具有正高级职称（职称专业为环境类、化学类、监测类相关专业）且具备硕士研究生学历，具有较丰富的实践经验，主持或参与过1个及以上涉及重金属类似项目，具备一定技术组织能力。</w:t>
            </w:r>
          </w:p>
          <w:p w14:paraId="07E9C74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二档（5 分）：项目负责人具有正高级职称（职称专业为环境类、化学类、监测类相关专业）且具备博士研究生学历，具有丰富的行业经验，主持或负责过1个及以上涉及重金属类似项目，技术能力强，在业内有一定影响力或成功案例突出。 </w:t>
            </w:r>
          </w:p>
          <w:p w14:paraId="48B950F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拟投入本项目的项目负责人须是投标人正式员工（非退休），提供项目负责人相关学历或学位证书、职称证书复印件、相关项目业绩证明、劳动合同复印件或在职在编人员证明或事业单位编制证书复印件等相关证明材料，否则不计分。</w:t>
            </w:r>
          </w:p>
        </w:tc>
      </w:tr>
      <w:tr w14:paraId="0147C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4A407EE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投入本项目工作人员情况</w:t>
            </w:r>
          </w:p>
        </w:tc>
        <w:tc>
          <w:tcPr>
            <w:tcW w:w="781" w:type="dxa"/>
            <w:noWrap w:val="0"/>
            <w:vAlign w:val="center"/>
          </w:tcPr>
          <w:p w14:paraId="154E0289">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15分</w:t>
            </w:r>
          </w:p>
        </w:tc>
        <w:tc>
          <w:tcPr>
            <w:tcW w:w="7142" w:type="dxa"/>
            <w:noWrap w:val="0"/>
            <w:vAlign w:val="center"/>
          </w:tcPr>
          <w:p w14:paraId="0CAF50C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一档（5 分）：明确投入到本项目的技术人员不少于 22 人，且拟投入人员中具有中级职称不少于 8 人，副高级职称不少于 4 人，正高级职称不少于1人，职称专业为环境类、化学类、监测类相关专业。 </w:t>
            </w:r>
          </w:p>
          <w:p w14:paraId="1A0F595C">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二档（10 分）：明确投入到本项目的技术人员不少于 26 人，且拟投入人员中具有中级职称不少于 10人，副高级职称不少于 5 人，正高级职称不少于2人，职称专业为环境类、化学类、监测类相关专业。 </w:t>
            </w:r>
          </w:p>
          <w:p w14:paraId="08BE4AD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三档（15 分）：明确投入到本项目的技术人员不少于 30 人，且拟投入人员中具有中级职称不少于 12 人，副高级职称不少于 6 人，正高级职称不少于3人，职称专业为环境类、化学类、监测类相关专业。 </w:t>
            </w:r>
          </w:p>
          <w:p w14:paraId="645F37E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拟投入本项目的以上人员是投标人在职在岗正式员工（非退休，不含项目负责人），投标文件需提供人员职称证书证明材料复印件，劳动合同复印件或在职在编人员证明或事业单位编制证书复印件等相关证明材料，否则不计分。</w:t>
            </w:r>
          </w:p>
        </w:tc>
      </w:tr>
      <w:tr w14:paraId="2DF44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1BDB4151">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（三）商务分（满分15分）</w:t>
            </w:r>
          </w:p>
        </w:tc>
      </w:tr>
      <w:tr w14:paraId="36F8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026FD8B6">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bookmarkStart w:id="181" w:name="_Toc9520"/>
            <w:r>
              <w:rPr>
                <w:rFonts w:hint="eastAsia" w:ascii="宋体" w:hAnsi="宋体" w:cs="宋体"/>
                <w:b/>
                <w:bCs w:val="0"/>
                <w:color w:val="auto"/>
                <w:kern w:val="0"/>
                <w:szCs w:val="21"/>
                <w:highlight w:val="none"/>
                <w:lang w:val="en-US" w:eastAsia="zh-CN"/>
              </w:rPr>
              <w:t>业绩分</w:t>
            </w:r>
          </w:p>
        </w:tc>
        <w:tc>
          <w:tcPr>
            <w:tcW w:w="781" w:type="dxa"/>
            <w:noWrap w:val="0"/>
            <w:vAlign w:val="center"/>
          </w:tcPr>
          <w:p w14:paraId="261AD84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10分</w:t>
            </w:r>
          </w:p>
        </w:tc>
        <w:tc>
          <w:tcPr>
            <w:tcW w:w="7142" w:type="dxa"/>
            <w:noWrap w:val="0"/>
            <w:vAlign w:val="center"/>
          </w:tcPr>
          <w:p w14:paraId="3B9D8470">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投标人提供 2021 年 1 月 1 日以来开展过同类（危险特性鉴别、土壤污染调查等）项目业绩的，每个业绩得 1 分，本项满分 10 分。</w:t>
            </w:r>
          </w:p>
          <w:p w14:paraId="2170AE43">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 xml:space="preserve">注：提供签订合同首页、 签字盖章所在页复印件或中标（成交）通知书或项目下达文件复印件等证明材料，证明材料须经评标委员会认可为准，否则不计分。 </w:t>
            </w:r>
          </w:p>
        </w:tc>
      </w:tr>
      <w:tr w14:paraId="2D61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47FDA8C5">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信誉分</w:t>
            </w:r>
          </w:p>
        </w:tc>
        <w:tc>
          <w:tcPr>
            <w:tcW w:w="781" w:type="dxa"/>
            <w:noWrap w:val="0"/>
            <w:vAlign w:val="center"/>
          </w:tcPr>
          <w:p w14:paraId="41587209">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3分</w:t>
            </w:r>
          </w:p>
        </w:tc>
        <w:tc>
          <w:tcPr>
            <w:tcW w:w="7142" w:type="dxa"/>
            <w:noWrap w:val="0"/>
            <w:vAlign w:val="center"/>
          </w:tcPr>
          <w:p w14:paraId="3780778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rPr>
              <w:t>投标人自2021年1月1日起</w:t>
            </w:r>
            <w:r>
              <w:rPr>
                <w:rFonts w:hint="eastAsia" w:ascii="宋体" w:hAnsi="宋体" w:cs="宋体"/>
                <w:bCs/>
                <w:color w:val="auto"/>
                <w:kern w:val="0"/>
                <w:szCs w:val="21"/>
                <w:highlight w:val="none"/>
                <w:lang w:eastAsia="zh-CN"/>
              </w:rPr>
              <w:t>参与</w:t>
            </w:r>
            <w:r>
              <w:rPr>
                <w:rFonts w:hint="eastAsia" w:ascii="宋体" w:hAnsi="宋体" w:cs="宋体"/>
                <w:bCs/>
                <w:color w:val="auto"/>
                <w:kern w:val="0"/>
                <w:szCs w:val="21"/>
                <w:highlight w:val="none"/>
              </w:rPr>
              <w:t>编制生态环境相关标准、技术指南、技术要求或方案的，每项得1分，本项满分</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分。【必须提供相关标准正式发布稿（以发布日期为准）</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技术指南、技术要求、方案正式发布稿（以发布日期为准）及委托合同或委托单位出具的证明材料等相关证明文件复印件并加盖公章，否则不得分。】</w:t>
            </w:r>
          </w:p>
        </w:tc>
      </w:tr>
      <w:tr w14:paraId="0FE3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2C1E93B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能力验证分</w:t>
            </w:r>
          </w:p>
        </w:tc>
        <w:tc>
          <w:tcPr>
            <w:tcW w:w="781" w:type="dxa"/>
            <w:noWrap w:val="0"/>
            <w:vAlign w:val="center"/>
          </w:tcPr>
          <w:p w14:paraId="3F4F7075">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2分</w:t>
            </w:r>
          </w:p>
        </w:tc>
        <w:tc>
          <w:tcPr>
            <w:tcW w:w="7142" w:type="dxa"/>
            <w:noWrap w:val="0"/>
            <w:vAlign w:val="center"/>
          </w:tcPr>
          <w:p w14:paraId="62476AB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自202</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年1月1日以来，投标人</w:t>
            </w:r>
            <w:r>
              <w:rPr>
                <w:rFonts w:hint="eastAsia" w:ascii="宋体" w:hAnsi="宋体" w:cs="宋体"/>
                <w:bCs/>
                <w:color w:val="auto"/>
                <w:kern w:val="0"/>
                <w:szCs w:val="21"/>
                <w:highlight w:val="none"/>
                <w:lang w:eastAsia="zh-CN"/>
              </w:rPr>
              <w:t>重金属</w:t>
            </w:r>
            <w:r>
              <w:rPr>
                <w:rFonts w:hint="eastAsia" w:ascii="宋体" w:hAnsi="宋体" w:cs="宋体"/>
                <w:bCs/>
                <w:color w:val="auto"/>
                <w:kern w:val="0"/>
                <w:szCs w:val="21"/>
                <w:highlight w:val="none"/>
              </w:rPr>
              <w:t>分析指标通过国家级环境监测实验室能力验证或能力考核的，每提供1次得1分，满分</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分。（提供相关佐证材料复印件并加盖公章）。</w:t>
            </w:r>
          </w:p>
        </w:tc>
      </w:tr>
      <w:tr w14:paraId="1782F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2D3C3A08">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总得分=（一）+（二）+</w:t>
            </w:r>
            <w:bookmarkEnd w:id="181"/>
            <w:r>
              <w:rPr>
                <w:rFonts w:hint="eastAsia" w:ascii="宋体" w:hAnsi="宋体" w:cs="宋体"/>
                <w:b/>
                <w:bCs w:val="0"/>
                <w:color w:val="auto"/>
                <w:kern w:val="0"/>
                <w:szCs w:val="21"/>
                <w:highlight w:val="none"/>
                <w:lang w:val="en-US" w:eastAsia="zh-CN"/>
              </w:rPr>
              <w:t>（三）</w:t>
            </w:r>
          </w:p>
        </w:tc>
      </w:tr>
    </w:tbl>
    <w:p w14:paraId="1BC59B1E">
      <w:pPr>
        <w:rPr>
          <w:rFonts w:hint="eastAsia" w:ascii="宋体" w:hAnsi="宋体" w:eastAsia="宋体" w:cs="宋体"/>
          <w:color w:val="auto"/>
          <w:highlight w:val="none"/>
        </w:rPr>
      </w:pPr>
      <w:bookmarkStart w:id="182" w:name="_Toc13030"/>
      <w:bookmarkStart w:id="183" w:name="_Toc4130"/>
      <w:r>
        <w:rPr>
          <w:rFonts w:hint="eastAsia" w:ascii="宋体" w:hAnsi="宋体" w:eastAsia="宋体" w:cs="宋体"/>
          <w:color w:val="auto"/>
          <w:highlight w:val="none"/>
        </w:rPr>
        <w:br w:type="page"/>
      </w:r>
    </w:p>
    <w:p w14:paraId="4959753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四、中标候选人推荐原则</w:t>
      </w:r>
      <w:bookmarkEnd w:id="182"/>
      <w:bookmarkEnd w:id="183"/>
    </w:p>
    <w:p w14:paraId="60C711B9">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1.评标委员会根据原始评标记录和评标结果编写评标报告，并通过电子交易平台向采购人、采购代理机构提交。</w:t>
      </w:r>
    </w:p>
    <w:p w14:paraId="67E3E06C">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2.评标委员会将根据总得分由高到低排列次序并推荐中标候选人。得分相同的，以投标报价由低到高顺序排列。得分相同且投标报价相同的并列，投标文件满足招标文件全部实质性要求，且按照评审因素的量化指标评审【详见投标人须知前附表30.1条】得分最高的投标人为排名第一的中标候选人。</w:t>
      </w:r>
    </w:p>
    <w:p w14:paraId="20ED94FF">
      <w:pPr>
        <w:pStyle w:val="20"/>
        <w:spacing w:line="440" w:lineRule="exact"/>
        <w:ind w:firstLine="420" w:firstLineChars="200"/>
        <w:contextualSpacing/>
        <w:rPr>
          <w:rFonts w:hint="eastAsia" w:hAnsi="宋体" w:cs="宋体"/>
          <w:b/>
          <w:color w:val="auto"/>
          <w:sz w:val="24"/>
          <w:highlight w:val="none"/>
        </w:rPr>
      </w:pPr>
      <w:r>
        <w:rPr>
          <w:rFonts w:hint="eastAsia" w:hAnsi="宋体" w:cs="宋体"/>
          <w:color w:val="auto"/>
          <w:highlight w:val="none"/>
        </w:rPr>
        <w:br w:type="page"/>
      </w:r>
    </w:p>
    <w:p w14:paraId="1D094321">
      <w:pPr>
        <w:pStyle w:val="3"/>
        <w:jc w:val="center"/>
        <w:rPr>
          <w:rFonts w:hint="eastAsia" w:ascii="宋体" w:hAnsi="宋体" w:cs="宋体"/>
          <w:color w:val="auto"/>
          <w:highlight w:val="none"/>
        </w:rPr>
      </w:pPr>
      <w:bookmarkStart w:id="184" w:name="_Toc25693"/>
      <w:bookmarkStart w:id="185" w:name="_Toc5182"/>
      <w:bookmarkStart w:id="186" w:name="_Toc22428"/>
      <w:r>
        <w:rPr>
          <w:rFonts w:hint="eastAsia" w:ascii="宋体" w:hAnsi="宋体" w:cs="宋体"/>
          <w:color w:val="auto"/>
          <w:highlight w:val="none"/>
        </w:rPr>
        <w:t>第五章  拟签订的合同文本</w:t>
      </w:r>
      <w:bookmarkEnd w:id="184"/>
      <w:bookmarkEnd w:id="185"/>
      <w:bookmarkEnd w:id="186"/>
    </w:p>
    <w:p w14:paraId="697DAC7B">
      <w:pPr>
        <w:spacing w:line="400" w:lineRule="exact"/>
        <w:jc w:val="center"/>
        <w:rPr>
          <w:rFonts w:hint="eastAsia" w:ascii="宋体" w:hAnsi="宋体" w:eastAsia="宋体" w:cs="宋体"/>
          <w:b/>
          <w:bCs/>
          <w:color w:val="auto"/>
          <w:sz w:val="24"/>
          <w:szCs w:val="24"/>
          <w:highlight w:val="none"/>
        </w:rPr>
      </w:pPr>
    </w:p>
    <w:p w14:paraId="6C23F2BE">
      <w:pPr>
        <w:spacing w:line="40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广西壮族自治区政府采购项目合同</w:t>
      </w:r>
    </w:p>
    <w:p w14:paraId="64F2FA4D">
      <w:pPr>
        <w:spacing w:line="400" w:lineRule="exact"/>
        <w:jc w:val="center"/>
        <w:rPr>
          <w:rFonts w:hint="eastAsia" w:ascii="宋体" w:hAnsi="宋体" w:eastAsia="宋体" w:cs="宋体"/>
          <w:b/>
          <w:bCs/>
          <w:color w:val="auto"/>
          <w:sz w:val="24"/>
          <w:szCs w:val="24"/>
          <w:highlight w:val="none"/>
        </w:rPr>
      </w:pPr>
    </w:p>
    <w:p w14:paraId="7E898E02">
      <w:pPr>
        <w:spacing w:line="400" w:lineRule="exact"/>
        <w:ind w:firstLine="1908" w:firstLineChars="794"/>
        <w:rPr>
          <w:rFonts w:hint="eastAsia" w:ascii="宋体" w:hAnsi="宋体" w:eastAsia="宋体" w:cs="宋体"/>
          <w:b/>
          <w:bCs/>
          <w:color w:val="auto"/>
          <w:sz w:val="24"/>
          <w:szCs w:val="24"/>
          <w:highlight w:val="none"/>
        </w:rPr>
      </w:pPr>
    </w:p>
    <w:p w14:paraId="0043F2AD">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val="en-US" w:eastAsia="zh-CN"/>
        </w:rPr>
        <w:t xml:space="preserve">        </w:t>
      </w:r>
    </w:p>
    <w:p w14:paraId="2A9FF0C3">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p>
    <w:p w14:paraId="292E5A00">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531653632"/>
        </w:rPr>
        <w:t>项目名称</w:t>
      </w:r>
      <w:r>
        <w:rPr>
          <w:rFonts w:hint="eastAsia" w:ascii="宋体" w:hAnsi="宋体" w:eastAsia="宋体" w:cs="宋体"/>
          <w:b/>
          <w:bCs w:val="0"/>
          <w:color w:val="auto"/>
          <w:spacing w:val="2"/>
          <w:kern w:val="0"/>
          <w:sz w:val="24"/>
          <w:szCs w:val="24"/>
          <w:highlight w:val="none"/>
          <w:u w:val="none"/>
          <w:fitText w:val="1260" w:id="531653632"/>
        </w:rPr>
        <w:t>：</w:t>
      </w:r>
      <w:r>
        <w:rPr>
          <w:rFonts w:hint="eastAsia" w:ascii="宋体" w:hAnsi="宋体" w:cs="宋体"/>
          <w:b/>
          <w:bCs w:val="0"/>
          <w:color w:val="auto"/>
          <w:sz w:val="24"/>
          <w:szCs w:val="24"/>
          <w:highlight w:val="none"/>
          <w:u w:val="single"/>
          <w:lang w:val="en-US" w:eastAsia="zh-CN"/>
        </w:rPr>
        <w:t xml:space="preserve"> 全区非法堆存、转移涉重固体废物危险特性鉴别及污染释放能力评估项目   </w:t>
      </w:r>
    </w:p>
    <w:p w14:paraId="542A866A">
      <w:pPr>
        <w:spacing w:line="400" w:lineRule="exact"/>
        <w:ind w:left="1896" w:leftChars="903" w:firstLine="0" w:firstLineChars="0"/>
        <w:rPr>
          <w:rFonts w:hint="eastAsia" w:ascii="宋体" w:hAnsi="宋体" w:eastAsia="宋体" w:cs="宋体"/>
          <w:b/>
          <w:bCs w:val="0"/>
          <w:color w:val="auto"/>
          <w:sz w:val="24"/>
          <w:szCs w:val="24"/>
          <w:highlight w:val="none"/>
        </w:rPr>
      </w:pPr>
    </w:p>
    <w:p w14:paraId="1CDF74F8">
      <w:pPr>
        <w:pStyle w:val="25"/>
        <w:rPr>
          <w:rFonts w:hint="eastAsia"/>
          <w:color w:val="auto"/>
          <w:sz w:val="24"/>
          <w:szCs w:val="24"/>
          <w:highlight w:val="none"/>
        </w:rPr>
      </w:pPr>
    </w:p>
    <w:p w14:paraId="4BFA640E">
      <w:pPr>
        <w:spacing w:line="400" w:lineRule="exact"/>
        <w:ind w:left="1896" w:leftChars="903" w:firstLine="0" w:firstLineChars="0"/>
        <w:rPr>
          <w:rFonts w:hint="eastAsia" w:ascii="宋体" w:hAnsi="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658901547"/>
        </w:rPr>
        <w:t>计划编号</w:t>
      </w:r>
      <w:r>
        <w:rPr>
          <w:rFonts w:hint="eastAsia" w:ascii="宋体" w:hAnsi="宋体" w:eastAsia="宋体" w:cs="宋体"/>
          <w:b/>
          <w:bCs w:val="0"/>
          <w:color w:val="auto"/>
          <w:spacing w:val="2"/>
          <w:kern w:val="0"/>
          <w:sz w:val="24"/>
          <w:szCs w:val="24"/>
          <w:highlight w:val="none"/>
          <w:fitText w:val="1260" w:id="658901547"/>
        </w:rPr>
        <w:t>：</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 xml:space="preserve">                     </w:t>
      </w:r>
    </w:p>
    <w:p w14:paraId="43C132D5">
      <w:pPr>
        <w:pStyle w:val="25"/>
        <w:rPr>
          <w:rFonts w:hint="default"/>
          <w:color w:val="auto"/>
          <w:highlight w:val="none"/>
          <w:lang w:val="en-US" w:eastAsia="zh-CN"/>
        </w:rPr>
      </w:pPr>
    </w:p>
    <w:p w14:paraId="5EA23B24">
      <w:pPr>
        <w:pStyle w:val="25"/>
        <w:rPr>
          <w:rFonts w:hint="default"/>
          <w:color w:val="auto"/>
          <w:sz w:val="24"/>
          <w:szCs w:val="24"/>
          <w:highlight w:val="none"/>
          <w:lang w:val="en-US" w:eastAsia="zh-CN"/>
        </w:rPr>
      </w:pPr>
    </w:p>
    <w:p w14:paraId="4DC7F7B8">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50"/>
          <w:kern w:val="0"/>
          <w:sz w:val="24"/>
          <w:szCs w:val="24"/>
          <w:highlight w:val="none"/>
          <w:fitText w:val="1260" w:id="2125224639"/>
        </w:rPr>
        <w:t>采购人</w:t>
      </w:r>
      <w:r>
        <w:rPr>
          <w:rFonts w:hint="eastAsia" w:ascii="宋体" w:hAnsi="宋体" w:eastAsia="宋体" w:cs="宋体"/>
          <w:b/>
          <w:bCs w:val="0"/>
          <w:color w:val="auto"/>
          <w:spacing w:val="0"/>
          <w:kern w:val="0"/>
          <w:sz w:val="24"/>
          <w:szCs w:val="24"/>
          <w:highlight w:val="none"/>
          <w:fitText w:val="1260" w:id="2125224639"/>
        </w:rPr>
        <w:t>：</w:t>
      </w:r>
      <w:r>
        <w:rPr>
          <w:rFonts w:hint="eastAsia" w:ascii="宋体" w:hAnsi="宋体" w:eastAsia="宋体" w:cs="宋体"/>
          <w:b/>
          <w:bCs w:val="0"/>
          <w:color w:val="auto"/>
          <w:sz w:val="24"/>
          <w:szCs w:val="24"/>
          <w:highlight w:val="none"/>
          <w:u w:val="single"/>
          <w:lang w:val="en-US" w:eastAsia="zh-CN"/>
        </w:rPr>
        <w:t xml:space="preserve"> 广西壮族自治区生态环境厅</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p>
    <w:p w14:paraId="17D06DFD">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p>
    <w:p w14:paraId="27922611">
      <w:pPr>
        <w:pStyle w:val="25"/>
        <w:rPr>
          <w:rFonts w:hint="eastAsia"/>
          <w:color w:val="auto"/>
          <w:sz w:val="24"/>
          <w:szCs w:val="24"/>
          <w:highlight w:val="none"/>
          <w:lang w:val="en-US" w:eastAsia="zh-CN"/>
        </w:rPr>
      </w:pPr>
    </w:p>
    <w:p w14:paraId="1C3AFC91">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pacing w:val="1"/>
          <w:w w:val="87"/>
          <w:kern w:val="0"/>
          <w:sz w:val="24"/>
          <w:szCs w:val="24"/>
          <w:highlight w:val="none"/>
          <w:fitText w:val="1260" w:id="501840843"/>
        </w:rPr>
        <w:t>中标供应商</w:t>
      </w:r>
      <w:r>
        <w:rPr>
          <w:rFonts w:hint="eastAsia" w:ascii="宋体" w:hAnsi="宋体" w:eastAsia="宋体" w:cs="宋体"/>
          <w:b/>
          <w:bCs w:val="0"/>
          <w:color w:val="auto"/>
          <w:spacing w:val="0"/>
          <w:w w:val="87"/>
          <w:kern w:val="0"/>
          <w:sz w:val="24"/>
          <w:szCs w:val="24"/>
          <w:highlight w:val="none"/>
          <w:fitText w:val="1260" w:id="501840843"/>
        </w:rPr>
        <w:t>：</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p>
    <w:p w14:paraId="49A622F2">
      <w:pPr>
        <w:tabs>
          <w:tab w:val="left" w:pos="7380"/>
        </w:tabs>
        <w:spacing w:line="400" w:lineRule="exact"/>
        <w:rPr>
          <w:rFonts w:hint="eastAsia" w:ascii="宋体" w:hAnsi="宋体" w:eastAsia="宋体" w:cs="宋体"/>
          <w:b/>
          <w:bCs/>
          <w:color w:val="auto"/>
          <w:sz w:val="24"/>
          <w:szCs w:val="24"/>
          <w:highlight w:val="none"/>
        </w:rPr>
      </w:pPr>
    </w:p>
    <w:p w14:paraId="652389E1">
      <w:pPr>
        <w:spacing w:line="400" w:lineRule="exact"/>
        <w:ind w:firstLine="960" w:firstLineChars="400"/>
        <w:rPr>
          <w:rFonts w:hint="eastAsia" w:ascii="宋体" w:hAnsi="宋体" w:eastAsia="宋体" w:cs="宋体"/>
          <w:color w:val="auto"/>
          <w:sz w:val="24"/>
          <w:szCs w:val="24"/>
          <w:highlight w:val="none"/>
        </w:rPr>
      </w:pPr>
    </w:p>
    <w:p w14:paraId="67A49BBF">
      <w:pPr>
        <w:spacing w:line="400" w:lineRule="exact"/>
        <w:ind w:firstLine="2160" w:firstLineChars="900"/>
        <w:rPr>
          <w:rFonts w:hint="eastAsia" w:ascii="宋体" w:hAnsi="宋体" w:eastAsia="宋体" w:cs="宋体"/>
          <w:color w:val="auto"/>
          <w:sz w:val="24"/>
          <w:szCs w:val="24"/>
          <w:highlight w:val="none"/>
        </w:rPr>
      </w:pPr>
    </w:p>
    <w:p w14:paraId="672BE4D0">
      <w:pPr>
        <w:spacing w:line="400" w:lineRule="exact"/>
        <w:ind w:firstLine="2160" w:firstLineChars="900"/>
        <w:rPr>
          <w:rFonts w:hint="eastAsia" w:ascii="宋体" w:hAnsi="宋体" w:eastAsia="宋体" w:cs="宋体"/>
          <w:color w:val="auto"/>
          <w:sz w:val="24"/>
          <w:szCs w:val="24"/>
          <w:highlight w:val="none"/>
        </w:rPr>
      </w:pPr>
    </w:p>
    <w:p w14:paraId="1EA5704B">
      <w:pPr>
        <w:spacing w:line="400" w:lineRule="exact"/>
        <w:ind w:firstLine="2160" w:firstLineChars="900"/>
        <w:rPr>
          <w:rFonts w:hint="eastAsia" w:ascii="宋体" w:hAnsi="宋体" w:eastAsia="宋体" w:cs="宋体"/>
          <w:color w:val="auto"/>
          <w:sz w:val="24"/>
          <w:szCs w:val="24"/>
          <w:highlight w:val="none"/>
        </w:rPr>
      </w:pPr>
    </w:p>
    <w:p w14:paraId="1880E575">
      <w:pPr>
        <w:spacing w:line="400" w:lineRule="exact"/>
        <w:ind w:firstLine="2160" w:firstLineChars="900"/>
        <w:rPr>
          <w:rFonts w:hint="eastAsia" w:ascii="宋体" w:hAnsi="宋体" w:eastAsia="宋体" w:cs="宋体"/>
          <w:color w:val="auto"/>
          <w:sz w:val="24"/>
          <w:szCs w:val="24"/>
          <w:highlight w:val="none"/>
        </w:rPr>
      </w:pPr>
    </w:p>
    <w:p w14:paraId="308C174A">
      <w:pPr>
        <w:spacing w:line="400" w:lineRule="exact"/>
        <w:ind w:firstLine="2160" w:firstLineChars="900"/>
        <w:rPr>
          <w:rFonts w:hint="eastAsia" w:ascii="宋体" w:hAnsi="宋体" w:eastAsia="宋体" w:cs="宋体"/>
          <w:color w:val="auto"/>
          <w:sz w:val="24"/>
          <w:szCs w:val="24"/>
          <w:highlight w:val="none"/>
        </w:rPr>
      </w:pPr>
    </w:p>
    <w:p w14:paraId="470920BC">
      <w:pPr>
        <w:spacing w:line="400" w:lineRule="exact"/>
        <w:ind w:firstLine="2160" w:firstLineChars="900"/>
        <w:rPr>
          <w:rFonts w:hint="eastAsia" w:ascii="宋体" w:hAnsi="宋体" w:eastAsia="宋体" w:cs="宋体"/>
          <w:color w:val="auto"/>
          <w:sz w:val="24"/>
          <w:szCs w:val="24"/>
          <w:highlight w:val="none"/>
        </w:rPr>
      </w:pPr>
    </w:p>
    <w:p w14:paraId="14843932">
      <w:pPr>
        <w:spacing w:line="400" w:lineRule="exact"/>
        <w:ind w:firstLine="2160" w:firstLineChars="9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B93E492">
      <w:pPr>
        <w:spacing w:line="400" w:lineRule="exact"/>
        <w:ind w:firstLine="2160" w:firstLineChars="900"/>
        <w:rPr>
          <w:rFonts w:hint="eastAsia" w:ascii="宋体" w:hAnsi="宋体" w:eastAsia="宋体" w:cs="宋体"/>
          <w:bCs/>
          <w:color w:val="auto"/>
          <w:sz w:val="24"/>
          <w:szCs w:val="24"/>
          <w:highlight w:val="none"/>
        </w:rPr>
      </w:pPr>
    </w:p>
    <w:p w14:paraId="6C9243E2">
      <w:pPr>
        <w:spacing w:line="400" w:lineRule="exact"/>
        <w:ind w:firstLine="2160" w:firstLineChars="9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合同编号：</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lang w:val="en-US" w:eastAsia="zh-CN"/>
        </w:rPr>
        <w:t xml:space="preserve">                </w:t>
      </w:r>
    </w:p>
    <w:p w14:paraId="2A416F89">
      <w:pPr>
        <w:spacing w:line="400" w:lineRule="exact"/>
        <w:jc w:val="center"/>
        <w:rPr>
          <w:rFonts w:hint="eastAsia" w:ascii="宋体" w:hAnsi="宋体" w:eastAsia="宋体" w:cs="宋体"/>
          <w:color w:val="auto"/>
          <w:kern w:val="0"/>
          <w:sz w:val="24"/>
          <w:szCs w:val="24"/>
          <w:highlight w:val="none"/>
        </w:rPr>
      </w:pPr>
    </w:p>
    <w:p w14:paraId="4AD8CD94">
      <w:pPr>
        <w:rPr>
          <w:rFonts w:hint="eastAsia" w:ascii="宋体" w:hAnsi="宋体" w:eastAsia="宋体" w:cs="宋体"/>
          <w:color w:val="auto"/>
          <w:kern w:val="0"/>
          <w:sz w:val="24"/>
          <w:szCs w:val="24"/>
          <w:highlight w:val="none"/>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39699C7C">
      <w:pPr>
        <w:pStyle w:val="25"/>
        <w:rPr>
          <w:rFonts w:hint="eastAsia"/>
          <w:color w:val="auto"/>
          <w:highlight w:val="none"/>
        </w:rPr>
      </w:pPr>
    </w:p>
    <w:p w14:paraId="483E30A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color w:val="auto"/>
          <w:kern w:val="0"/>
          <w:sz w:val="28"/>
          <w:szCs w:val="28"/>
          <w:highlight w:val="none"/>
        </w:rPr>
      </w:pPr>
      <w:r>
        <w:rPr>
          <w:rFonts w:hint="eastAsia" w:ascii="方正小标宋_GBK" w:hAnsi="方正小标宋_GBK" w:eastAsia="方正小标宋_GBK" w:cs="方正小标宋_GBK"/>
          <w:color w:val="auto"/>
          <w:kern w:val="0"/>
          <w:sz w:val="28"/>
          <w:szCs w:val="28"/>
          <w:highlight w:val="none"/>
        </w:rPr>
        <w:t>政府采购技术服务合同</w:t>
      </w:r>
    </w:p>
    <w:p w14:paraId="1F5AF3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4"/>
          <w:szCs w:val="24"/>
          <w:highlight w:val="none"/>
        </w:rPr>
      </w:pPr>
    </w:p>
    <w:p w14:paraId="23DD8A1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color w:val="auto"/>
          <w:kern w:val="0"/>
          <w:sz w:val="24"/>
          <w:szCs w:val="24"/>
          <w:highlight w:val="none"/>
        </w:rPr>
        <w:t>采购计划号：</w:t>
      </w:r>
      <w:r>
        <w:rPr>
          <w:rFonts w:hint="eastAsia" w:ascii="宋体" w:hAnsi="宋体" w:cs="宋体"/>
          <w:b w:val="0"/>
          <w:bCs/>
          <w:color w:val="auto"/>
          <w:sz w:val="24"/>
          <w:szCs w:val="24"/>
          <w:highlight w:val="none"/>
          <w:u w:val="single"/>
          <w:lang w:val="en-US" w:eastAsia="zh-CN"/>
        </w:rPr>
        <w:t xml:space="preserve">                      </w:t>
      </w:r>
    </w:p>
    <w:p w14:paraId="1F778701">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b w:val="0"/>
          <w:bCs/>
          <w:color w:val="auto"/>
          <w:kern w:val="0"/>
          <w:sz w:val="24"/>
          <w:szCs w:val="24"/>
          <w:highlight w:val="none"/>
        </w:rPr>
        <w:t>项目名称：</w:t>
      </w:r>
      <w:r>
        <w:rPr>
          <w:rFonts w:hint="eastAsia" w:ascii="宋体" w:hAnsi="宋体" w:cs="宋体"/>
          <w:b w:val="0"/>
          <w:bCs/>
          <w:color w:val="auto"/>
          <w:sz w:val="24"/>
          <w:szCs w:val="24"/>
          <w:highlight w:val="none"/>
          <w:u w:val="single"/>
          <w:lang w:val="en-US" w:eastAsia="zh-CN"/>
        </w:rPr>
        <w:t>全区非法堆存、转移涉重固体废物危险特性鉴别及污染释放能力评估项目</w:t>
      </w:r>
      <w:r>
        <w:rPr>
          <w:rFonts w:hint="eastAsia" w:ascii="宋体" w:hAnsi="宋体" w:eastAsia="宋体" w:cs="宋体"/>
          <w:color w:val="auto"/>
          <w:kern w:val="0"/>
          <w:sz w:val="24"/>
          <w:szCs w:val="24"/>
          <w:highlight w:val="none"/>
          <w:u w:val="single"/>
          <w:lang w:val="en-US" w:eastAsia="zh-CN"/>
        </w:rPr>
        <w:t xml:space="preserve">  </w:t>
      </w:r>
    </w:p>
    <w:p w14:paraId="0862EE5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color w:val="auto"/>
          <w:sz w:val="24"/>
          <w:szCs w:val="24"/>
          <w:highlight w:val="none"/>
          <w:u w:val="single"/>
        </w:rPr>
      </w:pPr>
      <w:r>
        <w:rPr>
          <w:rFonts w:hint="eastAsia" w:ascii="宋体" w:hAnsi="宋体" w:eastAsia="宋体" w:cs="宋体"/>
          <w:color w:val="auto"/>
          <w:kern w:val="0"/>
          <w:sz w:val="24"/>
          <w:szCs w:val="24"/>
          <w:highlight w:val="none"/>
        </w:rPr>
        <w:t>项目编号：</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12383A6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签订地点：</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p>
    <w:p w14:paraId="698F0D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签订时间：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月</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3220F5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甲方（采购人）：</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45E5915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住所地：</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p>
    <w:p w14:paraId="009ABE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64F895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通讯地址：</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0419521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电子邮箱：</w:t>
      </w:r>
      <w:r>
        <w:rPr>
          <w:rFonts w:hint="eastAsia" w:ascii="宋体" w:hAnsi="宋体" w:eastAsia="宋体" w:cs="宋体"/>
          <w:color w:val="auto"/>
          <w:kern w:val="0"/>
          <w:sz w:val="24"/>
          <w:szCs w:val="24"/>
          <w:highlight w:val="none"/>
          <w:u w:val="single"/>
        </w:rPr>
        <w:t xml:space="preserve">cgb@sthjt.gxzf.gov.cn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12EFDE9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color w:val="auto"/>
          <w:kern w:val="0"/>
          <w:sz w:val="24"/>
          <w:szCs w:val="24"/>
          <w:highlight w:val="none"/>
        </w:rPr>
        <w:t>乙方（牵头人）：</w:t>
      </w:r>
      <w:r>
        <w:rPr>
          <w:rFonts w:hint="eastAsia" w:ascii="宋体" w:hAnsi="宋体" w:cs="宋体"/>
          <w:b w:val="0"/>
          <w:bCs/>
          <w:color w:val="auto"/>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p>
    <w:p w14:paraId="661EC22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住所地：</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77F0101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14252C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通讯地址：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u w:val="single"/>
          <w:lang w:val="en-US" w:eastAsia="zh-CN"/>
        </w:rPr>
        <w:t xml:space="preserve"> </w:t>
      </w:r>
    </w:p>
    <w:p w14:paraId="7198B67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联系电话：</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187475D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电子邮箱：</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w:t>
      </w:r>
    </w:p>
    <w:p w14:paraId="18C4FF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楷体" w:eastAsia="仿宋_GB2312"/>
          <w:color w:val="auto"/>
          <w:sz w:val="24"/>
          <w:szCs w:val="24"/>
          <w:highlight w:val="none"/>
        </w:rPr>
      </w:pPr>
    </w:p>
    <w:p w14:paraId="52E7C787">
      <w:pPr>
        <w:spacing w:line="360" w:lineRule="auto"/>
        <w:rPr>
          <w:rFonts w:hint="eastAsia" w:ascii="宋体" w:hAnsi="宋体" w:eastAsia="宋体" w:cs="宋体"/>
          <w:color w:val="auto"/>
          <w:sz w:val="21"/>
          <w:szCs w:val="21"/>
          <w:highlight w:val="none"/>
        </w:rPr>
      </w:pPr>
      <w:r>
        <w:rPr>
          <w:rFonts w:hint="eastAsia" w:ascii="方正小标宋_GBK" w:hAnsi="方正小标宋_GBK" w:eastAsia="方正小标宋_GBK" w:cs="方正小标宋_GBK"/>
          <w:color w:val="auto"/>
          <w:sz w:val="24"/>
          <w:szCs w:val="24"/>
          <w:highlight w:val="none"/>
        </w:rPr>
        <w:br w:type="page"/>
      </w:r>
    </w:p>
    <w:p w14:paraId="634AD6F6">
      <w:pPr>
        <w:pStyle w:val="5"/>
        <w:bidi w:val="0"/>
        <w:jc w:val="center"/>
        <w:rPr>
          <w:rFonts w:hint="eastAsia"/>
          <w:color w:val="auto"/>
          <w:highlight w:val="none"/>
          <w:lang w:val="en-US" w:eastAsia="zh-CN"/>
        </w:rPr>
      </w:pPr>
      <w:r>
        <w:rPr>
          <w:rFonts w:hint="eastAsia"/>
          <w:color w:val="auto"/>
          <w:highlight w:val="none"/>
          <w:lang w:val="en-US" w:eastAsia="zh-CN"/>
        </w:rPr>
        <w:t>合同正文</w:t>
      </w:r>
    </w:p>
    <w:p w14:paraId="44C5E9C2">
      <w:pPr>
        <w:rPr>
          <w:rFonts w:hint="eastAsia"/>
          <w:color w:val="auto"/>
          <w:highlight w:val="none"/>
          <w:lang w:val="en-US" w:eastAsia="zh-CN"/>
        </w:rPr>
      </w:pPr>
    </w:p>
    <w:p w14:paraId="42720F8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根据《中华人民共和国政府采购法》《中华人民共和国民法典》等法律、法规规定，按照招标文件（采购文件）规定条款和投标文件及承诺，采购人（甲方）与中标人（乙方）双方签订本合同。</w:t>
      </w:r>
    </w:p>
    <w:p w14:paraId="398A8B7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第一条　合同标的</w:t>
      </w:r>
    </w:p>
    <w:p w14:paraId="74B6E54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1.服务一览表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569"/>
        <w:gridCol w:w="2027"/>
        <w:gridCol w:w="911"/>
        <w:gridCol w:w="737"/>
        <w:gridCol w:w="1353"/>
        <w:gridCol w:w="1361"/>
      </w:tblGrid>
      <w:tr w14:paraId="43A4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2555578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序号</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0ECEEF70">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名称</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1C3DFB2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服务内容</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5911D05B">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数量</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13CE772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单位</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5D136E6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  价</w:t>
            </w:r>
          </w:p>
          <w:p w14:paraId="2B667F1E">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03379FE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总  价</w:t>
            </w:r>
          </w:p>
          <w:p w14:paraId="5362EF61">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r>
      <w:tr w14:paraId="26D5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1B08CD5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73926DB4">
            <w:pPr>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1BC312AE">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535" w:type="pct"/>
            <w:tcBorders>
              <w:top w:val="single" w:color="auto" w:sz="4" w:space="0"/>
              <w:left w:val="single" w:color="auto" w:sz="4" w:space="0"/>
              <w:bottom w:val="single" w:color="auto" w:sz="4" w:space="0"/>
              <w:right w:val="single" w:color="auto" w:sz="4" w:space="0"/>
            </w:tcBorders>
            <w:noWrap w:val="0"/>
            <w:vAlign w:val="center"/>
          </w:tcPr>
          <w:p w14:paraId="2E3ED099">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00816501">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6EF8F9D9">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5B1FE735">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r>
      <w:tr w14:paraId="66E1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1"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3474D6A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合同合计金额（人民币，大写）：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tc>
      </w:tr>
    </w:tbl>
    <w:p w14:paraId="769ED876">
      <w:pPr>
        <w:keepNext w:val="0"/>
        <w:keepLines w:val="0"/>
        <w:pageBreakBefore w:val="0"/>
        <w:widowControl w:val="0"/>
        <w:kinsoku/>
        <w:wordWrap/>
        <w:overflowPunct/>
        <w:topLinePunct w:val="0"/>
        <w:autoSpaceDE/>
        <w:autoSpaceDN/>
        <w:bidi w:val="0"/>
        <w:adjustRightInd/>
        <w:snapToGrid/>
        <w:spacing w:before="0"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2.合同合计金额包括但不限于满足本次招标全部采购需求所应提供的服务，以及伴随的货物和工程（如有）的价格，包括但不限于服务、货物、工程的成本、运输（含保险）、安装（如有）、调试、检验、技术服务、培训、税费、版权使用费（如有）等所有费用。</w:t>
      </w:r>
    </w:p>
    <w:p w14:paraId="44CE7D6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第二条　质量保证</w:t>
      </w:r>
    </w:p>
    <w:p w14:paraId="20D750CB">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 乙方应建立和完善履行合同的内部质量保证体系，并提供相关内部规章制度给甲方，以便甲方进行监督检查；</w:t>
      </w:r>
    </w:p>
    <w:p w14:paraId="4E177892">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 乙方应保证履行合同的人员数量和素质、软件和硬件设备的配置、场地、环境和设施等满足全面履行合同的要求，并应接受甲方的监督检查。</w:t>
      </w:r>
    </w:p>
    <w:p w14:paraId="438CBC3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所提供的服务、服务质量及服务内容必须与合同、招标文件、投标文件及承诺相一致。有国家强制性标准的，还必须符合国家强制性标准的规定；没有国家强制性标准但有其他标准的，必须符合其他标准的规定。</w:t>
      </w:r>
    </w:p>
    <w:p w14:paraId="1625068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第三条　权利保证</w:t>
      </w:r>
    </w:p>
    <w:p w14:paraId="7A08362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1.甲方有权随时向乙方了解服务进度和对服务资金使用情况进行监督、检查，并要求乙方提供相关资料。</w:t>
      </w:r>
    </w:p>
    <w:p w14:paraId="0C7A317C">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14:paraId="4A1CBEAC">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3.乙方应保证所提供服务在使用时不会侵犯任何第三方的专利权、商标权、工业设计权等知识产权及其他合法权利，且所有权、处分权等没有受到任何限制。</w:t>
      </w:r>
    </w:p>
    <w:p w14:paraId="30D2E532">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没有甲方事先书面同意，乙方不得将由甲方提供的有关合同或者任何合同条文、规格、计划、图纸、样品或者资料提供给与履行本合同无关的任何其他人。即使向履行合同有关的人员提供，也应注意保密并限于履行合同的必需范围。乙方的保密义务持续有效，不因为本合同履行终止、解除或者无效而解除。</w:t>
      </w:r>
    </w:p>
    <w:p w14:paraId="0CE83EA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乙方保证所交付的服务成果的所有权完全属于乙方且无任何抵押、质押、查封等产权瑕疵。如乙方所交付服务成果有产权瑕疵的，视为乙方违约。但在已经全部支付完合同款后才发现有产权瑕疵的，乙方除了支付违约金，还应负担甲方由此产生的一切损失。</w:t>
      </w:r>
    </w:p>
    <w:p w14:paraId="1089C62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第四条　交付和验收</w:t>
      </w:r>
    </w:p>
    <w:p w14:paraId="4C08346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1.服务时间</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签订合同之日起至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止</w:t>
      </w:r>
      <w:r>
        <w:rPr>
          <w:rFonts w:hint="eastAsia" w:ascii="宋体" w:hAnsi="宋体" w:eastAsia="宋体" w:cs="宋体"/>
          <w:color w:val="auto"/>
          <w:sz w:val="21"/>
          <w:szCs w:val="21"/>
          <w:highlight w:val="none"/>
          <w:u w:val="none"/>
        </w:rPr>
        <w:t>。</w:t>
      </w:r>
    </w:p>
    <w:p w14:paraId="4301B87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eastAsia="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指定地点</w:t>
      </w:r>
      <w:r>
        <w:rPr>
          <w:rFonts w:hint="eastAsia" w:ascii="宋体" w:hAnsi="宋体" w:eastAsia="宋体" w:cs="宋体"/>
          <w:color w:val="auto"/>
          <w:sz w:val="21"/>
          <w:szCs w:val="21"/>
          <w:highlight w:val="none"/>
        </w:rPr>
        <w:t>。</w:t>
      </w:r>
    </w:p>
    <w:p w14:paraId="6BEBD4A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3.乙方应按合同、招标文件、投标文件及承诺向甲方提供相应的服务，并提供服务质量和服务内容的相关技术资料。</w:t>
      </w:r>
    </w:p>
    <w:p w14:paraId="61C1B0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4.乙方提供不符合合同、招标文件、投标文件规定的服务成果，甲方有权拒绝接受。</w:t>
      </w:r>
    </w:p>
    <w:p w14:paraId="215A14A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5.乙方在完成服务前应对服务作出全面检查和对验收文件进行整理，并列出清单，作为甲方服务验收的技术依据，清单应随提交的服务成果交给甲方。</w:t>
      </w:r>
    </w:p>
    <w:p w14:paraId="541C1A2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6.乙方完成服务后应及时书面通知甲方进行验收，甲方应在收到通知后七个工作日内进行验收，逾期不开始验收的，乙方可视同验收合格。</w:t>
      </w:r>
    </w:p>
    <w:p w14:paraId="18B324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乙双方应按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14:paraId="7DC2E7B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甲方在初步验收或者最终验收过程中发现乙方提供的服务、服务质量或服务内容不满足合同、招标文件、投标文件规定的，可暂缓向乙方付款，直到乙方及时完善并提交相应的服务成果且经甲方验收合格后，方可办理付款。</w:t>
      </w:r>
    </w:p>
    <w:p w14:paraId="7022F27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甲方验收时发现乙方提供的服务、服务质量或服务内容不满足合同、招标文件、投标文件规定并以书面形式提出异议的，乙方应自收到甲方书面异议后五个工作日内予以解决，否则甲方有权不出具验收合格单。乙方因解决异议问题而造成逾期的，按乙方逾期交付处理。</w:t>
      </w:r>
    </w:p>
    <w:p w14:paraId="5A471A8E">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第五条　售后服务、服务质量保证期及培训</w:t>
      </w:r>
    </w:p>
    <w:p w14:paraId="5903FFC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1.乙方应按照国家有关法律法规、合同、招标文件、投标文件所附的《服务承诺》要求为甲方提供相应的服务。</w:t>
      </w:r>
    </w:p>
    <w:p w14:paraId="4EB531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2.乙方提供服务的质量保证期按交付服务成果验收合格并签署验收合格单之日起计算，为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日，在质量保证期内因服务成果本身的技术问题，乙方应对服务出现的问题负责处理解决，并承担一切费用。</w:t>
      </w:r>
    </w:p>
    <w:p w14:paraId="4A12941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3.在质量保证期内发生技术服务问题，乙方应在接到甲方通知后24小时内到达甲方现场，在甲方指定的期限内解决问题。</w:t>
      </w:r>
    </w:p>
    <w:p w14:paraId="3C7E115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4.乙方负责甲方有关人员的培训。</w:t>
      </w:r>
    </w:p>
    <w:p w14:paraId="04BDC8E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培训时间：</w:t>
      </w:r>
      <w:r>
        <w:rPr>
          <w:rFonts w:hint="eastAsia" w:ascii="宋体" w:hAnsi="宋体" w:eastAsia="宋体" w:cs="宋体"/>
          <w:color w:val="auto"/>
          <w:sz w:val="21"/>
          <w:szCs w:val="21"/>
          <w:highlight w:val="none"/>
          <w:u w:val="single"/>
        </w:rPr>
        <w:t>甲方另行指定时间。</w:t>
      </w:r>
    </w:p>
    <w:p w14:paraId="7432650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培训地点：</w:t>
      </w:r>
      <w:r>
        <w:rPr>
          <w:rFonts w:hint="eastAsia" w:ascii="宋体" w:hAnsi="宋体" w:eastAsia="宋体" w:cs="宋体"/>
          <w:color w:val="auto"/>
          <w:sz w:val="21"/>
          <w:szCs w:val="21"/>
          <w:highlight w:val="none"/>
          <w:u w:val="single"/>
        </w:rPr>
        <w:t>广西区内（甲方指定地点）。</w:t>
      </w:r>
    </w:p>
    <w:p w14:paraId="4FA10057">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第六条　付款方式</w:t>
      </w:r>
    </w:p>
    <w:p w14:paraId="70C6AAA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1.资金性质：</w:t>
      </w:r>
      <w:r>
        <w:rPr>
          <w:rFonts w:hint="eastAsia" w:ascii="宋体" w:hAnsi="宋体" w:eastAsia="宋体" w:cs="宋体"/>
          <w:color w:val="auto"/>
          <w:sz w:val="21"/>
          <w:szCs w:val="21"/>
          <w:highlight w:val="none"/>
          <w:u w:val="single"/>
        </w:rPr>
        <w:t>财政资金</w:t>
      </w:r>
      <w:r>
        <w:rPr>
          <w:rFonts w:hint="eastAsia" w:ascii="宋体" w:hAnsi="宋体" w:eastAsia="宋体" w:cs="宋体"/>
          <w:color w:val="auto"/>
          <w:sz w:val="21"/>
          <w:szCs w:val="21"/>
          <w:highlight w:val="none"/>
        </w:rPr>
        <w:t>。</w:t>
      </w:r>
    </w:p>
    <w:p w14:paraId="3CC3FD7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2.付款方式</w:t>
      </w:r>
    </w:p>
    <w:p w14:paraId="5BEAB37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本合同总金额为人民币</w:t>
      </w:r>
      <w:r>
        <w:rPr>
          <w:rFonts w:hint="eastAsia" w:ascii="宋体" w:hAnsi="宋体" w:eastAsia="宋体" w:cs="宋体"/>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single"/>
        </w:rPr>
        <w:t>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甲乙双方同意按以下方式支付合同合计金额：</w:t>
      </w:r>
    </w:p>
    <w:p w14:paraId="159AF08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（1）自合同签订之日起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5CB06FD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按照合同要求出具危险特性鉴别报告和处置建议、出具非法堆存、转移涉重固体废物的污染释放能力研究报告和危废处置后场地土壤遗留污染物评估报告后，并经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确认合格后，</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个工作日内支付</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41E292B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按照合同要求提交所有服务成果并经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验收合格后，</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个工作日内支付剩余</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3CA6E00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）乙方未在规定时间内完成任务，或经抽查发现服务质量不符合要求的，按照合同约定扣减相应费用。</w:t>
      </w:r>
    </w:p>
    <w:p w14:paraId="28D7B4D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乙方为联合体的，应在合同签订前向甲方提交加盖所有成员公章的《联合体收款账户确认函》，明确其内部款项分配约定（即统一支付至牵头人账户或按比例分别支付至各成员账户）、收款账户信息等。甲方按该确认函的约定完成支付后，即视为已完全履行了对乙方（联合体）的付款义务。因联合体内部款项分配产生的任何纠纷，由联合体各方自行解决，与甲方无关。</w:t>
      </w:r>
    </w:p>
    <w:p w14:paraId="2199297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3.乙方指定以下账户为接受本合同价款的账户，并对其指定的下列账户信息真实性、安全性、准确性负责。</w:t>
      </w:r>
    </w:p>
    <w:p w14:paraId="43B314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账户名称：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23F7370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开户银行：</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77A15A9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银行账号：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56E9FA0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6DD7088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57A9949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如乙方上述账户信息发生变更，乙方应提前向甲方发送书面通知，未能提前书面通知而产生的不利后果由乙方自行承担。</w:t>
      </w:r>
    </w:p>
    <w:p w14:paraId="33735EC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方在支付每笔款项前，乙方应当提供可供政府审计并且符合税务规定的正式发票，否则甲方有权拒付相应款项直至乙方能提供符合规定的发票为止，因乙方提供不符合甲方要求的发票导致付款逾期，甲方不构成违约，相应的付款期限自甲方收到乙方符合要求发票重新计算。</w:t>
      </w:r>
    </w:p>
    <w:p w14:paraId="55D4FA6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第七条　履约保证金</w:t>
      </w:r>
    </w:p>
    <w:p w14:paraId="1F6537F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1.乙方须在签订合同后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个工作日内缴纳履约保证金。</w:t>
      </w:r>
    </w:p>
    <w:p w14:paraId="1C6CA7A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2.乙方提供的履约保证金金额为：</w:t>
      </w:r>
      <w:r>
        <w:rPr>
          <w:rFonts w:hint="eastAsia" w:ascii="宋体" w:hAnsi="宋体" w:eastAsia="宋体" w:cs="宋体"/>
          <w:bCs/>
          <w:color w:val="auto"/>
          <w:sz w:val="21"/>
          <w:szCs w:val="21"/>
          <w:highlight w:val="none"/>
        </w:rPr>
        <w:t>履约保证金金额为</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总金额</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rPr>
        <w:t>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lang w:val="en-US" w:eastAsia="zh-CN"/>
        </w:rPr>
        <w:t xml:space="preserve"> 2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14:paraId="0F8A457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r>
        <w:rPr>
          <w:rFonts w:hint="eastAsia" w:ascii="宋体" w:hAnsi="宋体" w:eastAsia="宋体" w:cs="宋体"/>
          <w:i w:val="0"/>
          <w:iCs w:val="0"/>
          <w:color w:val="auto"/>
          <w:sz w:val="21"/>
          <w:szCs w:val="21"/>
          <w:highlight w:val="none"/>
          <w:u w:val="single"/>
        </w:rPr>
        <w:t>广西壮族自治区生态环境厅</w:t>
      </w:r>
    </w:p>
    <w:p w14:paraId="5D47A8F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工行南宁银杉支行</w:t>
      </w:r>
      <w:r>
        <w:rPr>
          <w:rFonts w:hint="eastAsia" w:ascii="宋体" w:hAnsi="宋体" w:eastAsia="宋体" w:cs="宋体"/>
          <w:color w:val="auto"/>
          <w:sz w:val="21"/>
          <w:szCs w:val="21"/>
          <w:highlight w:val="none"/>
          <w:u w:val="single"/>
          <w:lang w:val="en-US" w:eastAsia="zh-CN"/>
        </w:rPr>
        <w:t xml:space="preserve">        </w:t>
      </w:r>
    </w:p>
    <w:p w14:paraId="73754F6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351D22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3.履约保证金递交方式：支票、汇票、本票或者金融机构出具的保函等非现金方式</w:t>
      </w:r>
      <w:r>
        <w:rPr>
          <w:rFonts w:hint="eastAsia" w:ascii="宋体" w:hAnsi="宋体" w:eastAsia="宋体" w:cs="宋体"/>
          <w:color w:val="auto"/>
          <w:sz w:val="21"/>
          <w:szCs w:val="21"/>
          <w:highlight w:val="none"/>
          <w:u w:val="none"/>
          <w:lang w:eastAsia="zh-CN"/>
        </w:rPr>
        <w:t>，转账时请备注“项目名称（可简写）+履约保证金”</w:t>
      </w:r>
      <w:r>
        <w:rPr>
          <w:rFonts w:hint="eastAsia" w:ascii="宋体" w:hAnsi="宋体" w:eastAsia="宋体" w:cs="宋体"/>
          <w:color w:val="auto"/>
          <w:sz w:val="21"/>
          <w:szCs w:val="21"/>
          <w:highlight w:val="none"/>
        </w:rPr>
        <w:t>。</w:t>
      </w:r>
    </w:p>
    <w:p w14:paraId="5280208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4.履约保证金退付方式、时间及条件：由乙方向甲方提供《广西壮族自治区政府采购项目合同验收书》</w:t>
      </w:r>
      <w:r>
        <w:rPr>
          <w:rFonts w:hint="eastAsia" w:ascii="宋体" w:hAnsi="宋体" w:cs="宋体"/>
          <w:color w:val="auto"/>
          <w:sz w:val="21"/>
          <w:szCs w:val="21"/>
          <w:lang w:eastAsia="zh-CN"/>
        </w:rPr>
        <w:t>、履约保证金退付函和乙方履约保证金支付凭证</w:t>
      </w:r>
      <w:r>
        <w:rPr>
          <w:rFonts w:hint="eastAsia" w:ascii="宋体" w:hAnsi="宋体" w:eastAsia="宋体" w:cs="宋体"/>
          <w:color w:val="auto"/>
          <w:sz w:val="21"/>
          <w:szCs w:val="21"/>
          <w:highlight w:val="none"/>
        </w:rPr>
        <w:t>，甲方在收到合格材料后五个工作日内办理退还手续（不计利息）。</w:t>
      </w:r>
    </w:p>
    <w:p w14:paraId="7777DDB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第八条　税费</w:t>
      </w:r>
    </w:p>
    <w:p w14:paraId="154AE03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合同执行中相关的一切税费均由乙方负担。</w:t>
      </w:r>
    </w:p>
    <w:p w14:paraId="0721692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第九条　违约责任</w:t>
      </w:r>
    </w:p>
    <w:p w14:paraId="301652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没有按照合同、招标文件、投标文件规定的时间或期限提供服务的，每逾期一日，应按合同合计金额的3‰向甲方支付逾期提供服务的违约金；逾期超过十日的，甲方有权单方解除合同，并要求乙方退还已收取的款项，同时乙方应按照合同合计金额的10%向甲方支付违约金并承担因此给甲方造成的经济损失。</w:t>
      </w:r>
    </w:p>
    <w:p w14:paraId="05467F2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所提供的服务、服务质量、服务内容等不符合合同、招标文件、投标文件规定的要求的，应按甲方的要求，在甲方指定的期限内予以更换或改进，未在甲方指定的期限内更换或改进的，按乙方逾期提供服务承担违约责任。</w:t>
      </w:r>
    </w:p>
    <w:p w14:paraId="1CC8D01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提供的服务如侵犯了第三方合法权益而引发的任何纠纷或者诉讼，均由乙方负责交涉并承担全部责任。如甲方为解决纠纷矛盾先期支付了费用的，乙方应当自收到甲方要求偿还费用的函之日起五日内向甲方偿还完毕，逾期未偿还，乙方承担应向甲方支付合同合计金额20％的违约金并赔偿甲方经济损失。</w:t>
      </w:r>
    </w:p>
    <w:p w14:paraId="22BF020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4.乙方因履行合同所发生的其他违约行为，每违约一次，应按合同合计金额的5%向甲方支付违约金，并赔偿甲方因此所造成全部损失。</w:t>
      </w:r>
    </w:p>
    <w:p w14:paraId="478FE9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5.乙方支付的违约金不足以弥补甲方损失的，应承担赔偿责任，甲方有权继续向乙方追偿。乙方应支付给甲方的任何款项，甲方有权从任何应支付未支付给乙方的款项中直接抵扣。</w:t>
      </w:r>
    </w:p>
    <w:p w14:paraId="5CB7AF5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6.本合同所称的甲方经济损失或者甲方损失，包括甲方遭受的全部直接经济损失及为此支出的合理费用（包括但不限于为此支出的调查费、诉讼费、保全费、保全保险费、垫付资金占用费、律师费、差旅费等）。</w:t>
      </w:r>
    </w:p>
    <w:p w14:paraId="1785FFA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7.甲方延期付款的，每天向乙方偿付延期款额3‰的违约金，但违约金累计不得超过延期款额的5%。</w:t>
      </w:r>
    </w:p>
    <w:p w14:paraId="24B227B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第十条　知识产权归属</w:t>
      </w:r>
    </w:p>
    <w:p w14:paraId="42295DD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乙方保证，甲乙双方在本合同执行中形成的任何成果或知识产权的所有权，归甲方所有，而且乙方应当完成甲方知识产权所有权确认所必需的全部行为、证书和文件等，并提供相应的支持和协助。</w:t>
      </w:r>
    </w:p>
    <w:p w14:paraId="3B30239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第十一条　保密条款</w:t>
      </w:r>
    </w:p>
    <w:p w14:paraId="51AC56F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1.甲乙双方都负有保守对方的单位机密或商业秘密的义务，保密范围包括但不限于技术情报、数据资料及其他公开后对对方造成影响或损失的秘密。</w:t>
      </w:r>
    </w:p>
    <w:p w14:paraId="2BD3D5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2.任何一方违反保密条款，给对方造成损失，应按对方的实际损失承担赔偿责任。</w:t>
      </w:r>
    </w:p>
    <w:p w14:paraId="6B55CBA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3.本条款不因合同的变更、解除和终止而失效。</w:t>
      </w:r>
    </w:p>
    <w:p w14:paraId="65AB387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第十二条　不可抗力事件处理</w:t>
      </w:r>
    </w:p>
    <w:p w14:paraId="2996027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1.在合同有效期内，任何一方因不可抗力事件导致不能履行合同，则合同履行期可延长，其延长期与不可抗力影响期相同。</w:t>
      </w:r>
    </w:p>
    <w:p w14:paraId="2E059CC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2.不可抗力事件发生后，应立即通知对方，并寄送有关权威机构出具的证明。</w:t>
      </w:r>
    </w:p>
    <w:p w14:paraId="7AC7C1A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3.不可抗力事件延续一百二十天以上，双方应通过友好协商，确定是否继续履行合同。</w:t>
      </w:r>
    </w:p>
    <w:p w14:paraId="4BEE12A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4.合同履行过程中，因接受政府行政指令而无法履行的，接受政府行政指令的一方可以免除责任。</w:t>
      </w:r>
    </w:p>
    <w:p w14:paraId="673828B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第十三条　合同争议解决</w:t>
      </w:r>
    </w:p>
    <w:p w14:paraId="437C114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1.因服务质量问题发生争议的，甲方应提交具有相应资质的机构进行鉴定。服务符合标准的，鉴定费由甲方承担；服务不符合标准的，鉴定费由乙方承担。</w:t>
      </w:r>
    </w:p>
    <w:p w14:paraId="123D739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2.因履行本合同引起的或者与本合同有关的争议，甲乙双方应首先通过友好协商解决，如果协商不能解决，可向甲方所在地有管辖权人民法院提起诉讼。</w:t>
      </w:r>
    </w:p>
    <w:p w14:paraId="5FE4EE4B">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第十四条　合同生效及其他</w:t>
      </w:r>
    </w:p>
    <w:p w14:paraId="1618BB8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1.合同经甲乙双方法定代表人或者授权代表签字并加盖单位公章后生效。</w:t>
      </w:r>
    </w:p>
    <w:p w14:paraId="159F202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2.合同执行中涉及采购资金和采购内容修改或者补充的，须经政府采购监管部门审批，并签书面补充协议报政府采购监管部门备案，方可作为主合同不可分割的一部分。</w:t>
      </w:r>
    </w:p>
    <w:p w14:paraId="6E4C36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3.合同未尽事宜，遵照《中华人民共和国民法典》等相关法律、法规规定有关条文执行。</w:t>
      </w:r>
    </w:p>
    <w:p w14:paraId="15586EF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第十五条　合同的变更、终止与转让</w:t>
      </w:r>
    </w:p>
    <w:p w14:paraId="6DB786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1.除《中华人民共和国政府采购法》第五十条规定的情形外，本合同一经签订，甲乙双方不得擅自变更、中止或者终止。</w:t>
      </w:r>
    </w:p>
    <w:p w14:paraId="3F68B7E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2.未经甲方书面同意，乙方不得擅自转让其应履行的合同义务。</w:t>
      </w:r>
    </w:p>
    <w:p w14:paraId="10E7F637">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第十六条　本合同与下列文件一起构成合同文件</w:t>
      </w:r>
    </w:p>
    <w:p w14:paraId="619FFD8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1.保密协议；</w:t>
      </w:r>
    </w:p>
    <w:p w14:paraId="53A9FF0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2.中标通知书；</w:t>
      </w:r>
    </w:p>
    <w:p w14:paraId="405F8CA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竞标报价</w:t>
      </w:r>
      <w:r>
        <w:rPr>
          <w:rFonts w:hint="eastAsia" w:ascii="宋体" w:hAnsi="宋体" w:eastAsia="宋体" w:cs="宋体"/>
          <w:color w:val="auto"/>
          <w:sz w:val="21"/>
          <w:szCs w:val="21"/>
          <w:highlight w:val="none"/>
        </w:rPr>
        <w:t>表；</w:t>
      </w:r>
    </w:p>
    <w:p w14:paraId="6F7A82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4.采购需求；</w:t>
      </w:r>
    </w:p>
    <w:p w14:paraId="01080A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.商务条款偏离表和服务需求偏离表；</w:t>
      </w:r>
    </w:p>
    <w:p w14:paraId="0A48FA1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.投标文件中的其他相关文件。</w:t>
      </w:r>
    </w:p>
    <w:p w14:paraId="4AB5330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上述合同文件互相补充和解释。如果合同文件之间存在矛盾或者不一致之处，以本合同、上述文件的排列顺序在先者为准。</w:t>
      </w:r>
    </w:p>
    <w:p w14:paraId="33250DB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第十七条　其他约定事项</w:t>
      </w:r>
    </w:p>
    <w:p w14:paraId="0D31C4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1.本合同所有附件及相关文件均为本合同的有效组成部分，与本合同具有同等法律效力。若合同附件与本合同存在不一致的，则以本合同为准。</w:t>
      </w:r>
    </w:p>
    <w:p w14:paraId="3FFC3B1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2.在履行本合同过程中，所有经甲乙双方签署确认的文件（包括会议纪要、补充协议、往来信函、电子邮件等）即成为本合同的有效组成部分。</w:t>
      </w:r>
    </w:p>
    <w:p w14:paraId="50FB2C7F">
      <w:pPr>
        <w:pStyle w:val="95"/>
        <w:keepNext w:val="0"/>
        <w:keepLines w:val="0"/>
        <w:pageBreakBefore w:val="0"/>
        <w:kinsoku/>
        <w:wordWrap/>
        <w:overflowPunct/>
        <w:topLinePunct w:val="0"/>
        <w:autoSpaceDE/>
        <w:autoSpaceDN/>
        <w:bidi w:val="0"/>
        <w:adjustRightInd/>
        <w:snapToGrid/>
        <w:spacing w:beforeLines="0" w:afterLines="0" w:line="400" w:lineRule="exact"/>
        <w:ind w:left="0" w:leftChars="0" w:firstLine="404"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3.合同履行期间所有产生费用，包括评审费，劳务费等，由乙方负责，甲方不承担任何费用。</w:t>
      </w:r>
    </w:p>
    <w:p w14:paraId="59BF90C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4.甲乙双方确认，以下为各方真实有效通讯地址：</w:t>
      </w:r>
    </w:p>
    <w:p w14:paraId="7F467BE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b w:val="0"/>
          <w:bCs/>
          <w:color w:val="auto"/>
          <w:sz w:val="21"/>
          <w:szCs w:val="21"/>
          <w:highlight w:val="none"/>
          <w:u w:val="single"/>
        </w:rPr>
        <w:t>广西壮族自治区生态环境厅</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4BF70B24">
      <w:pPr>
        <w:keepNext w:val="0"/>
        <w:keepLines w:val="0"/>
        <w:pageBreakBefore w:val="0"/>
        <w:widowControl/>
        <w:suppressLineNumbers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kern w:val="0"/>
          <w:sz w:val="21"/>
          <w:szCs w:val="21"/>
          <w:highlight w:val="none"/>
          <w:u w:val="single"/>
          <w:lang w:val="en-US" w:eastAsia="zh-CN" w:bidi="ar"/>
        </w:rPr>
        <w:t>广西南宁市青秀区佛子岭路 16 号</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 xml:space="preserve">， </w:t>
      </w:r>
    </w:p>
    <w:p w14:paraId="077FB60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25B42E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7F87CB2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bidi="ar"/>
        </w:rPr>
        <w:t>。</w:t>
      </w:r>
    </w:p>
    <w:p w14:paraId="43B2165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264D3D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63B03E5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629DF9E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73CDFC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25D48E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11B2507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5.本合同一式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柒</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份，具有同等法律效力，政府采购监管部门、采购代理机构各</w:t>
      </w:r>
      <w:r>
        <w:rPr>
          <w:rFonts w:hint="eastAsia" w:ascii="宋体" w:hAnsi="宋体" w:eastAsia="宋体" w:cs="宋体"/>
          <w:color w:val="auto"/>
          <w:sz w:val="21"/>
          <w:szCs w:val="21"/>
          <w:highlight w:val="none"/>
          <w:u w:val="single"/>
        </w:rPr>
        <w:t>壹</w:t>
      </w:r>
      <w:r>
        <w:rPr>
          <w:rFonts w:hint="eastAsia" w:ascii="宋体" w:hAnsi="宋体" w:eastAsia="宋体" w:cs="宋体"/>
          <w:color w:val="auto"/>
          <w:sz w:val="21"/>
          <w:szCs w:val="21"/>
          <w:highlight w:val="none"/>
        </w:rPr>
        <w:t>份，甲方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叁</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份，乙方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w:t>
      </w:r>
    </w:p>
    <w:p w14:paraId="068CC2A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本条款不因合同的变更、解除和终止而失效。</w:t>
      </w:r>
    </w:p>
    <w:p w14:paraId="748E82B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第十八条　合同附件</w:t>
      </w:r>
    </w:p>
    <w:p w14:paraId="45B646A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附件一：保密协议</w:t>
      </w:r>
    </w:p>
    <w:p w14:paraId="5B29700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附件二：采购需求</w:t>
      </w:r>
    </w:p>
    <w:p w14:paraId="71AC950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附件三：</w:t>
      </w:r>
      <w:r>
        <w:rPr>
          <w:rFonts w:hint="eastAsia" w:ascii="宋体" w:hAnsi="宋体" w:eastAsia="宋体" w:cs="宋体"/>
          <w:color w:val="auto"/>
          <w:sz w:val="21"/>
          <w:szCs w:val="21"/>
          <w:highlight w:val="none"/>
          <w:lang w:eastAsia="zh-CN"/>
        </w:rPr>
        <w:t>竞标报价表</w:t>
      </w:r>
    </w:p>
    <w:p w14:paraId="3D1017D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附件四：开标一览表</w:t>
      </w:r>
    </w:p>
    <w:p w14:paraId="7109F39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：服务要求偏离表</w:t>
      </w:r>
    </w:p>
    <w:p w14:paraId="61D7E2F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：中标通知书</w:t>
      </w:r>
    </w:p>
    <w:p w14:paraId="43D2EB4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附件七：</w:t>
      </w:r>
      <w:r>
        <w:rPr>
          <w:rFonts w:hint="eastAsia" w:ascii="宋体" w:hAnsi="宋体" w:eastAsia="宋体" w:cs="宋体"/>
          <w:color w:val="auto"/>
          <w:sz w:val="21"/>
          <w:szCs w:val="21"/>
          <w:highlight w:val="none"/>
          <w:lang w:val="en-US" w:eastAsia="zh-CN"/>
        </w:rPr>
        <w:t xml:space="preserve">中小企业声明函（如有）   </w:t>
      </w:r>
    </w:p>
    <w:p w14:paraId="1E54B105">
      <w:pPr>
        <w:keepNext w:val="0"/>
        <w:keepLines w:val="0"/>
        <w:pageBreakBefore w:val="0"/>
        <w:kinsoku/>
        <w:wordWrap/>
        <w:overflowPunct/>
        <w:topLinePunct w:val="0"/>
        <w:autoSpaceDE/>
        <w:autoSpaceDN/>
        <w:bidi w:val="0"/>
        <w:adjustRightInd/>
        <w:snapToGrid/>
        <w:spacing w:beforeLines="0" w:afterLines="0" w:line="400" w:lineRule="exact"/>
        <w:textAlignment w:val="auto"/>
        <w:rPr>
          <w:rFonts w:hint="eastAsia" w:ascii="宋体" w:hAnsi="宋体" w:eastAsia="宋体" w:cs="宋体"/>
          <w:color w:val="auto"/>
          <w:sz w:val="21"/>
          <w:szCs w:val="21"/>
          <w:highlight w:val="none"/>
        </w:rPr>
      </w:pPr>
    </w:p>
    <w:tbl>
      <w:tblPr>
        <w:tblStyle w:val="39"/>
        <w:tblW w:w="0" w:type="auto"/>
        <w:tblInd w:w="122" w:type="dxa"/>
        <w:tblLayout w:type="fixed"/>
        <w:tblCellMar>
          <w:top w:w="0" w:type="dxa"/>
          <w:left w:w="108" w:type="dxa"/>
          <w:bottom w:w="0" w:type="dxa"/>
          <w:right w:w="108" w:type="dxa"/>
        </w:tblCellMar>
      </w:tblPr>
      <w:tblGrid>
        <w:gridCol w:w="4165"/>
        <w:gridCol w:w="4105"/>
      </w:tblGrid>
      <w:tr w14:paraId="2C8AA3FA">
        <w:trPr>
          <w:trHeight w:val="981" w:hRule="atLeast"/>
        </w:trPr>
        <w:tc>
          <w:tcPr>
            <w:tcW w:w="4165" w:type="dxa"/>
            <w:noWrap w:val="0"/>
            <w:vAlign w:val="top"/>
          </w:tcPr>
          <w:p w14:paraId="3926CB4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105" w:type="dxa"/>
            <w:noWrap w:val="0"/>
            <w:vAlign w:val="top"/>
          </w:tcPr>
          <w:p w14:paraId="10C709E0">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37F97AB8">
        <w:trPr>
          <w:trHeight w:val="1050" w:hRule="atLeast"/>
        </w:trPr>
        <w:tc>
          <w:tcPr>
            <w:tcW w:w="4165" w:type="dxa"/>
            <w:noWrap w:val="0"/>
            <w:vAlign w:val="top"/>
          </w:tcPr>
          <w:p w14:paraId="317BC0C6">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6E923B9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4CFBAD4F">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105" w:type="dxa"/>
            <w:noWrap w:val="0"/>
            <w:vAlign w:val="top"/>
          </w:tcPr>
          <w:p w14:paraId="6E24EF1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7452BD93">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70D93FA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140F758C">
        <w:trPr>
          <w:trHeight w:val="921" w:hRule="atLeast"/>
        </w:trPr>
        <w:tc>
          <w:tcPr>
            <w:tcW w:w="4165" w:type="dxa"/>
            <w:noWrap w:val="0"/>
            <w:vAlign w:val="top"/>
          </w:tcPr>
          <w:p w14:paraId="3E58A5FA">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105" w:type="dxa"/>
            <w:noWrap w:val="0"/>
            <w:vAlign w:val="top"/>
          </w:tcPr>
          <w:p w14:paraId="3727931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70C745D3">
      <w:pPr>
        <w:pageBreakBefore w:val="0"/>
        <w:kinsoku/>
        <w:wordWrap/>
        <w:overflowPunct/>
        <w:topLinePunct w:val="0"/>
        <w:autoSpaceDE/>
        <w:autoSpaceDN/>
        <w:bidi w:val="0"/>
        <w:spacing w:beforeLines="0" w:afterLines="0" w:line="400" w:lineRule="exact"/>
        <w:textAlignment w:val="auto"/>
        <w:rPr>
          <w:rFonts w:hint="eastAsia" w:ascii="宋体" w:hAnsi="宋体" w:eastAsia="宋体" w:cs="宋体"/>
          <w:b/>
          <w:bCs/>
          <w:color w:val="auto"/>
          <w:sz w:val="21"/>
          <w:szCs w:val="21"/>
          <w:highlight w:val="none"/>
        </w:rPr>
      </w:pPr>
      <w:bookmarkStart w:id="187" w:name="_Toc13132"/>
      <w:bookmarkStart w:id="188" w:name="_Toc1070"/>
      <w:r>
        <w:rPr>
          <w:rFonts w:hint="eastAsia" w:ascii="宋体" w:hAnsi="宋体" w:eastAsia="宋体" w:cs="宋体"/>
          <w:b/>
          <w:bCs/>
          <w:color w:val="auto"/>
          <w:sz w:val="21"/>
          <w:szCs w:val="21"/>
          <w:highlight w:val="none"/>
        </w:rPr>
        <w:br w:type="page"/>
      </w:r>
      <w:r>
        <w:rPr>
          <w:rFonts w:hint="eastAsia" w:ascii="宋体" w:hAnsi="宋体" w:eastAsia="宋体" w:cs="宋体"/>
          <w:b/>
          <w:bCs/>
          <w:color w:val="auto"/>
          <w:sz w:val="21"/>
          <w:szCs w:val="21"/>
          <w:highlight w:val="none"/>
        </w:rPr>
        <w:t>附件一：保密协议</w:t>
      </w:r>
      <w:bookmarkEnd w:id="187"/>
      <w:bookmarkEnd w:id="188"/>
    </w:p>
    <w:p w14:paraId="7E56C160">
      <w:pPr>
        <w:pStyle w:val="4"/>
        <w:pageBreakBefore w:val="0"/>
        <w:kinsoku/>
        <w:wordWrap/>
        <w:overflowPunct/>
        <w:topLinePunct w:val="0"/>
        <w:autoSpaceDE/>
        <w:autoSpaceDN/>
        <w:bidi w:val="0"/>
        <w:spacing w:line="400" w:lineRule="exact"/>
        <w:jc w:val="center"/>
        <w:textAlignment w:val="auto"/>
        <w:rPr>
          <w:rFonts w:hint="eastAsia"/>
          <w:color w:val="auto"/>
          <w:highlight w:val="none"/>
        </w:rPr>
      </w:pPr>
      <w:bookmarkStart w:id="189" w:name="_Toc19167"/>
      <w:bookmarkStart w:id="190" w:name="_Toc132707357"/>
      <w:r>
        <w:rPr>
          <w:rFonts w:hint="eastAsia"/>
          <w:color w:val="auto"/>
          <w:highlight w:val="none"/>
        </w:rPr>
        <w:t>保密协议</w:t>
      </w:r>
      <w:bookmarkEnd w:id="189"/>
      <w:bookmarkEnd w:id="190"/>
    </w:p>
    <w:p w14:paraId="253047C9">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甲方：广西壮族自治区生态环境厅</w:t>
      </w:r>
    </w:p>
    <w:p w14:paraId="4CFDACAF">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负责人：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地址：广西南宁市青秀区佛子岭路16号</w:t>
      </w:r>
    </w:p>
    <w:p w14:paraId="3FE640D7">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    乙方：</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440C6C38">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p>
    <w:p w14:paraId="1CD1413F">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 xml:space="preserve">  </w:t>
      </w:r>
    </w:p>
    <w:p w14:paraId="13FC4DE9">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鉴于本协议甲乙双方就双方签订的编号为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等开展业务/合作；在开展业务/合作的过程中，预计甲方将为上述之目的向乙方披露甲方的专有信息且此等信息均被视为保密信息；因此，双方在此达成如下保密协议：</w:t>
      </w:r>
    </w:p>
    <w:p w14:paraId="18743D7B">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sz w:val="21"/>
          <w:szCs w:val="21"/>
          <w:highlight w:val="none"/>
          <w:lang w:eastAsia="zh-CN"/>
        </w:rPr>
      </w:pPr>
      <w:bookmarkStart w:id="191" w:name="_Toc132707358"/>
      <w:bookmarkStart w:id="192" w:name="_Toc22190"/>
      <w:bookmarkStart w:id="193" w:name="_Toc1584680693"/>
      <w:r>
        <w:rPr>
          <w:rFonts w:hint="eastAsia" w:ascii="宋体" w:hAnsi="宋体" w:eastAsia="宋体" w:cs="宋体"/>
          <w:b/>
          <w:color w:val="auto"/>
          <w:sz w:val="21"/>
          <w:szCs w:val="21"/>
          <w:highlight w:val="none"/>
          <w:lang w:eastAsia="zh-CN"/>
        </w:rPr>
        <w:t>一、本协议保密信息的界定</w:t>
      </w:r>
      <w:bookmarkEnd w:id="191"/>
      <w:bookmarkEnd w:id="192"/>
      <w:bookmarkEnd w:id="193"/>
    </w:p>
    <w:p w14:paraId="40D738D3">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4" w:name="_Toc8357"/>
      <w:bookmarkStart w:id="195" w:name="_Toc132707359"/>
      <w:bookmarkStart w:id="196" w:name="_Toc1710318546"/>
      <w:r>
        <w:rPr>
          <w:rFonts w:hint="eastAsia" w:ascii="宋体" w:hAnsi="宋体" w:eastAsia="宋体" w:cs="宋体"/>
          <w:color w:val="auto"/>
          <w:sz w:val="21"/>
          <w:szCs w:val="21"/>
          <w:highlight w:val="none"/>
          <w:lang w:eastAsia="zh-CN"/>
        </w:rPr>
        <w:t>（一）为本协议之目的，“保密信息”是指为实现前述业务/合作目的,甲方向乙方提供或披露的任何甲方不欲公开的机密信息，或者任何其它非公开或专有的信息、数据、设想或概念、标准，和/或其中的任何知识产权，无论该等信息或数据的载体形式、也不论披露是在本协议生效之前或之后。</w:t>
      </w:r>
      <w:r>
        <w:rPr>
          <w:rFonts w:hint="eastAsia" w:ascii="宋体" w:hAnsi="宋体" w:eastAsia="宋体" w:cs="宋体"/>
          <w:color w:val="auto"/>
          <w:kern w:val="2"/>
          <w:sz w:val="21"/>
          <w:szCs w:val="21"/>
          <w:highlight w:val="none"/>
          <w:lang w:eastAsia="zh-CN"/>
        </w:rPr>
        <w:t>本协议所指保密信息包括但不限于以下内容：</w:t>
      </w:r>
      <w:bookmarkEnd w:id="194"/>
      <w:bookmarkEnd w:id="195"/>
      <w:bookmarkEnd w:id="196"/>
    </w:p>
    <w:p w14:paraId="56D703E2">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7" w:name="_Toc13086"/>
      <w:bookmarkStart w:id="198" w:name="_Toc132707360"/>
      <w:bookmarkStart w:id="199" w:name="_Toc1676583173"/>
      <w:r>
        <w:rPr>
          <w:rFonts w:hint="eastAsia" w:ascii="宋体" w:hAnsi="宋体" w:eastAsia="宋体" w:cs="宋体"/>
          <w:b/>
          <w:bCs/>
          <w:color w:val="auto"/>
          <w:kern w:val="2"/>
          <w:sz w:val="21"/>
          <w:szCs w:val="21"/>
          <w:highlight w:val="none"/>
          <w:lang w:eastAsia="zh-CN"/>
        </w:rPr>
        <w:t>技术信息</w:t>
      </w:r>
      <w:r>
        <w:rPr>
          <w:rFonts w:hint="eastAsia" w:ascii="宋体" w:hAnsi="宋体" w:eastAsia="宋体" w:cs="宋体"/>
          <w:color w:val="auto"/>
          <w:kern w:val="2"/>
          <w:sz w:val="21"/>
          <w:szCs w:val="21"/>
          <w:highlight w:val="none"/>
          <w:lang w:eastAsia="zh-CN"/>
        </w:rPr>
        <w:t>：包括甲方专有的技术方案、网络组织、系统及应用软件、数据库、未公开的具有国内先进水平以上的科技成果、技术文档、商务合同、招标方案、评标结果、涉及商业秘密的业务函电等。</w:t>
      </w:r>
      <w:bookmarkEnd w:id="197"/>
      <w:bookmarkEnd w:id="198"/>
      <w:bookmarkEnd w:id="199"/>
    </w:p>
    <w:p w14:paraId="290AE5AA">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0" w:name="_Toc1177140318"/>
      <w:bookmarkStart w:id="201" w:name="_Toc132707361"/>
      <w:bookmarkStart w:id="202" w:name="_Toc17544"/>
      <w:r>
        <w:rPr>
          <w:rFonts w:hint="eastAsia" w:ascii="宋体" w:hAnsi="宋体" w:eastAsia="宋体" w:cs="宋体"/>
          <w:b/>
          <w:bCs/>
          <w:color w:val="auto"/>
          <w:kern w:val="2"/>
          <w:sz w:val="21"/>
          <w:szCs w:val="21"/>
          <w:highlight w:val="none"/>
          <w:lang w:eastAsia="zh-CN"/>
        </w:rPr>
        <w:t>经营信息：</w:t>
      </w:r>
      <w:r>
        <w:rPr>
          <w:rFonts w:hint="eastAsia" w:ascii="宋体" w:hAnsi="宋体" w:eastAsia="宋体" w:cs="宋体"/>
          <w:color w:val="auto"/>
          <w:kern w:val="2"/>
          <w:sz w:val="21"/>
          <w:szCs w:val="21"/>
          <w:highlight w:val="none"/>
          <w:lang w:eastAsia="zh-CN"/>
        </w:rPr>
        <w:t>包括甲方发展战略规划、投资计划及年度计划；甲方策略、资料、重大活动计划及安排、暂不公开或不公开的对接单位、合作伙伴相关信息；甲方重要会议内容及记录、以及管理相关文件。</w:t>
      </w:r>
      <w:bookmarkEnd w:id="200"/>
      <w:bookmarkEnd w:id="201"/>
      <w:bookmarkEnd w:id="202"/>
    </w:p>
    <w:p w14:paraId="4687AF08">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3" w:name="_Toc132707362"/>
      <w:bookmarkStart w:id="204" w:name="_Toc10231"/>
      <w:bookmarkStart w:id="205" w:name="_Toc2119817172"/>
      <w:r>
        <w:rPr>
          <w:rFonts w:hint="eastAsia" w:ascii="宋体" w:hAnsi="宋体" w:eastAsia="宋体" w:cs="宋体"/>
          <w:b/>
          <w:bCs/>
          <w:color w:val="auto"/>
          <w:kern w:val="2"/>
          <w:sz w:val="21"/>
          <w:szCs w:val="21"/>
          <w:highlight w:val="none"/>
          <w:lang w:eastAsia="zh-CN"/>
        </w:rPr>
        <w:t>其他：</w:t>
      </w:r>
      <w:r>
        <w:rPr>
          <w:rFonts w:hint="eastAsia" w:ascii="宋体" w:hAnsi="宋体" w:eastAsia="宋体" w:cs="宋体"/>
          <w:color w:val="auto"/>
          <w:kern w:val="2"/>
          <w:sz w:val="21"/>
          <w:szCs w:val="21"/>
          <w:highlight w:val="none"/>
          <w:lang w:eastAsia="zh-CN"/>
        </w:rPr>
        <w:t>针对</w:t>
      </w:r>
      <w:r>
        <w:rPr>
          <w:rFonts w:hint="eastAsia" w:ascii="宋体" w:hAnsi="宋体" w:eastAsia="宋体" w:cs="宋体"/>
          <w:color w:val="auto"/>
          <w:sz w:val="21"/>
          <w:szCs w:val="21"/>
          <w:highlight w:val="none"/>
          <w:lang w:eastAsia="zh-CN"/>
        </w:rPr>
        <w:t>业务/合作</w:t>
      </w:r>
      <w:r>
        <w:rPr>
          <w:rFonts w:hint="eastAsia" w:ascii="宋体" w:hAnsi="宋体" w:eastAsia="宋体" w:cs="宋体"/>
          <w:color w:val="auto"/>
          <w:kern w:val="2"/>
          <w:sz w:val="21"/>
          <w:szCs w:val="21"/>
          <w:highlight w:val="none"/>
          <w:lang w:eastAsia="zh-CN"/>
        </w:rPr>
        <w:t>需要，甲方向乙方提供的所有相关资料和数据。</w:t>
      </w:r>
      <w:bookmarkEnd w:id="203"/>
      <w:bookmarkEnd w:id="204"/>
      <w:bookmarkEnd w:id="205"/>
    </w:p>
    <w:p w14:paraId="413159B7">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（二）上述保密信息的披露，包括但不限于以数据、文字、录音及记载上述内容的文档、光盘、软件、图书等有形介质体现，也可通过口头等视听方式传递。</w:t>
      </w:r>
    </w:p>
    <w:p w14:paraId="77A9302C">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06" w:name="_Toc132707363"/>
      <w:bookmarkStart w:id="207" w:name="_Toc8214"/>
      <w:bookmarkStart w:id="208" w:name="_Toc1121355855"/>
      <w:r>
        <w:rPr>
          <w:rFonts w:hint="eastAsia" w:ascii="宋体" w:hAnsi="宋体" w:eastAsia="宋体" w:cs="宋体"/>
          <w:b/>
          <w:color w:val="auto"/>
          <w:kern w:val="2"/>
          <w:sz w:val="21"/>
          <w:szCs w:val="21"/>
          <w:highlight w:val="none"/>
          <w:lang w:eastAsia="zh-CN"/>
        </w:rPr>
        <w:t>二、以下信息不属于本协议所定义的保密信息，不受本协议的约束：</w:t>
      </w:r>
      <w:bookmarkEnd w:id="206"/>
      <w:bookmarkEnd w:id="207"/>
      <w:bookmarkEnd w:id="208"/>
    </w:p>
    <w:p w14:paraId="2DE99F72">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9" w:name="_Toc21538"/>
      <w:bookmarkStart w:id="210" w:name="_Toc1638646153"/>
      <w:bookmarkStart w:id="211" w:name="_Toc132707364"/>
      <w:r>
        <w:rPr>
          <w:rFonts w:hint="eastAsia" w:ascii="宋体" w:hAnsi="宋体" w:eastAsia="宋体" w:cs="宋体"/>
          <w:color w:val="auto"/>
          <w:kern w:val="2"/>
          <w:sz w:val="21"/>
          <w:szCs w:val="21"/>
          <w:highlight w:val="none"/>
          <w:lang w:eastAsia="zh-CN"/>
        </w:rPr>
        <w:t>（一）乙方能够证明已处于公开状态或并不违反本协议即可获得的任何信息；</w:t>
      </w:r>
      <w:bookmarkEnd w:id="209"/>
      <w:bookmarkEnd w:id="210"/>
      <w:bookmarkEnd w:id="211"/>
    </w:p>
    <w:p w14:paraId="30B76E8C">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bookmarkStart w:id="212" w:name="_Toc1676986016"/>
      <w:bookmarkStart w:id="213" w:name="_Toc6067"/>
      <w:bookmarkStart w:id="214" w:name="_Toc132707365"/>
      <w:r>
        <w:rPr>
          <w:rFonts w:hint="eastAsia" w:ascii="宋体" w:hAnsi="宋体" w:eastAsia="宋体" w:cs="宋体"/>
          <w:color w:val="auto"/>
          <w:sz w:val="21"/>
          <w:szCs w:val="21"/>
          <w:highlight w:val="none"/>
          <w:lang w:eastAsia="zh-CN"/>
        </w:rPr>
        <w:t>（二）书面记录能够证明从甲方收到前乙方已经掌握的信息；</w:t>
      </w:r>
      <w:bookmarkEnd w:id="212"/>
      <w:bookmarkEnd w:id="213"/>
      <w:bookmarkEnd w:id="214"/>
    </w:p>
    <w:p w14:paraId="080CF494">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15" w:name="_Toc132707366"/>
      <w:bookmarkStart w:id="216" w:name="_Toc1259475693"/>
      <w:bookmarkStart w:id="217" w:name="_Toc20237"/>
      <w:r>
        <w:rPr>
          <w:rFonts w:hint="eastAsia" w:ascii="宋体" w:hAnsi="宋体" w:eastAsia="宋体" w:cs="宋体"/>
          <w:color w:val="auto"/>
          <w:kern w:val="2"/>
          <w:sz w:val="21"/>
          <w:szCs w:val="21"/>
          <w:highlight w:val="none"/>
          <w:lang w:eastAsia="zh-CN"/>
        </w:rPr>
        <w:t>（三）经甲方书面同意披露或许可使用的信息。</w:t>
      </w:r>
      <w:bookmarkEnd w:id="215"/>
      <w:bookmarkEnd w:id="216"/>
      <w:bookmarkEnd w:id="217"/>
    </w:p>
    <w:p w14:paraId="49A9B665">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18" w:name="_Toc1364483399"/>
      <w:bookmarkStart w:id="219" w:name="_Toc32588"/>
      <w:bookmarkStart w:id="220" w:name="_Toc132707367"/>
      <w:r>
        <w:rPr>
          <w:rFonts w:hint="eastAsia" w:ascii="宋体" w:hAnsi="宋体" w:eastAsia="宋体" w:cs="宋体"/>
          <w:b/>
          <w:color w:val="auto"/>
          <w:kern w:val="2"/>
          <w:sz w:val="21"/>
          <w:szCs w:val="21"/>
          <w:highlight w:val="none"/>
          <w:lang w:eastAsia="zh-CN"/>
        </w:rPr>
        <w:t>三、保密义务及具体要求</w:t>
      </w:r>
      <w:bookmarkEnd w:id="218"/>
      <w:bookmarkEnd w:id="219"/>
      <w:bookmarkEnd w:id="220"/>
    </w:p>
    <w:p w14:paraId="0C244315">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1" w:name="_Toc1861507462"/>
      <w:bookmarkStart w:id="222" w:name="_Toc132707368"/>
      <w:bookmarkStart w:id="223" w:name="_Toc5726"/>
      <w:r>
        <w:rPr>
          <w:rFonts w:hint="eastAsia" w:ascii="宋体" w:hAnsi="宋体" w:eastAsia="宋体" w:cs="宋体"/>
          <w:color w:val="auto"/>
          <w:kern w:val="2"/>
          <w:sz w:val="21"/>
          <w:szCs w:val="21"/>
          <w:highlight w:val="none"/>
          <w:lang w:eastAsia="zh-CN"/>
        </w:rPr>
        <w:t>（一）乙方应以对待自己同等重要的保密文件一样的谨慎态度对待甲方提供的保密信息，乙方应要求其获悉保密信息的所有人员采取必要的措施对收到的保密信息进行存档和保密，避免任何其他第三方及乙方的无关人员以任何方式获得此保密信息；</w:t>
      </w:r>
      <w:bookmarkEnd w:id="221"/>
      <w:bookmarkEnd w:id="222"/>
      <w:bookmarkEnd w:id="223"/>
    </w:p>
    <w:p w14:paraId="2A87A7AB">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4" w:name="_Toc132707369"/>
      <w:bookmarkStart w:id="225" w:name="_Toc32822840"/>
      <w:bookmarkStart w:id="226" w:name="_Toc6568"/>
      <w:r>
        <w:rPr>
          <w:rFonts w:hint="eastAsia" w:ascii="宋体" w:hAnsi="宋体" w:eastAsia="宋体" w:cs="宋体"/>
          <w:color w:val="auto"/>
          <w:kern w:val="2"/>
          <w:sz w:val="21"/>
          <w:szCs w:val="21"/>
          <w:highlight w:val="none"/>
          <w:lang w:eastAsia="zh-CN"/>
        </w:rPr>
        <w:t>（二）乙方保证该保密信息仅用于与业务/合作有关的用途。未经甲方书面同意，乙方不得将保密信息用于业务/合作以外的任何用途、不得对保密信息进行复制、或利用保密信息进行新的研究或开发；</w:t>
      </w:r>
      <w:bookmarkEnd w:id="224"/>
      <w:bookmarkEnd w:id="225"/>
      <w:bookmarkEnd w:id="226"/>
    </w:p>
    <w:p w14:paraId="16BB6AB0">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7" w:name="_Toc13939"/>
      <w:bookmarkStart w:id="228" w:name="_Toc1692559735"/>
      <w:bookmarkStart w:id="229" w:name="_Toc132707370"/>
      <w:r>
        <w:rPr>
          <w:rFonts w:hint="eastAsia" w:ascii="宋体" w:hAnsi="宋体" w:eastAsia="宋体" w:cs="宋体"/>
          <w:color w:val="auto"/>
          <w:kern w:val="2"/>
          <w:sz w:val="21"/>
          <w:szCs w:val="21"/>
          <w:highlight w:val="none"/>
          <w:lang w:eastAsia="zh-CN"/>
        </w:rPr>
        <w:t>（三）乙方保证仅为与甲方业务/合作的目的向乙方确有知悉必要的雇员、董事、顾问和/或咨询人员披露保密信息，且对保密信息的披露及利用符合甲方的利益。在乙方上述人员知悉该保密信息前，应向其说明保密信息的保密性及其应承担的义务，保证上述人员同意接收本协议条款的约束，并对上述人员的保密行为进行有效的监督管理。因前述人员违背上述承诺，向第三方披露保密信息，或依据该等保密信息向第三方做出任何建议，都被视为乙方违反本协议，乙方应承担全部责任，且乙方应采取有效措施防止泄密进一步扩大，并及时告知甲方；</w:t>
      </w:r>
      <w:bookmarkEnd w:id="227"/>
      <w:bookmarkEnd w:id="228"/>
      <w:bookmarkEnd w:id="229"/>
    </w:p>
    <w:p w14:paraId="60D5AF0F">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0" w:name="_Toc11143"/>
      <w:bookmarkStart w:id="231" w:name="_Toc915692807"/>
      <w:bookmarkStart w:id="232" w:name="_Toc132707371"/>
      <w:r>
        <w:rPr>
          <w:rFonts w:hint="eastAsia" w:ascii="宋体" w:hAnsi="宋体" w:eastAsia="宋体" w:cs="宋体"/>
          <w:color w:val="auto"/>
          <w:kern w:val="2"/>
          <w:sz w:val="21"/>
          <w:szCs w:val="21"/>
          <w:highlight w:val="none"/>
          <w:lang w:eastAsia="zh-CN"/>
        </w:rPr>
        <w:t>（四）甲方的保密信息的部分或个别要素虽被披露成为公知信息，但该信息的其它部分或整体尚未成为公知信息的，乙方仍应按本协议约定对未公开部分的信息履行保密义务；</w:t>
      </w:r>
      <w:bookmarkEnd w:id="230"/>
      <w:bookmarkEnd w:id="231"/>
      <w:bookmarkEnd w:id="232"/>
    </w:p>
    <w:p w14:paraId="4206D275">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3" w:name="_Toc1707662881"/>
      <w:bookmarkStart w:id="234" w:name="_Toc27551"/>
      <w:bookmarkStart w:id="235" w:name="_Toc132707372"/>
      <w:r>
        <w:rPr>
          <w:rFonts w:hint="eastAsia" w:ascii="宋体" w:hAnsi="宋体" w:eastAsia="宋体" w:cs="宋体"/>
          <w:color w:val="auto"/>
          <w:kern w:val="2"/>
          <w:sz w:val="21"/>
          <w:szCs w:val="21"/>
          <w:highlight w:val="none"/>
          <w:lang w:eastAsia="zh-CN"/>
        </w:rPr>
        <w:t>（五）对于本协议签署前、签署过程及履行等过程中，乙方所接触到的甲方及甲方关联单位的保密信息，乙方应依据本协议约定履行保密义务。</w:t>
      </w:r>
      <w:bookmarkEnd w:id="233"/>
      <w:bookmarkEnd w:id="234"/>
      <w:bookmarkEnd w:id="235"/>
    </w:p>
    <w:p w14:paraId="57FEEB91">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6" w:name="_Toc1925938929"/>
      <w:bookmarkStart w:id="237" w:name="_Toc2129"/>
      <w:bookmarkStart w:id="238" w:name="_Toc132707373"/>
      <w:r>
        <w:rPr>
          <w:rFonts w:hint="eastAsia" w:ascii="宋体" w:hAnsi="宋体" w:eastAsia="宋体" w:cs="宋体"/>
          <w:bCs/>
          <w:color w:val="auto"/>
          <w:kern w:val="2"/>
          <w:sz w:val="21"/>
          <w:szCs w:val="21"/>
          <w:highlight w:val="none"/>
          <w:lang w:eastAsia="zh-CN"/>
        </w:rPr>
        <w:t>（六）</w:t>
      </w:r>
      <w:r>
        <w:rPr>
          <w:rFonts w:hint="eastAsia" w:ascii="宋体" w:hAnsi="宋体" w:eastAsia="宋体" w:cs="宋体"/>
          <w:color w:val="auto"/>
          <w:kern w:val="2"/>
          <w:sz w:val="21"/>
          <w:szCs w:val="21"/>
          <w:highlight w:val="none"/>
          <w:lang w:eastAsia="zh-CN"/>
        </w:rPr>
        <w:t>甲方如发现乙方存在涉及保密信息保护措施缺失、数据滥用、严重泄露等问题，甲方有权按照本协议相关条款进行处理，并且对于已产生的实际损失和不良影响，由乙方全责承担。</w:t>
      </w:r>
      <w:bookmarkEnd w:id="236"/>
      <w:bookmarkEnd w:id="237"/>
      <w:bookmarkEnd w:id="238"/>
    </w:p>
    <w:p w14:paraId="206583DC">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5" w:firstLineChars="202"/>
        <w:jc w:val="both"/>
        <w:textAlignment w:val="auto"/>
        <w:outlineLvl w:val="9"/>
        <w:rPr>
          <w:rFonts w:hint="eastAsia" w:ascii="宋体" w:hAnsi="宋体" w:eastAsia="宋体" w:cs="宋体"/>
          <w:b/>
          <w:color w:val="auto"/>
          <w:kern w:val="2"/>
          <w:sz w:val="21"/>
          <w:szCs w:val="21"/>
          <w:highlight w:val="none"/>
          <w:lang w:eastAsia="zh-CN"/>
        </w:rPr>
      </w:pPr>
      <w:bookmarkStart w:id="239" w:name="_Toc10877"/>
      <w:bookmarkStart w:id="240" w:name="_Toc132707374"/>
      <w:bookmarkStart w:id="241" w:name="_Toc1127185982"/>
      <w:r>
        <w:rPr>
          <w:rFonts w:hint="eastAsia" w:ascii="宋体" w:hAnsi="宋体" w:eastAsia="宋体" w:cs="宋体"/>
          <w:b/>
          <w:color w:val="auto"/>
          <w:kern w:val="2"/>
          <w:sz w:val="21"/>
          <w:szCs w:val="21"/>
          <w:highlight w:val="none"/>
          <w:lang w:eastAsia="zh-CN"/>
        </w:rPr>
        <w:t>四、保密期限</w:t>
      </w:r>
      <w:bookmarkEnd w:id="239"/>
      <w:bookmarkEnd w:id="240"/>
      <w:bookmarkEnd w:id="241"/>
    </w:p>
    <w:p w14:paraId="594F5D68">
      <w:pPr>
        <w:pStyle w:val="127"/>
        <w:pageBreakBefore w:val="0"/>
        <w:tabs>
          <w:tab w:val="left" w:pos="0"/>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2" w:name="_Toc1266928463"/>
      <w:bookmarkStart w:id="243" w:name="_Toc132707375"/>
      <w:bookmarkStart w:id="244" w:name="_Toc28068"/>
      <w:r>
        <w:rPr>
          <w:rFonts w:hint="eastAsia" w:ascii="宋体" w:hAnsi="宋体" w:eastAsia="宋体" w:cs="宋体"/>
          <w:color w:val="auto"/>
          <w:kern w:val="2"/>
          <w:sz w:val="21"/>
          <w:szCs w:val="21"/>
          <w:highlight w:val="none"/>
          <w:lang w:eastAsia="zh-CN"/>
        </w:rPr>
        <w:t>（一）乙方保密的义务长期有效。无论双方业务/合作协议是否成立、届满、终止或被取代，乙方的保密义务应持续有效，直到甲方以书面形式明确说明解除乙方此项义务，或事实上不会因违反保密义务而给甲方造成任何形式的损害时为止；</w:t>
      </w:r>
      <w:bookmarkEnd w:id="242"/>
      <w:bookmarkEnd w:id="243"/>
      <w:bookmarkEnd w:id="244"/>
    </w:p>
    <w:p w14:paraId="0A427F28">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5" w:name="_Toc132707376"/>
      <w:bookmarkStart w:id="246" w:name="_Toc914130467"/>
      <w:bookmarkStart w:id="247" w:name="_Toc12255"/>
      <w:r>
        <w:rPr>
          <w:rFonts w:hint="eastAsia" w:ascii="宋体" w:hAnsi="宋体" w:eastAsia="宋体" w:cs="宋体"/>
          <w:color w:val="auto"/>
          <w:kern w:val="2"/>
          <w:sz w:val="21"/>
          <w:szCs w:val="21"/>
          <w:highlight w:val="none"/>
          <w:lang w:eastAsia="zh-CN"/>
        </w:rPr>
        <w:t>（二）双方业务/合作终止后，乙方应及时将承载保密信息的介质原件及复制件全部返还甲方，或对复制件进行彻底销毁，或按甲方要求的其他形式处理。最迟不得超过甲方发出交还或处理通知之日起三十日。</w:t>
      </w:r>
      <w:bookmarkEnd w:id="245"/>
      <w:bookmarkEnd w:id="246"/>
      <w:bookmarkEnd w:id="247"/>
    </w:p>
    <w:p w14:paraId="697A33F9">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48" w:name="_Toc512442950"/>
      <w:bookmarkStart w:id="249" w:name="_Toc132707377"/>
      <w:bookmarkStart w:id="250" w:name="_Toc27660"/>
      <w:r>
        <w:rPr>
          <w:rFonts w:hint="eastAsia" w:ascii="宋体" w:hAnsi="宋体" w:eastAsia="宋体" w:cs="宋体"/>
          <w:b/>
          <w:color w:val="auto"/>
          <w:kern w:val="2"/>
          <w:sz w:val="21"/>
          <w:szCs w:val="21"/>
          <w:highlight w:val="none"/>
          <w:lang w:eastAsia="zh-CN"/>
        </w:rPr>
        <w:t>五、违约责任</w:t>
      </w:r>
      <w:bookmarkEnd w:id="248"/>
      <w:bookmarkEnd w:id="249"/>
      <w:bookmarkEnd w:id="250"/>
    </w:p>
    <w:p w14:paraId="59796A81">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（一）如乙方有违反本协议的情形，无论故意与过失，应当立即停止侵害，并在第一时间采取一切必要措施防止保密信息的扩散，尽最大可能消除影响；</w:t>
      </w:r>
    </w:p>
    <w:p w14:paraId="35384FA7">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（二）乙方未履行或未完全履行本协议项下的条款均构成违约，乙方应赔偿因此而给甲方造成的一切损失，包括但不限于甲方因调查违约行为、仲裁、诉讼、聘请律师、保全等而支付的合理费用和开支。</w:t>
      </w:r>
    </w:p>
    <w:p w14:paraId="16675B7F">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六、其他</w:t>
      </w:r>
    </w:p>
    <w:p w14:paraId="5BDB0248">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（一）本协议适用中华人民共和国法律法规的规定，凡因本协议引起的或与本协议有关的任何争议，双方可通过协商解决。协商不成则将争议提交甲方所在地有管辖权的人民法院通过诉讼方式解决。</w:t>
      </w:r>
    </w:p>
    <w:p w14:paraId="7FA0A4A9">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作过程中，甲方披露的保密信息的权属可能归属于甲方的关联公司，乙方同意该等信息的保密按本协议约定履行。本协议所指甲方关联公司为：甲方在签订本协议时或将来直接或间接控制该方、或由该方控制、或与该方共同受他方控制的任何实体。</w:t>
      </w:r>
    </w:p>
    <w:p w14:paraId="52F148A6">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（三）本协议之条款非经双方签署书面文件不得加以修改、放弃。</w:t>
      </w:r>
    </w:p>
    <w:p w14:paraId="37C2E195">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p>
    <w:tbl>
      <w:tblPr>
        <w:tblStyle w:val="39"/>
        <w:tblW w:w="0" w:type="auto"/>
        <w:tblInd w:w="122" w:type="dxa"/>
        <w:tblLayout w:type="fixed"/>
        <w:tblCellMar>
          <w:top w:w="0" w:type="dxa"/>
          <w:left w:w="108" w:type="dxa"/>
          <w:bottom w:w="0" w:type="dxa"/>
          <w:right w:w="108" w:type="dxa"/>
        </w:tblCellMar>
      </w:tblPr>
      <w:tblGrid>
        <w:gridCol w:w="4070"/>
        <w:gridCol w:w="4213"/>
      </w:tblGrid>
      <w:tr w14:paraId="4F17F05E">
        <w:trPr>
          <w:trHeight w:val="981" w:hRule="atLeast"/>
        </w:trPr>
        <w:tc>
          <w:tcPr>
            <w:tcW w:w="4070" w:type="dxa"/>
            <w:noWrap w:val="0"/>
            <w:vAlign w:val="top"/>
          </w:tcPr>
          <w:p w14:paraId="5B4E2ACD">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213" w:type="dxa"/>
            <w:noWrap w:val="0"/>
            <w:vAlign w:val="top"/>
          </w:tcPr>
          <w:p w14:paraId="5535437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1A196CD7">
        <w:trPr>
          <w:trHeight w:val="1050" w:hRule="atLeast"/>
        </w:trPr>
        <w:tc>
          <w:tcPr>
            <w:tcW w:w="4070" w:type="dxa"/>
            <w:noWrap w:val="0"/>
            <w:vAlign w:val="top"/>
          </w:tcPr>
          <w:p w14:paraId="4769E20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2A78C02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6B9754E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213" w:type="dxa"/>
            <w:noWrap w:val="0"/>
            <w:vAlign w:val="top"/>
          </w:tcPr>
          <w:p w14:paraId="5663C4D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3990B85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2469A29E">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600DDDE6">
        <w:trPr>
          <w:trHeight w:val="601" w:hRule="atLeast"/>
        </w:trPr>
        <w:tc>
          <w:tcPr>
            <w:tcW w:w="4070" w:type="dxa"/>
            <w:noWrap w:val="0"/>
            <w:vAlign w:val="top"/>
          </w:tcPr>
          <w:p w14:paraId="0C22AEE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213" w:type="dxa"/>
            <w:noWrap w:val="0"/>
            <w:vAlign w:val="top"/>
          </w:tcPr>
          <w:p w14:paraId="3A8B9AE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3E6C5C5B">
      <w:pPr>
        <w:rPr>
          <w:rFonts w:hint="eastAsia" w:ascii="宋体" w:hAnsi="宋体" w:eastAsia="宋体" w:cs="宋体"/>
          <w:color w:val="auto"/>
          <w:sz w:val="21"/>
          <w:szCs w:val="21"/>
          <w:highlight w:val="none"/>
        </w:rPr>
      </w:pPr>
    </w:p>
    <w:p w14:paraId="5EABB75F">
      <w:pPr>
        <w:pageBreakBefore w:val="0"/>
        <w:kinsoku/>
        <w:wordWrap/>
        <w:overflowPunct/>
        <w:topLinePunct w:val="0"/>
        <w:autoSpaceDE/>
        <w:autoSpaceDN/>
        <w:bidi w:val="0"/>
        <w:spacing w:beforeLines="0" w:afterLines="0" w:line="400" w:lineRule="exact"/>
        <w:textAlignment w:val="auto"/>
        <w:rPr>
          <w:rFonts w:hint="eastAsia" w:ascii="宋体" w:hAnsi="宋体" w:eastAsia="宋体" w:cs="宋体"/>
          <w:color w:val="auto"/>
          <w:sz w:val="21"/>
          <w:szCs w:val="21"/>
          <w:highlight w:val="none"/>
        </w:rPr>
      </w:pPr>
    </w:p>
    <w:p w14:paraId="508DA496">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b/>
          <w:bCs/>
          <w:color w:val="auto"/>
          <w:sz w:val="21"/>
          <w:szCs w:val="21"/>
          <w:highlight w:val="none"/>
        </w:rPr>
      </w:pPr>
    </w:p>
    <w:p w14:paraId="477653E9">
      <w:pPr>
        <w:pStyle w:val="46"/>
        <w:spacing w:beforeLines="0" w:after="0" w:afterLines="0" w:line="600" w:lineRule="exact"/>
        <w:rPr>
          <w:rFonts w:hint="eastAsia" w:ascii="仿宋" w:hAnsi="仿宋" w:eastAsia="仿宋" w:cs="仿宋"/>
          <w:b/>
          <w:bCs/>
          <w:color w:val="auto"/>
          <w:sz w:val="32"/>
          <w:szCs w:val="32"/>
          <w:highlight w:val="none"/>
        </w:rPr>
      </w:pPr>
    </w:p>
    <w:p w14:paraId="2CEE5039">
      <w:pPr>
        <w:snapToGrid w:val="0"/>
        <w:spacing w:line="360" w:lineRule="auto"/>
        <w:jc w:val="center"/>
        <w:rPr>
          <w:rFonts w:hint="eastAsia" w:ascii="宋体" w:hAnsi="宋体" w:cs="宋体"/>
          <w:bCs/>
          <w:color w:val="auto"/>
          <w:sz w:val="32"/>
          <w:szCs w:val="32"/>
          <w:highlight w:val="none"/>
        </w:rPr>
      </w:pPr>
      <w:r>
        <w:rPr>
          <w:rFonts w:hint="eastAsia" w:ascii="宋体" w:hAnsi="宋体" w:cs="宋体"/>
          <w:b/>
          <w:color w:val="auto"/>
          <w:szCs w:val="21"/>
          <w:highlight w:val="none"/>
        </w:rPr>
        <w:br w:type="page"/>
      </w:r>
    </w:p>
    <w:p w14:paraId="617FC525">
      <w:pPr>
        <w:pStyle w:val="3"/>
        <w:jc w:val="center"/>
        <w:rPr>
          <w:rFonts w:hint="eastAsia" w:ascii="宋体" w:hAnsi="宋体" w:cs="宋体"/>
          <w:color w:val="auto"/>
          <w:highlight w:val="none"/>
        </w:rPr>
      </w:pPr>
      <w:bookmarkStart w:id="251" w:name="_Toc30294"/>
      <w:bookmarkStart w:id="252" w:name="_Toc20718"/>
      <w:bookmarkStart w:id="253" w:name="_Toc25427"/>
    </w:p>
    <w:p w14:paraId="192A34D2">
      <w:pPr>
        <w:pStyle w:val="3"/>
        <w:jc w:val="center"/>
        <w:rPr>
          <w:rFonts w:hint="eastAsia" w:ascii="宋体" w:hAnsi="宋体" w:cs="宋体"/>
          <w:color w:val="auto"/>
          <w:highlight w:val="none"/>
        </w:rPr>
      </w:pPr>
      <w:r>
        <w:rPr>
          <w:rFonts w:hint="eastAsia" w:ascii="宋体" w:hAnsi="宋体" w:cs="宋体"/>
          <w:color w:val="auto"/>
          <w:highlight w:val="none"/>
        </w:rPr>
        <w:t>第六章　投标文件格式</w:t>
      </w:r>
      <w:bookmarkEnd w:id="251"/>
      <w:bookmarkEnd w:id="252"/>
      <w:bookmarkEnd w:id="253"/>
    </w:p>
    <w:p w14:paraId="20F2819B">
      <w:pPr>
        <w:snapToGrid w:val="0"/>
        <w:spacing w:before="50" w:after="50"/>
        <w:rPr>
          <w:rFonts w:hint="eastAsia" w:ascii="宋体" w:hAnsi="宋体" w:cs="宋体"/>
          <w:color w:val="auto"/>
          <w:sz w:val="32"/>
          <w:szCs w:val="20"/>
          <w:highlight w:val="none"/>
        </w:rPr>
      </w:pPr>
    </w:p>
    <w:p w14:paraId="5684AE93">
      <w:pPr>
        <w:snapToGrid w:val="0"/>
        <w:spacing w:before="50" w:after="50"/>
        <w:rPr>
          <w:rFonts w:hint="eastAsia" w:ascii="宋体" w:hAnsi="宋体" w:cs="宋体"/>
          <w:color w:val="auto"/>
          <w:sz w:val="32"/>
          <w:szCs w:val="20"/>
          <w:highlight w:val="none"/>
        </w:rPr>
      </w:pPr>
    </w:p>
    <w:p w14:paraId="69B4E796">
      <w:pPr>
        <w:snapToGrid w:val="0"/>
        <w:spacing w:before="50" w:after="50"/>
        <w:rPr>
          <w:rFonts w:hint="eastAsia" w:ascii="宋体" w:hAnsi="宋体" w:cs="宋体"/>
          <w:color w:val="auto"/>
          <w:sz w:val="32"/>
          <w:szCs w:val="20"/>
          <w:highlight w:val="none"/>
        </w:rPr>
      </w:pPr>
    </w:p>
    <w:p w14:paraId="622E724D">
      <w:pPr>
        <w:snapToGrid w:val="0"/>
        <w:spacing w:before="50" w:after="50"/>
        <w:rPr>
          <w:rFonts w:hint="eastAsia" w:ascii="宋体" w:hAnsi="宋体" w:cs="宋体"/>
          <w:color w:val="auto"/>
          <w:sz w:val="32"/>
          <w:szCs w:val="20"/>
          <w:highlight w:val="none"/>
        </w:rPr>
      </w:pPr>
    </w:p>
    <w:p w14:paraId="6AC39249">
      <w:pPr>
        <w:snapToGrid w:val="0"/>
        <w:spacing w:before="50" w:after="50"/>
        <w:rPr>
          <w:rFonts w:hint="eastAsia" w:ascii="宋体" w:hAnsi="宋体" w:cs="宋体"/>
          <w:color w:val="auto"/>
          <w:sz w:val="32"/>
          <w:szCs w:val="20"/>
          <w:highlight w:val="none"/>
        </w:rPr>
      </w:pPr>
    </w:p>
    <w:p w14:paraId="1E91AD27">
      <w:pPr>
        <w:snapToGrid w:val="0"/>
        <w:spacing w:before="50" w:after="50"/>
        <w:rPr>
          <w:rFonts w:hint="eastAsia" w:ascii="宋体" w:hAnsi="宋体" w:cs="宋体"/>
          <w:color w:val="auto"/>
          <w:sz w:val="32"/>
          <w:szCs w:val="20"/>
          <w:highlight w:val="none"/>
        </w:rPr>
      </w:pPr>
    </w:p>
    <w:p w14:paraId="58F9D42E">
      <w:pPr>
        <w:snapToGrid w:val="0"/>
        <w:spacing w:before="50" w:after="50"/>
        <w:rPr>
          <w:rFonts w:hint="eastAsia" w:ascii="宋体" w:hAnsi="宋体" w:cs="宋体"/>
          <w:color w:val="auto"/>
          <w:sz w:val="32"/>
          <w:szCs w:val="20"/>
          <w:highlight w:val="none"/>
        </w:rPr>
      </w:pPr>
    </w:p>
    <w:p w14:paraId="2BB5C806">
      <w:pPr>
        <w:snapToGrid w:val="0"/>
        <w:spacing w:before="50" w:after="50"/>
        <w:rPr>
          <w:rFonts w:hint="eastAsia" w:ascii="宋体" w:hAnsi="宋体" w:cs="宋体"/>
          <w:color w:val="auto"/>
          <w:sz w:val="32"/>
          <w:szCs w:val="20"/>
          <w:highlight w:val="none"/>
        </w:rPr>
      </w:pPr>
    </w:p>
    <w:p w14:paraId="7E77AFF8">
      <w:pPr>
        <w:outlineLvl w:val="1"/>
        <w:rPr>
          <w:rFonts w:hint="eastAsia" w:ascii="宋体" w:hAnsi="宋体" w:cs="宋体"/>
          <w:b/>
          <w:color w:val="auto"/>
          <w:sz w:val="28"/>
          <w:szCs w:val="28"/>
          <w:highlight w:val="none"/>
        </w:rPr>
      </w:pPr>
      <w:r>
        <w:rPr>
          <w:rFonts w:hint="eastAsia" w:ascii="宋体" w:hAnsi="宋体" w:cs="宋体"/>
          <w:color w:val="auto"/>
          <w:sz w:val="32"/>
          <w:szCs w:val="20"/>
          <w:highlight w:val="none"/>
        </w:rPr>
        <w:br w:type="page"/>
      </w:r>
      <w:bookmarkStart w:id="254" w:name="_Toc7400"/>
      <w:bookmarkStart w:id="255" w:name="_Toc19686836"/>
      <w:bookmarkStart w:id="256" w:name="_Toc2369"/>
      <w:bookmarkStart w:id="257" w:name="_Toc254970698"/>
      <w:bookmarkStart w:id="258" w:name="_Toc254970557"/>
      <w:r>
        <w:rPr>
          <w:rFonts w:hint="eastAsia" w:ascii="宋体" w:hAnsi="宋体" w:cs="宋体"/>
          <w:b/>
          <w:color w:val="auto"/>
          <w:sz w:val="28"/>
          <w:szCs w:val="28"/>
          <w:highlight w:val="none"/>
        </w:rPr>
        <w:t>一、报价文件格式</w:t>
      </w:r>
      <w:bookmarkEnd w:id="254"/>
      <w:bookmarkEnd w:id="255"/>
      <w:bookmarkEnd w:id="256"/>
    </w:p>
    <w:p w14:paraId="6B714A9C">
      <w:pPr>
        <w:snapToGrid w:val="0"/>
        <w:spacing w:before="120" w:beforeLines="50" w:after="50" w:line="360" w:lineRule="auto"/>
        <w:ind w:left="142"/>
        <w:jc w:val="left"/>
        <w:rPr>
          <w:rFonts w:hint="eastAsia" w:ascii="宋体" w:hAnsi="宋体" w:cs="宋体"/>
          <w:color w:val="auto"/>
          <w:sz w:val="24"/>
          <w:szCs w:val="20"/>
          <w:highlight w:val="none"/>
        </w:rPr>
      </w:pPr>
      <w:r>
        <w:rPr>
          <w:rFonts w:hint="eastAsia" w:ascii="宋体" w:hAnsi="宋体" w:cs="宋体"/>
          <w:b/>
          <w:color w:val="auto"/>
          <w:sz w:val="24"/>
          <w:highlight w:val="none"/>
        </w:rPr>
        <w:t xml:space="preserve">1. 报价文件封面格式： </w:t>
      </w:r>
    </w:p>
    <w:p w14:paraId="0D9A6E23">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467E215D">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4522CD2B">
      <w:pPr>
        <w:snapToGrid w:val="0"/>
        <w:spacing w:before="120" w:beforeLines="50" w:after="50" w:line="400" w:lineRule="exact"/>
        <w:jc w:val="center"/>
        <w:rPr>
          <w:rFonts w:hint="eastAsia" w:ascii="宋体" w:hAnsi="宋体" w:cs="宋体"/>
          <w:bCs/>
          <w:color w:val="auto"/>
          <w:sz w:val="24"/>
          <w:szCs w:val="20"/>
          <w:highlight w:val="none"/>
        </w:rPr>
      </w:pPr>
    </w:p>
    <w:p w14:paraId="6AF96BE4">
      <w:pPr>
        <w:snapToGrid w:val="0"/>
        <w:spacing w:before="120" w:beforeLines="50" w:after="50"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报价文件</w:t>
      </w:r>
    </w:p>
    <w:p w14:paraId="1DD4B84F">
      <w:pPr>
        <w:snapToGrid w:val="0"/>
        <w:spacing w:before="120" w:beforeLines="50" w:after="50" w:line="400" w:lineRule="exact"/>
        <w:rPr>
          <w:rFonts w:hint="eastAsia" w:ascii="宋体" w:hAnsi="宋体" w:cs="宋体"/>
          <w:bCs/>
          <w:color w:val="auto"/>
          <w:sz w:val="24"/>
          <w:szCs w:val="20"/>
          <w:highlight w:val="none"/>
        </w:rPr>
      </w:pPr>
    </w:p>
    <w:p w14:paraId="6B41922A">
      <w:pPr>
        <w:snapToGrid w:val="0"/>
        <w:spacing w:before="120" w:beforeLines="50" w:after="50" w:line="400" w:lineRule="exact"/>
        <w:rPr>
          <w:rFonts w:hint="eastAsia" w:ascii="宋体" w:hAnsi="宋体" w:cs="宋体"/>
          <w:bCs/>
          <w:color w:val="auto"/>
          <w:sz w:val="24"/>
          <w:szCs w:val="20"/>
          <w:highlight w:val="none"/>
        </w:rPr>
      </w:pPr>
    </w:p>
    <w:p w14:paraId="6BFA5E51">
      <w:pPr>
        <w:snapToGrid w:val="0"/>
        <w:spacing w:before="120" w:beforeLines="50" w:after="50" w:line="400" w:lineRule="exact"/>
        <w:rPr>
          <w:rFonts w:hint="eastAsia" w:ascii="宋体" w:hAnsi="宋体" w:cs="宋体"/>
          <w:bCs/>
          <w:color w:val="auto"/>
          <w:sz w:val="24"/>
          <w:szCs w:val="20"/>
          <w:highlight w:val="none"/>
        </w:rPr>
      </w:pPr>
    </w:p>
    <w:p w14:paraId="50A331C3">
      <w:pPr>
        <w:snapToGrid w:val="0"/>
        <w:spacing w:before="120" w:beforeLines="50" w:after="50" w:line="400" w:lineRule="exact"/>
        <w:rPr>
          <w:rFonts w:hint="eastAsia" w:ascii="宋体" w:hAnsi="宋体" w:cs="宋体"/>
          <w:bCs/>
          <w:color w:val="auto"/>
          <w:sz w:val="24"/>
          <w:szCs w:val="20"/>
          <w:highlight w:val="none"/>
        </w:rPr>
      </w:pPr>
    </w:p>
    <w:p w14:paraId="0E008AE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5E56B636">
      <w:pPr>
        <w:snapToGrid w:val="0"/>
        <w:spacing w:before="120" w:beforeLines="50" w:after="50" w:line="400" w:lineRule="exact"/>
        <w:ind w:firstLine="360" w:firstLineChars="150"/>
        <w:rPr>
          <w:rFonts w:hint="eastAsia" w:ascii="宋体" w:hAnsi="宋体" w:cs="宋体"/>
          <w:bCs/>
          <w:color w:val="auto"/>
          <w:sz w:val="24"/>
          <w:highlight w:val="none"/>
        </w:rPr>
      </w:pPr>
    </w:p>
    <w:p w14:paraId="7CF29F11">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43C0A92B">
      <w:pPr>
        <w:snapToGrid w:val="0"/>
        <w:spacing w:before="120" w:beforeLines="50" w:after="50" w:line="400" w:lineRule="exact"/>
        <w:ind w:firstLine="360" w:firstLineChars="150"/>
        <w:rPr>
          <w:rFonts w:hint="eastAsia" w:ascii="宋体" w:hAnsi="宋体" w:cs="宋体"/>
          <w:bCs/>
          <w:color w:val="auto"/>
          <w:sz w:val="24"/>
          <w:highlight w:val="none"/>
        </w:rPr>
      </w:pPr>
    </w:p>
    <w:p w14:paraId="5A63D3A7">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3FC876A5">
      <w:pPr>
        <w:snapToGrid w:val="0"/>
        <w:spacing w:before="120" w:beforeLines="50" w:after="50" w:line="400" w:lineRule="exact"/>
        <w:ind w:firstLine="360" w:firstLineChars="150"/>
        <w:rPr>
          <w:rFonts w:hint="eastAsia" w:ascii="宋体" w:hAnsi="宋体" w:cs="宋体"/>
          <w:bCs/>
          <w:color w:val="auto"/>
          <w:sz w:val="24"/>
          <w:highlight w:val="none"/>
        </w:rPr>
      </w:pPr>
    </w:p>
    <w:p w14:paraId="627FBFA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74866F94">
      <w:pPr>
        <w:snapToGrid w:val="0"/>
        <w:spacing w:before="120" w:beforeLines="50" w:after="50" w:line="400" w:lineRule="exact"/>
        <w:ind w:firstLine="360" w:firstLineChars="150"/>
        <w:rPr>
          <w:rFonts w:hint="eastAsia" w:ascii="宋体" w:hAnsi="宋体" w:cs="宋体"/>
          <w:bCs/>
          <w:color w:val="auto"/>
          <w:sz w:val="24"/>
          <w:highlight w:val="none"/>
        </w:rPr>
      </w:pPr>
    </w:p>
    <w:p w14:paraId="5DDB6866">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1962BB55">
      <w:pPr>
        <w:pStyle w:val="10"/>
        <w:snapToGrid w:val="0"/>
        <w:spacing w:before="50" w:after="50" w:line="400" w:lineRule="exact"/>
        <w:ind w:firstLine="960" w:firstLineChars="400"/>
        <w:rPr>
          <w:rFonts w:hint="eastAsia" w:ascii="宋体" w:hAnsi="宋体" w:cs="宋体"/>
          <w:bCs/>
          <w:color w:val="auto"/>
          <w:sz w:val="24"/>
          <w:szCs w:val="24"/>
          <w:highlight w:val="none"/>
        </w:rPr>
      </w:pPr>
    </w:p>
    <w:p w14:paraId="43931896">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5CD265E3">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633D9070">
      <w:pPr>
        <w:keepNext w:val="0"/>
        <w:keepLines w:val="0"/>
        <w:pageBreakBefore w:val="0"/>
        <w:widowControl w:val="0"/>
        <w:kinsoku/>
        <w:wordWrap/>
        <w:overflowPunct/>
        <w:topLinePunct w:val="0"/>
        <w:autoSpaceDE/>
        <w:autoSpaceDN/>
        <w:bidi w:val="0"/>
        <w:adjustRightInd/>
        <w:snapToGrid w:val="0"/>
        <w:spacing w:before="50" w:after="120" w:afterLines="50" w:line="400" w:lineRule="exact"/>
        <w:jc w:val="left"/>
        <w:textAlignment w:val="auto"/>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3619BCEE">
      <w:pPr>
        <w:snapToGrid w:val="0"/>
        <w:spacing w:before="120" w:beforeLines="50" w:after="50"/>
        <w:rPr>
          <w:rFonts w:hint="eastAsia" w:ascii="宋体" w:hAnsi="宋体" w:cs="宋体"/>
          <w:b/>
          <w:color w:val="auto"/>
          <w:sz w:val="24"/>
          <w:highlight w:val="none"/>
        </w:rPr>
      </w:pPr>
    </w:p>
    <w:p w14:paraId="6587A41D">
      <w:pPr>
        <w:snapToGrid w:val="0"/>
        <w:spacing w:before="120" w:beforeLines="50" w:after="50"/>
        <w:rPr>
          <w:rFonts w:hint="eastAsia" w:ascii="宋体" w:hAnsi="宋体" w:cs="宋体"/>
          <w:b/>
          <w:color w:val="auto"/>
          <w:sz w:val="24"/>
          <w:highlight w:val="none"/>
        </w:rPr>
      </w:pPr>
    </w:p>
    <w:p w14:paraId="590DB7AD">
      <w:pPr>
        <w:snapToGrid w:val="0"/>
        <w:spacing w:before="120" w:beforeLines="50" w:after="50"/>
        <w:rPr>
          <w:rFonts w:hint="eastAsia" w:ascii="宋体" w:hAnsi="宋体" w:cs="宋体"/>
          <w:b/>
          <w:color w:val="auto"/>
          <w:sz w:val="24"/>
          <w:highlight w:val="none"/>
        </w:rPr>
      </w:pPr>
    </w:p>
    <w:p w14:paraId="012AE2EB">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投标函格式：</w:t>
      </w:r>
    </w:p>
    <w:p w14:paraId="1D18C58C">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 标 函</w:t>
      </w:r>
    </w:p>
    <w:p w14:paraId="4F21EF8A">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p>
    <w:p w14:paraId="59F894B1">
      <w:pPr>
        <w:keepNext w:val="0"/>
        <w:keepLines w:val="0"/>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）的招标文件，签字代表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（姓名）经正式授权并代表投标人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（投标人名称）提交投标文件。</w:t>
      </w:r>
    </w:p>
    <w:p w14:paraId="07CECB73">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据此函，我方宣布同意如下：</w:t>
      </w:r>
    </w:p>
    <w:p w14:paraId="35330A9E">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6AC323C8">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2.我方在投标之前已经完全理解并接受招标文件的各项规定和要求，对招标文件的合理性、合法性不再有异议。</w:t>
      </w:r>
    </w:p>
    <w:p w14:paraId="10413EE6">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3.本投标有效期自投标截止之日起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DF7B1ED">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4.如中标，本投标文件至本项目合同履行完毕止均保持有效，我方将按“招标文件”及政府采购法律、法规的规定履行合同责任和义务。</w:t>
      </w:r>
    </w:p>
    <w:p w14:paraId="094C8CF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5.我方同意按照贵方要求提供与投标有关的一切数据或者资料。</w:t>
      </w:r>
    </w:p>
    <w:p w14:paraId="5B2497BF">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6.我方向贵方提交的所有投标文件、资料都是准确的和真实的。</w:t>
      </w:r>
    </w:p>
    <w:p w14:paraId="66CBA18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7EEA0B9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7C62E427">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7F342A05">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1FAC180">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9.与本项目有关的一切正式往来信函请寄：</w:t>
      </w:r>
    </w:p>
    <w:p w14:paraId="4C5BDBA3">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p>
    <w:p w14:paraId="6BBCA894">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p>
    <w:p w14:paraId="44D9BF9B">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305DC2F1">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BDDD89B">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92841A5">
      <w:pPr>
        <w:keepNext w:val="0"/>
        <w:keepLines w:val="0"/>
        <w:pageBreakBefore w:val="0"/>
        <w:widowControl w:val="0"/>
        <w:kinsoku/>
        <w:wordWrap/>
        <w:overflowPunct/>
        <w:topLinePunct w:val="0"/>
        <w:autoSpaceDE/>
        <w:autoSpaceDN/>
        <w:bidi w:val="0"/>
        <w:adjustRightInd/>
        <w:snapToGrid w:val="0"/>
        <w:spacing w:line="400" w:lineRule="exact"/>
        <w:ind w:firstLine="3045" w:firstLineChars="1450"/>
        <w:jc w:val="left"/>
        <w:textAlignment w:val="auto"/>
        <w:rPr>
          <w:rFonts w:hint="eastAsia" w:ascii="宋体" w:hAnsi="宋体" w:cs="宋体"/>
          <w:color w:val="auto"/>
          <w:szCs w:val="21"/>
          <w:highlight w:val="none"/>
        </w:rPr>
      </w:pPr>
    </w:p>
    <w:p w14:paraId="180B6D91">
      <w:pPr>
        <w:keepNext w:val="0"/>
        <w:keepLines w:val="0"/>
        <w:pageBreakBefore w:val="0"/>
        <w:widowControl w:val="0"/>
        <w:kinsoku/>
        <w:wordWrap/>
        <w:overflowPunct/>
        <w:topLinePunct w:val="0"/>
        <w:autoSpaceDE/>
        <w:autoSpaceDN/>
        <w:bidi w:val="0"/>
        <w:adjustRightInd/>
        <w:snapToGrid w:val="0"/>
        <w:spacing w:line="400" w:lineRule="exact"/>
        <w:ind w:firstLine="3045" w:firstLineChars="14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法定代表人或者委托代理人（签字或者电子签名）：</w:t>
      </w:r>
      <w:r>
        <w:rPr>
          <w:rFonts w:hint="eastAsia" w:ascii="宋体" w:hAnsi="宋体" w:cs="宋体"/>
          <w:color w:val="auto"/>
          <w:szCs w:val="21"/>
          <w:highlight w:val="none"/>
          <w:u w:val="single"/>
        </w:rPr>
        <w:t xml:space="preserve">          </w:t>
      </w:r>
    </w:p>
    <w:p w14:paraId="678C6291">
      <w:pPr>
        <w:pStyle w:val="20"/>
        <w:keepNext w:val="0"/>
        <w:keepLines w:val="0"/>
        <w:pageBreakBefore w:val="0"/>
        <w:widowControl w:val="0"/>
        <w:kinsoku/>
        <w:wordWrap/>
        <w:overflowPunct/>
        <w:topLinePunct w:val="0"/>
        <w:autoSpaceDE/>
        <w:autoSpaceDN/>
        <w:bidi w:val="0"/>
        <w:adjustRightInd/>
        <w:snapToGrid w:val="0"/>
        <w:spacing w:before="295" w:after="295" w:line="400" w:lineRule="exact"/>
        <w:jc w:val="center"/>
        <w:textAlignment w:val="auto"/>
        <w:rPr>
          <w:rFonts w:hint="eastAsia" w:hAnsi="宋体" w:cs="宋体"/>
          <w:color w:val="auto"/>
          <w:highlight w:val="none"/>
          <w:u w:val="single"/>
        </w:rPr>
      </w:pPr>
      <w:r>
        <w:rPr>
          <w:rFonts w:hint="eastAsia" w:hAnsi="宋体" w:cs="宋体"/>
          <w:color w:val="auto"/>
          <w:highlight w:val="none"/>
        </w:rPr>
        <w:t xml:space="preserve">                                     投标人名称（电子签章）：</w:t>
      </w:r>
      <w:r>
        <w:rPr>
          <w:rFonts w:hint="eastAsia" w:hAnsi="宋体" w:cs="宋体"/>
          <w:color w:val="auto"/>
          <w:highlight w:val="none"/>
          <w:u w:val="single"/>
        </w:rPr>
        <w:t xml:space="preserve">          </w:t>
      </w:r>
    </w:p>
    <w:p w14:paraId="0719530F">
      <w:pPr>
        <w:pStyle w:val="20"/>
        <w:keepNext w:val="0"/>
        <w:keepLines w:val="0"/>
        <w:pageBreakBefore w:val="0"/>
        <w:widowControl w:val="0"/>
        <w:kinsoku/>
        <w:wordWrap/>
        <w:overflowPunct/>
        <w:topLinePunct w:val="0"/>
        <w:autoSpaceDE/>
        <w:autoSpaceDN/>
        <w:bidi w:val="0"/>
        <w:adjustRightInd/>
        <w:snapToGrid w:val="0"/>
        <w:spacing w:before="295" w:after="295" w:line="400" w:lineRule="exact"/>
        <w:textAlignment w:val="auto"/>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0F76CBBE">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24"/>
          <w:highlight w:val="none"/>
        </w:rPr>
        <w:t>4.开标一览表（服务类格式）</w:t>
      </w:r>
    </w:p>
    <w:p w14:paraId="4785B577">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开标一览表</w:t>
      </w:r>
    </w:p>
    <w:p w14:paraId="222D63C2">
      <w:pPr>
        <w:keepNext w:val="0"/>
        <w:keepLines w:val="0"/>
        <w:pageBreakBefore w:val="0"/>
        <w:wordWrap/>
        <w:overflowPunct/>
        <w:topLinePunct w:val="0"/>
        <w:bidi w:val="0"/>
        <w:snapToGrid w:val="0"/>
        <w:spacing w:before="50" w:after="50"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分标：</w:t>
      </w:r>
      <w:r>
        <w:rPr>
          <w:rFonts w:hint="eastAsia" w:ascii="宋体" w:hAnsi="宋体" w:cs="宋体"/>
          <w:color w:val="auto"/>
          <w:szCs w:val="21"/>
          <w:highlight w:val="none"/>
          <w:u w:val="single"/>
        </w:rPr>
        <w:t xml:space="preserve">           </w:t>
      </w:r>
    </w:p>
    <w:p w14:paraId="49503ABA">
      <w:pPr>
        <w:keepNext w:val="0"/>
        <w:keepLines w:val="0"/>
        <w:pageBreakBefore w:val="0"/>
        <w:wordWrap/>
        <w:overflowPunct/>
        <w:topLinePunct w:val="0"/>
        <w:bidi w:val="0"/>
        <w:snapToGrid w:val="0"/>
        <w:spacing w:before="50" w:after="50"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tbl>
      <w:tblPr>
        <w:tblStyle w:val="39"/>
        <w:tblW w:w="95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657"/>
        <w:gridCol w:w="993"/>
        <w:gridCol w:w="992"/>
        <w:gridCol w:w="2835"/>
        <w:gridCol w:w="1460"/>
      </w:tblGrid>
      <w:tr w14:paraId="0A8A8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6" w:hRule="atLeast"/>
          <w:jc w:val="center"/>
        </w:trPr>
        <w:tc>
          <w:tcPr>
            <w:tcW w:w="638" w:type="dxa"/>
            <w:tcBorders>
              <w:top w:val="single" w:color="000000" w:sz="2" w:space="0"/>
              <w:left w:val="single" w:color="000000" w:sz="2" w:space="0"/>
              <w:bottom w:val="single" w:color="000000" w:sz="2" w:space="0"/>
              <w:right w:val="single" w:color="000000" w:sz="2" w:space="0"/>
            </w:tcBorders>
            <w:noWrap w:val="0"/>
            <w:vAlign w:val="top"/>
          </w:tcPr>
          <w:p w14:paraId="40FB0049">
            <w:pPr>
              <w:pStyle w:val="125"/>
              <w:keepNext w:val="0"/>
              <w:keepLines w:val="0"/>
              <w:pageBreakBefore w:val="0"/>
              <w:wordWrap/>
              <w:overflowPunct/>
              <w:topLinePunct w:val="0"/>
              <w:bidi w:val="0"/>
              <w:snapToGrid w:val="0"/>
              <w:spacing w:before="210" w:line="400" w:lineRule="exact"/>
              <w:jc w:val="center"/>
              <w:rPr>
                <w:rFonts w:hint="eastAsia"/>
                <w:color w:val="auto"/>
                <w:highlight w:val="none"/>
              </w:rPr>
            </w:pPr>
            <w:r>
              <w:rPr>
                <w:rFonts w:hint="eastAsia"/>
                <w:color w:val="auto"/>
                <w:spacing w:val="1"/>
                <w:highlight w:val="none"/>
              </w:rPr>
              <w:t>序号</w:t>
            </w:r>
          </w:p>
        </w:tc>
        <w:tc>
          <w:tcPr>
            <w:tcW w:w="2657" w:type="dxa"/>
            <w:tcBorders>
              <w:top w:val="single" w:color="000000" w:sz="2" w:space="0"/>
              <w:left w:val="single" w:color="000000" w:sz="2" w:space="0"/>
              <w:bottom w:val="single" w:color="000000" w:sz="2" w:space="0"/>
              <w:right w:val="single" w:color="000000" w:sz="2" w:space="0"/>
            </w:tcBorders>
            <w:noWrap w:val="0"/>
            <w:vAlign w:val="top"/>
          </w:tcPr>
          <w:p w14:paraId="2975C104">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标的名称</w:t>
            </w:r>
          </w:p>
        </w:tc>
        <w:tc>
          <w:tcPr>
            <w:tcW w:w="993" w:type="dxa"/>
            <w:tcBorders>
              <w:top w:val="single" w:color="000000" w:sz="2" w:space="0"/>
              <w:left w:val="single" w:color="000000" w:sz="2" w:space="0"/>
              <w:bottom w:val="single" w:color="000000" w:sz="2" w:space="0"/>
              <w:right w:val="single" w:color="000000" w:sz="2" w:space="0"/>
            </w:tcBorders>
            <w:noWrap w:val="0"/>
            <w:vAlign w:val="top"/>
          </w:tcPr>
          <w:p w14:paraId="26673AD8">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数量</w:t>
            </w:r>
          </w:p>
        </w:tc>
        <w:tc>
          <w:tcPr>
            <w:tcW w:w="992" w:type="dxa"/>
            <w:tcBorders>
              <w:top w:val="single" w:color="000000" w:sz="2" w:space="0"/>
              <w:left w:val="single" w:color="000000" w:sz="2" w:space="0"/>
              <w:bottom w:val="single" w:color="000000" w:sz="2" w:space="0"/>
              <w:right w:val="single" w:color="000000" w:sz="2" w:space="0"/>
            </w:tcBorders>
            <w:noWrap w:val="0"/>
            <w:vAlign w:val="top"/>
          </w:tcPr>
          <w:p w14:paraId="676DDE3C">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单位</w:t>
            </w:r>
          </w:p>
        </w:tc>
        <w:tc>
          <w:tcPr>
            <w:tcW w:w="2835" w:type="dxa"/>
            <w:tcBorders>
              <w:top w:val="single" w:color="000000" w:sz="2" w:space="0"/>
              <w:left w:val="single" w:color="000000" w:sz="2" w:space="0"/>
              <w:bottom w:val="single" w:color="000000" w:sz="2" w:space="0"/>
              <w:right w:val="single" w:color="000000" w:sz="2" w:space="0"/>
            </w:tcBorders>
            <w:noWrap w:val="0"/>
            <w:vAlign w:val="top"/>
          </w:tcPr>
          <w:p w14:paraId="3FE8FF27">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z w:val="24"/>
                <w:highlight w:val="none"/>
              </w:rPr>
              <w:t>投标总报价（元）</w:t>
            </w:r>
            <w:r>
              <w:rPr>
                <w:rFonts w:hint="eastAsia"/>
                <w:color w:val="auto"/>
                <w:spacing w:val="1"/>
                <w:highlight w:val="none"/>
              </w:rPr>
              <w:t xml:space="preserve"> </w:t>
            </w:r>
          </w:p>
        </w:tc>
        <w:tc>
          <w:tcPr>
            <w:tcW w:w="1460" w:type="dxa"/>
            <w:tcBorders>
              <w:top w:val="single" w:color="000000" w:sz="2" w:space="0"/>
              <w:left w:val="single" w:color="000000" w:sz="2" w:space="0"/>
              <w:bottom w:val="single" w:color="000000" w:sz="2" w:space="0"/>
              <w:right w:val="single" w:color="000000" w:sz="2" w:space="0"/>
            </w:tcBorders>
            <w:noWrap w:val="0"/>
            <w:vAlign w:val="top"/>
          </w:tcPr>
          <w:p w14:paraId="073008F1">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备注</w:t>
            </w:r>
          </w:p>
        </w:tc>
      </w:tr>
      <w:tr w14:paraId="3B95D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51" w:hRule="atLeast"/>
          <w:jc w:val="center"/>
        </w:trPr>
        <w:tc>
          <w:tcPr>
            <w:tcW w:w="638" w:type="dxa"/>
            <w:tcBorders>
              <w:top w:val="single" w:color="000000" w:sz="2" w:space="0"/>
              <w:left w:val="single" w:color="000000" w:sz="2" w:space="0"/>
              <w:bottom w:val="single" w:color="000000" w:sz="2" w:space="0"/>
              <w:right w:val="single" w:color="000000" w:sz="2" w:space="0"/>
            </w:tcBorders>
            <w:noWrap w:val="0"/>
            <w:vAlign w:val="center"/>
          </w:tcPr>
          <w:p w14:paraId="7B369F24">
            <w:pPr>
              <w:keepNext w:val="0"/>
              <w:keepLines w:val="0"/>
              <w:pageBreakBefore w:val="0"/>
              <w:kinsoku w:val="0"/>
              <w:wordWrap/>
              <w:overflowPunct/>
              <w:topLinePunct w:val="0"/>
              <w:autoSpaceDE w:val="0"/>
              <w:autoSpaceDN w:val="0"/>
              <w:bidi w:val="0"/>
              <w:adjustRightInd w:val="0"/>
              <w:snapToGrid w:val="0"/>
              <w:spacing w:before="60" w:line="400" w:lineRule="exact"/>
              <w:ind w:left="288"/>
              <w:textAlignment w:val="baseline"/>
              <w:rPr>
                <w:rFonts w:hint="eastAsia" w:ascii="宋体" w:hAnsi="宋体" w:cs="宋体"/>
                <w:color w:val="auto"/>
                <w:szCs w:val="21"/>
                <w:highlight w:val="none"/>
              </w:rPr>
            </w:pPr>
          </w:p>
        </w:tc>
        <w:tc>
          <w:tcPr>
            <w:tcW w:w="2657" w:type="dxa"/>
            <w:tcBorders>
              <w:top w:val="single" w:color="000000" w:sz="2" w:space="0"/>
              <w:left w:val="single" w:color="000000" w:sz="2" w:space="0"/>
              <w:bottom w:val="single" w:color="000000" w:sz="2" w:space="0"/>
              <w:right w:val="single" w:color="000000" w:sz="2" w:space="0"/>
            </w:tcBorders>
            <w:noWrap w:val="0"/>
            <w:vAlign w:val="center"/>
          </w:tcPr>
          <w:p w14:paraId="0868D79C">
            <w:pPr>
              <w:pStyle w:val="125"/>
              <w:keepNext w:val="0"/>
              <w:keepLines w:val="0"/>
              <w:pageBreakBefore w:val="0"/>
              <w:wordWrap/>
              <w:overflowPunct/>
              <w:topLinePunct w:val="0"/>
              <w:bidi w:val="0"/>
              <w:snapToGrid w:val="0"/>
              <w:spacing w:before="107" w:line="400" w:lineRule="exact"/>
              <w:ind w:left="205" w:right="195"/>
              <w:jc w:val="center"/>
              <w:rPr>
                <w:rFonts w:hint="eastAsia"/>
                <w:color w:val="auto"/>
                <w:highlight w:val="none"/>
              </w:rPr>
            </w:pPr>
          </w:p>
        </w:tc>
        <w:tc>
          <w:tcPr>
            <w:tcW w:w="993" w:type="dxa"/>
            <w:tcBorders>
              <w:top w:val="single" w:color="000000" w:sz="2" w:space="0"/>
              <w:left w:val="single" w:color="000000" w:sz="2" w:space="0"/>
              <w:bottom w:val="single" w:color="000000" w:sz="2" w:space="0"/>
              <w:right w:val="single" w:color="000000" w:sz="2" w:space="0"/>
            </w:tcBorders>
            <w:noWrap w:val="0"/>
            <w:vAlign w:val="center"/>
          </w:tcPr>
          <w:p w14:paraId="18E2C663">
            <w:pPr>
              <w:keepNext w:val="0"/>
              <w:keepLines w:val="0"/>
              <w:pageBreakBefore w:val="0"/>
              <w:kinsoku w:val="0"/>
              <w:wordWrap/>
              <w:overflowPunct/>
              <w:topLinePunct w:val="0"/>
              <w:autoSpaceDE w:val="0"/>
              <w:autoSpaceDN w:val="0"/>
              <w:bidi w:val="0"/>
              <w:adjustRightInd w:val="0"/>
              <w:snapToGrid w:val="0"/>
              <w:spacing w:before="60" w:line="400" w:lineRule="exact"/>
              <w:ind w:left="452"/>
              <w:textAlignment w:val="baseline"/>
              <w:rPr>
                <w:rFonts w:hint="eastAsia" w:ascii="宋体" w:hAnsi="宋体" w:cs="宋体"/>
                <w:color w:val="auto"/>
                <w:szCs w:val="21"/>
                <w:highlight w:val="none"/>
              </w:rPr>
            </w:pPr>
          </w:p>
        </w:tc>
        <w:tc>
          <w:tcPr>
            <w:tcW w:w="992" w:type="dxa"/>
            <w:tcBorders>
              <w:top w:val="single" w:color="000000" w:sz="2" w:space="0"/>
              <w:left w:val="single" w:color="000000" w:sz="2" w:space="0"/>
              <w:bottom w:val="single" w:color="000000" w:sz="2" w:space="0"/>
              <w:right w:val="single" w:color="000000" w:sz="2" w:space="0"/>
            </w:tcBorders>
            <w:noWrap w:val="0"/>
            <w:vAlign w:val="center"/>
          </w:tcPr>
          <w:p w14:paraId="12CEEA7C">
            <w:pPr>
              <w:pStyle w:val="125"/>
              <w:keepNext w:val="0"/>
              <w:keepLines w:val="0"/>
              <w:pageBreakBefore w:val="0"/>
              <w:wordWrap/>
              <w:overflowPunct/>
              <w:topLinePunct w:val="0"/>
              <w:bidi w:val="0"/>
              <w:snapToGrid w:val="0"/>
              <w:spacing w:before="68" w:line="400" w:lineRule="exact"/>
              <w:jc w:val="center"/>
              <w:rPr>
                <w:rFonts w:hint="eastAsia"/>
                <w:color w:val="auto"/>
                <w:highlight w:val="none"/>
              </w:rPr>
            </w:pPr>
          </w:p>
        </w:tc>
        <w:tc>
          <w:tcPr>
            <w:tcW w:w="2835" w:type="dxa"/>
            <w:tcBorders>
              <w:top w:val="single" w:color="000000" w:sz="2" w:space="0"/>
              <w:left w:val="single" w:color="000000" w:sz="2" w:space="0"/>
              <w:bottom w:val="single" w:color="000000" w:sz="2" w:space="0"/>
              <w:right w:val="single" w:color="000000" w:sz="2" w:space="0"/>
            </w:tcBorders>
            <w:noWrap w:val="0"/>
            <w:vAlign w:val="center"/>
          </w:tcPr>
          <w:p w14:paraId="042DAB21">
            <w:pPr>
              <w:keepNext w:val="0"/>
              <w:keepLines w:val="0"/>
              <w:pageBreakBefore w:val="0"/>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cs="宋体"/>
                <w:color w:val="auto"/>
                <w:szCs w:val="21"/>
                <w:highlight w:val="none"/>
              </w:rPr>
            </w:pPr>
          </w:p>
        </w:tc>
        <w:tc>
          <w:tcPr>
            <w:tcW w:w="1460" w:type="dxa"/>
            <w:tcBorders>
              <w:top w:val="single" w:color="000000" w:sz="2" w:space="0"/>
              <w:left w:val="single" w:color="000000" w:sz="2" w:space="0"/>
              <w:bottom w:val="single" w:color="000000" w:sz="2" w:space="0"/>
              <w:right w:val="single" w:color="000000" w:sz="2" w:space="0"/>
            </w:tcBorders>
            <w:noWrap w:val="0"/>
            <w:vAlign w:val="center"/>
          </w:tcPr>
          <w:p w14:paraId="060FE573">
            <w:pPr>
              <w:keepNext w:val="0"/>
              <w:keepLines w:val="0"/>
              <w:pageBreakBefore w:val="0"/>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cs="宋体"/>
                <w:color w:val="auto"/>
                <w:szCs w:val="21"/>
                <w:highlight w:val="none"/>
              </w:rPr>
            </w:pPr>
          </w:p>
        </w:tc>
      </w:tr>
      <w:tr w14:paraId="7672B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5" w:hRule="atLeast"/>
          <w:jc w:val="center"/>
        </w:trPr>
        <w:tc>
          <w:tcPr>
            <w:tcW w:w="9575" w:type="dxa"/>
            <w:gridSpan w:val="6"/>
            <w:tcBorders>
              <w:top w:val="single" w:color="000000" w:sz="2" w:space="0"/>
              <w:left w:val="single" w:color="000000" w:sz="2" w:space="0"/>
              <w:right w:val="single" w:color="000000" w:sz="2" w:space="0"/>
            </w:tcBorders>
            <w:noWrap w:val="0"/>
            <w:vAlign w:val="top"/>
          </w:tcPr>
          <w:p w14:paraId="7F3D6CD0">
            <w:pPr>
              <w:keepNext w:val="0"/>
              <w:keepLines w:val="0"/>
              <w:pageBreakBefore w:val="0"/>
              <w:wordWrap/>
              <w:overflowPunct/>
              <w:topLinePunct w:val="0"/>
              <w:bidi w:val="0"/>
              <w:snapToGrid w:val="0"/>
              <w:spacing w:before="50" w:after="50" w:line="400" w:lineRule="exact"/>
              <w:ind w:firstLine="601" w:firstLineChars="250"/>
              <w:rPr>
                <w:rFonts w:hint="eastAsia" w:ascii="宋体" w:hAnsi="宋体" w:cs="宋体"/>
                <w:b/>
                <w:bCs/>
                <w:color w:val="auto"/>
                <w:sz w:val="24"/>
                <w:highlight w:val="none"/>
              </w:rPr>
            </w:pPr>
            <w:r>
              <w:rPr>
                <w:rFonts w:hint="eastAsia" w:ascii="宋体" w:hAnsi="宋体" w:cs="宋体"/>
                <w:b/>
                <w:color w:val="auto"/>
                <w:sz w:val="24"/>
                <w:highlight w:val="none"/>
              </w:rPr>
              <w:t>投标总报价：</w:t>
            </w:r>
            <w:r>
              <w:rPr>
                <w:rFonts w:hint="eastAsia" w:ascii="宋体" w:hAnsi="宋体" w:cs="宋体"/>
                <w:b/>
                <w:bCs/>
                <w:color w:val="auto"/>
                <w:sz w:val="24"/>
                <w:highlight w:val="none"/>
              </w:rPr>
              <w:t xml:space="preserve">（大写）人民币 </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w:t>
            </w:r>
          </w:p>
          <w:p w14:paraId="18AD43E8">
            <w:pPr>
              <w:pStyle w:val="125"/>
              <w:keepNext w:val="0"/>
              <w:keepLines w:val="0"/>
              <w:pageBreakBefore w:val="0"/>
              <w:wordWrap/>
              <w:overflowPunct/>
              <w:topLinePunct w:val="0"/>
              <w:bidi w:val="0"/>
              <w:snapToGrid w:val="0"/>
              <w:spacing w:before="161" w:line="400" w:lineRule="exact"/>
              <w:ind w:left="117" w:firstLine="480" w:firstLineChars="200"/>
              <w:jc w:val="both"/>
              <w:rPr>
                <w:rFonts w:hint="eastAsia"/>
                <w:color w:val="auto"/>
                <w:highlight w:val="none"/>
              </w:rPr>
            </w:pPr>
            <w:r>
              <w:rPr>
                <w:rFonts w:hint="eastAsia"/>
                <w:b/>
                <w:color w:val="auto"/>
                <w:sz w:val="24"/>
                <w:szCs w:val="24"/>
                <w:highlight w:val="none"/>
              </w:rPr>
              <w:t>服务期限：</w:t>
            </w:r>
            <w:r>
              <w:rPr>
                <w:rFonts w:hint="eastAsia"/>
                <w:b/>
                <w:color w:val="auto"/>
                <w:sz w:val="24"/>
                <w:szCs w:val="24"/>
                <w:highlight w:val="none"/>
                <w:u w:val="single"/>
              </w:rPr>
              <w:t xml:space="preserve">                            </w:t>
            </w:r>
          </w:p>
        </w:tc>
      </w:tr>
    </w:tbl>
    <w:p w14:paraId="309E96AE">
      <w:pPr>
        <w:keepNext w:val="0"/>
        <w:keepLines w:val="0"/>
        <w:pageBreakBefore w:val="0"/>
        <w:wordWrap/>
        <w:overflowPunct/>
        <w:topLinePunct w:val="0"/>
        <w:bidi w:val="0"/>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注： </w:t>
      </w:r>
    </w:p>
    <w:p w14:paraId="22F3D958">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1.投标人的开标一览表必须加盖投标人电子签章并由法定代表人或者委托代理人签字或者电子签名，</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406473FD">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报价一经涂改，应在涂改处加盖投标人公章或者加盖电子签章或者由法定代表人或者委托代理人签字（或者电子签名）</w:t>
      </w:r>
      <w:r>
        <w:rPr>
          <w:rFonts w:hint="eastAsia" w:ascii="宋体" w:hAnsi="宋体" w:cs="宋体"/>
          <w:b/>
          <w:color w:val="auto"/>
          <w:szCs w:val="21"/>
          <w:highlight w:val="none"/>
        </w:rPr>
        <w:t>，否则其投标作无效标处理。</w:t>
      </w:r>
    </w:p>
    <w:p w14:paraId="531D999F">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3.如为联合体投标，“投标人名称”处必须列明联合体各方名称，并标注联合体牵头人名称，</w:t>
      </w:r>
      <w:r>
        <w:rPr>
          <w:rFonts w:hint="eastAsia" w:ascii="宋体" w:hAnsi="宋体" w:cs="宋体"/>
          <w:b/>
          <w:color w:val="auto"/>
          <w:szCs w:val="21"/>
          <w:highlight w:val="none"/>
        </w:rPr>
        <w:t>否则其投标作无效标处理。</w:t>
      </w:r>
    </w:p>
    <w:p w14:paraId="55B21D46">
      <w:pPr>
        <w:keepNext w:val="0"/>
        <w:keepLines w:val="0"/>
        <w:pageBreakBefore w:val="0"/>
        <w:wordWrap/>
        <w:overflowPunct/>
        <w:topLinePunct w:val="0"/>
        <w:bidi w:val="0"/>
        <w:snapToGrid w:val="0"/>
        <w:spacing w:line="400" w:lineRule="exact"/>
        <w:ind w:firstLine="396" w:firstLineChars="200"/>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4.如为联合体投标，盖章处须加盖联合体牵头人电子签章，</w:t>
      </w:r>
      <w:r>
        <w:rPr>
          <w:rFonts w:hint="eastAsia" w:ascii="宋体" w:hAnsi="宋体" w:cs="宋体"/>
          <w:b/>
          <w:color w:val="auto"/>
          <w:spacing w:val="-6"/>
          <w:szCs w:val="21"/>
          <w:highlight w:val="none"/>
        </w:rPr>
        <w:t>否则其投标作无效标处理。</w:t>
      </w:r>
    </w:p>
    <w:p w14:paraId="0949BB71">
      <w:pPr>
        <w:keepNext w:val="0"/>
        <w:keepLines w:val="0"/>
        <w:pageBreakBefore w:val="0"/>
        <w:wordWrap/>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5.如有多分标，按分标分别提供开标一览表，</w:t>
      </w:r>
      <w:r>
        <w:rPr>
          <w:rFonts w:hint="eastAsia" w:ascii="宋体" w:hAnsi="宋体" w:cs="宋体"/>
          <w:b/>
          <w:color w:val="auto"/>
          <w:szCs w:val="21"/>
          <w:highlight w:val="none"/>
        </w:rPr>
        <w:t>否则投标无效。</w:t>
      </w:r>
    </w:p>
    <w:p w14:paraId="54311296">
      <w:pPr>
        <w:keepNext w:val="0"/>
        <w:keepLines w:val="0"/>
        <w:pageBreakBefore w:val="0"/>
        <w:wordWrap/>
        <w:overflowPunct/>
        <w:topLinePunct w:val="0"/>
        <w:bidi w:val="0"/>
        <w:snapToGrid w:val="0"/>
        <w:spacing w:line="400" w:lineRule="exact"/>
        <w:ind w:left="-2" w:leftChars="-1" w:right="-817" w:rightChars="-389"/>
        <w:rPr>
          <w:rFonts w:hint="eastAsia" w:ascii="宋体" w:hAnsi="宋体" w:cs="宋体"/>
          <w:color w:val="auto"/>
          <w:szCs w:val="21"/>
          <w:highlight w:val="none"/>
        </w:rPr>
      </w:pPr>
    </w:p>
    <w:p w14:paraId="5433BBC9">
      <w:pPr>
        <w:keepNext w:val="0"/>
        <w:keepLines w:val="0"/>
        <w:pageBreakBefore w:val="0"/>
        <w:wordWrap/>
        <w:overflowPunct/>
        <w:topLinePunct w:val="0"/>
        <w:bidi w:val="0"/>
        <w:snapToGrid w:val="0"/>
        <w:spacing w:line="400" w:lineRule="exact"/>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法定代表人或者委托代理人（签字或者电子签名）： </w:t>
      </w:r>
    </w:p>
    <w:p w14:paraId="44F7EA91">
      <w:pPr>
        <w:keepNext w:val="0"/>
        <w:keepLines w:val="0"/>
        <w:pageBreakBefore w:val="0"/>
        <w:wordWrap/>
        <w:overflowPunct/>
        <w:topLinePunct w:val="0"/>
        <w:bidi w:val="0"/>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7BC9422">
      <w:pPr>
        <w:keepNext w:val="0"/>
        <w:keepLines w:val="0"/>
        <w:pageBreakBefore w:val="0"/>
        <w:wordWrap/>
        <w:overflowPunct/>
        <w:topLinePunct w:val="0"/>
        <w:bidi w:val="0"/>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CE0B1F9">
      <w:pPr>
        <w:rPr>
          <w:rFonts w:hint="eastAsia" w:ascii="宋体" w:hAnsi="宋体" w:cs="宋体"/>
          <w:color w:val="auto"/>
          <w:highlight w:val="none"/>
        </w:rPr>
      </w:pPr>
      <w:r>
        <w:rPr>
          <w:rFonts w:hint="eastAsia" w:ascii="宋体" w:hAnsi="宋体" w:cs="宋体"/>
          <w:b/>
          <w:bCs/>
          <w:color w:val="auto"/>
          <w:sz w:val="24"/>
          <w:highlight w:val="none"/>
        </w:rPr>
        <w:br w:type="page"/>
      </w:r>
      <w:bookmarkStart w:id="259" w:name="_Toc19686837"/>
      <w:r>
        <w:rPr>
          <w:rFonts w:hint="eastAsia" w:ascii="宋体" w:hAnsi="宋体" w:cs="宋体"/>
          <w:b/>
          <w:color w:val="auto"/>
          <w:sz w:val="24"/>
          <w:highlight w:val="none"/>
        </w:rPr>
        <w:t>3.中小企业声明函格式</w:t>
      </w:r>
    </w:p>
    <w:p w14:paraId="33A5ED70">
      <w:pPr>
        <w:rPr>
          <w:rFonts w:hint="eastAsia" w:ascii="宋体" w:hAnsi="宋体" w:cs="宋体"/>
          <w:color w:val="auto"/>
          <w:highlight w:val="none"/>
        </w:rPr>
      </w:pPr>
    </w:p>
    <w:p w14:paraId="0C6F697D">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中小企业声明函（服务）</w:t>
      </w:r>
    </w:p>
    <w:p w14:paraId="6E349563">
      <w:pPr>
        <w:spacing w:before="2" w:line="500" w:lineRule="exact"/>
        <w:rPr>
          <w:rFonts w:hint="eastAsia" w:ascii="宋体" w:hAnsi="宋体" w:cs="宋体"/>
          <w:b/>
          <w:bCs/>
          <w:color w:val="auto"/>
          <w:szCs w:val="21"/>
          <w:highlight w:val="none"/>
        </w:rPr>
      </w:pPr>
    </w:p>
    <w:p w14:paraId="54B92466">
      <w:pPr>
        <w:pStyle w:val="2"/>
        <w:keepNext w:val="0"/>
        <w:keepLines w:val="0"/>
        <w:pageBreakBefore w:val="0"/>
        <w:widowControl w:val="0"/>
        <w:kinsoku/>
        <w:wordWrap/>
        <w:overflowPunct/>
        <w:topLinePunct w:val="0"/>
        <w:autoSpaceDE/>
        <w:autoSpaceDN/>
        <w:bidi w:val="0"/>
        <w:adjustRightInd/>
        <w:snapToGrid/>
        <w:spacing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14:paraId="3F87A083">
      <w:pPr>
        <w:keepNext w:val="0"/>
        <w:keepLines w:val="0"/>
        <w:pageBreakBefore w:val="0"/>
        <w:widowControl w:val="0"/>
        <w:tabs>
          <w:tab w:val="left" w:pos="1384"/>
          <w:tab w:val="left" w:pos="4562"/>
          <w:tab w:val="left" w:pos="6803"/>
        </w:tabs>
        <w:kinsoku/>
        <w:wordWrap/>
        <w:overflowPunct/>
        <w:topLinePunct w:val="0"/>
        <w:autoSpaceDE/>
        <w:autoSpaceDN/>
        <w:bidi w:val="0"/>
        <w:adjustRightInd/>
        <w:snapToGrid/>
        <w:spacing w:before="13" w:line="400" w:lineRule="exact"/>
        <w:ind w:right="142" w:firstLine="600" w:firstLineChars="286"/>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01BDA9B7">
      <w:pPr>
        <w:pStyle w:val="2"/>
        <w:keepNext w:val="0"/>
        <w:keepLines w:val="0"/>
        <w:pageBreakBefore w:val="0"/>
        <w:widowControl w:val="0"/>
        <w:kinsoku/>
        <w:wordWrap/>
        <w:overflowPunct/>
        <w:topLinePunct w:val="0"/>
        <w:autoSpaceDE/>
        <w:autoSpaceDN/>
        <w:bidi w:val="0"/>
        <w:adjustRightInd/>
        <w:snapToGrid/>
        <w:spacing w:before="34" w:line="400" w:lineRule="exact"/>
        <w:ind w:left="765" w:right="142" w:hanging="5"/>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21CB364">
      <w:pPr>
        <w:pStyle w:val="2"/>
        <w:keepNext w:val="0"/>
        <w:keepLines w:val="0"/>
        <w:pageBreakBefore w:val="0"/>
        <w:widowControl w:val="0"/>
        <w:kinsoku/>
        <w:wordWrap/>
        <w:overflowPunct/>
        <w:topLinePunct w:val="0"/>
        <w:autoSpaceDE/>
        <w:autoSpaceDN/>
        <w:bidi w:val="0"/>
        <w:adjustRightInd/>
        <w:snapToGrid/>
        <w:spacing w:before="34"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62F4CB24">
      <w:pPr>
        <w:pStyle w:val="2"/>
        <w:keepNext w:val="0"/>
        <w:keepLines w:val="0"/>
        <w:pageBreakBefore w:val="0"/>
        <w:widowControl w:val="0"/>
        <w:kinsoku/>
        <w:wordWrap/>
        <w:overflowPunct/>
        <w:topLinePunct w:val="0"/>
        <w:autoSpaceDE/>
        <w:autoSpaceDN/>
        <w:bidi w:val="0"/>
        <w:adjustRightInd/>
        <w:snapToGrid/>
        <w:spacing w:before="34"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3A7AA23B">
      <w:pPr>
        <w:pStyle w:val="2"/>
        <w:keepNext w:val="0"/>
        <w:keepLines w:val="0"/>
        <w:pageBreakBefore w:val="0"/>
        <w:widowControl w:val="0"/>
        <w:kinsoku/>
        <w:wordWrap/>
        <w:overflowPunct/>
        <w:topLinePunct w:val="0"/>
        <w:autoSpaceDE/>
        <w:autoSpaceDN/>
        <w:bidi w:val="0"/>
        <w:adjustRightInd/>
        <w:snapToGrid/>
        <w:spacing w:before="56" w:line="400" w:lineRule="exact"/>
        <w:ind w:left="3960" w:right="1808"/>
        <w:textAlignment w:val="auto"/>
        <w:rPr>
          <w:rFonts w:hint="eastAsia" w:ascii="宋体" w:hAnsi="宋体" w:cs="宋体"/>
          <w:color w:val="auto"/>
          <w:szCs w:val="21"/>
          <w:highlight w:val="none"/>
        </w:rPr>
      </w:pPr>
      <w:r>
        <w:rPr>
          <w:rFonts w:hint="eastAsia" w:ascii="宋体" w:hAnsi="宋体" w:cs="宋体"/>
          <w:color w:val="auto"/>
          <w:kern w:val="24"/>
          <w:szCs w:val="21"/>
          <w:highlight w:val="none"/>
        </w:rPr>
        <w:t>企业名称（电子签章）：</w:t>
      </w:r>
      <w:r>
        <w:rPr>
          <w:rFonts w:hint="eastAsia" w:ascii="宋体" w:hAnsi="宋体" w:cs="宋体"/>
          <w:color w:val="auto"/>
          <w:szCs w:val="21"/>
          <w:highlight w:val="none"/>
        </w:rPr>
        <w:t xml:space="preserve"> </w:t>
      </w:r>
    </w:p>
    <w:p w14:paraId="09EC9B14">
      <w:pPr>
        <w:pStyle w:val="2"/>
        <w:keepNext w:val="0"/>
        <w:keepLines w:val="0"/>
        <w:pageBreakBefore w:val="0"/>
        <w:widowControl w:val="0"/>
        <w:kinsoku/>
        <w:wordWrap/>
        <w:overflowPunct/>
        <w:topLinePunct w:val="0"/>
        <w:autoSpaceDE/>
        <w:autoSpaceDN/>
        <w:bidi w:val="0"/>
        <w:adjustRightInd/>
        <w:snapToGrid/>
        <w:spacing w:before="56" w:line="400" w:lineRule="exact"/>
        <w:ind w:left="3960" w:right="1808"/>
        <w:textAlignment w:val="auto"/>
        <w:rPr>
          <w:rFonts w:hint="eastAsia" w:ascii="宋体" w:hAnsi="宋体" w:cs="宋体"/>
          <w:color w:val="auto"/>
          <w:szCs w:val="21"/>
          <w:highlight w:val="none"/>
        </w:rPr>
      </w:pPr>
      <w:r>
        <w:rPr>
          <w:rFonts w:hint="eastAsia" w:ascii="宋体" w:hAnsi="宋体" w:cs="宋体"/>
          <w:color w:val="auto"/>
          <w:szCs w:val="21"/>
          <w:highlight w:val="none"/>
        </w:rPr>
        <w:t>日 期：</w:t>
      </w:r>
    </w:p>
    <w:p w14:paraId="56DBA0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r>
        <w:rPr>
          <w:rFonts w:hint="eastAsia" w:ascii="宋体" w:hAnsi="宋体" w:cs="宋体"/>
          <w:color w:val="auto"/>
          <w:spacing w:val="6"/>
          <w:szCs w:val="21"/>
          <w:highlight w:val="none"/>
        </w:rPr>
        <w:t xml:space="preserve"> </w:t>
      </w:r>
    </w:p>
    <w:p w14:paraId="464F97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color w:val="auto"/>
          <w:sz w:val="24"/>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hint="eastAsia" w:ascii="宋体" w:hAnsi="宋体" w:cs="宋体"/>
          <w:color w:val="auto"/>
          <w:highlight w:val="none"/>
        </w:rPr>
        <w:br w:type="page"/>
      </w:r>
      <w:r>
        <w:rPr>
          <w:rFonts w:hint="eastAsia" w:ascii="宋体" w:hAnsi="宋体" w:cs="宋体"/>
          <w:color w:val="auto"/>
          <w:highlight w:val="none"/>
        </w:rPr>
        <w:t>4</w:t>
      </w:r>
      <w:r>
        <w:rPr>
          <w:rFonts w:hint="eastAsia" w:ascii="宋体" w:hAnsi="宋体" w:cs="宋体"/>
          <w:b/>
          <w:color w:val="auto"/>
          <w:sz w:val="24"/>
          <w:highlight w:val="none"/>
        </w:rPr>
        <w:t>.残疾人福利性单位声明函格式</w:t>
      </w:r>
    </w:p>
    <w:p w14:paraId="60114535">
      <w:pPr>
        <w:spacing w:line="588" w:lineRule="exact"/>
        <w:jc w:val="center"/>
        <w:rPr>
          <w:rFonts w:hint="eastAsia" w:ascii="宋体" w:hAnsi="宋体" w:cs="宋体"/>
          <w:b/>
          <w:color w:val="auto"/>
          <w:spacing w:val="6"/>
          <w:sz w:val="32"/>
          <w:szCs w:val="32"/>
          <w:highlight w:val="none"/>
        </w:rPr>
      </w:pPr>
    </w:p>
    <w:p w14:paraId="4B0B162E">
      <w:pPr>
        <w:spacing w:line="588" w:lineRule="exact"/>
        <w:jc w:val="center"/>
        <w:rPr>
          <w:rFonts w:hint="eastAsia" w:ascii="宋体" w:hAnsi="宋体" w:cs="宋体"/>
          <w:b/>
          <w:bCs/>
          <w:color w:val="auto"/>
          <w:spacing w:val="6"/>
          <w:sz w:val="30"/>
          <w:szCs w:val="30"/>
          <w:highlight w:val="none"/>
        </w:rPr>
      </w:pPr>
      <w:r>
        <w:rPr>
          <w:rFonts w:hint="eastAsia" w:ascii="宋体" w:hAnsi="宋体" w:cs="宋体"/>
          <w:b/>
          <w:bCs/>
          <w:color w:val="auto"/>
          <w:spacing w:val="6"/>
          <w:sz w:val="30"/>
          <w:szCs w:val="30"/>
          <w:highlight w:val="none"/>
        </w:rPr>
        <w:t>残疾人福利性单位声明函</w:t>
      </w:r>
    </w:p>
    <w:p w14:paraId="019EB9D1">
      <w:pPr>
        <w:spacing w:line="588" w:lineRule="exact"/>
        <w:rPr>
          <w:rFonts w:hint="eastAsia" w:ascii="宋体" w:hAnsi="宋体" w:cs="宋体"/>
          <w:b/>
          <w:color w:val="auto"/>
          <w:spacing w:val="6"/>
          <w:sz w:val="30"/>
          <w:szCs w:val="30"/>
          <w:highlight w:val="none"/>
        </w:rPr>
      </w:pPr>
    </w:p>
    <w:p w14:paraId="57D3CA52">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 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Cs w:val="21"/>
          <w:highlight w:val="none"/>
        </w:rPr>
        <w:t>疾人福利性单位制造的货物（不包括使用非残疾人福利性单位注册商标的货物）。</w:t>
      </w:r>
    </w:p>
    <w:p w14:paraId="7B07B277">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3F980F4F">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p>
    <w:p w14:paraId="03099BF6">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p>
    <w:p w14:paraId="536BFE2A">
      <w:pPr>
        <w:keepNext w:val="0"/>
        <w:keepLines w:val="0"/>
        <w:pageBreakBefore w:val="0"/>
        <w:widowControl w:val="0"/>
        <w:tabs>
          <w:tab w:val="left" w:pos="4860"/>
        </w:tabs>
        <w:kinsoku/>
        <w:wordWrap/>
        <w:overflowPunct/>
        <w:topLinePunct w:val="0"/>
        <w:autoSpaceDE/>
        <w:autoSpaceDN/>
        <w:bidi w:val="0"/>
        <w:adjustRightInd/>
        <w:snapToGrid/>
        <w:spacing w:line="400" w:lineRule="exact"/>
        <w:ind w:right="1560" w:firstLine="444" w:firstLineChars="200"/>
        <w:contextualSpacing/>
        <w:jc w:val="center"/>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单位名称（电子签章）：</w:t>
      </w:r>
    </w:p>
    <w:p w14:paraId="385D7120">
      <w:pPr>
        <w:keepNext w:val="0"/>
        <w:keepLines w:val="0"/>
        <w:pageBreakBefore w:val="0"/>
        <w:widowControl w:val="0"/>
        <w:tabs>
          <w:tab w:val="left" w:pos="4860"/>
        </w:tabs>
        <w:kinsoku/>
        <w:wordWrap/>
        <w:overflowPunct/>
        <w:topLinePunct w:val="0"/>
        <w:autoSpaceDE/>
        <w:autoSpaceDN/>
        <w:bidi w:val="0"/>
        <w:adjustRightInd/>
        <w:snapToGrid/>
        <w:spacing w:line="400" w:lineRule="exact"/>
        <w:ind w:right="1560" w:firstLine="444" w:firstLineChars="200"/>
        <w:contextualSpacing/>
        <w:jc w:val="center"/>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11F87C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6A962AA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1E3428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027E4B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A5214E6">
      <w:pPr>
        <w:ind w:firstLine="3990" w:firstLineChars="1900"/>
        <w:rPr>
          <w:rFonts w:hint="eastAsia" w:ascii="宋体" w:hAnsi="宋体" w:cs="宋体"/>
          <w:color w:val="auto"/>
          <w:szCs w:val="21"/>
          <w:highlight w:val="none"/>
        </w:rPr>
      </w:pPr>
    </w:p>
    <w:p w14:paraId="4E2EC5D0">
      <w:pPr>
        <w:spacing w:line="360" w:lineRule="auto"/>
        <w:rPr>
          <w:rFonts w:hint="eastAsia"/>
          <w:color w:val="auto"/>
          <w:szCs w:val="21"/>
          <w:highlight w:val="none"/>
        </w:rPr>
      </w:pPr>
    </w:p>
    <w:p w14:paraId="3D98601C">
      <w:pPr>
        <w:rPr>
          <w:rFonts w:hint="eastAsia"/>
          <w:color w:val="auto"/>
          <w:szCs w:val="21"/>
          <w:highlight w:val="none"/>
        </w:rPr>
      </w:pPr>
    </w:p>
    <w:p w14:paraId="00E4B4B5">
      <w:pPr>
        <w:spacing w:line="360" w:lineRule="auto"/>
        <w:rPr>
          <w:rFonts w:hint="eastAsia"/>
          <w:color w:val="auto"/>
          <w:highlight w:val="none"/>
        </w:rPr>
      </w:pPr>
    </w:p>
    <w:p w14:paraId="4768B9BE">
      <w:pPr>
        <w:spacing w:line="360" w:lineRule="auto"/>
        <w:rPr>
          <w:rFonts w:hint="eastAsia"/>
          <w:color w:val="auto"/>
          <w:highlight w:val="none"/>
        </w:rPr>
      </w:pPr>
    </w:p>
    <w:p w14:paraId="281CEF25">
      <w:pPr>
        <w:rPr>
          <w:rFonts w:hint="eastAsia" w:ascii="宋体" w:hAnsi="宋体" w:cs="宋体"/>
          <w:color w:val="auto"/>
          <w:sz w:val="24"/>
          <w:highlight w:val="none"/>
        </w:rPr>
      </w:pPr>
    </w:p>
    <w:p w14:paraId="1165BF1C">
      <w:pPr>
        <w:pStyle w:val="4"/>
        <w:rPr>
          <w:rFonts w:hint="eastAsia"/>
          <w:color w:val="auto"/>
          <w:highlight w:val="none"/>
        </w:rPr>
      </w:pPr>
      <w:r>
        <w:rPr>
          <w:rFonts w:hint="eastAsia"/>
          <w:color w:val="auto"/>
          <w:highlight w:val="none"/>
        </w:rPr>
        <w:br w:type="page"/>
      </w:r>
      <w:bookmarkStart w:id="260" w:name="_Toc560"/>
      <w:bookmarkStart w:id="261" w:name="_Toc23452"/>
      <w:r>
        <w:rPr>
          <w:rFonts w:hint="eastAsia"/>
          <w:color w:val="auto"/>
          <w:highlight w:val="none"/>
        </w:rPr>
        <w:t>二、资格证明文件格式</w:t>
      </w:r>
      <w:bookmarkEnd w:id="257"/>
      <w:bookmarkEnd w:id="258"/>
      <w:bookmarkEnd w:id="259"/>
      <w:bookmarkEnd w:id="260"/>
      <w:bookmarkEnd w:id="261"/>
    </w:p>
    <w:p w14:paraId="64B61697">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1.资格证明文件封面格式： </w:t>
      </w:r>
    </w:p>
    <w:p w14:paraId="6C76BF23">
      <w:pPr>
        <w:snapToGrid w:val="0"/>
        <w:spacing w:before="120" w:beforeLines="50" w:after="50"/>
        <w:jc w:val="center"/>
        <w:rPr>
          <w:rFonts w:hint="eastAsia" w:ascii="宋体" w:hAnsi="宋体" w:cs="宋体"/>
          <w:bCs/>
          <w:color w:val="auto"/>
          <w:sz w:val="48"/>
          <w:szCs w:val="48"/>
          <w:highlight w:val="none"/>
        </w:rPr>
      </w:pPr>
    </w:p>
    <w:p w14:paraId="249C6EA8">
      <w:pPr>
        <w:snapToGrid w:val="0"/>
        <w:spacing w:before="120" w:beforeLines="50" w:after="50"/>
        <w:jc w:val="center"/>
        <w:rPr>
          <w:rFonts w:hint="eastAsia" w:ascii="宋体" w:hAnsi="宋体" w:cs="宋体"/>
          <w:bCs/>
          <w:color w:val="auto"/>
          <w:sz w:val="48"/>
          <w:szCs w:val="48"/>
          <w:highlight w:val="none"/>
        </w:rPr>
      </w:pPr>
    </w:p>
    <w:p w14:paraId="2CB833E1">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6BB22754">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5376D341">
      <w:pPr>
        <w:snapToGrid w:val="0"/>
        <w:spacing w:before="120"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711FE49B">
      <w:pPr>
        <w:snapToGrid w:val="0"/>
        <w:spacing w:before="120" w:beforeLines="50" w:after="50"/>
        <w:rPr>
          <w:rFonts w:hint="eastAsia" w:ascii="宋体" w:hAnsi="宋体" w:cs="宋体"/>
          <w:bCs/>
          <w:color w:val="auto"/>
          <w:sz w:val="24"/>
          <w:szCs w:val="20"/>
          <w:highlight w:val="none"/>
        </w:rPr>
      </w:pPr>
    </w:p>
    <w:p w14:paraId="65891198">
      <w:pPr>
        <w:snapToGrid w:val="0"/>
        <w:spacing w:before="120" w:beforeLines="50" w:after="50"/>
        <w:rPr>
          <w:rFonts w:hint="eastAsia" w:ascii="宋体" w:hAnsi="宋体" w:cs="宋体"/>
          <w:bCs/>
          <w:color w:val="auto"/>
          <w:sz w:val="24"/>
          <w:szCs w:val="20"/>
          <w:highlight w:val="none"/>
        </w:rPr>
      </w:pPr>
    </w:p>
    <w:p w14:paraId="331043EC">
      <w:pPr>
        <w:snapToGrid w:val="0"/>
        <w:spacing w:before="120" w:beforeLines="50" w:after="50"/>
        <w:rPr>
          <w:rFonts w:hint="eastAsia" w:ascii="宋体" w:hAnsi="宋体" w:cs="宋体"/>
          <w:bCs/>
          <w:color w:val="auto"/>
          <w:sz w:val="24"/>
          <w:szCs w:val="20"/>
          <w:highlight w:val="none"/>
        </w:rPr>
      </w:pPr>
    </w:p>
    <w:p w14:paraId="1C9A6474">
      <w:pPr>
        <w:snapToGrid w:val="0"/>
        <w:spacing w:before="120" w:beforeLines="50" w:after="50"/>
        <w:rPr>
          <w:rFonts w:hint="eastAsia" w:ascii="宋体" w:hAnsi="宋体" w:cs="宋体"/>
          <w:bCs/>
          <w:color w:val="auto"/>
          <w:sz w:val="24"/>
          <w:szCs w:val="20"/>
          <w:highlight w:val="none"/>
        </w:rPr>
      </w:pPr>
    </w:p>
    <w:p w14:paraId="2034999B">
      <w:pPr>
        <w:snapToGrid w:val="0"/>
        <w:spacing w:before="120" w:beforeLines="50" w:after="50"/>
        <w:rPr>
          <w:rFonts w:hint="eastAsia" w:ascii="宋体" w:hAnsi="宋体" w:cs="宋体"/>
          <w:bCs/>
          <w:color w:val="auto"/>
          <w:sz w:val="24"/>
          <w:szCs w:val="20"/>
          <w:highlight w:val="none"/>
        </w:rPr>
      </w:pPr>
    </w:p>
    <w:p w14:paraId="6E28ADB4">
      <w:pPr>
        <w:snapToGrid w:val="0"/>
        <w:spacing w:before="120" w:beforeLines="50" w:after="50"/>
        <w:rPr>
          <w:rFonts w:hint="eastAsia" w:ascii="宋体" w:hAnsi="宋体" w:cs="宋体"/>
          <w:bCs/>
          <w:color w:val="auto"/>
          <w:sz w:val="24"/>
          <w:szCs w:val="20"/>
          <w:highlight w:val="none"/>
        </w:rPr>
      </w:pPr>
    </w:p>
    <w:p w14:paraId="6B49D852">
      <w:pPr>
        <w:snapToGrid w:val="0"/>
        <w:spacing w:before="120" w:beforeLines="50" w:after="50"/>
        <w:rPr>
          <w:rFonts w:hint="eastAsia" w:ascii="宋体" w:hAnsi="宋体" w:cs="宋体"/>
          <w:bCs/>
          <w:color w:val="auto"/>
          <w:sz w:val="24"/>
          <w:szCs w:val="20"/>
          <w:highlight w:val="none"/>
        </w:rPr>
      </w:pPr>
    </w:p>
    <w:p w14:paraId="762129F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929033">
      <w:pPr>
        <w:snapToGrid w:val="0"/>
        <w:spacing w:before="120" w:beforeLines="50" w:after="50"/>
        <w:ind w:firstLine="540" w:firstLineChars="225"/>
        <w:rPr>
          <w:rFonts w:hint="eastAsia" w:ascii="宋体" w:hAnsi="宋体" w:cs="宋体"/>
          <w:bCs/>
          <w:color w:val="auto"/>
          <w:sz w:val="24"/>
          <w:szCs w:val="20"/>
          <w:highlight w:val="none"/>
        </w:rPr>
      </w:pPr>
    </w:p>
    <w:p w14:paraId="176B7EAF">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1384C439">
      <w:pPr>
        <w:snapToGrid w:val="0"/>
        <w:spacing w:before="120" w:beforeLines="50" w:after="50"/>
        <w:ind w:firstLine="540" w:firstLineChars="225"/>
        <w:rPr>
          <w:rFonts w:hint="eastAsia" w:ascii="宋体" w:hAnsi="宋体" w:cs="宋体"/>
          <w:bCs/>
          <w:color w:val="auto"/>
          <w:sz w:val="24"/>
          <w:szCs w:val="20"/>
          <w:highlight w:val="none"/>
        </w:rPr>
      </w:pPr>
    </w:p>
    <w:p w14:paraId="0D3CD21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44EDE92B">
      <w:pPr>
        <w:pStyle w:val="10"/>
        <w:snapToGrid w:val="0"/>
        <w:spacing w:before="50" w:after="50"/>
        <w:ind w:firstLine="540" w:firstLineChars="225"/>
        <w:rPr>
          <w:rFonts w:hint="eastAsia" w:ascii="宋体" w:hAnsi="宋体" w:cs="宋体"/>
          <w:bCs/>
          <w:color w:val="auto"/>
          <w:sz w:val="24"/>
          <w:szCs w:val="24"/>
          <w:highlight w:val="none"/>
        </w:rPr>
      </w:pPr>
    </w:p>
    <w:p w14:paraId="4777482B">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80DE809">
      <w:pPr>
        <w:pStyle w:val="10"/>
        <w:snapToGrid w:val="0"/>
        <w:spacing w:before="50" w:after="50"/>
        <w:ind w:firstLine="540" w:firstLineChars="225"/>
        <w:rPr>
          <w:rFonts w:hint="eastAsia" w:ascii="宋体" w:hAnsi="宋体" w:cs="宋体"/>
          <w:bCs/>
          <w:color w:val="auto"/>
          <w:sz w:val="24"/>
          <w:szCs w:val="24"/>
          <w:highlight w:val="none"/>
        </w:rPr>
      </w:pPr>
    </w:p>
    <w:p w14:paraId="0B17E512">
      <w:pPr>
        <w:pStyle w:val="10"/>
        <w:snapToGrid w:val="0"/>
        <w:spacing w:before="50" w:after="50"/>
        <w:ind w:firstLine="960" w:firstLineChars="400"/>
        <w:rPr>
          <w:rFonts w:hint="eastAsia" w:ascii="宋体" w:hAnsi="宋体" w:cs="宋体"/>
          <w:bCs/>
          <w:color w:val="auto"/>
          <w:sz w:val="24"/>
          <w:szCs w:val="24"/>
          <w:highlight w:val="none"/>
        </w:rPr>
      </w:pPr>
    </w:p>
    <w:p w14:paraId="6FACC8B2">
      <w:pPr>
        <w:snapToGrid w:val="0"/>
        <w:spacing w:before="120"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14:paraId="0364144D">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4547304A">
      <w:pPr>
        <w:snapToGrid w:val="0"/>
        <w:spacing w:before="120" w:beforeLines="50" w:after="50"/>
        <w:rPr>
          <w:rFonts w:hint="eastAsia" w:ascii="宋体" w:hAnsi="宋体" w:cs="宋体"/>
          <w:color w:val="auto"/>
          <w:sz w:val="24"/>
          <w:szCs w:val="20"/>
          <w:highlight w:val="none"/>
        </w:rPr>
      </w:pPr>
    </w:p>
    <w:p w14:paraId="45CE8D77">
      <w:pPr>
        <w:snapToGrid w:val="0"/>
        <w:spacing w:before="120" w:beforeLines="50" w:after="50" w:line="360" w:lineRule="auto"/>
        <w:ind w:firstLine="120" w:firstLineChars="50"/>
        <w:jc w:val="left"/>
        <w:rPr>
          <w:rFonts w:hint="eastAsia"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2.资格证明文件目录</w:t>
      </w:r>
    </w:p>
    <w:p w14:paraId="3B106173">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3054FA1D">
      <w:pPr>
        <w:snapToGrid w:val="0"/>
        <w:spacing w:before="50" w:after="120" w:afterLines="50"/>
        <w:jc w:val="left"/>
        <w:rPr>
          <w:rFonts w:hint="eastAsia" w:ascii="宋体" w:hAnsi="宋体" w:cs="宋体"/>
          <w:color w:val="auto"/>
          <w:sz w:val="24"/>
          <w:highlight w:val="none"/>
        </w:rPr>
      </w:pPr>
    </w:p>
    <w:p w14:paraId="07FCBE9B">
      <w:pPr>
        <w:snapToGrid w:val="0"/>
        <w:spacing w:before="50" w:after="120" w:afterLines="50"/>
        <w:jc w:val="left"/>
        <w:rPr>
          <w:rFonts w:hint="eastAsia" w:ascii="宋体" w:hAnsi="宋体" w:cs="宋体"/>
          <w:color w:val="auto"/>
          <w:sz w:val="24"/>
          <w:highlight w:val="none"/>
        </w:rPr>
      </w:pPr>
    </w:p>
    <w:p w14:paraId="7FDD8D2A">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w:t>
      </w:r>
      <w:r>
        <w:rPr>
          <w:rFonts w:hint="eastAsia" w:ascii="宋体" w:hAnsi="宋体" w:cs="宋体"/>
          <w:b/>
          <w:color w:val="auto"/>
          <w:sz w:val="28"/>
          <w:szCs w:val="28"/>
          <w:highlight w:val="none"/>
        </w:rPr>
        <w:t>投标人直接控股、管理关系信息表</w:t>
      </w:r>
    </w:p>
    <w:p w14:paraId="29899F23">
      <w:pPr>
        <w:snapToGrid w:val="0"/>
        <w:spacing w:before="50" w:after="120" w:afterLines="50"/>
        <w:jc w:val="center"/>
        <w:rPr>
          <w:rFonts w:hint="eastAsia" w:ascii="宋体" w:hAnsi="宋体" w:cs="宋体"/>
          <w:b/>
          <w:color w:val="auto"/>
          <w:sz w:val="28"/>
          <w:szCs w:val="28"/>
          <w:highlight w:val="none"/>
        </w:rPr>
      </w:pPr>
    </w:p>
    <w:p w14:paraId="3766D9DC">
      <w:pPr>
        <w:snapToGrid w:val="0"/>
        <w:spacing w:before="120" w:beforeLines="50" w:after="50"/>
        <w:ind w:left="420"/>
        <w:jc w:val="center"/>
        <w:rPr>
          <w:rFonts w:hint="eastAsia" w:ascii="宋体" w:hAnsi="宋体" w:cs="宋体"/>
          <w:bCs/>
          <w:color w:val="auto"/>
          <w:spacing w:val="-17"/>
          <w:sz w:val="44"/>
          <w:szCs w:val="44"/>
          <w:highlight w:val="none"/>
        </w:rPr>
      </w:pPr>
      <w:r>
        <w:rPr>
          <w:rFonts w:hint="eastAsia" w:ascii="宋体" w:hAnsi="宋体" w:cs="宋体"/>
          <w:bCs/>
          <w:color w:val="auto"/>
          <w:spacing w:val="-17"/>
          <w:sz w:val="44"/>
          <w:szCs w:val="44"/>
          <w:highlight w:val="none"/>
        </w:rPr>
        <w:t>供应商直接控股、管理关系信息表</w:t>
      </w:r>
    </w:p>
    <w:tbl>
      <w:tblPr>
        <w:tblStyle w:val="3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049"/>
        <w:gridCol w:w="803"/>
        <w:gridCol w:w="1484"/>
        <w:gridCol w:w="4510"/>
      </w:tblGrid>
      <w:tr w14:paraId="519D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2" w:hRule="atLeast"/>
        </w:trPr>
        <w:tc>
          <w:tcPr>
            <w:tcW w:w="2386" w:type="pct"/>
            <w:gridSpan w:val="4"/>
            <w:shd w:val="clear" w:color="auto" w:fill="F2DBDB"/>
            <w:noWrap w:val="0"/>
            <w:vAlign w:val="center"/>
          </w:tcPr>
          <w:p w14:paraId="2FC83A8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投标人直接控股股东信息表</w:t>
            </w:r>
          </w:p>
        </w:tc>
        <w:tc>
          <w:tcPr>
            <w:tcW w:w="2613" w:type="pct"/>
            <w:shd w:val="clear" w:color="auto" w:fill="F2DBDB"/>
            <w:noWrap w:val="0"/>
            <w:vAlign w:val="center"/>
          </w:tcPr>
          <w:p w14:paraId="1B949A9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764F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5FFD33ED">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08" w:type="pct"/>
            <w:noWrap w:val="0"/>
            <w:vAlign w:val="center"/>
          </w:tcPr>
          <w:p w14:paraId="69305F0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464" w:type="pct"/>
            <w:noWrap w:val="0"/>
            <w:vAlign w:val="center"/>
          </w:tcPr>
          <w:p w14:paraId="07F6DDD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858" w:type="pct"/>
            <w:noWrap w:val="0"/>
            <w:vAlign w:val="center"/>
          </w:tcPr>
          <w:p w14:paraId="0EE1943A">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2613" w:type="pct"/>
            <w:vMerge w:val="restart"/>
            <w:noWrap w:val="0"/>
            <w:vAlign w:val="center"/>
          </w:tcPr>
          <w:p w14:paraId="0DB5DC0E">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5E2D718">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45455176">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b/>
                <w:bCs/>
                <w:color w:val="auto"/>
                <w:kern w:val="0"/>
                <w:szCs w:val="21"/>
                <w:highlight w:val="none"/>
              </w:rPr>
            </w:pPr>
            <w:r>
              <w:rPr>
                <w:rFonts w:hint="eastAsia" w:ascii="宋体" w:hAnsi="宋体" w:cs="宋体"/>
                <w:color w:val="auto"/>
                <w:szCs w:val="21"/>
                <w:highlight w:val="none"/>
              </w:rPr>
              <w:t>3.供应商不存在直接控股股东的，则填“无”。</w:t>
            </w:r>
          </w:p>
        </w:tc>
      </w:tr>
      <w:tr w14:paraId="5F9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top"/>
          </w:tcPr>
          <w:p w14:paraId="27812626">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w:t>
            </w:r>
          </w:p>
        </w:tc>
        <w:tc>
          <w:tcPr>
            <w:tcW w:w="608" w:type="pct"/>
            <w:noWrap w:val="0"/>
            <w:vAlign w:val="top"/>
          </w:tcPr>
          <w:p w14:paraId="1DA7635C">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noWrap w:val="0"/>
            <w:vAlign w:val="top"/>
          </w:tcPr>
          <w:p w14:paraId="3236112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noWrap w:val="0"/>
            <w:vAlign w:val="top"/>
          </w:tcPr>
          <w:p w14:paraId="1F07F73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noWrap w:val="0"/>
            <w:vAlign w:val="top"/>
          </w:tcPr>
          <w:p w14:paraId="765ED47D">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7D9F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top"/>
          </w:tcPr>
          <w:p w14:paraId="57E2E48C">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w:t>
            </w:r>
          </w:p>
        </w:tc>
        <w:tc>
          <w:tcPr>
            <w:tcW w:w="608" w:type="pct"/>
            <w:noWrap w:val="0"/>
            <w:vAlign w:val="top"/>
          </w:tcPr>
          <w:p w14:paraId="6B566034">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noWrap w:val="0"/>
            <w:vAlign w:val="top"/>
          </w:tcPr>
          <w:p w14:paraId="6FE9F77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noWrap w:val="0"/>
            <w:vAlign w:val="top"/>
          </w:tcPr>
          <w:p w14:paraId="42E8E6C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noWrap w:val="0"/>
            <w:vAlign w:val="top"/>
          </w:tcPr>
          <w:p w14:paraId="40040D67">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r>
      <w:tr w14:paraId="6C7B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Borders>
              <w:bottom w:val="single" w:color="auto" w:sz="4" w:space="0"/>
            </w:tcBorders>
            <w:noWrap w:val="0"/>
            <w:vAlign w:val="top"/>
          </w:tcPr>
          <w:p w14:paraId="3FDA6427">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color w:val="auto"/>
                <w:kern w:val="0"/>
                <w:szCs w:val="21"/>
                <w:highlight w:val="none"/>
              </w:rPr>
              <w:t>……</w:t>
            </w:r>
          </w:p>
        </w:tc>
        <w:tc>
          <w:tcPr>
            <w:tcW w:w="608" w:type="pct"/>
            <w:tcBorders>
              <w:bottom w:val="single" w:color="auto" w:sz="4" w:space="0"/>
            </w:tcBorders>
            <w:noWrap w:val="0"/>
            <w:vAlign w:val="top"/>
          </w:tcPr>
          <w:p w14:paraId="2B8F145A">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tcBorders>
              <w:bottom w:val="single" w:color="auto" w:sz="4" w:space="0"/>
            </w:tcBorders>
            <w:noWrap w:val="0"/>
            <w:vAlign w:val="top"/>
          </w:tcPr>
          <w:p w14:paraId="6ADFEBF5">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tcBorders>
              <w:bottom w:val="single" w:color="auto" w:sz="4" w:space="0"/>
            </w:tcBorders>
            <w:noWrap w:val="0"/>
            <w:vAlign w:val="top"/>
          </w:tcPr>
          <w:p w14:paraId="7C8AC10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tcBorders>
              <w:bottom w:val="single" w:color="auto" w:sz="4" w:space="0"/>
            </w:tcBorders>
            <w:noWrap w:val="0"/>
            <w:vAlign w:val="top"/>
          </w:tcPr>
          <w:p w14:paraId="59F1108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r>
      <w:tr w14:paraId="2999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trPr>
        <w:tc>
          <w:tcPr>
            <w:tcW w:w="2386" w:type="pct"/>
            <w:gridSpan w:val="4"/>
            <w:shd w:val="clear" w:color="auto" w:fill="F2DBDB"/>
            <w:noWrap w:val="0"/>
            <w:vAlign w:val="center"/>
          </w:tcPr>
          <w:p w14:paraId="2C5AB6A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投标人直接管理关系信息表</w:t>
            </w:r>
          </w:p>
        </w:tc>
        <w:tc>
          <w:tcPr>
            <w:tcW w:w="2613" w:type="pct"/>
            <w:shd w:val="clear" w:color="auto" w:fill="F2DBDB"/>
            <w:noWrap w:val="0"/>
            <w:vAlign w:val="center"/>
          </w:tcPr>
          <w:p w14:paraId="0103FC6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2A14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76D8387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序号</w:t>
            </w:r>
          </w:p>
        </w:tc>
        <w:tc>
          <w:tcPr>
            <w:tcW w:w="1073" w:type="pct"/>
            <w:gridSpan w:val="2"/>
            <w:noWrap w:val="0"/>
            <w:vAlign w:val="center"/>
          </w:tcPr>
          <w:p w14:paraId="501437E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直接管理关系单位名称</w:t>
            </w:r>
          </w:p>
        </w:tc>
        <w:tc>
          <w:tcPr>
            <w:tcW w:w="858" w:type="pct"/>
            <w:noWrap w:val="0"/>
            <w:vAlign w:val="center"/>
          </w:tcPr>
          <w:p w14:paraId="77980DE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统一社会信用代码</w:t>
            </w:r>
          </w:p>
        </w:tc>
        <w:tc>
          <w:tcPr>
            <w:tcW w:w="2613" w:type="pct"/>
            <w:vMerge w:val="restart"/>
            <w:noWrap w:val="0"/>
            <w:vAlign w:val="center"/>
          </w:tcPr>
          <w:p w14:paraId="256DA5CA">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64EB7A2B">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14:paraId="14F70D02">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3.供应商不存在直接管理关系的，则填“无”。</w:t>
            </w:r>
          </w:p>
        </w:tc>
      </w:tr>
      <w:tr w14:paraId="6E57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4495AD2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1</w:t>
            </w:r>
          </w:p>
        </w:tc>
        <w:tc>
          <w:tcPr>
            <w:tcW w:w="1073" w:type="pct"/>
            <w:gridSpan w:val="2"/>
            <w:noWrap w:val="0"/>
            <w:vAlign w:val="center"/>
          </w:tcPr>
          <w:p w14:paraId="016805C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4B9C35F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19B2CE06">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3BC3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6B4B5E6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ascii="宋体" w:hAnsi="宋体" w:cs="宋体"/>
                <w:b/>
                <w:bCs/>
                <w:color w:val="auto"/>
                <w:kern w:val="0"/>
                <w:szCs w:val="21"/>
                <w:highlight w:val="none"/>
              </w:rPr>
            </w:pPr>
            <w:r>
              <w:rPr>
                <w:rFonts w:hint="eastAsia" w:ascii="宋体" w:hAnsi="宋体" w:cs="宋体"/>
                <w:b/>
                <w:bCs/>
                <w:color w:val="auto"/>
                <w:kern w:val="0"/>
                <w:szCs w:val="21"/>
                <w:highlight w:val="none"/>
              </w:rPr>
              <w:t>2</w:t>
            </w:r>
          </w:p>
        </w:tc>
        <w:tc>
          <w:tcPr>
            <w:tcW w:w="1073" w:type="pct"/>
            <w:gridSpan w:val="2"/>
            <w:noWrap w:val="0"/>
            <w:vAlign w:val="center"/>
          </w:tcPr>
          <w:p w14:paraId="46C3D18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50B83454">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16E39BC5">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03FD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7BAC4E53">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r>
              <w:rPr>
                <w:rFonts w:hint="eastAsia" w:ascii="宋体" w:hAnsi="宋体" w:cs="宋体"/>
                <w:color w:val="auto"/>
                <w:kern w:val="0"/>
                <w:szCs w:val="21"/>
                <w:highlight w:val="none"/>
              </w:rPr>
              <w:t>……</w:t>
            </w:r>
          </w:p>
        </w:tc>
        <w:tc>
          <w:tcPr>
            <w:tcW w:w="1073" w:type="pct"/>
            <w:gridSpan w:val="2"/>
            <w:noWrap w:val="0"/>
            <w:vAlign w:val="center"/>
          </w:tcPr>
          <w:p w14:paraId="4F8DA26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4F3FD7F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614AFD17">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bl>
    <w:p w14:paraId="7B9DA0C1">
      <w:pPr>
        <w:snapToGrid w:val="0"/>
        <w:spacing w:line="400" w:lineRule="exact"/>
        <w:jc w:val="left"/>
        <w:rPr>
          <w:rFonts w:hint="eastAsia" w:ascii="宋体" w:hAnsi="宋体" w:cs="宋体"/>
          <w:color w:val="auto"/>
          <w:szCs w:val="21"/>
          <w:highlight w:val="none"/>
        </w:rPr>
      </w:pPr>
    </w:p>
    <w:p w14:paraId="46B4E539">
      <w:pPr>
        <w:snapToGrid w:val="0"/>
        <w:spacing w:line="400" w:lineRule="exact"/>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50B2218C">
      <w:pPr>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9C55B7D">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F6FF82F">
      <w:pPr>
        <w:snapToGrid w:val="0"/>
        <w:jc w:val="center"/>
        <w:rPr>
          <w:rFonts w:hint="eastAsia" w:ascii="宋体" w:hAnsi="宋体" w:cs="宋体"/>
          <w:b/>
          <w:color w:val="auto"/>
          <w:sz w:val="28"/>
          <w:szCs w:val="28"/>
          <w:highlight w:val="none"/>
        </w:rPr>
      </w:pPr>
    </w:p>
    <w:p w14:paraId="44A10FB0">
      <w:pPr>
        <w:snapToGrid w:val="0"/>
        <w:spacing w:before="120" w:beforeLines="50" w:after="50"/>
        <w:jc w:val="left"/>
        <w:rPr>
          <w:rFonts w:hint="eastAsia"/>
          <w:color w:val="auto"/>
          <w:szCs w:val="20"/>
          <w:highlight w:val="none"/>
        </w:rPr>
      </w:pPr>
      <w:r>
        <w:rPr>
          <w:rFonts w:hint="eastAsia" w:ascii="宋体" w:hAnsi="宋体" w:cs="宋体"/>
          <w:b/>
          <w:color w:val="auto"/>
          <w:sz w:val="32"/>
          <w:szCs w:val="32"/>
          <w:highlight w:val="none"/>
        </w:rPr>
        <w:br w:type="page"/>
      </w:r>
      <w:r>
        <w:rPr>
          <w:rFonts w:hint="eastAsia" w:ascii="宋体" w:hAnsi="宋体" w:cs="宋体"/>
          <w:b/>
          <w:color w:val="auto"/>
          <w:sz w:val="28"/>
          <w:szCs w:val="28"/>
          <w:highlight w:val="none"/>
        </w:rPr>
        <w:t>4.投标声明</w:t>
      </w:r>
    </w:p>
    <w:p w14:paraId="04D7C332">
      <w:pPr>
        <w:snapToGrid w:val="0"/>
        <w:spacing w:before="50" w:after="120" w:afterLines="50"/>
        <w:jc w:val="left"/>
        <w:rPr>
          <w:rFonts w:hint="eastAsia" w:ascii="宋体" w:hAnsi="宋体" w:cs="宋体"/>
          <w:color w:val="auto"/>
          <w:highlight w:val="none"/>
        </w:rPr>
      </w:pPr>
    </w:p>
    <w:p w14:paraId="140E41DD">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投标声明</w:t>
      </w:r>
    </w:p>
    <w:p w14:paraId="6EBFDF3A">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7B8AE100">
      <w:pPr>
        <w:keepNext w:val="0"/>
        <w:keepLines w:val="0"/>
        <w:pageBreakBefore w:val="0"/>
        <w:widowControl w:val="0"/>
        <w:kinsoku/>
        <w:wordWrap/>
        <w:overflowPunct/>
        <w:topLinePunct w:val="0"/>
        <w:autoSpaceDE/>
        <w:autoSpaceDN/>
        <w:bidi w:val="0"/>
        <w:adjustRightInd/>
        <w:spacing w:line="400" w:lineRule="exact"/>
        <w:ind w:firstLine="457" w:firstLineChars="218"/>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我方参加贵单位组织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）的政府采购活动。我方在此郑重声明：</w:t>
      </w:r>
    </w:p>
    <w:p w14:paraId="30875DFA">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207D7B7">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539515B6">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3.我方承诺符合《中华人民共和国政府采购法》第二十二条规定：</w:t>
      </w:r>
    </w:p>
    <w:p w14:paraId="0DD7105A">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07671473">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180116B2">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2DBA749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1CCAC286">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0EB823E3">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44BD205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3E76833E">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57E33E92">
      <w:pPr>
        <w:keepNext w:val="0"/>
        <w:keepLines w:val="0"/>
        <w:pageBreakBefore w:val="0"/>
        <w:widowControl w:val="0"/>
        <w:kinsoku/>
        <w:wordWrap/>
        <w:overflowPunct/>
        <w:topLinePunct w:val="0"/>
        <w:autoSpaceDE/>
        <w:autoSpaceDN/>
        <w:bidi w:val="0"/>
        <w:adjustRightInd/>
        <w:snapToGrid w:val="0"/>
        <w:spacing w:before="50" w:after="50" w:line="400" w:lineRule="exact"/>
        <w:ind w:firstLine="927" w:firstLineChars="441"/>
        <w:textAlignment w:val="auto"/>
        <w:rPr>
          <w:rFonts w:hint="eastAsia" w:ascii="宋体" w:hAnsi="宋体" w:cs="宋体"/>
          <w:color w:val="auto"/>
          <w:spacing w:val="20"/>
          <w:szCs w:val="21"/>
          <w:highlight w:val="none"/>
          <w:u w:val="singl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法定代表人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3BAF43F1">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zCs w:val="21"/>
          <w:highlight w:val="none"/>
          <w:u w:val="single"/>
        </w:rPr>
        <w:t xml:space="preserve">                 </w:t>
      </w:r>
    </w:p>
    <w:p w14:paraId="60C29640">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14:paraId="185C361A">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b/>
          <w:color w:val="auto"/>
          <w:szCs w:val="21"/>
          <w:highlight w:val="none"/>
        </w:rPr>
      </w:pPr>
      <w:r>
        <w:rPr>
          <w:rFonts w:hint="eastAsia" w:ascii="宋体" w:hAnsi="宋体" w:cs="宋体"/>
          <w:b/>
          <w:color w:val="auto"/>
          <w:szCs w:val="21"/>
          <w:highlight w:val="none"/>
        </w:rPr>
        <w:t>注：如为联合体投标，盖章处须加盖联合体牵头人电子签章并由联合体牵头人法定代表人分别签字或者盖章或者电子签名，否则投标无效。</w:t>
      </w:r>
    </w:p>
    <w:p w14:paraId="4568E55D">
      <w:pPr>
        <w:snapToGrid w:val="0"/>
        <w:spacing w:before="120" w:beforeLines="50" w:after="50"/>
        <w:jc w:val="left"/>
        <w:rPr>
          <w:rFonts w:ascii="宋体" w:hAnsi="宋体" w:cs="宋体"/>
          <w:b/>
          <w:color w:val="auto"/>
          <w:sz w:val="28"/>
          <w:szCs w:val="28"/>
          <w:highlight w:val="none"/>
        </w:rPr>
      </w:pPr>
    </w:p>
    <w:p w14:paraId="7201A7E1">
      <w:pPr>
        <w:snapToGrid w:val="0"/>
        <w:spacing w:before="120" w:beforeLines="50" w:after="50"/>
        <w:jc w:val="left"/>
        <w:rPr>
          <w:rFonts w:hint="eastAsia"/>
          <w:color w:val="auto"/>
          <w:spacing w:val="20"/>
          <w:sz w:val="24"/>
          <w:highlight w:val="none"/>
        </w:rPr>
      </w:pPr>
      <w:r>
        <w:rPr>
          <w:b/>
          <w:color w:val="auto"/>
          <w:highlight w:val="none"/>
        </w:rPr>
        <w:br w:type="page"/>
      </w:r>
      <w:r>
        <w:rPr>
          <w:rFonts w:hint="eastAsia" w:ascii="宋体" w:hAnsi="宋体" w:cs="宋体"/>
          <w:b/>
          <w:color w:val="auto"/>
          <w:sz w:val="28"/>
          <w:szCs w:val="28"/>
          <w:highlight w:val="none"/>
        </w:rPr>
        <w:t>5.联合投标协议书格式</w:t>
      </w:r>
    </w:p>
    <w:p w14:paraId="6445AC4B">
      <w:pPr>
        <w:pStyle w:val="10"/>
        <w:overflowPunct w:val="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联合体协议书</w:t>
      </w:r>
    </w:p>
    <w:p w14:paraId="06018F51">
      <w:pPr>
        <w:pStyle w:val="10"/>
        <w:overflowPunct w:val="0"/>
        <w:spacing w:line="360" w:lineRule="auto"/>
        <w:ind w:firstLine="0"/>
        <w:contextualSpacing/>
        <w:rPr>
          <w:rFonts w:hint="eastAsia" w:ascii="宋体" w:hAnsi="宋体" w:cs="宋体"/>
          <w:color w:val="auto"/>
          <w:sz w:val="24"/>
          <w:highlight w:val="none"/>
        </w:rPr>
      </w:pPr>
    </w:p>
    <w:p w14:paraId="2DB86274">
      <w:pPr>
        <w:pStyle w:val="10"/>
        <w:keepNext w:val="0"/>
        <w:keepLines w:val="0"/>
        <w:pageBreakBefore w:val="0"/>
        <w:widowControl w:val="0"/>
        <w:kinsoku/>
        <w:wordWrap/>
        <w:overflowPunct w:val="0"/>
        <w:topLinePunct w:val="0"/>
        <w:autoSpaceDE/>
        <w:autoSpaceDN/>
        <w:bidi w:val="0"/>
        <w:adjustRightInd/>
        <w:snapToGri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（所有成员单位名称）自愿组成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（联合体名称）联合体，共同参加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（项目名称）   </w:t>
      </w:r>
      <w:r>
        <w:rPr>
          <w:rFonts w:hint="eastAsia" w:ascii="宋体" w:cs="宋体"/>
          <w:color w:val="auto"/>
          <w:kern w:val="0"/>
          <w:szCs w:val="21"/>
          <w:highlight w:val="none"/>
        </w:rPr>
        <w:t>（项目编号：</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w:t>
      </w:r>
      <w:r>
        <w:rPr>
          <w:rFonts w:hint="eastAsia" w:ascii="宋体" w:cs="宋体"/>
          <w:color w:val="auto"/>
          <w:kern w:val="0"/>
          <w:szCs w:val="21"/>
          <w:highlight w:val="none"/>
          <w:u w:val="single"/>
        </w:rPr>
        <w:t xml:space="preserve">   </w:t>
      </w:r>
      <w:r>
        <w:rPr>
          <w:rFonts w:hint="eastAsia" w:ascii="宋体" w:hAnsi="宋体" w:cs="宋体"/>
          <w:color w:val="auto"/>
          <w:szCs w:val="21"/>
          <w:highlight w:val="none"/>
        </w:rPr>
        <w:t>分标采购招标项目投标。现就联合体投标事宜订立如下协议。</w:t>
      </w:r>
    </w:p>
    <w:p w14:paraId="3CDB49A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（某成员单位名称）为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（联合体名称）牵头人。</w:t>
      </w:r>
    </w:p>
    <w:p w14:paraId="592785C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2.联合体各成员授权牵头人代表联合体参加投标活动，签署文件及对文件的盖章，提交和接收相关的资料、 信息及指示，进行合同谈判活动，负责合同实施阶段的组织和协调工作，以及处理与本招标项 目有关的一切事宜。</w:t>
      </w:r>
    </w:p>
    <w:p w14:paraId="74FF7769">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6BD7625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4.联合体各成员单位内部的职责分工如下：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383580">
      <w:pPr>
        <w:keepNext w:val="0"/>
        <w:keepLines w:val="0"/>
        <w:pageBreakBefore w:val="0"/>
        <w:widowControl w:val="0"/>
        <w:kinsoku/>
        <w:wordWrap/>
        <w:topLinePunct w:val="0"/>
        <w:autoSpaceDE/>
        <w:autoSpaceDN/>
        <w:bidi w:val="0"/>
        <w:adjustRightInd/>
        <w:snapToGrid/>
        <w:spacing w:line="400" w:lineRule="exact"/>
        <w:ind w:firstLine="420" w:firstLineChars="200"/>
        <w:textAlignment w:val="auto"/>
        <w:rPr>
          <w:rFonts w:hint="eastAsia"/>
          <w:color w:val="auto"/>
          <w:szCs w:val="21"/>
          <w:highlight w:val="none"/>
        </w:rPr>
      </w:pPr>
      <w:r>
        <w:rPr>
          <w:rFonts w:hint="eastAsia" w:ascii="宋体" w:hAnsi="宋体" w:cs="宋体"/>
          <w:color w:val="auto"/>
          <w:kern w:val="0"/>
          <w:szCs w:val="20"/>
          <w:highlight w:val="none"/>
        </w:rPr>
        <w:t>5.本联合体中，</w:t>
      </w:r>
      <w:r>
        <w:rPr>
          <w:rFonts w:hint="eastAsia" w:ascii="宋体" w:hAnsi="宋体" w:cs="宋体"/>
          <w:color w:val="auto"/>
          <w:kern w:val="0"/>
          <w:szCs w:val="20"/>
          <w:highlight w:val="none"/>
          <w:u w:val="single"/>
        </w:rPr>
        <w:t xml:space="preserve"> （某成员单位名称） </w:t>
      </w:r>
      <w:r>
        <w:rPr>
          <w:rFonts w:hint="eastAsia" w:ascii="宋体" w:hAnsi="宋体" w:cs="宋体"/>
          <w:color w:val="auto"/>
          <w:kern w:val="0"/>
          <w:szCs w:val="20"/>
          <w:highlight w:val="none"/>
        </w:rPr>
        <w:t>为</w:t>
      </w:r>
      <w:r>
        <w:rPr>
          <w:rFonts w:hint="eastAsia" w:ascii="宋体" w:hAnsi="Courier New"/>
          <w:color w:val="auto"/>
          <w:szCs w:val="20"/>
          <w:highlight w:val="none"/>
          <w:u w:val="single"/>
        </w:rPr>
        <w:t xml:space="preserve">        </w:t>
      </w:r>
      <w:r>
        <w:rPr>
          <w:rFonts w:hint="eastAsia" w:ascii="宋体" w:hAnsi="Courier New"/>
          <w:color w:val="auto"/>
          <w:szCs w:val="20"/>
          <w:highlight w:val="none"/>
        </w:rPr>
        <w:t>（请填写：中型、小型、微型）企业，其协议合同金额占联合体协议合同总金额的</w:t>
      </w:r>
      <w:r>
        <w:rPr>
          <w:rFonts w:hint="eastAsia" w:ascii="宋体" w:hAnsi="Courier New"/>
          <w:color w:val="auto"/>
          <w:szCs w:val="20"/>
          <w:highlight w:val="none"/>
          <w:u w:val="single"/>
        </w:rPr>
        <w:t xml:space="preserve">           </w:t>
      </w:r>
      <w:r>
        <w:rPr>
          <w:rFonts w:hint="eastAsia" w:ascii="宋体" w:hAnsi="Courier New"/>
          <w:color w:val="auto"/>
          <w:szCs w:val="20"/>
          <w:highlight w:val="none"/>
        </w:rPr>
        <w:t>%。【如联合体成员中有小型、微型企业的，请填写此条，否则无需填写；如联合体成员中有多个小型、微型企业的，请逐一列出。】</w:t>
      </w:r>
    </w:p>
    <w:p w14:paraId="21B3E2ED">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6.本协议书自所有成员单位法定代表人或者其委托代理人签字（或者电子签名）或者盖公章之日起生效，合同履行完毕后自动失效。</w:t>
      </w:r>
    </w:p>
    <w:p w14:paraId="6E08149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7.本协议书一式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份，联合体成员和招标人各执一份。</w:t>
      </w:r>
    </w:p>
    <w:p w14:paraId="35202210">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注：本协议书应附法定代表人身份证明；有委托代理的，应附授权委托书（格式自拟）。</w:t>
      </w:r>
    </w:p>
    <w:p w14:paraId="6A34D66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p>
    <w:p w14:paraId="4A8EB08E">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联合体牵头人名称（电子签章）：</w:t>
      </w:r>
    </w:p>
    <w:p w14:paraId="2E2ED4EA">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49F46F24">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p>
    <w:p w14:paraId="602CDBD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联合体成员名称（盖公章或者电子签章）：</w:t>
      </w:r>
    </w:p>
    <w:p w14:paraId="0FFB2D77">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1B9ACF03">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w:t>
      </w:r>
    </w:p>
    <w:p w14:paraId="6BC8832D">
      <w:pPr>
        <w:pStyle w:val="4"/>
        <w:rPr>
          <w:rFonts w:hint="eastAsia" w:ascii="宋体" w:hAnsi="宋体" w:cs="宋体"/>
          <w:color w:val="auto"/>
          <w:sz w:val="28"/>
          <w:szCs w:val="28"/>
          <w:highlight w:val="none"/>
        </w:rPr>
      </w:pPr>
      <w:r>
        <w:rPr>
          <w:color w:val="auto"/>
          <w:sz w:val="21"/>
          <w:szCs w:val="21"/>
          <w:highlight w:val="none"/>
        </w:rPr>
        <w:br w:type="page"/>
      </w:r>
      <w:bookmarkStart w:id="262" w:name="_Toc19686838"/>
      <w:bookmarkStart w:id="263" w:name="_Toc7619"/>
      <w:bookmarkStart w:id="264" w:name="_Toc6222"/>
      <w:r>
        <w:rPr>
          <w:rFonts w:hint="eastAsia" w:ascii="宋体" w:hAnsi="宋体" w:cs="宋体"/>
          <w:color w:val="auto"/>
          <w:sz w:val="28"/>
          <w:szCs w:val="28"/>
          <w:highlight w:val="none"/>
        </w:rPr>
        <w:t>三、商务及技术文件格式</w:t>
      </w:r>
      <w:bookmarkEnd w:id="262"/>
      <w:bookmarkEnd w:id="263"/>
      <w:bookmarkEnd w:id="264"/>
    </w:p>
    <w:p w14:paraId="35AEB949">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（一）商务文件封面格式： </w:t>
      </w:r>
    </w:p>
    <w:p w14:paraId="682FA8E4">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57640C0B">
      <w:pPr>
        <w:snapToGrid w:val="0"/>
        <w:spacing w:before="120"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773F36C9">
      <w:pPr>
        <w:rPr>
          <w:rFonts w:hint="eastAsia" w:ascii="宋体" w:hAnsi="宋体" w:cs="宋体"/>
          <w:color w:val="auto"/>
          <w:sz w:val="24"/>
          <w:highlight w:val="none"/>
        </w:rPr>
      </w:pPr>
    </w:p>
    <w:p w14:paraId="0B24F3AA">
      <w:pPr>
        <w:rPr>
          <w:rFonts w:hint="eastAsia"/>
          <w:color w:val="auto"/>
          <w:highlight w:val="none"/>
        </w:rPr>
      </w:pPr>
    </w:p>
    <w:p w14:paraId="082C6DFE">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商务文件</w:t>
      </w:r>
    </w:p>
    <w:p w14:paraId="3C140D0A">
      <w:pPr>
        <w:rPr>
          <w:rFonts w:hint="eastAsia" w:ascii="宋体" w:hAnsi="宋体" w:cs="宋体"/>
          <w:b/>
          <w:color w:val="auto"/>
          <w:sz w:val="32"/>
          <w:szCs w:val="32"/>
          <w:highlight w:val="none"/>
        </w:rPr>
      </w:pPr>
    </w:p>
    <w:p w14:paraId="284CBE47">
      <w:pPr>
        <w:rPr>
          <w:rFonts w:hint="eastAsia"/>
          <w:color w:val="auto"/>
          <w:highlight w:val="none"/>
        </w:rPr>
      </w:pPr>
    </w:p>
    <w:p w14:paraId="60C5AE28">
      <w:pPr>
        <w:snapToGrid w:val="0"/>
        <w:spacing w:before="120" w:beforeLines="50" w:after="50"/>
        <w:rPr>
          <w:rFonts w:hint="eastAsia" w:ascii="宋体" w:hAnsi="宋体" w:cs="宋体"/>
          <w:bCs/>
          <w:color w:val="auto"/>
          <w:sz w:val="24"/>
          <w:szCs w:val="20"/>
          <w:highlight w:val="none"/>
        </w:rPr>
      </w:pPr>
    </w:p>
    <w:p w14:paraId="4CEA1DD2">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4A361037">
      <w:pPr>
        <w:snapToGrid w:val="0"/>
        <w:spacing w:before="120" w:beforeLines="50" w:after="50"/>
        <w:ind w:firstLine="540" w:firstLineChars="225"/>
        <w:rPr>
          <w:rFonts w:hint="eastAsia" w:ascii="宋体" w:hAnsi="宋体" w:cs="宋体"/>
          <w:bCs/>
          <w:color w:val="auto"/>
          <w:sz w:val="24"/>
          <w:szCs w:val="20"/>
          <w:highlight w:val="none"/>
        </w:rPr>
      </w:pPr>
    </w:p>
    <w:p w14:paraId="27339D9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78BA5F04">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537E9763">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1487F3BC">
      <w:pPr>
        <w:snapToGrid w:val="0"/>
        <w:spacing w:before="120" w:beforeLines="50" w:after="50"/>
        <w:ind w:firstLine="540" w:firstLineChars="225"/>
        <w:rPr>
          <w:rFonts w:hint="eastAsia" w:ascii="宋体" w:hAnsi="宋体" w:cs="宋体"/>
          <w:bCs/>
          <w:color w:val="auto"/>
          <w:sz w:val="24"/>
          <w:szCs w:val="20"/>
          <w:highlight w:val="none"/>
        </w:rPr>
      </w:pPr>
    </w:p>
    <w:p w14:paraId="191586AF">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425A1056">
      <w:pPr>
        <w:pStyle w:val="10"/>
        <w:snapToGrid w:val="0"/>
        <w:spacing w:before="50" w:after="50"/>
        <w:ind w:firstLine="540" w:firstLineChars="225"/>
        <w:rPr>
          <w:rFonts w:hint="eastAsia" w:ascii="宋体" w:hAnsi="宋体" w:cs="宋体"/>
          <w:bCs/>
          <w:color w:val="auto"/>
          <w:sz w:val="24"/>
          <w:szCs w:val="24"/>
          <w:highlight w:val="none"/>
        </w:rPr>
      </w:pPr>
    </w:p>
    <w:p w14:paraId="73D6CF70">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6CF05E2F">
      <w:pPr>
        <w:pStyle w:val="10"/>
        <w:snapToGrid w:val="0"/>
        <w:spacing w:before="50" w:after="50"/>
        <w:ind w:firstLine="960" w:firstLineChars="400"/>
        <w:rPr>
          <w:rFonts w:hint="eastAsia" w:ascii="宋体" w:hAnsi="宋体" w:cs="宋体"/>
          <w:bCs/>
          <w:color w:val="auto"/>
          <w:sz w:val="24"/>
          <w:szCs w:val="24"/>
          <w:highlight w:val="none"/>
        </w:rPr>
      </w:pPr>
    </w:p>
    <w:p w14:paraId="67E48A09">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433B0B56">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4F05AF32">
      <w:pPr>
        <w:snapToGrid w:val="0"/>
        <w:spacing w:line="360" w:lineRule="auto"/>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商务文件目录</w:t>
      </w:r>
    </w:p>
    <w:p w14:paraId="773179EA">
      <w:pPr>
        <w:snapToGrid w:val="0"/>
        <w:spacing w:before="50" w:after="120" w:afterLines="50" w:line="360" w:lineRule="auto"/>
        <w:jc w:val="center"/>
        <w:rPr>
          <w:rFonts w:hint="eastAsia" w:ascii="宋体" w:hAnsi="宋体" w:cs="宋体"/>
          <w:b/>
          <w:bCs/>
          <w:color w:val="auto"/>
          <w:sz w:val="24"/>
          <w:highlight w:val="none"/>
        </w:rPr>
      </w:pPr>
      <w:r>
        <w:rPr>
          <w:rFonts w:hint="eastAsia" w:ascii="宋体" w:hAnsi="宋体" w:cs="宋体"/>
          <w:color w:val="auto"/>
          <w:szCs w:val="21"/>
          <w:highlight w:val="none"/>
        </w:rPr>
        <w:t>根据招标文件规定及投标人提供的材料自行编写目录。</w:t>
      </w:r>
    </w:p>
    <w:p w14:paraId="29609BEF">
      <w:pPr>
        <w:snapToGrid w:val="0"/>
        <w:spacing w:before="50" w:after="120" w:afterLines="50"/>
        <w:jc w:val="left"/>
        <w:rPr>
          <w:rFonts w:hint="eastAsia" w:ascii="宋体" w:hAnsi="宋体" w:cs="宋体"/>
          <w:color w:val="auto"/>
          <w:highlight w:val="none"/>
        </w:rPr>
      </w:pPr>
    </w:p>
    <w:p w14:paraId="3B1A5D9F">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 无串通投标行为的承诺函</w:t>
      </w:r>
    </w:p>
    <w:p w14:paraId="48E52DEA">
      <w:pPr>
        <w:snapToGrid w:val="0"/>
        <w:spacing w:before="120" w:beforeLines="50" w:after="50"/>
        <w:jc w:val="left"/>
        <w:rPr>
          <w:rFonts w:hint="eastAsia" w:ascii="宋体" w:hAnsi="宋体" w:cs="宋体"/>
          <w:b/>
          <w:color w:val="auto"/>
          <w:sz w:val="24"/>
          <w:highlight w:val="none"/>
        </w:rPr>
      </w:pPr>
    </w:p>
    <w:p w14:paraId="092C192F">
      <w:pPr>
        <w:snapToGrid w:val="0"/>
        <w:spacing w:before="120" w:beforeLines="50" w:after="5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无串通投标行为的承诺函</w:t>
      </w:r>
    </w:p>
    <w:p w14:paraId="3AE702D8">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59877BBB">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29FFB19E">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31A7E8D8">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0805759A">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0949F551">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35429497">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7FEB53DA">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13D912F8">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6B91FAC7">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20E00ECC">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6EC9E142">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2F95A699">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5D45135A">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1F2BEBAB">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3A2C2484">
      <w:pPr>
        <w:keepNext w:val="0"/>
        <w:keepLines w:val="0"/>
        <w:pageBreakBefore w:val="0"/>
        <w:widowControl w:val="0"/>
        <w:kinsoku/>
        <w:wordWrap/>
        <w:overflowPunct/>
        <w:topLinePunct w:val="0"/>
        <w:autoSpaceDE/>
        <w:autoSpaceDN/>
        <w:bidi w:val="0"/>
        <w:adjustRightInd/>
        <w:snapToGrid/>
        <w:spacing w:line="400" w:lineRule="exact"/>
        <w:ind w:firstLine="412" w:firstLineChars="196"/>
        <w:contextualSpacing/>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4C6E3FD7">
      <w:pPr>
        <w:pStyle w:val="20"/>
        <w:keepNext w:val="0"/>
        <w:keepLines w:val="0"/>
        <w:pageBreakBefore w:val="0"/>
        <w:widowControl w:val="0"/>
        <w:kinsoku/>
        <w:wordWrap/>
        <w:overflowPunct/>
        <w:topLinePunct w:val="0"/>
        <w:autoSpaceDE/>
        <w:autoSpaceDN/>
        <w:bidi w:val="0"/>
        <w:adjustRightInd/>
        <w:snapToGrid/>
        <w:spacing w:line="400" w:lineRule="exact"/>
        <w:ind w:firstLine="840" w:firstLineChars="400"/>
        <w:textAlignment w:val="auto"/>
        <w:rPr>
          <w:rFonts w:hint="eastAsia" w:hAnsi="宋体" w:cs="宋体"/>
          <w:color w:val="auto"/>
          <w:highlight w:val="none"/>
        </w:rPr>
      </w:pPr>
      <w:r>
        <w:rPr>
          <w:rFonts w:hint="eastAsia" w:hAnsi="宋体" w:cs="宋体"/>
          <w:color w:val="auto"/>
          <w:highlight w:val="none"/>
        </w:rPr>
        <w:t xml:space="preserve"> </w:t>
      </w:r>
    </w:p>
    <w:p w14:paraId="6B4A33C4">
      <w:pPr>
        <w:pStyle w:val="20"/>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eastAsia" w:hAnsi="宋体" w:cs="宋体"/>
          <w:color w:val="auto"/>
          <w:highlight w:val="none"/>
        </w:rPr>
      </w:pPr>
      <w:r>
        <w:rPr>
          <w:rFonts w:hint="eastAsia" w:hAnsi="宋体" w:cs="宋体"/>
          <w:color w:val="auto"/>
          <w:highlight w:val="none"/>
        </w:rPr>
        <w:t xml:space="preserve">                                    投标人名称（电子签章）:</w:t>
      </w:r>
      <w:r>
        <w:rPr>
          <w:rFonts w:hint="eastAsia" w:hAnsi="宋体" w:cs="宋体"/>
          <w:color w:val="auto"/>
          <w:spacing w:val="20"/>
          <w:highlight w:val="none"/>
          <w:u w:val="single"/>
        </w:rPr>
        <w:t xml:space="preserve">            </w:t>
      </w:r>
      <w:r>
        <w:rPr>
          <w:rFonts w:hint="eastAsia" w:hAnsi="宋体" w:cs="宋体"/>
          <w:color w:val="auto"/>
          <w:spacing w:val="20"/>
          <w:highlight w:val="none"/>
        </w:rPr>
        <w:t xml:space="preserve"> </w:t>
      </w:r>
    </w:p>
    <w:p w14:paraId="72A6EA7D">
      <w:pPr>
        <w:pStyle w:val="20"/>
        <w:keepNext w:val="0"/>
        <w:keepLines w:val="0"/>
        <w:pageBreakBefore w:val="0"/>
        <w:widowControl w:val="0"/>
        <w:kinsoku/>
        <w:wordWrap/>
        <w:overflowPunct/>
        <w:topLinePunct w:val="0"/>
        <w:autoSpaceDE/>
        <w:autoSpaceDN/>
        <w:bidi w:val="0"/>
        <w:adjustRightInd/>
        <w:snapToGrid/>
        <w:spacing w:line="400" w:lineRule="exact"/>
        <w:contextualSpacing/>
        <w:jc w:val="right"/>
        <w:textAlignment w:val="auto"/>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0CBAB06">
      <w:pPr>
        <w:snapToGrid w:val="0"/>
        <w:spacing w:before="120" w:beforeLines="50" w:after="50" w:line="360" w:lineRule="auto"/>
        <w:ind w:firstLine="471" w:firstLineChars="196"/>
        <w:jc w:val="left"/>
        <w:rPr>
          <w:rFonts w:hint="eastAsia"/>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2.投标保证金缴纳证明</w:t>
      </w:r>
    </w:p>
    <w:p w14:paraId="4EE84A06">
      <w:pPr>
        <w:spacing w:line="360" w:lineRule="auto"/>
        <w:jc w:val="center"/>
        <w:rPr>
          <w:rFonts w:hint="eastAsia" w:ascii="宋体" w:cs="宋体"/>
          <w:b/>
          <w:color w:val="auto"/>
          <w:sz w:val="36"/>
          <w:szCs w:val="36"/>
          <w:highlight w:val="none"/>
          <w:lang w:val="ru-RU"/>
        </w:rPr>
      </w:pPr>
    </w:p>
    <w:p w14:paraId="364D3B82">
      <w:pPr>
        <w:spacing w:line="360" w:lineRule="auto"/>
        <w:jc w:val="center"/>
        <w:rPr>
          <w:rFonts w:hint="eastAsia" w:ascii="宋体" w:cs="宋体"/>
          <w:b/>
          <w:color w:val="auto"/>
          <w:sz w:val="36"/>
          <w:szCs w:val="36"/>
          <w:highlight w:val="none"/>
        </w:rPr>
      </w:pPr>
      <w:r>
        <w:rPr>
          <w:rFonts w:hint="eastAsia" w:ascii="宋体" w:cs="宋体"/>
          <w:b/>
          <w:color w:val="auto"/>
          <w:sz w:val="36"/>
          <w:szCs w:val="36"/>
          <w:highlight w:val="none"/>
        </w:rPr>
        <w:t>保证金交款、退款函</w:t>
      </w:r>
    </w:p>
    <w:p w14:paraId="70825EE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广西建设工程机电设备招标中心有限公司</w:t>
      </w:r>
    </w:p>
    <w:p w14:paraId="399A17FC">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ascii="宋体" w:hAnsi="宋体"/>
          <w:color w:val="auto"/>
          <w:szCs w:val="21"/>
          <w:highlight w:val="none"/>
        </w:rPr>
      </w:pPr>
      <w:r>
        <w:rPr>
          <w:rFonts w:hint="eastAsia" w:ascii="宋体" w:hAnsi="宋体"/>
          <w:color w:val="auto"/>
          <w:szCs w:val="21"/>
          <w:highlight w:val="none"/>
        </w:rPr>
        <w:t>1.我方为</w:t>
      </w:r>
      <w:r>
        <w:rPr>
          <w:rFonts w:ascii="宋体" w:hAnsi="宋体"/>
          <w:color w:val="auto"/>
          <w:szCs w:val="21"/>
          <w:highlight w:val="none"/>
        </w:rPr>
        <w:t>____________(</w:t>
      </w:r>
      <w:r>
        <w:rPr>
          <w:rFonts w:hint="eastAsia" w:ascii="宋体" w:hAnsi="宋体"/>
          <w:color w:val="auto"/>
          <w:szCs w:val="21"/>
          <w:highlight w:val="none"/>
        </w:rPr>
        <w:t>项目名称</w:t>
      </w:r>
      <w:r>
        <w:rPr>
          <w:rFonts w:ascii="宋体" w:hAnsi="宋体"/>
          <w:color w:val="auto"/>
          <w:szCs w:val="21"/>
          <w:highlight w:val="none"/>
        </w:rPr>
        <w:t>)(</w:t>
      </w:r>
      <w:r>
        <w:rPr>
          <w:rFonts w:hint="eastAsia" w:ascii="宋体" w:hAnsi="宋体"/>
          <w:color w:val="auto"/>
          <w:szCs w:val="21"/>
          <w:highlight w:val="none"/>
        </w:rPr>
        <w:t>项目编号：</w:t>
      </w:r>
      <w:r>
        <w:rPr>
          <w:rFonts w:ascii="宋体" w:hAnsi="宋体"/>
          <w:color w:val="auto"/>
          <w:szCs w:val="21"/>
          <w:highlight w:val="none"/>
        </w:rPr>
        <w:t>________)</w:t>
      </w:r>
      <w:r>
        <w:rPr>
          <w:rFonts w:hint="eastAsia" w:ascii="宋体" w:hAnsi="宋体"/>
          <w:color w:val="auto"/>
          <w:szCs w:val="21"/>
          <w:highlight w:val="none"/>
        </w:rPr>
        <w:t>已于</w:t>
      </w:r>
      <w:r>
        <w:rPr>
          <w:rFonts w:ascii="宋体" w:hAnsi="宋体"/>
          <w:color w:val="auto"/>
          <w:szCs w:val="21"/>
          <w:highlight w:val="none"/>
        </w:rPr>
        <w:t>______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日以</w:t>
      </w:r>
      <w:r>
        <w:rPr>
          <w:rFonts w:hint="eastAsia" w:ascii="宋体" w:hAnsi="宋体"/>
          <w:color w:val="auto"/>
          <w:szCs w:val="21"/>
          <w:highlight w:val="none"/>
          <w:u w:val="single"/>
        </w:rPr>
        <w:t xml:space="preserve">         （银行转账、支票、汇票、本票或者金融、担保金融、担保机构出具的保函）</w:t>
      </w:r>
      <w:r>
        <w:rPr>
          <w:rFonts w:hint="eastAsia" w:ascii="宋体" w:hAnsi="宋体"/>
          <w:color w:val="auto"/>
          <w:szCs w:val="21"/>
          <w:highlight w:val="none"/>
        </w:rPr>
        <w:t>方式递交保证金人民币大写</w:t>
      </w:r>
      <w:r>
        <w:rPr>
          <w:rFonts w:ascii="宋体" w:hAnsi="宋体"/>
          <w:color w:val="auto"/>
          <w:szCs w:val="21"/>
          <w:highlight w:val="none"/>
        </w:rPr>
        <w:t>________(</w:t>
      </w:r>
      <w:r>
        <w:rPr>
          <w:rFonts w:hint="eastAsia" w:ascii="宋体" w:hAnsi="宋体"/>
          <w:color w:val="auto"/>
          <w:szCs w:val="21"/>
          <w:highlight w:val="none"/>
        </w:rPr>
        <w:t>¥       ）。</w:t>
      </w:r>
    </w:p>
    <w:p w14:paraId="69F9DB12">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2.退还保证金时请按以下内容划入我方账户：</w:t>
      </w:r>
    </w:p>
    <w:tbl>
      <w:tblPr>
        <w:tblStyle w:val="39"/>
        <w:tblW w:w="8940" w:type="dxa"/>
        <w:jc w:val="center"/>
        <w:tblLayout w:type="fixed"/>
        <w:tblCellMar>
          <w:top w:w="0" w:type="dxa"/>
          <w:left w:w="108" w:type="dxa"/>
          <w:bottom w:w="0" w:type="dxa"/>
          <w:right w:w="108" w:type="dxa"/>
        </w:tblCellMar>
      </w:tblPr>
      <w:tblGrid>
        <w:gridCol w:w="1355"/>
        <w:gridCol w:w="2394"/>
        <w:gridCol w:w="1984"/>
        <w:gridCol w:w="3207"/>
      </w:tblGrid>
      <w:tr w14:paraId="4B0BC43A">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6027E6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项目名称</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C92BA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71DB6A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项目编号</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19A003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867472B">
        <w:trPr>
          <w:trHeight w:val="65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2DB319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交款单位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68587B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4094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联系人及电话</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70300A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r>
      <w:tr w14:paraId="616F5DF8">
        <w:trPr>
          <w:trHeight w:val="74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516757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保证金金额</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3B529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w:t>
            </w:r>
          </w:p>
        </w:tc>
        <w:tc>
          <w:tcPr>
            <w:tcW w:w="5191"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33BD7277">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 xml:space="preserve">1. 若我单位未中标请采购人或采购代理机构于该项目中标通知书发出后5个工作日内将保证金退回原交款人。 </w:t>
            </w:r>
          </w:p>
          <w:p w14:paraId="4E176A37">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 xml:space="preserve">2. 若我单位中标，请采购人或采购代理机构收到我单位提交的合同后5个工作日内将保证金退回原交款人。                                     </w:t>
            </w:r>
          </w:p>
          <w:p w14:paraId="240AE055">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3.若因内容不全、错误、字迹潦草模糊导致该项目保证金未能及时退还或退还过程中发生错误，我方将承担全部责任和损失。</w:t>
            </w:r>
          </w:p>
          <w:p w14:paraId="0D9CCA74">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hint="eastAsia" w:hAnsi="宋体" w:cs="宋体"/>
                <w:color w:val="auto"/>
                <w:highlight w:val="none"/>
              </w:rPr>
            </w:pPr>
          </w:p>
          <w:p w14:paraId="65C774F8">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hAnsi="宋体" w:cs="宋体"/>
                <w:color w:val="auto"/>
                <w:highlight w:val="none"/>
              </w:rPr>
              <w:t>投标人名称</w:t>
            </w:r>
            <w:r>
              <w:rPr>
                <w:rFonts w:hint="eastAsia" w:ascii="宋体" w:hAnsi="宋体"/>
                <w:color w:val="auto"/>
                <w:szCs w:val="21"/>
                <w:highlight w:val="none"/>
              </w:rPr>
              <w:t>（电子签章）：</w:t>
            </w:r>
          </w:p>
          <w:p w14:paraId="1DA5C649">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ascii="宋体" w:hAnsi="宋体" w:cs="宋体"/>
                <w:bCs/>
                <w:color w:val="auto"/>
                <w:kern w:val="0"/>
                <w:szCs w:val="21"/>
                <w:highlight w:val="none"/>
              </w:rPr>
            </w:pPr>
            <w:r>
              <w:rPr>
                <w:rFonts w:hint="eastAsia" w:ascii="宋体" w:hAnsi="宋体"/>
                <w:color w:val="auto"/>
                <w:szCs w:val="21"/>
                <w:highlight w:val="none"/>
              </w:rPr>
              <w:t xml:space="preserve">                       年   月   日</w:t>
            </w:r>
            <w:r>
              <w:rPr>
                <w:rFonts w:hint="eastAsia" w:ascii="宋体" w:hAnsi="宋体" w:cs="宋体"/>
                <w:bCs/>
                <w:color w:val="auto"/>
                <w:kern w:val="0"/>
                <w:szCs w:val="21"/>
                <w:highlight w:val="none"/>
              </w:rPr>
              <w:t xml:space="preserve"> </w:t>
            </w:r>
          </w:p>
        </w:tc>
      </w:tr>
      <w:tr w14:paraId="167423EB">
        <w:trPr>
          <w:trHeight w:val="689" w:hRule="atLeast"/>
          <w:jc w:val="center"/>
        </w:trPr>
        <w:tc>
          <w:tcPr>
            <w:tcW w:w="3749" w:type="dxa"/>
            <w:gridSpan w:val="2"/>
            <w:tcBorders>
              <w:top w:val="single" w:color="auto" w:sz="4" w:space="0"/>
              <w:left w:val="single" w:color="auto" w:sz="4" w:space="0"/>
              <w:bottom w:val="single" w:color="auto" w:sz="4" w:space="0"/>
              <w:right w:val="single" w:color="auto" w:sz="4" w:space="0"/>
            </w:tcBorders>
            <w:noWrap w:val="0"/>
            <w:vAlign w:val="center"/>
          </w:tcPr>
          <w:p w14:paraId="16CC3F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退款信息</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F1278B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001255C9">
        <w:trPr>
          <w:trHeight w:val="74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2588671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户  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67DBBC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0E6212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1339619D">
        <w:trPr>
          <w:trHeight w:val="75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114309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账  号</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4790A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21DBF5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59258126">
        <w:trPr>
          <w:trHeight w:val="78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327D54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汇入地点</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0F986094">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省       市（县）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41EF5C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525AF894">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7A27B8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开户银行</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223B55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E9834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bl>
    <w:p w14:paraId="7B4EF03C">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p>
    <w:p w14:paraId="00017548">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3.投标保证金银行保函原件，请按以下信息寄回</w:t>
      </w:r>
    </w:p>
    <w:tbl>
      <w:tblPr>
        <w:tblStyle w:val="39"/>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072B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6104825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收件地址</w:t>
            </w:r>
          </w:p>
        </w:tc>
        <w:tc>
          <w:tcPr>
            <w:tcW w:w="5431" w:type="dxa"/>
            <w:noWrap w:val="0"/>
            <w:vAlign w:val="center"/>
          </w:tcPr>
          <w:p w14:paraId="67592D1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r w14:paraId="012A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124A25B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收件人</w:t>
            </w:r>
          </w:p>
        </w:tc>
        <w:tc>
          <w:tcPr>
            <w:tcW w:w="5431" w:type="dxa"/>
            <w:noWrap w:val="0"/>
            <w:vAlign w:val="center"/>
          </w:tcPr>
          <w:p w14:paraId="66219F7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r w14:paraId="6512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47B1E77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收件人手机号码</w:t>
            </w:r>
          </w:p>
        </w:tc>
        <w:tc>
          <w:tcPr>
            <w:tcW w:w="5431" w:type="dxa"/>
            <w:noWrap w:val="0"/>
            <w:vAlign w:val="center"/>
          </w:tcPr>
          <w:p w14:paraId="23F73E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bl>
    <w:p w14:paraId="6DE856B8">
      <w:pPr>
        <w:pStyle w:val="20"/>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Ansi="宋体"/>
          <w:color w:val="auto"/>
          <w:sz w:val="24"/>
          <w:szCs w:val="24"/>
          <w:highlight w:val="none"/>
        </w:rPr>
      </w:pPr>
    </w:p>
    <w:p w14:paraId="161D1F2A">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p>
    <w:p w14:paraId="014AC5E1">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附：银行出具的汇款单或转账凭证扫描件或保函扫描件。</w:t>
      </w:r>
    </w:p>
    <w:p w14:paraId="706F2186">
      <w:pPr>
        <w:rPr>
          <w:rFonts w:hint="eastAsia"/>
          <w:color w:val="auto"/>
          <w:highlight w:val="none"/>
        </w:rPr>
      </w:pPr>
    </w:p>
    <w:p w14:paraId="16E03044">
      <w:pPr>
        <w:spacing w:line="520" w:lineRule="exact"/>
        <w:ind w:left="239" w:leftChars="114" w:firstLine="6126" w:firstLineChars="2550"/>
        <w:jc w:val="left"/>
        <w:rPr>
          <w:rFonts w:hint="eastAsia" w:ascii="宋体" w:hAnsi="宋体" w:cs="宋体"/>
          <w:b/>
          <w:color w:val="auto"/>
          <w:kern w:val="0"/>
          <w:sz w:val="24"/>
          <w:highlight w:val="none"/>
        </w:rPr>
      </w:pPr>
    </w:p>
    <w:p w14:paraId="33B8897B">
      <w:pPr>
        <w:snapToGrid w:val="0"/>
        <w:spacing w:before="120" w:beforeLines="50" w:after="50"/>
        <w:ind w:firstLine="471"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3.法定代表人身份证明</w:t>
      </w:r>
    </w:p>
    <w:p w14:paraId="4BAECEAB">
      <w:pPr>
        <w:spacing w:before="240" w:beforeLines="100" w:after="120" w:afterLines="50"/>
        <w:ind w:left="540"/>
        <w:jc w:val="center"/>
        <w:rPr>
          <w:rFonts w:hint="eastAsia" w:ascii="宋体" w:hAnsi="宋体" w:cs="宋体"/>
          <w:b/>
          <w:color w:val="auto"/>
          <w:sz w:val="32"/>
          <w:szCs w:val="32"/>
          <w:highlight w:val="none"/>
        </w:rPr>
      </w:pPr>
    </w:p>
    <w:p w14:paraId="629D46BB">
      <w:pPr>
        <w:spacing w:before="240" w:beforeLines="100" w:after="120" w:afterLines="50"/>
        <w:ind w:left="54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法定代表人身份证明</w:t>
      </w:r>
    </w:p>
    <w:p w14:paraId="234218E7">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p>
    <w:p w14:paraId="40F72481">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4B2D3CD">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p>
    <w:p w14:paraId="6C5C73EA">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p>
    <w:p w14:paraId="1DE8B7C8">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3AA769F">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0FA08873">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特此证明。</w:t>
      </w:r>
    </w:p>
    <w:p w14:paraId="316F67A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3B3C32C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2E88665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附件：法定代表人有效身份证正反面复印件</w:t>
      </w:r>
    </w:p>
    <w:p w14:paraId="32C2A9EC">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2855C1A3">
      <w:pPr>
        <w:keepNext w:val="0"/>
        <w:keepLines w:val="0"/>
        <w:pageBreakBefore w:val="0"/>
        <w:widowControl w:val="0"/>
        <w:kinsoku/>
        <w:wordWrap/>
        <w:overflowPunct/>
        <w:topLinePunct w:val="0"/>
        <w:autoSpaceDE/>
        <w:autoSpaceDN/>
        <w:bidi w:val="0"/>
        <w:adjustRightInd/>
        <w:spacing w:line="400" w:lineRule="exact"/>
        <w:ind w:right="420" w:firstLine="4620" w:firstLineChars="2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180E7230">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left="540" w:right="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204ABA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p>
    <w:p w14:paraId="52067E4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66CAB43A">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4.授权委托书格式</w:t>
      </w:r>
    </w:p>
    <w:p w14:paraId="1C4BCE88">
      <w:pPr>
        <w:snapToGrid w:val="0"/>
        <w:spacing w:before="120" w:beforeLines="50" w:after="5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授权委托书</w:t>
      </w:r>
    </w:p>
    <w:p w14:paraId="524FD4D3">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（非联合体投标格式）</w:t>
      </w:r>
    </w:p>
    <w:p w14:paraId="7D3EC16A">
      <w:pPr>
        <w:snapToGrid w:val="0"/>
        <w:spacing w:before="120" w:beforeLines="50" w:after="50"/>
        <w:jc w:val="center"/>
        <w:rPr>
          <w:rFonts w:hint="eastAsia" w:ascii="宋体" w:hAnsi="宋体" w:cs="宋体"/>
          <w:b/>
          <w:color w:val="auto"/>
          <w:sz w:val="24"/>
          <w:highlight w:val="none"/>
        </w:rPr>
      </w:pPr>
      <w:r>
        <w:rPr>
          <w:rFonts w:hint="eastAsia" w:ascii="宋体" w:hAnsi="宋体" w:cs="宋体"/>
          <w:b/>
          <w:color w:val="auto"/>
          <w:sz w:val="32"/>
          <w:szCs w:val="32"/>
          <w:highlight w:val="none"/>
        </w:rPr>
        <w:t>（如有委托时）</w:t>
      </w:r>
    </w:p>
    <w:p w14:paraId="7F9E673F">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1952A81A">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13D942CB">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我方对委托代理人的签字或者电子签名事项负全部责任。</w:t>
      </w:r>
    </w:p>
    <w:p w14:paraId="278B7805">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7A825AD0">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3D5DE1EA">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附：法定代表人身份证明及委托代理人有效身份证正反面复印件</w:t>
      </w:r>
    </w:p>
    <w:p w14:paraId="3D3092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p>
    <w:p w14:paraId="15BC66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062E4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r>
        <w:rPr>
          <w:rFonts w:hint="eastAsia" w:ascii="宋体" w:hAnsi="宋体" w:cs="宋体"/>
          <w:color w:val="auto"/>
          <w:szCs w:val="21"/>
          <w:highlight w:val="none"/>
          <w:u w:val="single"/>
        </w:rPr>
        <w:t xml:space="preserve">                             </w:t>
      </w:r>
    </w:p>
    <w:p w14:paraId="75EC1FB7">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r>
        <w:rPr>
          <w:rFonts w:hint="eastAsia" w:ascii="宋体" w:hAnsi="宋体" w:cs="宋体"/>
          <w:color w:val="auto"/>
          <w:szCs w:val="21"/>
          <w:highlight w:val="none"/>
          <w:u w:val="single"/>
        </w:rPr>
        <w:t xml:space="preserve">              </w:t>
      </w:r>
    </w:p>
    <w:p w14:paraId="592CDE15">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4D10CF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5B00A977">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left="540" w:right="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4E61026">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宋体"/>
          <w:color w:val="auto"/>
          <w:szCs w:val="21"/>
          <w:highlight w:val="none"/>
        </w:rPr>
      </w:pPr>
    </w:p>
    <w:p w14:paraId="0A9E25C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注：1.</w:t>
      </w:r>
      <w:bookmarkStart w:id="265" w:name="_Hlk65851555"/>
      <w:bookmarkStart w:id="266" w:name="_Hlk65851620"/>
      <w:r>
        <w:rPr>
          <w:rFonts w:hint="eastAsia" w:ascii="宋体" w:hAnsi="宋体" w:cs="宋体"/>
          <w:color w:val="auto"/>
          <w:szCs w:val="21"/>
          <w:highlight w:val="none"/>
        </w:rPr>
        <w:t>法定代表人必须在授权委托书上签字或者盖章或者电子签名，</w:t>
      </w:r>
      <w:bookmarkEnd w:id="265"/>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266"/>
    </w:p>
    <w:p w14:paraId="7787FC3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7D31BEDF">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firstLine="566" w:firstLineChars="236"/>
        <w:jc w:val="center"/>
        <w:textAlignment w:val="auto"/>
        <w:rPr>
          <w:rFonts w:hint="eastAsia" w:ascii="宋体" w:hAnsi="宋体" w:cs="宋体"/>
          <w:b/>
          <w:color w:val="auto"/>
          <w:sz w:val="30"/>
          <w:szCs w:val="30"/>
          <w:highlight w:val="none"/>
        </w:rPr>
      </w:pPr>
      <w:r>
        <w:rPr>
          <w:rFonts w:hint="eastAsia" w:ascii="宋体" w:hAnsi="宋体" w:cs="宋体"/>
          <w:color w:val="auto"/>
          <w:sz w:val="24"/>
          <w:highlight w:val="none"/>
        </w:rPr>
        <w:br w:type="page"/>
      </w:r>
      <w:r>
        <w:rPr>
          <w:rFonts w:hint="eastAsia" w:ascii="宋体" w:hAnsi="宋体" w:cs="宋体"/>
          <w:b/>
          <w:color w:val="auto"/>
          <w:sz w:val="30"/>
          <w:szCs w:val="30"/>
          <w:highlight w:val="none"/>
        </w:rPr>
        <w:t>授权委托书</w:t>
      </w:r>
    </w:p>
    <w:p w14:paraId="6FD3A827">
      <w:pPr>
        <w:snapToGrid w:val="0"/>
        <w:spacing w:before="120" w:beforeLines="50" w:after="50"/>
        <w:ind w:firstLine="756" w:firstLineChars="236"/>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（联合体投标格式）</w:t>
      </w:r>
    </w:p>
    <w:p w14:paraId="4E9A35E5">
      <w:pPr>
        <w:snapToGrid w:val="0"/>
        <w:spacing w:before="120" w:beforeLines="50" w:after="50"/>
        <w:ind w:firstLine="756" w:firstLineChars="236"/>
        <w:jc w:val="center"/>
        <w:rPr>
          <w:rFonts w:hint="eastAsia" w:ascii="宋体" w:hAnsi="宋体" w:cs="宋体"/>
          <w:color w:val="auto"/>
          <w:sz w:val="24"/>
          <w:highlight w:val="none"/>
        </w:rPr>
      </w:pPr>
      <w:r>
        <w:rPr>
          <w:rFonts w:hint="eastAsia" w:ascii="宋体" w:hAnsi="宋体" w:cs="宋体"/>
          <w:b/>
          <w:bCs/>
          <w:color w:val="auto"/>
          <w:sz w:val="32"/>
          <w:szCs w:val="32"/>
          <w:highlight w:val="none"/>
        </w:rPr>
        <w:t>（如有委托时）</w:t>
      </w:r>
    </w:p>
    <w:p w14:paraId="25B1E52F">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13410334">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根据 </w:t>
      </w:r>
      <w:r>
        <w:rPr>
          <w:rFonts w:hint="eastAsia" w:ascii="宋体" w:hAnsi="宋体" w:cs="宋体"/>
          <w:color w:val="auto"/>
          <w:szCs w:val="21"/>
          <w:highlight w:val="none"/>
          <w:u w:val="single"/>
        </w:rPr>
        <w:t xml:space="preserve"> （牵头人名称）</w:t>
      </w:r>
      <w:r>
        <w:rPr>
          <w:rFonts w:hint="eastAsia" w:ascii="宋体" w:hAnsi="宋体" w:cs="宋体"/>
          <w:color w:val="auto"/>
          <w:szCs w:val="21"/>
          <w:highlight w:val="none"/>
        </w:rPr>
        <w:t>与</w:t>
      </w:r>
      <w:r>
        <w:rPr>
          <w:rFonts w:hint="eastAsia" w:ascii="宋体" w:hAnsi="宋体" w:cs="宋体"/>
          <w:color w:val="auto"/>
          <w:szCs w:val="21"/>
          <w:highlight w:val="none"/>
          <w:u w:val="single"/>
        </w:rPr>
        <w:t>（联合体其他成员名称）</w:t>
      </w:r>
      <w:r>
        <w:rPr>
          <w:rFonts w:hint="eastAsia" w:ascii="宋体" w:hAnsi="宋体" w:cs="宋体"/>
          <w:color w:val="auto"/>
          <w:szCs w:val="21"/>
          <w:highlight w:val="none"/>
        </w:rPr>
        <w:t>签订的《联合体投标协议书》的内容，</w:t>
      </w:r>
      <w:r>
        <w:rPr>
          <w:rFonts w:hint="eastAsia" w:ascii="宋体" w:hAnsi="宋体" w:cs="宋体"/>
          <w:color w:val="auto"/>
          <w:szCs w:val="21"/>
          <w:highlight w:val="none"/>
          <w:u w:val="single"/>
        </w:rPr>
        <w:t>（牵头人名称）</w:t>
      </w:r>
      <w:r>
        <w:rPr>
          <w:rFonts w:hint="eastAsia" w:ascii="宋体" w:hAnsi="宋体" w:cs="宋体"/>
          <w:color w:val="auto"/>
          <w:szCs w:val="21"/>
          <w:highlight w:val="none"/>
        </w:rPr>
        <w:t>的法定代表人</w:t>
      </w:r>
      <w:r>
        <w:rPr>
          <w:rFonts w:hint="eastAsia" w:ascii="宋体" w:hAnsi="宋体" w:cs="宋体"/>
          <w:color w:val="auto"/>
          <w:szCs w:val="21"/>
          <w:highlight w:val="none"/>
          <w:u w:val="single"/>
        </w:rPr>
        <w:t>（姓名）</w:t>
      </w:r>
      <w:r>
        <w:rPr>
          <w:rFonts w:hint="eastAsia" w:ascii="宋体" w:hAnsi="宋体" w:cs="宋体"/>
          <w:color w:val="auto"/>
          <w:szCs w:val="21"/>
          <w:highlight w:val="none"/>
        </w:rPr>
        <w:t>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7E36C04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bookmarkStart w:id="267" w:name="_Hlk65852658"/>
      <w:r>
        <w:rPr>
          <w:rFonts w:hint="eastAsia" w:ascii="宋体" w:hAnsi="宋体" w:cs="宋体"/>
          <w:color w:val="auto"/>
          <w:szCs w:val="21"/>
          <w:highlight w:val="none"/>
        </w:rPr>
        <w:t>我方对委托代理人的签字或者电子签名事项负全部责任。</w:t>
      </w:r>
    </w:p>
    <w:p w14:paraId="04969BE3">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3E1AA23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60E77D35">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附：牵头人法定代表人身份证明及委托代理人有效身份证正反面复印件</w:t>
      </w:r>
    </w:p>
    <w:p w14:paraId="357AFC27">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p>
    <w:p w14:paraId="286C489B">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牵头人法定代表人（签字或者盖章或者电子签名）：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370D9E2F">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牵头人（电子签章）：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0EB9D35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7454EF81">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p>
    <w:p w14:paraId="0282D610">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被授权人（签字或者电子签名）：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6F2656C5">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684E375C">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注：1.法定代表人必须在授权委托书上签字或者盖章或者电子签名，委托代理人必须在授权委托书上签字或者电子签名，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p>
    <w:p w14:paraId="3104B8DE">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 w:val="24"/>
          <w:highlight w:val="none"/>
        </w:rPr>
      </w:pPr>
      <w:r>
        <w:rPr>
          <w:rFonts w:hint="eastAsia" w:ascii="宋体" w:hAnsi="宋体" w:cs="宋体"/>
          <w:color w:val="auto"/>
          <w:szCs w:val="21"/>
          <w:highlight w:val="none"/>
        </w:rPr>
        <w:t>2.法人、其他组织投标时“我方”是指“我单位”，自然人投标时“我方”是指“本人”。</w:t>
      </w:r>
    </w:p>
    <w:p w14:paraId="4A947FD9">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 w:val="24"/>
          <w:highlight w:val="none"/>
        </w:rPr>
      </w:pPr>
    </w:p>
    <w:bookmarkEnd w:id="267"/>
    <w:p w14:paraId="79FF367D">
      <w:pPr>
        <w:keepNext w:val="0"/>
        <w:keepLines w:val="0"/>
        <w:pageBreakBefore w:val="0"/>
        <w:widowControl w:val="0"/>
        <w:kinsoku/>
        <w:wordWrap/>
        <w:overflowPunct/>
        <w:topLinePunct w:val="0"/>
        <w:autoSpaceDE/>
        <w:autoSpaceDN/>
        <w:bidi w:val="0"/>
        <w:adjustRightInd/>
        <w:snapToGrid w:val="0"/>
        <w:spacing w:before="50" w:after="120" w:afterLines="50" w:line="400" w:lineRule="exact"/>
        <w:ind w:firstLine="480" w:firstLineChars="200"/>
        <w:jc w:val="left"/>
        <w:textAlignment w:val="auto"/>
        <w:rPr>
          <w:rFonts w:hint="eastAsia" w:ascii="宋体" w:hAnsi="宋体" w:cs="宋体"/>
          <w:color w:val="auto"/>
          <w:sz w:val="24"/>
          <w:highlight w:val="none"/>
        </w:rPr>
        <w:sectPr>
          <w:footerReference r:id="rId10" w:type="first"/>
          <w:footerReference r:id="rId9" w:type="default"/>
          <w:pgSz w:w="11906" w:h="16838"/>
          <w:pgMar w:top="1440" w:right="1803" w:bottom="1440" w:left="1803" w:header="850" w:footer="850" w:gutter="0"/>
          <w:pgNumType w:fmt="decimal"/>
          <w:cols w:space="720" w:num="1"/>
          <w:docGrid w:linePitch="312" w:charSpace="0"/>
        </w:sectPr>
      </w:pPr>
    </w:p>
    <w:p w14:paraId="6897B251">
      <w:pPr>
        <w:rPr>
          <w:rFonts w:hint="eastAsia" w:ascii="宋体" w:hAnsi="宋体" w:cs="宋体"/>
          <w:color w:val="auto"/>
          <w:sz w:val="24"/>
          <w:highlight w:val="none"/>
        </w:rPr>
      </w:pPr>
    </w:p>
    <w:p w14:paraId="6535FF51">
      <w:pPr>
        <w:rPr>
          <w:rFonts w:hint="eastAsia" w:ascii="宋体" w:hAnsi="宋体" w:cs="宋体"/>
          <w:b/>
          <w:color w:val="auto"/>
          <w:sz w:val="24"/>
          <w:szCs w:val="20"/>
          <w:highlight w:val="none"/>
        </w:rPr>
      </w:pPr>
      <w:r>
        <w:rPr>
          <w:rFonts w:hint="eastAsia" w:ascii="宋体" w:hAnsi="宋体" w:cs="宋体"/>
          <w:b/>
          <w:color w:val="auto"/>
          <w:sz w:val="24"/>
          <w:highlight w:val="none"/>
        </w:rPr>
        <w:t>5.商务要求偏离表格式（注：按项目需求表具体项目修改）</w:t>
      </w:r>
    </w:p>
    <w:p w14:paraId="46C1C423">
      <w:pPr>
        <w:snapToGrid w:val="0"/>
        <w:spacing w:before="50"/>
        <w:jc w:val="left"/>
        <w:rPr>
          <w:rFonts w:hint="eastAsia" w:ascii="宋体" w:hAnsi="宋体" w:cs="宋体"/>
          <w:color w:val="auto"/>
          <w:sz w:val="24"/>
          <w:highlight w:val="none"/>
        </w:rPr>
      </w:pPr>
    </w:p>
    <w:p w14:paraId="05164BB9">
      <w:pPr>
        <w:pStyle w:val="20"/>
        <w:spacing w:line="440" w:lineRule="exact"/>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p w14:paraId="3CB2E376">
      <w:pPr>
        <w:snapToGrid w:val="0"/>
        <w:spacing w:before="50" w:line="440" w:lineRule="exact"/>
        <w:jc w:val="left"/>
        <w:rPr>
          <w:rFonts w:hint="eastAsia" w:ascii="宋体" w:hAnsi="宋体" w:cs="宋体"/>
          <w:color w:val="auto"/>
          <w:szCs w:val="21"/>
          <w:highlight w:val="none"/>
          <w:u w:val="single"/>
        </w:rPr>
      </w:pPr>
    </w:p>
    <w:tbl>
      <w:tblPr>
        <w:tblStyle w:val="39"/>
        <w:tblW w:w="0" w:type="auto"/>
        <w:tblInd w:w="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3"/>
        <w:gridCol w:w="2776"/>
        <w:gridCol w:w="1760"/>
        <w:gridCol w:w="2853"/>
      </w:tblGrid>
      <w:tr w14:paraId="457DA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853" w:type="dxa"/>
            <w:tcBorders>
              <w:top w:val="single" w:color="auto" w:sz="4" w:space="0"/>
              <w:left w:val="single" w:color="auto" w:sz="4" w:space="0"/>
              <w:bottom w:val="single" w:color="auto" w:sz="4" w:space="0"/>
              <w:right w:val="single" w:color="auto" w:sz="4" w:space="0"/>
            </w:tcBorders>
            <w:noWrap w:val="0"/>
            <w:vAlign w:val="top"/>
          </w:tcPr>
          <w:p w14:paraId="3E5F2B3A">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52BD6685">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3F33B55F">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853" w:type="dxa"/>
            <w:tcBorders>
              <w:top w:val="single" w:color="auto" w:sz="4" w:space="0"/>
              <w:left w:val="single" w:color="auto" w:sz="4" w:space="0"/>
              <w:bottom w:val="single" w:color="auto" w:sz="4" w:space="0"/>
              <w:right w:val="single" w:color="auto" w:sz="4" w:space="0"/>
            </w:tcBorders>
            <w:noWrap w:val="0"/>
            <w:vAlign w:val="top"/>
          </w:tcPr>
          <w:p w14:paraId="6E983B03">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7655B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9" w:hRule="atLeast"/>
        </w:trPr>
        <w:tc>
          <w:tcPr>
            <w:tcW w:w="1853" w:type="dxa"/>
            <w:tcBorders>
              <w:top w:val="single" w:color="auto" w:sz="4" w:space="0"/>
              <w:left w:val="single" w:color="auto" w:sz="4" w:space="0"/>
              <w:bottom w:val="single" w:color="auto" w:sz="4" w:space="0"/>
              <w:right w:val="single" w:color="auto" w:sz="4" w:space="0"/>
            </w:tcBorders>
            <w:noWrap w:val="0"/>
            <w:vAlign w:val="center"/>
          </w:tcPr>
          <w:p w14:paraId="35B0D37F">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32E71C79">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DE4C10E">
            <w:pPr>
              <w:snapToGrid w:val="0"/>
              <w:spacing w:before="120" w:beforeLines="50" w:line="440" w:lineRule="exact"/>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2B488140">
            <w:pPr>
              <w:snapToGrid w:val="0"/>
              <w:spacing w:before="120" w:beforeLines="50" w:line="440" w:lineRule="exact"/>
              <w:jc w:val="center"/>
              <w:rPr>
                <w:rFonts w:hint="eastAsia" w:ascii="宋体" w:hAnsi="宋体" w:cs="宋体"/>
                <w:color w:val="auto"/>
                <w:szCs w:val="21"/>
                <w:highlight w:val="none"/>
              </w:rPr>
            </w:pPr>
          </w:p>
        </w:tc>
      </w:tr>
      <w:tr w14:paraId="3408A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8" w:hRule="atLeast"/>
        </w:trPr>
        <w:tc>
          <w:tcPr>
            <w:tcW w:w="1853" w:type="dxa"/>
            <w:tcBorders>
              <w:top w:val="single" w:color="auto" w:sz="4" w:space="0"/>
              <w:left w:val="single" w:color="auto" w:sz="4" w:space="0"/>
              <w:bottom w:val="single" w:color="auto" w:sz="4" w:space="0"/>
              <w:right w:val="single" w:color="auto" w:sz="4" w:space="0"/>
            </w:tcBorders>
            <w:noWrap w:val="0"/>
            <w:vAlign w:val="center"/>
          </w:tcPr>
          <w:p w14:paraId="0D9137FD">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4050FF37">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E341F0D">
            <w:pPr>
              <w:snapToGrid w:val="0"/>
              <w:spacing w:before="120" w:beforeLines="50" w:line="440" w:lineRule="exact"/>
              <w:ind w:left="43"/>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4AC652E4">
            <w:pPr>
              <w:snapToGrid w:val="0"/>
              <w:spacing w:before="120" w:beforeLines="50" w:line="440" w:lineRule="exact"/>
              <w:ind w:left="43"/>
              <w:jc w:val="center"/>
              <w:rPr>
                <w:rFonts w:hint="eastAsia" w:ascii="宋体" w:hAnsi="宋体" w:cs="宋体"/>
                <w:color w:val="auto"/>
                <w:szCs w:val="21"/>
                <w:highlight w:val="none"/>
              </w:rPr>
            </w:pPr>
          </w:p>
        </w:tc>
      </w:tr>
      <w:tr w14:paraId="074C2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53" w:type="dxa"/>
            <w:tcBorders>
              <w:top w:val="single" w:color="auto" w:sz="4" w:space="0"/>
              <w:left w:val="single" w:color="auto" w:sz="4" w:space="0"/>
              <w:bottom w:val="single" w:color="auto" w:sz="4" w:space="0"/>
              <w:right w:val="single" w:color="auto" w:sz="4" w:space="0"/>
            </w:tcBorders>
            <w:noWrap w:val="0"/>
            <w:vAlign w:val="top"/>
          </w:tcPr>
          <w:p w14:paraId="2E82048A">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6DF281E4">
            <w:pPr>
              <w:snapToGrid w:val="0"/>
              <w:spacing w:before="120" w:beforeLines="50" w:line="44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4F71C6E1">
            <w:pPr>
              <w:snapToGrid w:val="0"/>
              <w:spacing w:before="120" w:beforeLines="50" w:line="440" w:lineRule="exact"/>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709542B3">
            <w:pPr>
              <w:snapToGrid w:val="0"/>
              <w:spacing w:before="120" w:beforeLines="50" w:line="440" w:lineRule="exact"/>
              <w:jc w:val="center"/>
              <w:rPr>
                <w:rFonts w:hint="eastAsia" w:ascii="宋体" w:hAnsi="宋体" w:cs="宋体"/>
                <w:color w:val="auto"/>
                <w:szCs w:val="21"/>
                <w:highlight w:val="none"/>
              </w:rPr>
            </w:pPr>
          </w:p>
        </w:tc>
      </w:tr>
    </w:tbl>
    <w:p w14:paraId="3C1F2DC3">
      <w:pPr>
        <w:pStyle w:val="15"/>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37BF010D">
      <w:pPr>
        <w:pStyle w:val="16"/>
        <w:keepNext w:val="0"/>
        <w:keepLines w:val="0"/>
        <w:pageBreakBefore w:val="0"/>
        <w:widowControl w:val="0"/>
        <w:kinsoku/>
        <w:wordWrap/>
        <w:overflowPunct/>
        <w:topLinePunct w:val="0"/>
        <w:autoSpaceDE/>
        <w:autoSpaceDN/>
        <w:bidi w:val="0"/>
        <w:adjustRightInd/>
        <w:spacing w:line="400" w:lineRule="exact"/>
        <w:ind w:firstLine="0"/>
        <w:textAlignment w:val="auto"/>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采购需求”中的商务要求逐条作明确的投标响应，并作出偏离说明。</w:t>
      </w:r>
    </w:p>
    <w:p w14:paraId="206FE657">
      <w:pPr>
        <w:pStyle w:val="15"/>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59490AD1">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zCs w:val="21"/>
          <w:highlight w:val="none"/>
        </w:rPr>
      </w:pPr>
    </w:p>
    <w:p w14:paraId="3BC2C683">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zCs w:val="21"/>
          <w:highlight w:val="none"/>
        </w:rPr>
      </w:pPr>
    </w:p>
    <w:p w14:paraId="68B0086A">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1078BC15">
      <w:pPr>
        <w:keepNext w:val="0"/>
        <w:keepLines w:val="0"/>
        <w:pageBreakBefore w:val="0"/>
        <w:widowControl w:val="0"/>
        <w:kinsoku/>
        <w:wordWrap/>
        <w:overflowPunct/>
        <w:topLinePunct w:val="0"/>
        <w:autoSpaceDE/>
        <w:autoSpaceDN/>
        <w:bidi w:val="0"/>
        <w:adjustRightInd/>
        <w:snapToGrid w:val="0"/>
        <w:spacing w:before="120" w:beforeLines="50" w:line="400" w:lineRule="exact"/>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53503A86">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right="920"/>
        <w:textAlignment w:val="auto"/>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3AD188D">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p>
    <w:p w14:paraId="704E753F">
      <w:pPr>
        <w:snapToGrid w:val="0"/>
        <w:spacing w:before="120" w:beforeLines="50" w:line="440" w:lineRule="exact"/>
        <w:rPr>
          <w:rFonts w:hint="eastAsia" w:ascii="宋体" w:hAnsi="宋体" w:cs="宋体"/>
          <w:color w:val="auto"/>
          <w:szCs w:val="21"/>
          <w:highlight w:val="none"/>
        </w:rPr>
      </w:pPr>
    </w:p>
    <w:p w14:paraId="3E49E625">
      <w:pPr>
        <w:snapToGrid w:val="0"/>
        <w:spacing w:before="120" w:beforeLines="50"/>
        <w:rPr>
          <w:rFonts w:hint="eastAsia" w:ascii="宋体" w:hAnsi="宋体" w:cs="宋体"/>
          <w:color w:val="auto"/>
          <w:sz w:val="24"/>
          <w:szCs w:val="20"/>
          <w:highlight w:val="none"/>
        </w:rPr>
      </w:pPr>
    </w:p>
    <w:p w14:paraId="5C6D84C7">
      <w:pPr>
        <w:snapToGrid w:val="0"/>
        <w:spacing w:before="120" w:beforeLines="50" w:after="50"/>
        <w:jc w:val="left"/>
        <w:rPr>
          <w:rFonts w:hint="eastAsia" w:ascii="宋体" w:hAnsi="宋体" w:cs="宋体"/>
          <w:color w:val="auto"/>
          <w:sz w:val="24"/>
          <w:szCs w:val="20"/>
          <w:highlight w:val="none"/>
        </w:rPr>
        <w:sectPr>
          <w:footerReference r:id="rId14" w:type="first"/>
          <w:headerReference r:id="rId11" w:type="default"/>
          <w:footerReference r:id="rId12" w:type="default"/>
          <w:footerReference r:id="rId13" w:type="even"/>
          <w:pgSz w:w="11906" w:h="16838"/>
          <w:pgMar w:top="1134" w:right="1247" w:bottom="1134" w:left="1417" w:header="850" w:footer="850" w:gutter="0"/>
          <w:pgNumType w:fmt="decimal"/>
          <w:cols w:space="720" w:num="1"/>
          <w:titlePg/>
          <w:docGrid w:linePitch="312" w:charSpace="0"/>
        </w:sectPr>
      </w:pPr>
    </w:p>
    <w:p w14:paraId="696EB727">
      <w:pPr>
        <w:snapToGrid w:val="0"/>
        <w:spacing w:before="165"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t>6.投标人业绩证明材料</w:t>
      </w:r>
    </w:p>
    <w:p w14:paraId="7139FDFC">
      <w:pPr>
        <w:pStyle w:val="29"/>
        <w:snapToGrid w:val="0"/>
        <w:ind w:left="480" w:hanging="480"/>
        <w:rPr>
          <w:rFonts w:hint="eastAsia" w:ascii="宋体" w:hAnsi="宋体" w:cs="宋体"/>
          <w:color w:val="auto"/>
          <w:sz w:val="24"/>
          <w:highlight w:val="none"/>
        </w:rPr>
      </w:pPr>
    </w:p>
    <w:p w14:paraId="3BA48A99">
      <w:pPr>
        <w:pStyle w:val="29"/>
        <w:snapToGrid w:val="0"/>
        <w:spacing w:line="440" w:lineRule="exact"/>
        <w:ind w:left="600" w:hanging="600"/>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 xml:space="preserve">投标人业绩情况一览表格式 </w:t>
      </w:r>
    </w:p>
    <w:tbl>
      <w:tblPr>
        <w:tblStyle w:val="3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65"/>
        <w:gridCol w:w="1963"/>
        <w:gridCol w:w="1963"/>
        <w:gridCol w:w="3167"/>
      </w:tblGrid>
      <w:tr w14:paraId="47CD5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0F0B6D78">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77B3A5D9">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182F6683">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p w14:paraId="23BFC3F9">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7D391A7F">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采购人联系人及</w:t>
            </w:r>
          </w:p>
          <w:p w14:paraId="135E7B5A">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2DBED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F29E96E">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A17196B">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098F388">
            <w:pPr>
              <w:spacing w:line="440" w:lineRule="exact"/>
              <w:jc w:val="left"/>
              <w:rPr>
                <w:rFonts w:hint="eastAsia" w:ascii="宋体" w:hAnsi="宋体" w:cs="宋体"/>
                <w:color w:val="auto"/>
                <w:szCs w:val="21"/>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0DF06A9">
            <w:pPr>
              <w:spacing w:line="440" w:lineRule="exact"/>
              <w:jc w:val="left"/>
              <w:rPr>
                <w:rFonts w:hint="eastAsia" w:ascii="宋体" w:hAnsi="宋体" w:cs="宋体"/>
                <w:color w:val="auto"/>
                <w:szCs w:val="21"/>
                <w:highlight w:val="none"/>
              </w:rPr>
            </w:pPr>
          </w:p>
        </w:tc>
      </w:tr>
      <w:tr w14:paraId="2230B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4DE22938">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E89CB97">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08BDDEE">
            <w:pPr>
              <w:snapToGrid w:val="0"/>
              <w:spacing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771466E">
            <w:pPr>
              <w:snapToGrid w:val="0"/>
              <w:spacing w:line="440" w:lineRule="exact"/>
              <w:jc w:val="left"/>
              <w:rPr>
                <w:rFonts w:hint="eastAsia" w:ascii="宋体" w:hAnsi="宋体" w:cs="宋体"/>
                <w:color w:val="auto"/>
                <w:szCs w:val="21"/>
                <w:highlight w:val="none"/>
              </w:rPr>
            </w:pPr>
          </w:p>
        </w:tc>
      </w:tr>
      <w:tr w14:paraId="39961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7587AC88">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29FE064">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76E99E8">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216E56A">
            <w:pPr>
              <w:snapToGrid w:val="0"/>
              <w:spacing w:before="50" w:after="165" w:afterLines="50" w:line="440" w:lineRule="exact"/>
              <w:jc w:val="left"/>
              <w:rPr>
                <w:rFonts w:hint="eastAsia" w:ascii="宋体" w:hAnsi="宋体" w:cs="宋体"/>
                <w:color w:val="auto"/>
                <w:szCs w:val="21"/>
                <w:highlight w:val="none"/>
              </w:rPr>
            </w:pPr>
          </w:p>
        </w:tc>
      </w:tr>
      <w:tr w14:paraId="1B2B9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2E6E745D">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EB29FA1">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3A306F3">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07A8A0E3">
            <w:pPr>
              <w:snapToGrid w:val="0"/>
              <w:spacing w:before="50" w:after="165" w:afterLines="50" w:line="440" w:lineRule="exact"/>
              <w:jc w:val="left"/>
              <w:rPr>
                <w:rFonts w:hint="eastAsia" w:ascii="宋体" w:hAnsi="宋体" w:cs="宋体"/>
                <w:color w:val="auto"/>
                <w:szCs w:val="21"/>
                <w:highlight w:val="none"/>
              </w:rPr>
            </w:pPr>
          </w:p>
        </w:tc>
      </w:tr>
      <w:tr w14:paraId="50075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550626C0">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DC2C229">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CF13017">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A1CA097">
            <w:pPr>
              <w:snapToGrid w:val="0"/>
              <w:spacing w:before="50" w:after="165" w:afterLines="50" w:line="440" w:lineRule="exact"/>
              <w:jc w:val="left"/>
              <w:rPr>
                <w:rFonts w:hint="eastAsia" w:ascii="宋体" w:hAnsi="宋体" w:cs="宋体"/>
                <w:color w:val="auto"/>
                <w:szCs w:val="21"/>
                <w:highlight w:val="none"/>
              </w:rPr>
            </w:pPr>
          </w:p>
        </w:tc>
      </w:tr>
      <w:tr w14:paraId="72680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36644257">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75153E4">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5FF4EB9">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183888D">
            <w:pPr>
              <w:snapToGrid w:val="0"/>
              <w:spacing w:before="50" w:after="165" w:afterLines="50" w:line="440" w:lineRule="exact"/>
              <w:jc w:val="left"/>
              <w:rPr>
                <w:rFonts w:hint="eastAsia" w:ascii="宋体" w:hAnsi="宋体" w:cs="宋体"/>
                <w:color w:val="auto"/>
                <w:szCs w:val="21"/>
                <w:highlight w:val="none"/>
              </w:rPr>
            </w:pPr>
          </w:p>
        </w:tc>
      </w:tr>
    </w:tbl>
    <w:p w14:paraId="70D6FBA8">
      <w:pPr>
        <w:pStyle w:val="11"/>
        <w:spacing w:before="0" w:after="0" w:line="440" w:lineRule="exact"/>
        <w:contextualSpacing/>
        <w:rPr>
          <w:rFonts w:hint="eastAsia" w:ascii="宋体" w:hAnsi="宋体" w:eastAsia="宋体" w:cs="宋体"/>
          <w:color w:val="auto"/>
          <w:sz w:val="21"/>
          <w:szCs w:val="21"/>
          <w:highlight w:val="none"/>
        </w:rPr>
      </w:pPr>
    </w:p>
    <w:p w14:paraId="7D8082CB">
      <w:pPr>
        <w:pStyle w:val="11"/>
        <w:spacing w:before="0" w:after="0" w:line="44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注：投标人根据评标标准具体要求附业绩证明材料。</w:t>
      </w:r>
    </w:p>
    <w:p w14:paraId="481A436F">
      <w:pPr>
        <w:pStyle w:val="11"/>
        <w:spacing w:before="0" w:after="0" w:line="440" w:lineRule="exact"/>
        <w:contextualSpacing/>
        <w:jc w:val="left"/>
        <w:rPr>
          <w:rFonts w:hint="eastAsia" w:ascii="宋体" w:hAnsi="宋体" w:eastAsia="宋体" w:cs="宋体"/>
          <w:color w:val="auto"/>
          <w:sz w:val="21"/>
          <w:szCs w:val="21"/>
          <w:highlight w:val="none"/>
        </w:rPr>
      </w:pPr>
    </w:p>
    <w:p w14:paraId="6D5ACE30">
      <w:pPr>
        <w:pStyle w:val="11"/>
        <w:spacing w:before="0" w:after="0" w:line="440" w:lineRule="exact"/>
        <w:contextualSpacing/>
        <w:jc w:val="left"/>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法定代表人或者委托代理人（签字或者电子签名）：</w:t>
      </w:r>
      <w:r>
        <w:rPr>
          <w:rFonts w:hint="eastAsia" w:ascii="宋体" w:hAnsi="宋体" w:eastAsia="宋体" w:cs="宋体"/>
          <w:color w:val="auto"/>
          <w:sz w:val="21"/>
          <w:szCs w:val="21"/>
          <w:highlight w:val="none"/>
          <w:u w:val="single"/>
        </w:rPr>
        <w:t xml:space="preserve">             </w:t>
      </w:r>
    </w:p>
    <w:p w14:paraId="532DAE5D">
      <w:pPr>
        <w:spacing w:line="440" w:lineRule="exact"/>
        <w:ind w:right="480"/>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 xml:space="preserve">投标人名称（电子签章）： </w:t>
      </w:r>
      <w:r>
        <w:rPr>
          <w:rFonts w:hint="eastAsia" w:ascii="宋体" w:hAnsi="宋体" w:cs="宋体"/>
          <w:color w:val="auto"/>
          <w:szCs w:val="21"/>
          <w:highlight w:val="none"/>
          <w:u w:val="single"/>
        </w:rPr>
        <w:t xml:space="preserve">                </w:t>
      </w:r>
    </w:p>
    <w:p w14:paraId="116154CC">
      <w:pPr>
        <w:snapToGrid w:val="0"/>
        <w:spacing w:before="165" w:beforeLines="50" w:after="50"/>
        <w:ind w:right="84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C4B16E9">
      <w:pPr>
        <w:snapToGrid w:val="0"/>
        <w:spacing w:before="165" w:beforeLines="50" w:after="50"/>
        <w:jc w:val="left"/>
        <w:rPr>
          <w:rFonts w:hint="eastAsia" w:ascii="宋体" w:hAnsi="宋体" w:cs="宋体"/>
          <w:b/>
          <w:color w:val="auto"/>
          <w:sz w:val="24"/>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rPr>
        <w:t xml:space="preserve">（二）技术文件封面格式： </w:t>
      </w:r>
    </w:p>
    <w:p w14:paraId="06DA8003">
      <w:pPr>
        <w:snapToGrid w:val="0"/>
        <w:spacing w:before="165"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174F5C67">
      <w:pPr>
        <w:snapToGrid w:val="0"/>
        <w:spacing w:before="165"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5BFB3AFD">
      <w:pPr>
        <w:rPr>
          <w:rFonts w:hint="eastAsia" w:ascii="宋体" w:hAnsi="宋体" w:cs="宋体"/>
          <w:color w:val="auto"/>
          <w:sz w:val="24"/>
          <w:highlight w:val="none"/>
        </w:rPr>
      </w:pPr>
    </w:p>
    <w:p w14:paraId="46D351DE">
      <w:pPr>
        <w:rPr>
          <w:rFonts w:hint="eastAsia"/>
          <w:color w:val="auto"/>
          <w:highlight w:val="none"/>
        </w:rPr>
      </w:pPr>
    </w:p>
    <w:p w14:paraId="5465629B">
      <w:pPr>
        <w:snapToGrid w:val="0"/>
        <w:spacing w:before="165"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技术文件</w:t>
      </w:r>
    </w:p>
    <w:p w14:paraId="584FBBCF">
      <w:pPr>
        <w:rPr>
          <w:rFonts w:hint="eastAsia" w:ascii="宋体" w:hAnsi="宋体" w:cs="宋体"/>
          <w:b/>
          <w:color w:val="auto"/>
          <w:sz w:val="32"/>
          <w:szCs w:val="32"/>
          <w:highlight w:val="none"/>
        </w:rPr>
      </w:pPr>
    </w:p>
    <w:p w14:paraId="5C541E62">
      <w:pPr>
        <w:rPr>
          <w:rFonts w:hint="eastAsia"/>
          <w:color w:val="auto"/>
          <w:highlight w:val="none"/>
        </w:rPr>
      </w:pPr>
    </w:p>
    <w:p w14:paraId="331FBA40">
      <w:pPr>
        <w:snapToGrid w:val="0"/>
        <w:spacing w:before="165" w:beforeLines="50" w:after="50"/>
        <w:rPr>
          <w:rFonts w:hint="eastAsia" w:ascii="宋体" w:hAnsi="宋体" w:cs="宋体"/>
          <w:bCs/>
          <w:color w:val="auto"/>
          <w:sz w:val="24"/>
          <w:szCs w:val="20"/>
          <w:highlight w:val="none"/>
        </w:rPr>
      </w:pPr>
    </w:p>
    <w:p w14:paraId="3BC5FABB">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56D6DDE6">
      <w:pPr>
        <w:snapToGrid w:val="0"/>
        <w:spacing w:before="165" w:beforeLines="50" w:after="50"/>
        <w:ind w:firstLine="540" w:firstLineChars="225"/>
        <w:rPr>
          <w:rFonts w:hint="eastAsia" w:ascii="宋体" w:hAnsi="宋体" w:cs="宋体"/>
          <w:bCs/>
          <w:color w:val="auto"/>
          <w:sz w:val="24"/>
          <w:szCs w:val="20"/>
          <w:highlight w:val="none"/>
        </w:rPr>
      </w:pPr>
    </w:p>
    <w:p w14:paraId="2FED3B1E">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06488620">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06E824D0">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5CECBEB5">
      <w:pPr>
        <w:snapToGrid w:val="0"/>
        <w:spacing w:before="165" w:beforeLines="50" w:after="50"/>
        <w:ind w:firstLine="540" w:firstLineChars="225"/>
        <w:rPr>
          <w:rFonts w:hint="eastAsia" w:ascii="宋体" w:hAnsi="宋体" w:cs="宋体"/>
          <w:bCs/>
          <w:color w:val="auto"/>
          <w:sz w:val="24"/>
          <w:szCs w:val="20"/>
          <w:highlight w:val="none"/>
        </w:rPr>
      </w:pPr>
    </w:p>
    <w:p w14:paraId="4A918ED1">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1D93B97D">
      <w:pPr>
        <w:pStyle w:val="10"/>
        <w:snapToGrid w:val="0"/>
        <w:spacing w:before="50" w:after="50"/>
        <w:ind w:firstLine="540" w:firstLineChars="225"/>
        <w:rPr>
          <w:rFonts w:hint="eastAsia" w:ascii="宋体" w:hAnsi="宋体" w:cs="宋体"/>
          <w:bCs/>
          <w:color w:val="auto"/>
          <w:sz w:val="24"/>
          <w:szCs w:val="24"/>
          <w:highlight w:val="none"/>
        </w:rPr>
      </w:pPr>
    </w:p>
    <w:p w14:paraId="7528120A">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28559FB3">
      <w:pPr>
        <w:pStyle w:val="10"/>
        <w:snapToGrid w:val="0"/>
        <w:spacing w:before="50" w:after="50"/>
        <w:ind w:firstLine="960" w:firstLineChars="400"/>
        <w:rPr>
          <w:rFonts w:hint="eastAsia" w:ascii="宋体" w:hAnsi="宋体" w:cs="宋体"/>
          <w:bCs/>
          <w:color w:val="auto"/>
          <w:sz w:val="24"/>
          <w:szCs w:val="24"/>
          <w:highlight w:val="none"/>
        </w:rPr>
      </w:pPr>
    </w:p>
    <w:p w14:paraId="5155A249">
      <w:pPr>
        <w:snapToGrid w:val="0"/>
        <w:spacing w:before="165"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5D50C429">
      <w:pPr>
        <w:snapToGrid w:val="0"/>
        <w:spacing w:before="165"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3BFF6936">
      <w:pPr>
        <w:snapToGrid w:val="0"/>
        <w:spacing w:line="360" w:lineRule="auto"/>
        <w:ind w:firstLine="120" w:firstLineChars="50"/>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商务及技术文件目录</w:t>
      </w:r>
    </w:p>
    <w:p w14:paraId="1C5B19A0">
      <w:pPr>
        <w:snapToGrid w:val="0"/>
        <w:spacing w:before="50" w:after="165"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52BB63CC">
      <w:pPr>
        <w:snapToGrid w:val="0"/>
        <w:spacing w:before="165" w:beforeLines="50" w:after="50"/>
        <w:ind w:left="142"/>
        <w:jc w:val="left"/>
        <w:rPr>
          <w:rFonts w:hint="eastAsia"/>
          <w:b/>
          <w:color w:val="auto"/>
          <w:highlight w:val="none"/>
        </w:rPr>
      </w:pPr>
      <w:r>
        <w:rPr>
          <w:color w:val="auto"/>
          <w:highlight w:val="none"/>
        </w:rPr>
        <w:br w:type="page"/>
      </w:r>
      <w:r>
        <w:rPr>
          <w:rFonts w:hint="eastAsia" w:ascii="宋体" w:hAnsi="宋体" w:cs="宋体"/>
          <w:b/>
          <w:color w:val="auto"/>
          <w:sz w:val="24"/>
          <w:highlight w:val="none"/>
        </w:rPr>
        <w:t>1.技术要求偏离表格式</w:t>
      </w:r>
    </w:p>
    <w:p w14:paraId="10B142F5">
      <w:pPr>
        <w:snapToGrid w:val="0"/>
        <w:spacing w:before="165" w:beforeLines="50" w:after="50"/>
        <w:ind w:left="142"/>
        <w:jc w:val="left"/>
        <w:rPr>
          <w:rFonts w:hint="eastAsia" w:ascii="宋体" w:hAnsi="宋体" w:cs="宋体"/>
          <w:b/>
          <w:color w:val="auto"/>
          <w:sz w:val="24"/>
          <w:highlight w:val="none"/>
        </w:rPr>
      </w:pPr>
    </w:p>
    <w:p w14:paraId="144BFD7F">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技术要求偏离表</w:t>
      </w:r>
    </w:p>
    <w:p w14:paraId="7C72175D">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9"/>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43"/>
        <w:gridCol w:w="1834"/>
        <w:gridCol w:w="2181"/>
        <w:gridCol w:w="2084"/>
      </w:tblGrid>
      <w:tr w14:paraId="304A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925" w:type="dxa"/>
            <w:noWrap w:val="0"/>
            <w:vAlign w:val="center"/>
          </w:tcPr>
          <w:p w14:paraId="4FCFB4DA">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项号</w:t>
            </w:r>
          </w:p>
        </w:tc>
        <w:tc>
          <w:tcPr>
            <w:tcW w:w="2143" w:type="dxa"/>
            <w:noWrap w:val="0"/>
            <w:vAlign w:val="center"/>
          </w:tcPr>
          <w:p w14:paraId="19503388">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标的名称</w:t>
            </w:r>
          </w:p>
        </w:tc>
        <w:tc>
          <w:tcPr>
            <w:tcW w:w="1834" w:type="dxa"/>
            <w:noWrap w:val="0"/>
            <w:vAlign w:val="center"/>
          </w:tcPr>
          <w:p w14:paraId="42C6310F">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项目要求及技术需求</w:t>
            </w:r>
          </w:p>
        </w:tc>
        <w:tc>
          <w:tcPr>
            <w:tcW w:w="2181" w:type="dxa"/>
            <w:noWrap w:val="0"/>
            <w:vAlign w:val="center"/>
          </w:tcPr>
          <w:p w14:paraId="33710FFC">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投标响应</w:t>
            </w:r>
          </w:p>
        </w:tc>
        <w:tc>
          <w:tcPr>
            <w:tcW w:w="2084" w:type="dxa"/>
            <w:noWrap w:val="0"/>
            <w:vAlign w:val="center"/>
          </w:tcPr>
          <w:p w14:paraId="10E6382A">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偏离说明</w:t>
            </w:r>
          </w:p>
        </w:tc>
      </w:tr>
      <w:tr w14:paraId="0B6C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4E614730">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143" w:type="dxa"/>
            <w:noWrap w:val="0"/>
            <w:vAlign w:val="center"/>
          </w:tcPr>
          <w:p w14:paraId="28D65749">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1834" w:type="dxa"/>
            <w:noWrap w:val="0"/>
            <w:vAlign w:val="center"/>
          </w:tcPr>
          <w:p w14:paraId="50AA2367">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181" w:type="dxa"/>
            <w:noWrap w:val="0"/>
            <w:vAlign w:val="center"/>
          </w:tcPr>
          <w:p w14:paraId="71AFC007">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084" w:type="dxa"/>
            <w:noWrap w:val="0"/>
            <w:vAlign w:val="center"/>
          </w:tcPr>
          <w:p w14:paraId="522F5313">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r>
      <w:tr w14:paraId="6335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C05AFE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79CCE38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2F2C19F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68CF7B08">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04B3EAD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5C5D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47DE820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15CDA63">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16406693">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4D5197F2">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0C59034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30AB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0EBD72F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A863C74">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10FE54B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22F0466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B5BF11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35E8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67233ED2">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4BF6C11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4309FEA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7C58567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10B36CAE">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1D44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4460BF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C1003C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5F7144D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16049060">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DE352A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0AFE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19506DE">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0A51AE6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226E8980">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28C9CAA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63253A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bl>
    <w:p w14:paraId="4627C66E">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6934E05E">
      <w:pPr>
        <w:pStyle w:val="16"/>
        <w:keepNext w:val="0"/>
        <w:keepLines w:val="0"/>
        <w:pageBreakBefore w:val="0"/>
        <w:widowControl w:val="0"/>
        <w:kinsoku/>
        <w:wordWrap/>
        <w:overflowPunct/>
        <w:topLinePunct w:val="0"/>
        <w:autoSpaceDE/>
        <w:autoSpaceDN/>
        <w:bidi w:val="0"/>
        <w:adjustRightInd/>
        <w:snapToGrid/>
        <w:spacing w:line="400" w:lineRule="exact"/>
        <w:ind w:firstLine="0"/>
        <w:contextualSpacing/>
        <w:textAlignment w:val="auto"/>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采购需求”中的项目要求及技术需求逐条作明确的投标响应，并作出偏离说明。</w:t>
      </w:r>
    </w:p>
    <w:p w14:paraId="6151D101">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6584660D">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 w:val="21"/>
          <w:szCs w:val="21"/>
          <w:highlight w:val="none"/>
        </w:rPr>
      </w:pPr>
    </w:p>
    <w:p w14:paraId="6C74854F">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6448D76E">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7E5E5F77">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7662F33">
      <w:pPr>
        <w:spacing w:line="360" w:lineRule="auto"/>
        <w:contextualSpacing/>
        <w:rPr>
          <w:rFonts w:hint="eastAsia" w:ascii="宋体" w:hAnsi="宋体" w:cs="宋体"/>
          <w:color w:val="auto"/>
          <w:sz w:val="24"/>
          <w:szCs w:val="20"/>
          <w:highlight w:val="none"/>
        </w:rPr>
      </w:pPr>
    </w:p>
    <w:p w14:paraId="44C60F2C">
      <w:pPr>
        <w:snapToGrid w:val="0"/>
        <w:spacing w:before="165"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2.项目实施人员一览表格式</w:t>
      </w:r>
    </w:p>
    <w:p w14:paraId="124FEE67">
      <w:pPr>
        <w:snapToGrid w:val="0"/>
        <w:spacing w:before="165" w:beforeLines="50" w:after="50"/>
        <w:ind w:left="142"/>
        <w:jc w:val="left"/>
        <w:rPr>
          <w:rFonts w:hint="eastAsia" w:ascii="宋体" w:hAnsi="宋体" w:cs="宋体"/>
          <w:b/>
          <w:color w:val="auto"/>
          <w:sz w:val="24"/>
          <w:highlight w:val="none"/>
        </w:rPr>
      </w:pPr>
    </w:p>
    <w:p w14:paraId="2CC569F7">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项目实施人员一览表</w:t>
      </w:r>
    </w:p>
    <w:p w14:paraId="2504E11A">
      <w:pPr>
        <w:pStyle w:val="20"/>
        <w:keepNext w:val="0"/>
        <w:keepLines w:val="0"/>
        <w:pageBreakBefore w:val="0"/>
        <w:widowControl w:val="0"/>
        <w:kinsoku/>
        <w:overflowPunct/>
        <w:topLinePunct w:val="0"/>
        <w:autoSpaceDE/>
        <w:autoSpaceDN/>
        <w:bidi w:val="0"/>
        <w:adjustRightInd/>
        <w:spacing w:line="400" w:lineRule="exact"/>
        <w:textAlignment w:val="auto"/>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77"/>
        <w:gridCol w:w="1865"/>
        <w:gridCol w:w="1557"/>
        <w:gridCol w:w="1862"/>
        <w:gridCol w:w="2406"/>
      </w:tblGrid>
      <w:tr w14:paraId="5FCE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0" w:hRule="atLeast"/>
        </w:trPr>
        <w:tc>
          <w:tcPr>
            <w:tcW w:w="896" w:type="dxa"/>
            <w:noWrap w:val="0"/>
            <w:vAlign w:val="center"/>
          </w:tcPr>
          <w:p w14:paraId="143A1F32">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77" w:type="dxa"/>
            <w:noWrap w:val="0"/>
            <w:vAlign w:val="center"/>
          </w:tcPr>
          <w:p w14:paraId="48E64A3E">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865" w:type="dxa"/>
            <w:noWrap w:val="0"/>
            <w:vAlign w:val="center"/>
          </w:tcPr>
          <w:p w14:paraId="629C88E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557" w:type="dxa"/>
            <w:noWrap w:val="0"/>
            <w:vAlign w:val="center"/>
          </w:tcPr>
          <w:p w14:paraId="1F7B03AD">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862" w:type="dxa"/>
            <w:noWrap w:val="0"/>
            <w:vAlign w:val="center"/>
          </w:tcPr>
          <w:p w14:paraId="3E3CB56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1D66253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2406" w:type="dxa"/>
            <w:noWrap w:val="0"/>
            <w:vAlign w:val="center"/>
          </w:tcPr>
          <w:p w14:paraId="1BB06FD2">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12D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896" w:type="dxa"/>
            <w:noWrap w:val="0"/>
            <w:vAlign w:val="center"/>
          </w:tcPr>
          <w:p w14:paraId="6845287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108C1425">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7891938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44A73F6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7C83C4B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74E26D6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r w14:paraId="6A75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896" w:type="dxa"/>
            <w:noWrap w:val="0"/>
            <w:vAlign w:val="center"/>
          </w:tcPr>
          <w:p w14:paraId="5A11EE1A">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52B24C17">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1BF96424">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1AC0A16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4A29A999">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146826CC">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r w14:paraId="686E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trPr>
        <w:tc>
          <w:tcPr>
            <w:tcW w:w="896" w:type="dxa"/>
            <w:noWrap w:val="0"/>
            <w:vAlign w:val="center"/>
          </w:tcPr>
          <w:p w14:paraId="2795AB49">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4ED4F4A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46340420">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3C8F351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32C0F01C">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22A315E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bl>
    <w:p w14:paraId="245FA82C">
      <w:pPr>
        <w:keepNext w:val="0"/>
        <w:keepLines w:val="0"/>
        <w:pageBreakBefore w:val="0"/>
        <w:widowControl w:val="0"/>
        <w:kinsoku/>
        <w:overflowPunct/>
        <w:topLinePunct w:val="0"/>
        <w:autoSpaceDE/>
        <w:autoSpaceDN/>
        <w:bidi w:val="0"/>
        <w:adjustRightInd/>
        <w:snapToGrid w:val="0"/>
        <w:spacing w:before="50" w:after="165" w:afterLines="50" w:line="400" w:lineRule="exact"/>
        <w:jc w:val="left"/>
        <w:textAlignment w:val="auto"/>
        <w:rPr>
          <w:rFonts w:hint="eastAsia" w:ascii="宋体" w:hAnsi="宋体" w:cs="宋体"/>
          <w:color w:val="auto"/>
          <w:szCs w:val="21"/>
          <w:highlight w:val="none"/>
        </w:rPr>
      </w:pPr>
    </w:p>
    <w:p w14:paraId="0AD56B3E">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注：</w:t>
      </w:r>
    </w:p>
    <w:p w14:paraId="729C7C2C">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0573E7E2">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2.投标人应当附本表所列证书的复印件并加盖投标人电子签章。</w:t>
      </w:r>
    </w:p>
    <w:p w14:paraId="695F3662">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p>
    <w:p w14:paraId="7E3DC191">
      <w:pPr>
        <w:keepNext w:val="0"/>
        <w:keepLines w:val="0"/>
        <w:pageBreakBefore w:val="0"/>
        <w:widowControl w:val="0"/>
        <w:kinsoku/>
        <w:wordWrap w:val="0"/>
        <w:overflowPunct/>
        <w:topLinePunct w:val="0"/>
        <w:autoSpaceDE/>
        <w:autoSpaceDN/>
        <w:bidi w:val="0"/>
        <w:adjustRightIn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21C6D0EF">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49B30968">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4CBA946">
      <w:pPr>
        <w:spacing w:line="360" w:lineRule="auto"/>
        <w:contextualSpacing/>
        <w:jc w:val="left"/>
        <w:rPr>
          <w:rFonts w:hint="eastAsia" w:ascii="宋体" w:hAnsi="宋体" w:cs="宋体"/>
          <w:color w:val="auto"/>
          <w:sz w:val="24"/>
          <w:szCs w:val="20"/>
          <w:highlight w:val="none"/>
        </w:rPr>
      </w:pPr>
    </w:p>
    <w:p w14:paraId="6A70128A">
      <w:pPr>
        <w:snapToGrid w:val="0"/>
        <w:spacing w:before="50" w:after="165" w:afterLines="50"/>
        <w:jc w:val="left"/>
        <w:rPr>
          <w:rFonts w:hint="eastAsia" w:ascii="宋体" w:hAnsi="宋体" w:cs="宋体"/>
          <w:color w:val="auto"/>
          <w:sz w:val="24"/>
          <w:szCs w:val="20"/>
          <w:highlight w:val="none"/>
        </w:rPr>
      </w:pPr>
    </w:p>
    <w:p w14:paraId="2164FA82">
      <w:pPr>
        <w:snapToGrid w:val="0"/>
        <w:spacing w:before="165" w:beforeLines="50" w:after="50"/>
        <w:jc w:val="left"/>
        <w:rPr>
          <w:rFonts w:hint="eastAsia" w:ascii="宋体" w:hAnsi="宋体" w:cs="宋体"/>
          <w:color w:val="auto"/>
          <w:sz w:val="24"/>
          <w:szCs w:val="20"/>
          <w:highlight w:val="none"/>
        </w:rPr>
      </w:pPr>
    </w:p>
    <w:p w14:paraId="0AADEBE9">
      <w:pPr>
        <w:snapToGrid w:val="0"/>
        <w:spacing w:before="50" w:after="165" w:afterLines="50"/>
        <w:jc w:val="left"/>
        <w:rPr>
          <w:rFonts w:hint="eastAsia" w:ascii="宋体" w:hAnsi="宋体" w:cs="宋体"/>
          <w:color w:val="auto"/>
          <w:sz w:val="24"/>
          <w:szCs w:val="20"/>
          <w:highlight w:val="none"/>
        </w:rPr>
      </w:pPr>
    </w:p>
    <w:p w14:paraId="048EA3FC">
      <w:pPr>
        <w:rPr>
          <w:rFonts w:hint="eastAsia" w:ascii="宋体" w:hAnsi="宋体" w:cs="宋体"/>
          <w:b/>
          <w:color w:val="auto"/>
          <w:sz w:val="28"/>
          <w:szCs w:val="28"/>
          <w:highlight w:val="none"/>
        </w:rPr>
      </w:pPr>
      <w:r>
        <w:rPr>
          <w:rFonts w:hint="eastAsia" w:ascii="宋体" w:hAnsi="宋体" w:cs="宋体"/>
          <w:b/>
          <w:bCs/>
          <w:color w:val="auto"/>
          <w:sz w:val="24"/>
          <w:highlight w:val="none"/>
        </w:rPr>
        <w:br w:type="page"/>
      </w:r>
      <w:bookmarkStart w:id="268" w:name="_Toc19686840"/>
      <w:r>
        <w:rPr>
          <w:rFonts w:hint="eastAsia" w:ascii="宋体" w:hAnsi="宋体" w:cs="宋体"/>
          <w:b/>
          <w:color w:val="auto"/>
          <w:sz w:val="28"/>
          <w:szCs w:val="28"/>
          <w:highlight w:val="none"/>
        </w:rPr>
        <w:t>四、其他文书、文件格式</w:t>
      </w:r>
      <w:bookmarkEnd w:id="268"/>
    </w:p>
    <w:p w14:paraId="4712E090">
      <w:pPr>
        <w:spacing w:line="360" w:lineRule="auto"/>
        <w:jc w:val="left"/>
        <w:rPr>
          <w:rFonts w:hint="eastAsia" w:ascii="宋体" w:hAnsi="宋体" w:cs="宋体"/>
          <w:b/>
          <w:bCs/>
          <w:color w:val="auto"/>
          <w:sz w:val="32"/>
          <w:szCs w:val="32"/>
          <w:highlight w:val="none"/>
        </w:rPr>
      </w:pPr>
      <w:r>
        <w:rPr>
          <w:rFonts w:hint="eastAsia" w:ascii="宋体" w:hAnsi="宋体" w:cs="宋体"/>
          <w:b/>
          <w:color w:val="auto"/>
          <w:sz w:val="24"/>
          <w:highlight w:val="none"/>
        </w:rPr>
        <w:t>1.质疑函（格式）</w:t>
      </w:r>
    </w:p>
    <w:p w14:paraId="4BB3AA39">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质疑函（格式）</w:t>
      </w:r>
    </w:p>
    <w:p w14:paraId="522BDDAC">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一、质疑供应商基本信息：</w:t>
      </w:r>
    </w:p>
    <w:p w14:paraId="7076CA5D">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5018D20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D6CDC69">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C7DDB10">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1AF4216E">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3186388B">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2F1919F">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二、质疑项目基本情况：</w:t>
      </w:r>
    </w:p>
    <w:p w14:paraId="3985296E">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项目的名称：</w:t>
      </w:r>
      <w:r>
        <w:rPr>
          <w:rFonts w:hint="eastAsia" w:hAnsi="宋体" w:cs="宋体"/>
          <w:bCs/>
          <w:color w:val="auto"/>
          <w:highlight w:val="none"/>
          <w:u w:val="single"/>
        </w:rPr>
        <w:t xml:space="preserve">                                     </w:t>
      </w:r>
    </w:p>
    <w:p w14:paraId="673C56F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项目的编号：</w:t>
      </w:r>
      <w:r>
        <w:rPr>
          <w:rFonts w:hint="eastAsia" w:hAnsi="宋体" w:cs="宋体"/>
          <w:bCs/>
          <w:color w:val="auto"/>
          <w:highlight w:val="none"/>
          <w:u w:val="single"/>
        </w:rPr>
        <w:t xml:space="preserve">                                     </w:t>
      </w:r>
    </w:p>
    <w:p w14:paraId="48A982C6">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571A0A46">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w:t>
      </w:r>
    </w:p>
    <w:p w14:paraId="17CBAC31">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r>
        <w:rPr>
          <w:rFonts w:hint="eastAsia" w:hAnsi="宋体" w:cs="宋体"/>
          <w:color w:val="auto"/>
          <w:highlight w:val="none"/>
        </w:rPr>
        <w:t>□招标文件   招标文件获取日期：</w:t>
      </w:r>
      <w:r>
        <w:rPr>
          <w:rFonts w:hint="eastAsia" w:hAnsi="宋体" w:cs="宋体"/>
          <w:bCs/>
          <w:color w:val="auto"/>
          <w:highlight w:val="none"/>
          <w:u w:val="single"/>
        </w:rPr>
        <w:t xml:space="preserve">                                   </w:t>
      </w:r>
    </w:p>
    <w:p w14:paraId="049751C5">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r>
        <w:rPr>
          <w:rFonts w:hint="eastAsia" w:hAnsi="宋体" w:cs="宋体"/>
          <w:color w:val="auto"/>
          <w:highlight w:val="none"/>
        </w:rPr>
        <w:t xml:space="preserve">□招标过程   </w:t>
      </w:r>
    </w:p>
    <w:p w14:paraId="4AB5C70F">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bCs/>
          <w:color w:val="auto"/>
          <w:highlight w:val="none"/>
          <w:u w:val="single"/>
        </w:rPr>
      </w:pPr>
      <w:r>
        <w:rPr>
          <w:rFonts w:hint="eastAsia" w:hAnsi="宋体" w:cs="宋体"/>
          <w:color w:val="auto"/>
          <w:highlight w:val="none"/>
        </w:rPr>
        <w:t xml:space="preserve">□招标结果   </w:t>
      </w:r>
    </w:p>
    <w:p w14:paraId="20AE6D5B">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三、质疑事项具体内容</w:t>
      </w:r>
    </w:p>
    <w:p w14:paraId="038519E4">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质疑事项1：</w:t>
      </w:r>
      <w:r>
        <w:rPr>
          <w:rFonts w:hint="eastAsia" w:hAnsi="宋体" w:cs="宋体"/>
          <w:bCs/>
          <w:color w:val="auto"/>
          <w:highlight w:val="none"/>
          <w:u w:val="single"/>
        </w:rPr>
        <w:t xml:space="preserve">                                                                    </w:t>
      </w:r>
    </w:p>
    <w:p w14:paraId="5E46ED91">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事实依据：</w:t>
      </w:r>
      <w:r>
        <w:rPr>
          <w:rFonts w:hint="eastAsia" w:hAnsi="宋体" w:cs="宋体"/>
          <w:bCs/>
          <w:color w:val="auto"/>
          <w:highlight w:val="none"/>
          <w:u w:val="single"/>
        </w:rPr>
        <w:t xml:space="preserve">                                                                      </w:t>
      </w:r>
    </w:p>
    <w:p w14:paraId="5DF46D93">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法律依据：</w:t>
      </w:r>
      <w:r>
        <w:rPr>
          <w:rFonts w:hint="eastAsia" w:hAnsi="宋体" w:cs="宋体"/>
          <w:color w:val="auto"/>
          <w:highlight w:val="none"/>
          <w:u w:val="single"/>
        </w:rPr>
        <w:t xml:space="preserve">                                                        </w:t>
      </w:r>
      <w:r>
        <w:rPr>
          <w:rFonts w:hint="eastAsia" w:hAnsi="宋体" w:cs="宋体"/>
          <w:bCs/>
          <w:color w:val="auto"/>
          <w:highlight w:val="none"/>
          <w:u w:val="single"/>
        </w:rPr>
        <w:t xml:space="preserve">               </w:t>
      </w:r>
    </w:p>
    <w:p w14:paraId="0A908578">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质疑事项2</w:t>
      </w:r>
    </w:p>
    <w:p w14:paraId="37DE7A85">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w:t>
      </w:r>
    </w:p>
    <w:p w14:paraId="187C895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四、与质疑事项相关的质疑请求：</w:t>
      </w:r>
    </w:p>
    <w:p w14:paraId="7194B85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5C98CE64">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286FEEEB">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签字（签章）：                                       公章：</w:t>
      </w:r>
    </w:p>
    <w:p w14:paraId="11B54CD7">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日期：</w:t>
      </w:r>
    </w:p>
    <w:p w14:paraId="7D83ADBA">
      <w:pPr>
        <w:pStyle w:val="20"/>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
          <w:color w:val="auto"/>
          <w:highlight w:val="none"/>
        </w:rPr>
      </w:pPr>
      <w:r>
        <w:rPr>
          <w:rFonts w:hint="eastAsia" w:hAnsi="宋体" w:cs="宋体"/>
          <w:b/>
          <w:color w:val="auto"/>
          <w:highlight w:val="none"/>
        </w:rPr>
        <w:t>说明：</w:t>
      </w:r>
    </w:p>
    <w:p w14:paraId="192F01E8">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bCs/>
          <w:color w:val="auto"/>
          <w:highlight w:val="none"/>
        </w:rPr>
      </w:pPr>
      <w:r>
        <w:rPr>
          <w:rFonts w:hint="eastAsia" w:hAnsi="宋体" w:cs="宋体"/>
          <w:b/>
          <w:color w:val="auto"/>
          <w:highlight w:val="none"/>
        </w:rPr>
        <w:t>1.供应商提出质疑时，应提交质疑函和必要的证明材料</w:t>
      </w:r>
      <w:r>
        <w:rPr>
          <w:rFonts w:hint="eastAsia" w:hAnsi="宋体" w:cs="宋体"/>
          <w:b/>
          <w:bCs/>
          <w:color w:val="auto"/>
          <w:highlight w:val="none"/>
        </w:rPr>
        <w:t>。</w:t>
      </w:r>
    </w:p>
    <w:p w14:paraId="297FAFF2">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FF2A87">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3.质疑函的质疑事项应具体、明确，并有必要的事实依据和法律依据。</w:t>
      </w:r>
    </w:p>
    <w:p w14:paraId="1762465C">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4.质疑函的质疑请求应与质疑事项相关。</w:t>
      </w:r>
    </w:p>
    <w:p w14:paraId="05E5BEF0">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5.质疑供应商为法人或者其他组织的，质疑函应由法定代表人、主要负责人，或者其授权代表签字或者盖章，并加盖公章。</w:t>
      </w:r>
    </w:p>
    <w:p w14:paraId="43D5C313">
      <w:pPr>
        <w:spacing w:line="460" w:lineRule="exact"/>
        <w:rPr>
          <w:rFonts w:hint="eastAsia" w:ascii="宋体" w:hAnsi="宋体" w:cs="宋体"/>
          <w:color w:val="auto"/>
          <w:sz w:val="44"/>
          <w:highlight w:val="none"/>
        </w:rPr>
      </w:pPr>
    </w:p>
    <w:p w14:paraId="50EABAF7">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2.投诉书（格式）</w:t>
      </w:r>
    </w:p>
    <w:p w14:paraId="7043DF4C">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投诉书（格式）</w:t>
      </w:r>
    </w:p>
    <w:p w14:paraId="3A420C6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一、投诉相关主体基本情况：</w:t>
      </w:r>
    </w:p>
    <w:p w14:paraId="37AE40F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投标人：</w:t>
      </w:r>
      <w:r>
        <w:rPr>
          <w:rFonts w:hint="eastAsia" w:hAnsi="宋体" w:cs="宋体"/>
          <w:bCs/>
          <w:color w:val="auto"/>
          <w:highlight w:val="none"/>
          <w:u w:val="single"/>
        </w:rPr>
        <w:t xml:space="preserve">                                                                        </w:t>
      </w:r>
    </w:p>
    <w:p w14:paraId="1CC29447">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29A6335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645E21F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209AB98E">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D1F9A82">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709286B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545363F">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被投诉人1：</w:t>
      </w:r>
    </w:p>
    <w:p w14:paraId="1B41B20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0648173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576DE462">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7162BBC8">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被投诉人2：</w:t>
      </w:r>
    </w:p>
    <w:p w14:paraId="0CE3BC5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w:t>
      </w:r>
    </w:p>
    <w:p w14:paraId="2E5B04D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35BD350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323EEF3B">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F61BAB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二、投诉项目基本情况：</w:t>
      </w:r>
    </w:p>
    <w:p w14:paraId="65402765">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招标项目的名称：</w:t>
      </w:r>
      <w:r>
        <w:rPr>
          <w:rFonts w:hint="eastAsia" w:hAnsi="宋体" w:cs="宋体"/>
          <w:bCs/>
          <w:color w:val="auto"/>
          <w:highlight w:val="none"/>
          <w:u w:val="single"/>
        </w:rPr>
        <w:t xml:space="preserve">                                                                   </w:t>
      </w:r>
    </w:p>
    <w:p w14:paraId="5E6FE23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招标项目的编号：</w:t>
      </w:r>
      <w:r>
        <w:rPr>
          <w:rFonts w:hint="eastAsia" w:hAnsi="宋体" w:cs="宋体"/>
          <w:bCs/>
          <w:color w:val="auto"/>
          <w:highlight w:val="none"/>
          <w:u w:val="single"/>
        </w:rPr>
        <w:t xml:space="preserve">                                          </w:t>
      </w:r>
    </w:p>
    <w:p w14:paraId="6CFACB0B">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5EB7FED3">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代理机构名称：</w:t>
      </w:r>
      <w:r>
        <w:rPr>
          <w:rFonts w:hint="eastAsia" w:hAnsi="宋体" w:cs="宋体"/>
          <w:bCs/>
          <w:color w:val="auto"/>
          <w:highlight w:val="none"/>
          <w:u w:val="single"/>
        </w:rPr>
        <w:t xml:space="preserve">                                                                      </w:t>
      </w:r>
    </w:p>
    <w:p w14:paraId="5DAE6FAE">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招标</w:t>
      </w:r>
      <w:r>
        <w:rPr>
          <w:rFonts w:hint="eastAsia" w:hAnsi="宋体" w:cs="宋体"/>
          <w:bCs/>
          <w:color w:val="auto"/>
          <w:highlight w:val="none"/>
        </w:rPr>
        <w:t>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1F339F37">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
          <w:color w:val="auto"/>
          <w:highlight w:val="none"/>
        </w:rPr>
      </w:pPr>
      <w:r>
        <w:rPr>
          <w:rFonts w:hint="eastAsia" w:hAnsi="宋体" w:cs="宋体"/>
          <w:color w:val="auto"/>
          <w:highlight w:val="none"/>
        </w:rPr>
        <w:t>招标</w:t>
      </w:r>
      <w:r>
        <w:rPr>
          <w:rFonts w:hint="eastAsia" w:hAnsi="宋体" w:cs="宋体"/>
          <w:bCs/>
          <w:color w:val="auto"/>
          <w:highlight w:val="none"/>
        </w:rPr>
        <w:t>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3DE88DAC">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三、质疑基本情况</w:t>
      </w:r>
    </w:p>
    <w:p w14:paraId="709302DD">
      <w:pPr>
        <w:pStyle w:val="20"/>
        <w:keepNext w:val="0"/>
        <w:keepLines w:val="0"/>
        <w:pageBreakBefore w:val="0"/>
        <w:widowControl w:val="0"/>
        <w:kinsoku/>
        <w:wordWrap/>
        <w:overflowPunct/>
        <w:topLinePunct w:val="0"/>
        <w:autoSpaceDE/>
        <w:autoSpaceDN/>
        <w:bidi w:val="0"/>
        <w:adjustRightInd/>
        <w:spacing w:line="400" w:lineRule="exact"/>
        <w:ind w:left="25" w:leftChars="12" w:firstLine="420" w:firstLineChars="200"/>
        <w:textAlignment w:val="auto"/>
        <w:rPr>
          <w:rFonts w:hint="eastAsia" w:hAnsi="宋体" w:cs="宋体"/>
          <w:color w:val="auto"/>
          <w:highlight w:val="none"/>
        </w:rPr>
      </w:pPr>
      <w:r>
        <w:rPr>
          <w:rFonts w:hint="eastAsia" w:hAnsi="宋体" w:cs="宋体"/>
          <w:color w:val="auto"/>
          <w:highlight w:val="none"/>
        </w:rPr>
        <w:t>投诉人于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日，向</w:t>
      </w:r>
      <w:r>
        <w:rPr>
          <w:rFonts w:hint="eastAsia" w:hAnsi="宋体" w:cs="宋体"/>
          <w:color w:val="auto"/>
          <w:highlight w:val="none"/>
          <w:u w:val="single"/>
        </w:rPr>
        <w:t xml:space="preserve">                                </w:t>
      </w:r>
      <w:r>
        <w:rPr>
          <w:rFonts w:hint="eastAsia" w:hAnsi="宋体" w:cs="宋体"/>
          <w:color w:val="auto"/>
          <w:highlight w:val="none"/>
        </w:rPr>
        <w:t>提出质疑，质疑事项为：</w:t>
      </w:r>
    </w:p>
    <w:p w14:paraId="6F6003C5">
      <w:pPr>
        <w:pStyle w:val="20"/>
        <w:keepNext w:val="0"/>
        <w:keepLines w:val="0"/>
        <w:pageBreakBefore w:val="0"/>
        <w:widowControl w:val="0"/>
        <w:kinsoku/>
        <w:wordWrap/>
        <w:overflowPunct/>
        <w:topLinePunct w:val="0"/>
        <w:autoSpaceDE/>
        <w:autoSpaceDN/>
        <w:bidi w:val="0"/>
        <w:adjustRightInd/>
        <w:spacing w:line="400" w:lineRule="exact"/>
        <w:ind w:firstLine="241"/>
        <w:textAlignment w:val="auto"/>
        <w:rPr>
          <w:rFonts w:hint="eastAsia" w:hAnsi="宋体" w:cs="宋体"/>
          <w:bCs/>
          <w:color w:val="auto"/>
          <w:highlight w:val="none"/>
          <w:u w:val="single"/>
        </w:rPr>
      </w:pPr>
      <w:r>
        <w:rPr>
          <w:rFonts w:hint="eastAsia" w:hAnsi="宋体" w:cs="宋体"/>
          <w:color w:val="auto"/>
          <w:highlight w:val="none"/>
        </w:rPr>
        <w:t xml:space="preserve">    </w:t>
      </w:r>
      <w:r>
        <w:rPr>
          <w:rFonts w:hint="eastAsia" w:hAnsi="宋体" w:cs="宋体"/>
          <w:bCs/>
          <w:color w:val="auto"/>
          <w:highlight w:val="none"/>
          <w:u w:val="single"/>
        </w:rPr>
        <w:t xml:space="preserve">                                                                                      </w:t>
      </w:r>
    </w:p>
    <w:p w14:paraId="0875DFFF">
      <w:pPr>
        <w:pStyle w:val="20"/>
        <w:keepNext w:val="0"/>
        <w:keepLines w:val="0"/>
        <w:pageBreakBefore w:val="0"/>
        <w:widowControl w:val="0"/>
        <w:kinsoku/>
        <w:wordWrap/>
        <w:overflowPunct/>
        <w:topLinePunct w:val="0"/>
        <w:autoSpaceDE/>
        <w:autoSpaceDN/>
        <w:bidi w:val="0"/>
        <w:adjustRightInd/>
        <w:spacing w:line="400" w:lineRule="exact"/>
        <w:ind w:firstLine="241"/>
        <w:textAlignment w:val="auto"/>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7652FE2">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color w:val="auto"/>
          <w:highlight w:val="none"/>
        </w:rPr>
      </w:pP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r>
        <w:rPr>
          <w:rFonts w:hint="eastAsia" w:hAnsi="宋体" w:cs="宋体"/>
          <w:bCs/>
          <w:color w:val="auto"/>
          <w:highlight w:val="none"/>
        </w:rPr>
        <w:t xml:space="preserve">就质疑事项作出了答复/没有在法定期限内作出答复。                                                                                             </w:t>
      </w:r>
    </w:p>
    <w:p w14:paraId="5767ED93">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四、投诉事项具体内容</w:t>
      </w:r>
    </w:p>
    <w:p w14:paraId="560DE7D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投诉事项1：</w:t>
      </w:r>
      <w:r>
        <w:rPr>
          <w:rFonts w:hint="eastAsia" w:hAnsi="宋体" w:cs="宋体"/>
          <w:bCs/>
          <w:color w:val="auto"/>
          <w:highlight w:val="none"/>
          <w:u w:val="single"/>
        </w:rPr>
        <w:t xml:space="preserve">                                                                           </w:t>
      </w:r>
    </w:p>
    <w:p w14:paraId="47F2EB39">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事实依据：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1D82E6B0">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u w:val="single"/>
        </w:rPr>
        <w:t xml:space="preserve">                                                                                        </w:t>
      </w:r>
    </w:p>
    <w:p w14:paraId="24876F71">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法律依据：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7308747A">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83AA67D">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rPr>
      </w:pPr>
      <w:r>
        <w:rPr>
          <w:rFonts w:hint="eastAsia" w:hAnsi="宋体" w:cs="宋体"/>
          <w:color w:val="auto"/>
          <w:highlight w:val="none"/>
        </w:rPr>
        <w:t xml:space="preserve">投诉事项2  </w:t>
      </w:r>
      <w:r>
        <w:rPr>
          <w:rFonts w:hint="eastAsia" w:hAnsi="宋体" w:cs="宋体"/>
          <w:bCs/>
          <w:color w:val="auto"/>
          <w:highlight w:val="none"/>
        </w:rPr>
        <w:t xml:space="preserve">   </w:t>
      </w:r>
    </w:p>
    <w:p w14:paraId="09D0949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rPr>
      </w:pPr>
      <w:r>
        <w:rPr>
          <w:rFonts w:hint="eastAsia" w:hAnsi="宋体" w:cs="宋体"/>
          <w:bCs/>
          <w:color w:val="auto"/>
          <w:highlight w:val="none"/>
        </w:rPr>
        <w:t>……</w:t>
      </w:r>
    </w:p>
    <w:p w14:paraId="3966FF32">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五、与投诉事项相关的投诉请求：</w:t>
      </w:r>
    </w:p>
    <w:p w14:paraId="797C432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445055AA">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3002675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签字（签章）：                                       公章：</w:t>
      </w:r>
    </w:p>
    <w:p w14:paraId="55FD3CFC">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7711F5DA">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日期：</w:t>
      </w:r>
    </w:p>
    <w:p w14:paraId="4A0DC678">
      <w:pPr>
        <w:pStyle w:val="20"/>
        <w:keepNext w:val="0"/>
        <w:keepLines w:val="0"/>
        <w:pageBreakBefore w:val="0"/>
        <w:widowControl w:val="0"/>
        <w:kinsoku/>
        <w:wordWrap/>
        <w:overflowPunct/>
        <w:topLinePunct w:val="0"/>
        <w:autoSpaceDE/>
        <w:autoSpaceDN/>
        <w:bidi w:val="0"/>
        <w:adjustRightInd/>
        <w:spacing w:line="400" w:lineRule="exact"/>
        <w:ind w:left="25" w:leftChars="12" w:firstLine="414" w:firstLineChars="197"/>
        <w:textAlignment w:val="auto"/>
        <w:rPr>
          <w:rFonts w:hint="eastAsia" w:hAnsi="宋体" w:cs="宋体"/>
          <w:b/>
          <w:color w:val="auto"/>
          <w:highlight w:val="none"/>
        </w:rPr>
      </w:pPr>
      <w:r>
        <w:rPr>
          <w:rFonts w:hint="eastAsia" w:hAnsi="宋体" w:cs="宋体"/>
          <w:b/>
          <w:color w:val="auto"/>
          <w:highlight w:val="none"/>
        </w:rPr>
        <w:t>说明：</w:t>
      </w:r>
    </w:p>
    <w:p w14:paraId="67A9F61B">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bCs/>
          <w:color w:val="auto"/>
          <w:highlight w:val="none"/>
        </w:rPr>
      </w:pPr>
      <w:r>
        <w:rPr>
          <w:rFonts w:hint="eastAsia" w:hAnsi="宋体" w:cs="宋体"/>
          <w:b/>
          <w:color w:val="auto"/>
          <w:highlight w:val="none"/>
        </w:rPr>
        <w:t>1.投诉人提起投诉时，应当提交投诉书和必要的证明材料，并按照被投诉人和与投诉事项有关的供应商数量提供投诉书副本</w:t>
      </w:r>
      <w:r>
        <w:rPr>
          <w:rFonts w:hint="eastAsia" w:hAnsi="宋体" w:cs="宋体"/>
          <w:b/>
          <w:bCs/>
          <w:color w:val="auto"/>
          <w:highlight w:val="none"/>
        </w:rPr>
        <w:t>。</w:t>
      </w:r>
    </w:p>
    <w:p w14:paraId="62865AF3">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F238839">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3.投诉书应简要列明质疑事项，质疑函、质疑答复等作为附件材料提供。</w:t>
      </w:r>
    </w:p>
    <w:p w14:paraId="68439676">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4.投诉书的投诉事项应具体、明确，并有必要的事实依据和法律依据。</w:t>
      </w:r>
    </w:p>
    <w:p w14:paraId="6250A117">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5.投诉书的投诉请求应与投诉事项相关。</w:t>
      </w:r>
    </w:p>
    <w:p w14:paraId="66A67A3D">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6.投诉人为法人或者其他组织的，投诉书应由法定代表人、主要负责人，或者其授权代表签字或者盖章，并加盖公章。</w:t>
      </w:r>
      <w:bookmarkEnd w:id="1"/>
      <w:bookmarkEnd w:id="2"/>
      <w:bookmarkEnd w:id="3"/>
      <w:bookmarkEnd w:id="4"/>
    </w:p>
    <w:p w14:paraId="0C6ED87B">
      <w:pPr>
        <w:rPr>
          <w:rFonts w:hint="eastAsia"/>
          <w:color w:val="auto"/>
          <w:highlight w:val="none"/>
        </w:rPr>
      </w:pPr>
    </w:p>
    <w:sectPr>
      <w:footerReference r:id="rId17" w:type="first"/>
      <w:footerReference r:id="rId15" w:type="default"/>
      <w:footerReference r:id="rId16" w:type="even"/>
      <w:pgSz w:w="11906" w:h="16838"/>
      <w:pgMar w:top="1134" w:right="1247" w:bottom="1134" w:left="1417"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CEFA86F2-46F1-7CCE-3478-8E69A9C86BD6}"/>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embedRegular r:id="rId2" w:fontKey="{8432CA04-E220-C1A1-3478-8E69289CE67F}"/>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282EFACA-8C70-F9F8-3478-8E69AB7B7787}"/>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MingLiU">
    <w:altName w:val="宋体-繁"/>
    <w:panose1 w:val="02010609000101010101"/>
    <w:charset w:val="88"/>
    <w:family w:val="modern"/>
    <w:pitch w:val="default"/>
    <w:sig w:usb0="00000000" w:usb1="00000000" w:usb2="00000010" w:usb3="00000000" w:csb0="00100000" w:csb1="00000000"/>
  </w:font>
  <w:font w:name="宋体-繁">
    <w:panose1 w:val="02010600040101010101"/>
    <w:charset w:val="86"/>
    <w:family w:val="auto"/>
    <w:pitch w:val="default"/>
    <w:sig w:usb0="00000287" w:usb1="080F0000" w:usb2="00000000" w:usb3="00000000" w:csb0="0004009F" w:csb1="DFD7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A00002FF" w:usb1="7ACFFDFB" w:usb2="00000017"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Tahoma">
    <w:panose1 w:val="020B0604030504040204"/>
    <w:charset w:val="00"/>
    <w:family w:val="swiss"/>
    <w:pitch w:val="default"/>
    <w:sig w:usb0="E1002A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46992DEE-AC26-AE03-3478-8E69D48E50B5}"/>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5990">
    <w:pPr>
      <w:pStyle w:val="25"/>
      <w:jc w:val="center"/>
    </w:pPr>
  </w:p>
  <w:p w14:paraId="42B98F77">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8B95">
    <w:pPr>
      <w:pStyle w:val="25"/>
      <w:ind w:right="360"/>
      <w:jc w:val="both"/>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A8313">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92A8313">
                    <w:pPr>
                      <w:pStyle w:val="25"/>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rPr>
      <w:t>121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2951A">
    <w:pPr>
      <w:pStyle w:val="2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A1CCD">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37A1CCD">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207B">
    <w:pPr>
      <w:pStyle w:val="25"/>
      <w:framePr w:wrap="around" w:vAnchor="text" w:hAnchor="margin" w:xAlign="center" w:y="1"/>
      <w:rPr>
        <w:rStyle w:val="42"/>
      </w:rPr>
    </w:pPr>
    <w:r>
      <w:fldChar w:fldCharType="begin"/>
    </w:r>
    <w:r>
      <w:rPr>
        <w:rStyle w:val="42"/>
      </w:rPr>
      <w:instrText xml:space="preserve">PAGE  </w:instrText>
    </w:r>
    <w:r>
      <w:fldChar w:fldCharType="end"/>
    </w:r>
  </w:p>
  <w:p w14:paraId="57695A03">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7E090">
    <w:pPr>
      <w:pStyle w:val="25"/>
      <w:framePr w:wrap="around" w:vAnchor="text" w:hAnchor="margin" w:xAlign="right" w:y="1"/>
      <w:rPr>
        <w:rStyle w:val="42"/>
      </w:rPr>
    </w:pPr>
    <w:r>
      <w:fldChar w:fldCharType="begin"/>
    </w:r>
    <w:r>
      <w:rPr>
        <w:rStyle w:val="42"/>
      </w:rPr>
      <w:instrText xml:space="preserve">PAGE  </w:instrText>
    </w:r>
    <w:r>
      <w:fldChar w:fldCharType="separate"/>
    </w:r>
    <w:r>
      <w:rPr>
        <w:rStyle w:val="42"/>
      </w:rPr>
      <w:t>122</w:t>
    </w:r>
    <w:r>
      <w:fldChar w:fldCharType="end"/>
    </w:r>
  </w:p>
  <w:p w14:paraId="6B84741A">
    <w:pPr>
      <w:pStyle w:val="25"/>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6F03">
    <w:pPr>
      <w:pStyle w:val="25"/>
      <w:framePr w:wrap="around" w:vAnchor="text" w:hAnchor="margin" w:xAlign="center" w:y="1"/>
      <w:rPr>
        <w:rStyle w:val="42"/>
      </w:rPr>
    </w:pPr>
    <w:r>
      <w:fldChar w:fldCharType="begin"/>
    </w:r>
    <w:r>
      <w:rPr>
        <w:rStyle w:val="42"/>
      </w:rPr>
      <w:instrText xml:space="preserve">PAGE  </w:instrText>
    </w:r>
    <w:r>
      <w:fldChar w:fldCharType="end"/>
    </w:r>
  </w:p>
  <w:p w14:paraId="6B623762">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54829">
    <w:pPr>
      <w:pStyle w:val="25"/>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4A58">
    <w:pPr>
      <w:pStyle w:val="25"/>
      <w:jc w:val="center"/>
    </w:pPr>
  </w:p>
  <w:p w14:paraId="2CCFF38E">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E2A6">
    <w:pPr>
      <w:pStyle w:val="2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3D671">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3D671">
                    <w:pPr>
                      <w:pStyle w:val="25"/>
                    </w:pPr>
                    <w:r>
                      <w:fldChar w:fldCharType="begin"/>
                    </w:r>
                    <w:r>
                      <w:instrText xml:space="preserve"> PAGE  \* MERGEFORMAT </w:instrText>
                    </w:r>
                    <w:r>
                      <w:fldChar w:fldCharType="separate"/>
                    </w:r>
                    <w:r>
                      <w:t>1</w:t>
                    </w:r>
                    <w:r>
                      <w:fldChar w:fldCharType="end"/>
                    </w:r>
                  </w:p>
                </w:txbxContent>
              </v:textbox>
            </v:shape>
          </w:pict>
        </mc:Fallback>
      </mc:AlternateContent>
    </w:r>
  </w:p>
  <w:p w14:paraId="65438CCC">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3CB1D">
    <w:pPr>
      <w:pStyle w:val="2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80A34">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F80A34">
                    <w:pPr>
                      <w:pStyle w:val="25"/>
                    </w:pPr>
                    <w:r>
                      <w:fldChar w:fldCharType="begin"/>
                    </w:r>
                    <w:r>
                      <w:instrText xml:space="preserve"> PAGE  \* MERGEFORMAT </w:instrText>
                    </w:r>
                    <w:r>
                      <w:fldChar w:fldCharType="separate"/>
                    </w:r>
                    <w:r>
                      <w:t>46</w:t>
                    </w:r>
                    <w:r>
                      <w:fldChar w:fldCharType="end"/>
                    </w:r>
                  </w:p>
                </w:txbxContent>
              </v:textbox>
            </v:shape>
          </w:pict>
        </mc:Fallback>
      </mc:AlternateContent>
    </w:r>
  </w:p>
  <w:p w14:paraId="3DA79313">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0B37">
    <w:pPr>
      <w:pStyle w:val="25"/>
      <w:ind w:right="360"/>
      <w:jc w:val="both"/>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531EF8">
                          <w:pPr>
                            <w:pStyle w:val="2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14:paraId="18531EF8">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50212">
    <w:pPr>
      <w:pStyle w:val="2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1BCE2">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FD1BCE2">
                    <w:pPr>
                      <w:pStyle w:val="25"/>
                    </w:pPr>
                    <w:r>
                      <w:fldChar w:fldCharType="begin"/>
                    </w:r>
                    <w:r>
                      <w:instrText xml:space="preserve"> PAGE  \* MERGEFORMAT </w:instrText>
                    </w:r>
                    <w:r>
                      <w:fldChar w:fldCharType="separate"/>
                    </w:r>
                    <w:r>
                      <w:t>0</w:t>
                    </w:r>
                    <w:r>
                      <w:fldChar w:fldCharType="end"/>
                    </w:r>
                  </w:p>
                </w:txbxContent>
              </v:textbox>
            </v:shape>
          </w:pict>
        </mc:Fallback>
      </mc:AlternateContent>
    </w:r>
  </w:p>
  <w:p w14:paraId="1419F92C">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1F632">
    <w:pPr>
      <w:pStyle w:val="25"/>
      <w:framePr w:wrap="around" w:vAnchor="text" w:hAnchor="margin" w:xAlign="center" w:y="1"/>
      <w:rPr>
        <w:rStyle w:val="42"/>
      </w:rPr>
    </w:pPr>
    <w:r>
      <w:fldChar w:fldCharType="begin"/>
    </w:r>
    <w:r>
      <w:rPr>
        <w:rStyle w:val="42"/>
      </w:rPr>
      <w:instrText xml:space="preserve">PAGE  </w:instrText>
    </w:r>
    <w:r>
      <w:fldChar w:fldCharType="end"/>
    </w:r>
  </w:p>
  <w:p w14:paraId="1E353442">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A042F">
    <w:pPr>
      <w:pStyle w:val="26"/>
      <w:pBdr>
        <w:bottom w:val="none" w:color="auto" w:sz="0" w:space="0"/>
      </w:pBdr>
      <w:tabs>
        <w:tab w:val="center" w:pos="0"/>
        <w:tab w:val="left" w:pos="8306"/>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F3A07">
    <w:pPr>
      <w:pStyle w:val="26"/>
      <w:pBdr>
        <w:bottom w:val="none" w:color="auto" w:sz="0" w:space="0"/>
      </w:pBdr>
      <w:tabs>
        <w:tab w:val="center" w:pos="0"/>
        <w:tab w:val="left" w:pos="8306"/>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01917"/>
    <w:multiLevelType w:val="singleLevel"/>
    <w:tmpl w:val="4C601917"/>
    <w:lvl w:ilvl="0" w:tentative="0">
      <w:start w:val="1"/>
      <w:numFmt w:val="decimal"/>
      <w:suff w:val="nothing"/>
      <w:lvlText w:val="（%1）"/>
      <w:lvlJc w:val="left"/>
    </w:lvl>
  </w:abstractNum>
  <w:abstractNum w:abstractNumId="1">
    <w:nsid w:val="5FABD14B"/>
    <w:multiLevelType w:val="singleLevel"/>
    <w:tmpl w:val="5FABD14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MGM5NzNkMGFmZjdmNjdmOTliN2YyNmZmOTBjMmUifQ=="/>
    <w:docVar w:name="KSO_WPS_MARK_KEY" w:val="34a85f2c-7737-46bb-95af-ad2512184d9f"/>
  </w:docVars>
  <w:rsids>
    <w:rsidRoot w:val="08171363"/>
    <w:rsid w:val="0000096C"/>
    <w:rsid w:val="00000CDB"/>
    <w:rsid w:val="00001CDA"/>
    <w:rsid w:val="00004344"/>
    <w:rsid w:val="00005909"/>
    <w:rsid w:val="000207D5"/>
    <w:rsid w:val="00022127"/>
    <w:rsid w:val="00024E82"/>
    <w:rsid w:val="00027659"/>
    <w:rsid w:val="00030800"/>
    <w:rsid w:val="00031652"/>
    <w:rsid w:val="00034A7D"/>
    <w:rsid w:val="00035197"/>
    <w:rsid w:val="00035F9C"/>
    <w:rsid w:val="000401CD"/>
    <w:rsid w:val="000404B0"/>
    <w:rsid w:val="0004235B"/>
    <w:rsid w:val="00044EDB"/>
    <w:rsid w:val="00051641"/>
    <w:rsid w:val="00054304"/>
    <w:rsid w:val="000553BC"/>
    <w:rsid w:val="00056551"/>
    <w:rsid w:val="0006218D"/>
    <w:rsid w:val="00063F24"/>
    <w:rsid w:val="00065AF0"/>
    <w:rsid w:val="00066EA9"/>
    <w:rsid w:val="00066FE1"/>
    <w:rsid w:val="00074D5F"/>
    <w:rsid w:val="00076A60"/>
    <w:rsid w:val="00077BF5"/>
    <w:rsid w:val="00081789"/>
    <w:rsid w:val="00085A0D"/>
    <w:rsid w:val="00092A54"/>
    <w:rsid w:val="00092F65"/>
    <w:rsid w:val="0009317E"/>
    <w:rsid w:val="00093B18"/>
    <w:rsid w:val="000946EB"/>
    <w:rsid w:val="00094E84"/>
    <w:rsid w:val="000A6432"/>
    <w:rsid w:val="000A7A4B"/>
    <w:rsid w:val="000B5A03"/>
    <w:rsid w:val="000B7B3B"/>
    <w:rsid w:val="000C1DCC"/>
    <w:rsid w:val="000C302E"/>
    <w:rsid w:val="000C5D44"/>
    <w:rsid w:val="000D5F48"/>
    <w:rsid w:val="000D7284"/>
    <w:rsid w:val="000E6783"/>
    <w:rsid w:val="000F1BBE"/>
    <w:rsid w:val="001031E7"/>
    <w:rsid w:val="00104245"/>
    <w:rsid w:val="001108AC"/>
    <w:rsid w:val="00110A97"/>
    <w:rsid w:val="00110DD2"/>
    <w:rsid w:val="00111240"/>
    <w:rsid w:val="0011187C"/>
    <w:rsid w:val="00116FC9"/>
    <w:rsid w:val="00120C46"/>
    <w:rsid w:val="001251B9"/>
    <w:rsid w:val="00125837"/>
    <w:rsid w:val="001306A8"/>
    <w:rsid w:val="00140B14"/>
    <w:rsid w:val="00140CE8"/>
    <w:rsid w:val="00141619"/>
    <w:rsid w:val="00143DA6"/>
    <w:rsid w:val="00151CEE"/>
    <w:rsid w:val="0015209C"/>
    <w:rsid w:val="001551E7"/>
    <w:rsid w:val="001552B2"/>
    <w:rsid w:val="00155890"/>
    <w:rsid w:val="00170AA7"/>
    <w:rsid w:val="00173852"/>
    <w:rsid w:val="00174F9B"/>
    <w:rsid w:val="00177D95"/>
    <w:rsid w:val="00181460"/>
    <w:rsid w:val="00182C28"/>
    <w:rsid w:val="00190F4C"/>
    <w:rsid w:val="00193D49"/>
    <w:rsid w:val="0019577E"/>
    <w:rsid w:val="001B1366"/>
    <w:rsid w:val="001B2BDE"/>
    <w:rsid w:val="001B2FAE"/>
    <w:rsid w:val="001C097E"/>
    <w:rsid w:val="001C2516"/>
    <w:rsid w:val="001C2E44"/>
    <w:rsid w:val="001D047F"/>
    <w:rsid w:val="001D758B"/>
    <w:rsid w:val="001E0216"/>
    <w:rsid w:val="001E0590"/>
    <w:rsid w:val="001E3E3A"/>
    <w:rsid w:val="001E484E"/>
    <w:rsid w:val="001E4E53"/>
    <w:rsid w:val="001E6153"/>
    <w:rsid w:val="001E6C5D"/>
    <w:rsid w:val="001E7AB6"/>
    <w:rsid w:val="001F330A"/>
    <w:rsid w:val="001F4D3C"/>
    <w:rsid w:val="001F6F77"/>
    <w:rsid w:val="00201770"/>
    <w:rsid w:val="00202F39"/>
    <w:rsid w:val="00204164"/>
    <w:rsid w:val="00204F25"/>
    <w:rsid w:val="00205999"/>
    <w:rsid w:val="00207350"/>
    <w:rsid w:val="00207DB7"/>
    <w:rsid w:val="00213B47"/>
    <w:rsid w:val="00221909"/>
    <w:rsid w:val="002230A4"/>
    <w:rsid w:val="0022698C"/>
    <w:rsid w:val="00227913"/>
    <w:rsid w:val="00231EAB"/>
    <w:rsid w:val="00232E04"/>
    <w:rsid w:val="00236055"/>
    <w:rsid w:val="00236B7D"/>
    <w:rsid w:val="00241686"/>
    <w:rsid w:val="00242C6C"/>
    <w:rsid w:val="00244627"/>
    <w:rsid w:val="002563B4"/>
    <w:rsid w:val="0025753A"/>
    <w:rsid w:val="00262C01"/>
    <w:rsid w:val="002738BD"/>
    <w:rsid w:val="0027629D"/>
    <w:rsid w:val="00281099"/>
    <w:rsid w:val="002867CF"/>
    <w:rsid w:val="00293976"/>
    <w:rsid w:val="00297271"/>
    <w:rsid w:val="002B3400"/>
    <w:rsid w:val="002B4610"/>
    <w:rsid w:val="002C0483"/>
    <w:rsid w:val="002C1328"/>
    <w:rsid w:val="002C2756"/>
    <w:rsid w:val="002C27F2"/>
    <w:rsid w:val="002C38A0"/>
    <w:rsid w:val="002C7DD7"/>
    <w:rsid w:val="002D0079"/>
    <w:rsid w:val="002D05BB"/>
    <w:rsid w:val="002D2EF2"/>
    <w:rsid w:val="002D5E57"/>
    <w:rsid w:val="002E0A18"/>
    <w:rsid w:val="002E6BA4"/>
    <w:rsid w:val="002E7EA0"/>
    <w:rsid w:val="002F320A"/>
    <w:rsid w:val="002F55FD"/>
    <w:rsid w:val="002F667D"/>
    <w:rsid w:val="003014B1"/>
    <w:rsid w:val="003051FD"/>
    <w:rsid w:val="00305816"/>
    <w:rsid w:val="00315EB2"/>
    <w:rsid w:val="003162D6"/>
    <w:rsid w:val="00316994"/>
    <w:rsid w:val="0031699F"/>
    <w:rsid w:val="00320B19"/>
    <w:rsid w:val="00322C10"/>
    <w:rsid w:val="00327461"/>
    <w:rsid w:val="00330EE9"/>
    <w:rsid w:val="003331F5"/>
    <w:rsid w:val="00337A9F"/>
    <w:rsid w:val="00344631"/>
    <w:rsid w:val="00346976"/>
    <w:rsid w:val="00347950"/>
    <w:rsid w:val="00350024"/>
    <w:rsid w:val="00353905"/>
    <w:rsid w:val="00355191"/>
    <w:rsid w:val="00366E54"/>
    <w:rsid w:val="0037075A"/>
    <w:rsid w:val="00371C87"/>
    <w:rsid w:val="00380673"/>
    <w:rsid w:val="003809BA"/>
    <w:rsid w:val="00384EB6"/>
    <w:rsid w:val="003868E3"/>
    <w:rsid w:val="0039417D"/>
    <w:rsid w:val="003A3917"/>
    <w:rsid w:val="003A622A"/>
    <w:rsid w:val="003B031E"/>
    <w:rsid w:val="003B31F1"/>
    <w:rsid w:val="003B38DA"/>
    <w:rsid w:val="003B7C9A"/>
    <w:rsid w:val="003C027A"/>
    <w:rsid w:val="003C393F"/>
    <w:rsid w:val="003D3465"/>
    <w:rsid w:val="003D478D"/>
    <w:rsid w:val="003D7400"/>
    <w:rsid w:val="003E0AD4"/>
    <w:rsid w:val="003E1425"/>
    <w:rsid w:val="003E64C1"/>
    <w:rsid w:val="003F1067"/>
    <w:rsid w:val="003F1F9C"/>
    <w:rsid w:val="003F7B0D"/>
    <w:rsid w:val="004029ED"/>
    <w:rsid w:val="00403AA3"/>
    <w:rsid w:val="0040651A"/>
    <w:rsid w:val="00431C3B"/>
    <w:rsid w:val="00435268"/>
    <w:rsid w:val="0044023A"/>
    <w:rsid w:val="004437ED"/>
    <w:rsid w:val="00443922"/>
    <w:rsid w:val="0044600A"/>
    <w:rsid w:val="00447BDE"/>
    <w:rsid w:val="00450ADB"/>
    <w:rsid w:val="00452102"/>
    <w:rsid w:val="004531C4"/>
    <w:rsid w:val="00455C16"/>
    <w:rsid w:val="0046694A"/>
    <w:rsid w:val="0046760D"/>
    <w:rsid w:val="00467833"/>
    <w:rsid w:val="00474447"/>
    <w:rsid w:val="004771BA"/>
    <w:rsid w:val="004820E2"/>
    <w:rsid w:val="004853B6"/>
    <w:rsid w:val="004861BA"/>
    <w:rsid w:val="00486E44"/>
    <w:rsid w:val="0049027F"/>
    <w:rsid w:val="004925A4"/>
    <w:rsid w:val="004929AD"/>
    <w:rsid w:val="004A0443"/>
    <w:rsid w:val="004A0E38"/>
    <w:rsid w:val="004A5F2A"/>
    <w:rsid w:val="004A6736"/>
    <w:rsid w:val="004B49D2"/>
    <w:rsid w:val="004C5B3E"/>
    <w:rsid w:val="004C75A0"/>
    <w:rsid w:val="004D5AF4"/>
    <w:rsid w:val="004D6E99"/>
    <w:rsid w:val="004E126C"/>
    <w:rsid w:val="004F5BCD"/>
    <w:rsid w:val="004F68CF"/>
    <w:rsid w:val="005033B8"/>
    <w:rsid w:val="00503A40"/>
    <w:rsid w:val="00506840"/>
    <w:rsid w:val="00511A25"/>
    <w:rsid w:val="00516FAA"/>
    <w:rsid w:val="00517D40"/>
    <w:rsid w:val="00520861"/>
    <w:rsid w:val="00521880"/>
    <w:rsid w:val="00525C35"/>
    <w:rsid w:val="005279FB"/>
    <w:rsid w:val="00532BF5"/>
    <w:rsid w:val="0053541C"/>
    <w:rsid w:val="005458AD"/>
    <w:rsid w:val="0054778A"/>
    <w:rsid w:val="0055409E"/>
    <w:rsid w:val="00554A36"/>
    <w:rsid w:val="00562514"/>
    <w:rsid w:val="00564C6D"/>
    <w:rsid w:val="005707EB"/>
    <w:rsid w:val="00570DF9"/>
    <w:rsid w:val="005739CF"/>
    <w:rsid w:val="00576E04"/>
    <w:rsid w:val="0057733C"/>
    <w:rsid w:val="00581AC2"/>
    <w:rsid w:val="00583AC0"/>
    <w:rsid w:val="00584BFC"/>
    <w:rsid w:val="005873D0"/>
    <w:rsid w:val="005917A6"/>
    <w:rsid w:val="005932B6"/>
    <w:rsid w:val="00596F89"/>
    <w:rsid w:val="005B53A3"/>
    <w:rsid w:val="005C06FA"/>
    <w:rsid w:val="005C5049"/>
    <w:rsid w:val="005D54D6"/>
    <w:rsid w:val="005D6CCE"/>
    <w:rsid w:val="005E671C"/>
    <w:rsid w:val="005F6F86"/>
    <w:rsid w:val="00600743"/>
    <w:rsid w:val="006048A4"/>
    <w:rsid w:val="00605362"/>
    <w:rsid w:val="006064F7"/>
    <w:rsid w:val="006068F0"/>
    <w:rsid w:val="00606C3B"/>
    <w:rsid w:val="00622C28"/>
    <w:rsid w:val="00626CA8"/>
    <w:rsid w:val="006271A0"/>
    <w:rsid w:val="006301C4"/>
    <w:rsid w:val="00630567"/>
    <w:rsid w:val="00631BAB"/>
    <w:rsid w:val="006324D3"/>
    <w:rsid w:val="00636B69"/>
    <w:rsid w:val="006406A8"/>
    <w:rsid w:val="00640B4E"/>
    <w:rsid w:val="00641D5B"/>
    <w:rsid w:val="00644AAD"/>
    <w:rsid w:val="00647270"/>
    <w:rsid w:val="0065223B"/>
    <w:rsid w:val="00653CDE"/>
    <w:rsid w:val="00656442"/>
    <w:rsid w:val="00661DA0"/>
    <w:rsid w:val="006632E6"/>
    <w:rsid w:val="0066542F"/>
    <w:rsid w:val="00670E85"/>
    <w:rsid w:val="0067703D"/>
    <w:rsid w:val="00677CAF"/>
    <w:rsid w:val="006831E3"/>
    <w:rsid w:val="006867BB"/>
    <w:rsid w:val="00691B1A"/>
    <w:rsid w:val="00695425"/>
    <w:rsid w:val="006A101B"/>
    <w:rsid w:val="006A6DC8"/>
    <w:rsid w:val="006C015A"/>
    <w:rsid w:val="006C2360"/>
    <w:rsid w:val="006C55A9"/>
    <w:rsid w:val="006C5999"/>
    <w:rsid w:val="006D0A1B"/>
    <w:rsid w:val="006D6A62"/>
    <w:rsid w:val="006E4D05"/>
    <w:rsid w:val="006F0015"/>
    <w:rsid w:val="00707FF2"/>
    <w:rsid w:val="00712AF4"/>
    <w:rsid w:val="00715456"/>
    <w:rsid w:val="00717D53"/>
    <w:rsid w:val="0072351B"/>
    <w:rsid w:val="00730FBB"/>
    <w:rsid w:val="0073261C"/>
    <w:rsid w:val="00736625"/>
    <w:rsid w:val="00744B4B"/>
    <w:rsid w:val="00745BFF"/>
    <w:rsid w:val="0074683F"/>
    <w:rsid w:val="007549ED"/>
    <w:rsid w:val="0075643C"/>
    <w:rsid w:val="00756DD1"/>
    <w:rsid w:val="00757B36"/>
    <w:rsid w:val="00761289"/>
    <w:rsid w:val="00761EA6"/>
    <w:rsid w:val="00767154"/>
    <w:rsid w:val="007728DC"/>
    <w:rsid w:val="00773B6C"/>
    <w:rsid w:val="00773FEE"/>
    <w:rsid w:val="00781DF2"/>
    <w:rsid w:val="00790B95"/>
    <w:rsid w:val="007937A3"/>
    <w:rsid w:val="007B4684"/>
    <w:rsid w:val="007C09EA"/>
    <w:rsid w:val="007C2309"/>
    <w:rsid w:val="007C3B9F"/>
    <w:rsid w:val="007C4D61"/>
    <w:rsid w:val="007D5273"/>
    <w:rsid w:val="007D6581"/>
    <w:rsid w:val="007D6EBC"/>
    <w:rsid w:val="007F0A33"/>
    <w:rsid w:val="007F1D2B"/>
    <w:rsid w:val="007F4D7D"/>
    <w:rsid w:val="007F717F"/>
    <w:rsid w:val="00817450"/>
    <w:rsid w:val="008176CE"/>
    <w:rsid w:val="008204EB"/>
    <w:rsid w:val="008232D5"/>
    <w:rsid w:val="00823F88"/>
    <w:rsid w:val="0082700E"/>
    <w:rsid w:val="008300D6"/>
    <w:rsid w:val="00843D45"/>
    <w:rsid w:val="00852105"/>
    <w:rsid w:val="0085544C"/>
    <w:rsid w:val="008604A4"/>
    <w:rsid w:val="008606F1"/>
    <w:rsid w:val="00860D9E"/>
    <w:rsid w:val="00862516"/>
    <w:rsid w:val="0086784A"/>
    <w:rsid w:val="008811BB"/>
    <w:rsid w:val="00884C48"/>
    <w:rsid w:val="0089747C"/>
    <w:rsid w:val="008974F2"/>
    <w:rsid w:val="008A2903"/>
    <w:rsid w:val="008A6ED3"/>
    <w:rsid w:val="008A7438"/>
    <w:rsid w:val="008C3744"/>
    <w:rsid w:val="008C4798"/>
    <w:rsid w:val="008D3FFB"/>
    <w:rsid w:val="008D43F8"/>
    <w:rsid w:val="008D5DE5"/>
    <w:rsid w:val="008D7AB4"/>
    <w:rsid w:val="008E268A"/>
    <w:rsid w:val="008E3451"/>
    <w:rsid w:val="008E53FF"/>
    <w:rsid w:val="00904A9B"/>
    <w:rsid w:val="00905884"/>
    <w:rsid w:val="00920D6C"/>
    <w:rsid w:val="009276D5"/>
    <w:rsid w:val="0093775E"/>
    <w:rsid w:val="00942D58"/>
    <w:rsid w:val="00942FDE"/>
    <w:rsid w:val="00952863"/>
    <w:rsid w:val="009528FA"/>
    <w:rsid w:val="0096166D"/>
    <w:rsid w:val="00986C7E"/>
    <w:rsid w:val="009911B9"/>
    <w:rsid w:val="009924D4"/>
    <w:rsid w:val="009961B0"/>
    <w:rsid w:val="009963BC"/>
    <w:rsid w:val="009A6C00"/>
    <w:rsid w:val="009B644A"/>
    <w:rsid w:val="009B67C7"/>
    <w:rsid w:val="009C3D9F"/>
    <w:rsid w:val="009C60E6"/>
    <w:rsid w:val="009D594D"/>
    <w:rsid w:val="009D5E30"/>
    <w:rsid w:val="009D64B0"/>
    <w:rsid w:val="009D78FE"/>
    <w:rsid w:val="009E0DF2"/>
    <w:rsid w:val="009E2765"/>
    <w:rsid w:val="009E2C4C"/>
    <w:rsid w:val="009E509B"/>
    <w:rsid w:val="009E5F55"/>
    <w:rsid w:val="009F48CE"/>
    <w:rsid w:val="009F5431"/>
    <w:rsid w:val="009F5C57"/>
    <w:rsid w:val="00A079C6"/>
    <w:rsid w:val="00A11791"/>
    <w:rsid w:val="00A15437"/>
    <w:rsid w:val="00A207B9"/>
    <w:rsid w:val="00A317A2"/>
    <w:rsid w:val="00A31C07"/>
    <w:rsid w:val="00A31E32"/>
    <w:rsid w:val="00A35D90"/>
    <w:rsid w:val="00A36574"/>
    <w:rsid w:val="00A37DDB"/>
    <w:rsid w:val="00A37ECC"/>
    <w:rsid w:val="00A41DC7"/>
    <w:rsid w:val="00A4364F"/>
    <w:rsid w:val="00A5424F"/>
    <w:rsid w:val="00A54EBE"/>
    <w:rsid w:val="00A56CB5"/>
    <w:rsid w:val="00A64717"/>
    <w:rsid w:val="00A748C9"/>
    <w:rsid w:val="00A77398"/>
    <w:rsid w:val="00A80C51"/>
    <w:rsid w:val="00A81EDF"/>
    <w:rsid w:val="00A83A62"/>
    <w:rsid w:val="00A929CC"/>
    <w:rsid w:val="00A9536F"/>
    <w:rsid w:val="00A95495"/>
    <w:rsid w:val="00A955F2"/>
    <w:rsid w:val="00A975B7"/>
    <w:rsid w:val="00AA0FBE"/>
    <w:rsid w:val="00AA4479"/>
    <w:rsid w:val="00AA48D1"/>
    <w:rsid w:val="00AB7E31"/>
    <w:rsid w:val="00AC1E51"/>
    <w:rsid w:val="00AD2F5B"/>
    <w:rsid w:val="00AD464B"/>
    <w:rsid w:val="00AD6A4F"/>
    <w:rsid w:val="00AD7E81"/>
    <w:rsid w:val="00AE0FF5"/>
    <w:rsid w:val="00AE127D"/>
    <w:rsid w:val="00AF12E5"/>
    <w:rsid w:val="00AF1624"/>
    <w:rsid w:val="00AF7D70"/>
    <w:rsid w:val="00B017FE"/>
    <w:rsid w:val="00B05D04"/>
    <w:rsid w:val="00B17E63"/>
    <w:rsid w:val="00B17F7F"/>
    <w:rsid w:val="00B20869"/>
    <w:rsid w:val="00B211ED"/>
    <w:rsid w:val="00B319D0"/>
    <w:rsid w:val="00B31F82"/>
    <w:rsid w:val="00B33AE6"/>
    <w:rsid w:val="00B33B3B"/>
    <w:rsid w:val="00B52B37"/>
    <w:rsid w:val="00B548FD"/>
    <w:rsid w:val="00B556FB"/>
    <w:rsid w:val="00B56361"/>
    <w:rsid w:val="00B61746"/>
    <w:rsid w:val="00B62005"/>
    <w:rsid w:val="00B67234"/>
    <w:rsid w:val="00B67934"/>
    <w:rsid w:val="00B76FFB"/>
    <w:rsid w:val="00B7795B"/>
    <w:rsid w:val="00B77961"/>
    <w:rsid w:val="00B803FE"/>
    <w:rsid w:val="00B84C74"/>
    <w:rsid w:val="00B94CF1"/>
    <w:rsid w:val="00BA2379"/>
    <w:rsid w:val="00BA6F13"/>
    <w:rsid w:val="00BB3A8E"/>
    <w:rsid w:val="00BB5CD0"/>
    <w:rsid w:val="00BB7111"/>
    <w:rsid w:val="00BC0690"/>
    <w:rsid w:val="00BC2A7B"/>
    <w:rsid w:val="00BC4D83"/>
    <w:rsid w:val="00BC6D1F"/>
    <w:rsid w:val="00BD1CD3"/>
    <w:rsid w:val="00BE0F5B"/>
    <w:rsid w:val="00BE242C"/>
    <w:rsid w:val="00BF061C"/>
    <w:rsid w:val="00BF2DE4"/>
    <w:rsid w:val="00BF4E4B"/>
    <w:rsid w:val="00BF7045"/>
    <w:rsid w:val="00C03881"/>
    <w:rsid w:val="00C03EC3"/>
    <w:rsid w:val="00C051BA"/>
    <w:rsid w:val="00C052AB"/>
    <w:rsid w:val="00C114D9"/>
    <w:rsid w:val="00C115C2"/>
    <w:rsid w:val="00C12A33"/>
    <w:rsid w:val="00C20A8B"/>
    <w:rsid w:val="00C234FA"/>
    <w:rsid w:val="00C31DD3"/>
    <w:rsid w:val="00C32BEA"/>
    <w:rsid w:val="00C3405B"/>
    <w:rsid w:val="00C510B7"/>
    <w:rsid w:val="00C5115E"/>
    <w:rsid w:val="00C54574"/>
    <w:rsid w:val="00C67F26"/>
    <w:rsid w:val="00C72985"/>
    <w:rsid w:val="00C73607"/>
    <w:rsid w:val="00C7554B"/>
    <w:rsid w:val="00C7749B"/>
    <w:rsid w:val="00C806B6"/>
    <w:rsid w:val="00C82DE7"/>
    <w:rsid w:val="00C90F87"/>
    <w:rsid w:val="00C91EA9"/>
    <w:rsid w:val="00CB10A1"/>
    <w:rsid w:val="00CB1671"/>
    <w:rsid w:val="00CB3128"/>
    <w:rsid w:val="00CB582D"/>
    <w:rsid w:val="00CB63FC"/>
    <w:rsid w:val="00CB78F3"/>
    <w:rsid w:val="00CC1E96"/>
    <w:rsid w:val="00CC7527"/>
    <w:rsid w:val="00CD60E2"/>
    <w:rsid w:val="00CD79F0"/>
    <w:rsid w:val="00CE0705"/>
    <w:rsid w:val="00CF37DE"/>
    <w:rsid w:val="00CF45D0"/>
    <w:rsid w:val="00CF4883"/>
    <w:rsid w:val="00CF6FCC"/>
    <w:rsid w:val="00D06972"/>
    <w:rsid w:val="00D21461"/>
    <w:rsid w:val="00D22BE5"/>
    <w:rsid w:val="00D30B85"/>
    <w:rsid w:val="00D37A63"/>
    <w:rsid w:val="00D44310"/>
    <w:rsid w:val="00D44681"/>
    <w:rsid w:val="00D44B33"/>
    <w:rsid w:val="00D536B1"/>
    <w:rsid w:val="00D556A1"/>
    <w:rsid w:val="00D563C2"/>
    <w:rsid w:val="00D57164"/>
    <w:rsid w:val="00D57281"/>
    <w:rsid w:val="00D65967"/>
    <w:rsid w:val="00D732AF"/>
    <w:rsid w:val="00D777F1"/>
    <w:rsid w:val="00D8185B"/>
    <w:rsid w:val="00D8194A"/>
    <w:rsid w:val="00D82F3E"/>
    <w:rsid w:val="00D969A3"/>
    <w:rsid w:val="00DA584A"/>
    <w:rsid w:val="00DB6895"/>
    <w:rsid w:val="00DC4C07"/>
    <w:rsid w:val="00DC7AB8"/>
    <w:rsid w:val="00DD525D"/>
    <w:rsid w:val="00DD5508"/>
    <w:rsid w:val="00DE0E0D"/>
    <w:rsid w:val="00DE1C4D"/>
    <w:rsid w:val="00DE5E63"/>
    <w:rsid w:val="00DE675A"/>
    <w:rsid w:val="00E135DB"/>
    <w:rsid w:val="00E1452E"/>
    <w:rsid w:val="00E235C9"/>
    <w:rsid w:val="00E375E1"/>
    <w:rsid w:val="00E40A3B"/>
    <w:rsid w:val="00E42CD9"/>
    <w:rsid w:val="00E431DF"/>
    <w:rsid w:val="00E54657"/>
    <w:rsid w:val="00E6697F"/>
    <w:rsid w:val="00E74681"/>
    <w:rsid w:val="00E77CF4"/>
    <w:rsid w:val="00E8042B"/>
    <w:rsid w:val="00E820A0"/>
    <w:rsid w:val="00E9217F"/>
    <w:rsid w:val="00E9496E"/>
    <w:rsid w:val="00E95E2C"/>
    <w:rsid w:val="00E96765"/>
    <w:rsid w:val="00E97D09"/>
    <w:rsid w:val="00EA009B"/>
    <w:rsid w:val="00EA04B7"/>
    <w:rsid w:val="00EA0937"/>
    <w:rsid w:val="00EA7723"/>
    <w:rsid w:val="00EB17F3"/>
    <w:rsid w:val="00EB28CA"/>
    <w:rsid w:val="00EB57D6"/>
    <w:rsid w:val="00EC5445"/>
    <w:rsid w:val="00EE1688"/>
    <w:rsid w:val="00EE23CC"/>
    <w:rsid w:val="00EF36D5"/>
    <w:rsid w:val="00EF3F63"/>
    <w:rsid w:val="00EF4C13"/>
    <w:rsid w:val="00EF6EEB"/>
    <w:rsid w:val="00F02CB5"/>
    <w:rsid w:val="00F072C2"/>
    <w:rsid w:val="00F07DE8"/>
    <w:rsid w:val="00F07F4C"/>
    <w:rsid w:val="00F1066F"/>
    <w:rsid w:val="00F21207"/>
    <w:rsid w:val="00F5110A"/>
    <w:rsid w:val="00F52FF2"/>
    <w:rsid w:val="00F53FD4"/>
    <w:rsid w:val="00F56BEA"/>
    <w:rsid w:val="00F72D89"/>
    <w:rsid w:val="00F74F31"/>
    <w:rsid w:val="00F95FE2"/>
    <w:rsid w:val="00FA0D4F"/>
    <w:rsid w:val="00FA3C12"/>
    <w:rsid w:val="00FB02D1"/>
    <w:rsid w:val="00FB3A1E"/>
    <w:rsid w:val="00FB3C91"/>
    <w:rsid w:val="00FB4DCC"/>
    <w:rsid w:val="00FB6647"/>
    <w:rsid w:val="00FD3F1A"/>
    <w:rsid w:val="00FD442A"/>
    <w:rsid w:val="00FD6406"/>
    <w:rsid w:val="00FD72DA"/>
    <w:rsid w:val="00FE5FE9"/>
    <w:rsid w:val="00FE7D94"/>
    <w:rsid w:val="00FF0F02"/>
    <w:rsid w:val="00FF7F1F"/>
    <w:rsid w:val="01773477"/>
    <w:rsid w:val="0273010D"/>
    <w:rsid w:val="030571A0"/>
    <w:rsid w:val="0454399B"/>
    <w:rsid w:val="049360A4"/>
    <w:rsid w:val="04FC07BA"/>
    <w:rsid w:val="05C21244"/>
    <w:rsid w:val="064029FC"/>
    <w:rsid w:val="078B0F5C"/>
    <w:rsid w:val="07B83C8D"/>
    <w:rsid w:val="07C025C7"/>
    <w:rsid w:val="07F46FDB"/>
    <w:rsid w:val="08171363"/>
    <w:rsid w:val="08AB2AB1"/>
    <w:rsid w:val="09CD219B"/>
    <w:rsid w:val="09E42488"/>
    <w:rsid w:val="09ED576F"/>
    <w:rsid w:val="0A2A0535"/>
    <w:rsid w:val="0D116C13"/>
    <w:rsid w:val="10525806"/>
    <w:rsid w:val="10670755"/>
    <w:rsid w:val="14583CD7"/>
    <w:rsid w:val="148126CD"/>
    <w:rsid w:val="14DE2927"/>
    <w:rsid w:val="168503A9"/>
    <w:rsid w:val="16C90EF1"/>
    <w:rsid w:val="17281EC0"/>
    <w:rsid w:val="181E6DC2"/>
    <w:rsid w:val="1953639C"/>
    <w:rsid w:val="1A167B3A"/>
    <w:rsid w:val="1C202209"/>
    <w:rsid w:val="1FD746B4"/>
    <w:rsid w:val="216750D4"/>
    <w:rsid w:val="22557C1D"/>
    <w:rsid w:val="226B7889"/>
    <w:rsid w:val="22E33BF0"/>
    <w:rsid w:val="23897365"/>
    <w:rsid w:val="23B858BF"/>
    <w:rsid w:val="23C120FD"/>
    <w:rsid w:val="243D3F18"/>
    <w:rsid w:val="245B3C6C"/>
    <w:rsid w:val="25100723"/>
    <w:rsid w:val="25AD0C5F"/>
    <w:rsid w:val="26931E56"/>
    <w:rsid w:val="28A736BD"/>
    <w:rsid w:val="2A5176CA"/>
    <w:rsid w:val="2AD92D72"/>
    <w:rsid w:val="2D102879"/>
    <w:rsid w:val="2F162065"/>
    <w:rsid w:val="2F7B20F9"/>
    <w:rsid w:val="314865E7"/>
    <w:rsid w:val="32422B29"/>
    <w:rsid w:val="35A74912"/>
    <w:rsid w:val="35CB5EC9"/>
    <w:rsid w:val="38E65C15"/>
    <w:rsid w:val="39A35D51"/>
    <w:rsid w:val="3B1359D3"/>
    <w:rsid w:val="3BB80F8B"/>
    <w:rsid w:val="3BCE327C"/>
    <w:rsid w:val="3C345451"/>
    <w:rsid w:val="3E9D7E49"/>
    <w:rsid w:val="402107A3"/>
    <w:rsid w:val="430317C0"/>
    <w:rsid w:val="44CA4BFA"/>
    <w:rsid w:val="475A67D9"/>
    <w:rsid w:val="4B8D6ED7"/>
    <w:rsid w:val="4D083EE4"/>
    <w:rsid w:val="4D792F09"/>
    <w:rsid w:val="4E9B7A20"/>
    <w:rsid w:val="504970E8"/>
    <w:rsid w:val="51D05F5C"/>
    <w:rsid w:val="54F7F469"/>
    <w:rsid w:val="562F308A"/>
    <w:rsid w:val="56901E7C"/>
    <w:rsid w:val="589E5842"/>
    <w:rsid w:val="59476CE1"/>
    <w:rsid w:val="5981360E"/>
    <w:rsid w:val="599A26EE"/>
    <w:rsid w:val="5D373670"/>
    <w:rsid w:val="5E911FD2"/>
    <w:rsid w:val="5F891239"/>
    <w:rsid w:val="5FBB5A03"/>
    <w:rsid w:val="5FF5B184"/>
    <w:rsid w:val="611449CF"/>
    <w:rsid w:val="62771C70"/>
    <w:rsid w:val="62A02B74"/>
    <w:rsid w:val="63DF45AD"/>
    <w:rsid w:val="65164566"/>
    <w:rsid w:val="675B5AF4"/>
    <w:rsid w:val="69814D1C"/>
    <w:rsid w:val="6C6E7C95"/>
    <w:rsid w:val="6E7042BE"/>
    <w:rsid w:val="6ECF7BC3"/>
    <w:rsid w:val="6FA86B63"/>
    <w:rsid w:val="717F3BC0"/>
    <w:rsid w:val="73A04113"/>
    <w:rsid w:val="75457F23"/>
    <w:rsid w:val="760477CC"/>
    <w:rsid w:val="796F6888"/>
    <w:rsid w:val="7CA64A0C"/>
    <w:rsid w:val="7CB93960"/>
    <w:rsid w:val="7D174734"/>
    <w:rsid w:val="7DF7A1B5"/>
    <w:rsid w:val="7E8A580B"/>
    <w:rsid w:val="7EBD33CD"/>
    <w:rsid w:val="7F19500C"/>
    <w:rsid w:val="7F797C95"/>
    <w:rsid w:val="99F31EBA"/>
    <w:rsid w:val="B5FF3FD2"/>
    <w:rsid w:val="D556ED8A"/>
    <w:rsid w:val="E6DEEDEF"/>
    <w:rsid w:val="F65D4E9A"/>
    <w:rsid w:val="F8FEE162"/>
    <w:rsid w:val="FEBF8EC9"/>
    <w:rsid w:val="FFDC38A8"/>
    <w:rsid w:val="FFF335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99"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beforeLines="0" w:after="330" w:afterLines="0" w:line="576" w:lineRule="auto"/>
      <w:outlineLvl w:val="0"/>
    </w:pPr>
    <w:rPr>
      <w:b/>
      <w:bCs/>
      <w:kern w:val="44"/>
      <w:sz w:val="44"/>
      <w:szCs w:val="44"/>
    </w:rPr>
  </w:style>
  <w:style w:type="paragraph" w:styleId="4">
    <w:name w:val="heading 2"/>
    <w:basedOn w:val="1"/>
    <w:next w:val="1"/>
    <w:link w:val="65"/>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5">
    <w:name w:val="heading 3"/>
    <w:basedOn w:val="1"/>
    <w:next w:val="1"/>
    <w:link w:val="50"/>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5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52"/>
    <w:qFormat/>
    <w:uiPriority w:val="0"/>
    <w:pPr>
      <w:keepNext/>
      <w:keepLines/>
      <w:spacing w:before="280" w:after="290" w:line="376" w:lineRule="auto"/>
      <w:outlineLvl w:val="4"/>
    </w:pPr>
    <w:rPr>
      <w:b/>
      <w:bCs/>
      <w:sz w:val="28"/>
      <w:szCs w:val="28"/>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2">
    <w:name w:val="Body Text"/>
    <w:basedOn w:val="1"/>
    <w:link w:val="56"/>
    <w:qFormat/>
    <w:uiPriority w:val="0"/>
    <w:pPr>
      <w:spacing w:after="120"/>
    </w:pPr>
  </w:style>
  <w:style w:type="paragraph" w:styleId="8">
    <w:name w:val="toc 7"/>
    <w:basedOn w:val="1"/>
    <w:next w:val="1"/>
    <w:qFormat/>
    <w:uiPriority w:val="0"/>
    <w:pPr>
      <w:jc w:val="left"/>
    </w:pPr>
    <w:rPr>
      <w:rFonts w:ascii="Calibri" w:hAnsi="Calibri"/>
      <w:sz w:val="22"/>
      <w:szCs w:val="22"/>
    </w:rPr>
  </w:style>
  <w:style w:type="paragraph" w:styleId="9">
    <w:name w:val="index 8"/>
    <w:basedOn w:val="1"/>
    <w:next w:val="1"/>
    <w:semiHidden/>
    <w:qFormat/>
    <w:uiPriority w:val="99"/>
    <w:pPr>
      <w:adjustRightInd w:val="0"/>
      <w:spacing w:line="360" w:lineRule="atLeast"/>
      <w:ind w:left="2940"/>
      <w:textAlignment w:val="baseline"/>
    </w:p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53"/>
    <w:qFormat/>
    <w:uiPriority w:val="0"/>
    <w:rPr>
      <w:rFonts w:ascii="宋体"/>
      <w:sz w:val="18"/>
      <w:szCs w:val="18"/>
    </w:rPr>
  </w:style>
  <w:style w:type="paragraph" w:styleId="13">
    <w:name w:val="annotation text"/>
    <w:basedOn w:val="1"/>
    <w:link w:val="54"/>
    <w:qFormat/>
    <w:uiPriority w:val="0"/>
    <w:pPr>
      <w:jc w:val="left"/>
    </w:pPr>
  </w:style>
  <w:style w:type="paragraph" w:styleId="14">
    <w:name w:val="index 6"/>
    <w:basedOn w:val="1"/>
    <w:next w:val="1"/>
    <w:qFormat/>
    <w:uiPriority w:val="0"/>
    <w:pPr>
      <w:ind w:left="2100"/>
    </w:pPr>
    <w:rPr>
      <w:rFonts w:ascii="Times New Roman" w:hAnsi="Times New Roman"/>
    </w:rPr>
  </w:style>
  <w:style w:type="paragraph" w:styleId="15">
    <w:name w:val="Body Text 3"/>
    <w:basedOn w:val="1"/>
    <w:link w:val="55"/>
    <w:qFormat/>
    <w:uiPriority w:val="0"/>
    <w:pPr>
      <w:spacing w:after="120"/>
    </w:pPr>
    <w:rPr>
      <w:sz w:val="16"/>
      <w:szCs w:val="16"/>
    </w:rPr>
  </w:style>
  <w:style w:type="paragraph" w:styleId="16">
    <w:name w:val="Body Text Indent"/>
    <w:basedOn w:val="1"/>
    <w:link w:val="57"/>
    <w:qFormat/>
    <w:uiPriority w:val="0"/>
    <w:pPr>
      <w:spacing w:line="200" w:lineRule="exact"/>
      <w:ind w:firstLine="301"/>
    </w:pPr>
    <w:rPr>
      <w:rFonts w:ascii="宋体" w:hAnsi="Courier New"/>
      <w:spacing w:val="-4"/>
      <w:sz w:val="18"/>
      <w:szCs w:val="20"/>
    </w:rPr>
  </w:style>
  <w:style w:type="paragraph" w:styleId="17">
    <w:name w:val="Block Text"/>
    <w:basedOn w:val="1"/>
    <w:unhideWhenUsed/>
    <w:qFormat/>
    <w:uiPriority w:val="99"/>
    <w:pPr>
      <w:spacing w:after="120"/>
      <w:ind w:left="1440" w:leftChars="700" w:right="1440" w:rightChars="700"/>
    </w:pPr>
    <w:rPr>
      <w:rFonts w:ascii="Times New Roman" w:hAnsi="Times New Roman" w:eastAsia="宋体" w:cs="Times New Roman"/>
    </w:rPr>
  </w:style>
  <w:style w:type="paragraph" w:styleId="18">
    <w:name w:val="toc 5"/>
    <w:basedOn w:val="1"/>
    <w:next w:val="1"/>
    <w:qFormat/>
    <w:uiPriority w:val="0"/>
    <w:pPr>
      <w:jc w:val="left"/>
    </w:pPr>
    <w:rPr>
      <w:rFonts w:ascii="Calibri" w:hAnsi="Calibri"/>
      <w:sz w:val="22"/>
      <w:szCs w:val="22"/>
    </w:rPr>
  </w:style>
  <w:style w:type="paragraph" w:styleId="19">
    <w:name w:val="toc 3"/>
    <w:basedOn w:val="1"/>
    <w:next w:val="1"/>
    <w:qFormat/>
    <w:uiPriority w:val="0"/>
    <w:pPr>
      <w:jc w:val="left"/>
    </w:pPr>
    <w:rPr>
      <w:rFonts w:ascii="Calibri" w:hAnsi="Calibri"/>
      <w:smallCaps/>
      <w:sz w:val="22"/>
      <w:szCs w:val="22"/>
    </w:rPr>
  </w:style>
  <w:style w:type="paragraph" w:styleId="20">
    <w:name w:val="Plain Text"/>
    <w:basedOn w:val="1"/>
    <w:next w:val="9"/>
    <w:link w:val="58"/>
    <w:qFormat/>
    <w:uiPriority w:val="0"/>
    <w:rPr>
      <w:rFonts w:ascii="宋体" w:hAnsi="Courier New"/>
      <w:szCs w:val="20"/>
    </w:rPr>
  </w:style>
  <w:style w:type="paragraph" w:styleId="21">
    <w:name w:val="toc 8"/>
    <w:basedOn w:val="1"/>
    <w:next w:val="1"/>
    <w:qFormat/>
    <w:uiPriority w:val="0"/>
    <w:pPr>
      <w:jc w:val="left"/>
    </w:pPr>
    <w:rPr>
      <w:rFonts w:ascii="Calibri" w:hAnsi="Calibri"/>
      <w:sz w:val="22"/>
      <w:szCs w:val="22"/>
    </w:rPr>
  </w:style>
  <w:style w:type="paragraph" w:styleId="22">
    <w:name w:val="Date"/>
    <w:basedOn w:val="1"/>
    <w:next w:val="1"/>
    <w:link w:val="59"/>
    <w:qFormat/>
    <w:uiPriority w:val="0"/>
    <w:pPr>
      <w:ind w:left="100" w:leftChars="2500"/>
    </w:pPr>
  </w:style>
  <w:style w:type="paragraph" w:styleId="23">
    <w:name w:val="Body Text Indent 2"/>
    <w:basedOn w:val="1"/>
    <w:link w:val="60"/>
    <w:qFormat/>
    <w:uiPriority w:val="0"/>
    <w:pPr>
      <w:spacing w:after="120" w:afterLines="0" w:line="480" w:lineRule="auto"/>
      <w:ind w:left="420" w:leftChars="200"/>
    </w:pPr>
  </w:style>
  <w:style w:type="paragraph" w:styleId="24">
    <w:name w:val="Balloon Text"/>
    <w:basedOn w:val="1"/>
    <w:link w:val="61"/>
    <w:qFormat/>
    <w:uiPriority w:val="0"/>
    <w:rPr>
      <w:sz w:val="18"/>
      <w:szCs w:val="18"/>
    </w:rPr>
  </w:style>
  <w:style w:type="paragraph" w:styleId="25">
    <w:name w:val="footer"/>
    <w:basedOn w:val="1"/>
    <w:link w:val="62"/>
    <w:unhideWhenUsed/>
    <w:qFormat/>
    <w:uiPriority w:val="99"/>
    <w:pPr>
      <w:tabs>
        <w:tab w:val="center" w:pos="4153"/>
        <w:tab w:val="right" w:pos="8306"/>
      </w:tabs>
      <w:snapToGrid w:val="0"/>
      <w:jc w:val="left"/>
    </w:pPr>
    <w:rPr>
      <w:sz w:val="18"/>
      <w:szCs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pPr>
      <w:spacing w:before="360" w:after="360"/>
      <w:jc w:val="left"/>
    </w:pPr>
    <w:rPr>
      <w:rFonts w:ascii="Calibri" w:hAnsi="Calibri"/>
      <w:b/>
      <w:bCs/>
      <w:caps/>
      <w:sz w:val="22"/>
      <w:szCs w:val="22"/>
      <w:u w:val="single"/>
    </w:rPr>
  </w:style>
  <w:style w:type="paragraph" w:styleId="28">
    <w:name w:val="toc 4"/>
    <w:basedOn w:val="1"/>
    <w:next w:val="1"/>
    <w:qFormat/>
    <w:uiPriority w:val="0"/>
    <w:pPr>
      <w:jc w:val="left"/>
    </w:pPr>
    <w:rPr>
      <w:rFonts w:ascii="Calibri" w:hAnsi="Calibri"/>
      <w:sz w:val="22"/>
      <w:szCs w:val="22"/>
    </w:rPr>
  </w:style>
  <w:style w:type="paragraph" w:styleId="29">
    <w:name w:val="List"/>
    <w:basedOn w:val="1"/>
    <w:qFormat/>
    <w:uiPriority w:val="0"/>
    <w:pPr>
      <w:ind w:left="200" w:hanging="200" w:hangingChars="200"/>
    </w:pPr>
    <w:rPr>
      <w:sz w:val="28"/>
    </w:rPr>
  </w:style>
  <w:style w:type="paragraph" w:styleId="30">
    <w:name w:val="toc 6"/>
    <w:basedOn w:val="1"/>
    <w:next w:val="1"/>
    <w:qFormat/>
    <w:uiPriority w:val="0"/>
    <w:pPr>
      <w:jc w:val="left"/>
    </w:pPr>
    <w:rPr>
      <w:rFonts w:ascii="Calibri" w:hAnsi="Calibri"/>
      <w:sz w:val="22"/>
      <w:szCs w:val="22"/>
    </w:rPr>
  </w:style>
  <w:style w:type="paragraph" w:styleId="31">
    <w:name w:val="toc 2"/>
    <w:basedOn w:val="1"/>
    <w:next w:val="1"/>
    <w:qFormat/>
    <w:uiPriority w:val="0"/>
    <w:pPr>
      <w:jc w:val="left"/>
    </w:pPr>
    <w:rPr>
      <w:rFonts w:ascii="Calibri" w:hAnsi="Calibri"/>
      <w:b/>
      <w:bCs/>
      <w:smallCaps/>
      <w:sz w:val="22"/>
      <w:szCs w:val="22"/>
    </w:rPr>
  </w:style>
  <w:style w:type="paragraph" w:styleId="32">
    <w:name w:val="toc 9"/>
    <w:basedOn w:val="1"/>
    <w:next w:val="1"/>
    <w:qFormat/>
    <w:uiPriority w:val="0"/>
    <w:pPr>
      <w:jc w:val="left"/>
    </w:pPr>
    <w:rPr>
      <w:rFonts w:ascii="Calibri" w:hAnsi="Calibri"/>
      <w:sz w:val="22"/>
      <w:szCs w:val="22"/>
    </w:rPr>
  </w:style>
  <w:style w:type="paragraph" w:styleId="3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spacing w:line="400" w:lineRule="exact"/>
      <w:ind w:firstLine="420" w:firstLineChars="200"/>
    </w:pPr>
    <w:rPr>
      <w:rFonts w:ascii="宋体" w:hAnsi="Courier New"/>
      <w:b/>
      <w:szCs w:val="20"/>
    </w:rPr>
  </w:style>
  <w:style w:type="paragraph" w:styleId="35">
    <w:name w:val="Title"/>
    <w:basedOn w:val="1"/>
    <w:next w:val="1"/>
    <w:qFormat/>
    <w:uiPriority w:val="0"/>
    <w:pPr>
      <w:widowControl w:val="0"/>
      <w:spacing w:before="240" w:after="60"/>
      <w:jc w:val="center"/>
      <w:outlineLvl w:val="0"/>
    </w:pPr>
    <w:rPr>
      <w:rFonts w:ascii="Arial" w:hAnsi="Arial" w:eastAsia="宋体" w:cs="Arial"/>
      <w:b/>
      <w:bCs/>
      <w:kern w:val="2"/>
      <w:sz w:val="32"/>
      <w:szCs w:val="32"/>
      <w:lang w:val="en-US" w:eastAsia="zh-CN" w:bidi="ar-SA"/>
    </w:rPr>
  </w:style>
  <w:style w:type="paragraph" w:styleId="36">
    <w:name w:val="annotation subject"/>
    <w:basedOn w:val="13"/>
    <w:next w:val="13"/>
    <w:link w:val="64"/>
    <w:qFormat/>
    <w:uiPriority w:val="0"/>
    <w:rPr>
      <w:b/>
      <w:bCs/>
    </w:rPr>
  </w:style>
  <w:style w:type="paragraph" w:styleId="37">
    <w:name w:val="Body Text First Indent"/>
    <w:basedOn w:val="2"/>
    <w:qFormat/>
    <w:uiPriority w:val="0"/>
    <w:pPr>
      <w:wordWrap w:val="0"/>
      <w:topLinePunct/>
      <w:spacing w:after="0" w:line="600" w:lineRule="exact"/>
      <w:ind w:firstLine="880" w:firstLineChars="200"/>
    </w:pPr>
  </w:style>
  <w:style w:type="paragraph" w:styleId="38">
    <w:name w:val="Body Text First Indent 2"/>
    <w:basedOn w:val="16"/>
    <w:qFormat/>
    <w:uiPriority w:val="0"/>
    <w:pPr>
      <w:spacing w:line="600" w:lineRule="exact"/>
      <w:ind w:firstLine="200" w:firstLineChars="200"/>
      <w:jc w:val="both"/>
    </w:pPr>
    <w:rPr>
      <w:rFonts w:ascii="Times New Roman" w:hAnsi="Times New Roman" w:eastAsia="仿宋_GB2312" w:cs="Times New Roman"/>
      <w:kern w:val="2"/>
      <w:sz w:val="32"/>
      <w:szCs w:val="21"/>
      <w:lang w:val="en-US" w:eastAsia="zh-CN" w:bidi="ar-SA"/>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qFormat/>
    <w:uiPriority w:val="0"/>
  </w:style>
  <w:style w:type="character" w:styleId="43">
    <w:name w:val="FollowedHyperlink"/>
    <w:qFormat/>
    <w:uiPriority w:val="0"/>
    <w:rPr>
      <w:color w:val="800080"/>
      <w:u w:val="single"/>
    </w:rPr>
  </w:style>
  <w:style w:type="character" w:styleId="44">
    <w:name w:val="Hyperlink"/>
    <w:qFormat/>
    <w:uiPriority w:val="0"/>
    <w:rPr>
      <w:color w:val="0000FF"/>
      <w:u w:val="single"/>
    </w:rPr>
  </w:style>
  <w:style w:type="character" w:styleId="45">
    <w:name w:val="annotation reference"/>
    <w:qFormat/>
    <w:uiPriority w:val="0"/>
    <w:rPr>
      <w:sz w:val="21"/>
      <w:szCs w:val="21"/>
    </w:rPr>
  </w:style>
  <w:style w:type="paragraph" w:customStyle="1" w:styleId="46">
    <w:name w:val="BodyText1I2"/>
    <w:basedOn w:val="47"/>
    <w:qFormat/>
    <w:uiPriority w:val="0"/>
    <w:pPr>
      <w:ind w:firstLine="420"/>
    </w:pPr>
  </w:style>
  <w:style w:type="paragraph" w:customStyle="1" w:styleId="47">
    <w:name w:val="BodyTextIndent"/>
    <w:basedOn w:val="1"/>
    <w:qFormat/>
    <w:uiPriority w:val="0"/>
    <w:pPr>
      <w:spacing w:after="120"/>
      <w:ind w:left="420" w:leftChars="200"/>
      <w:textAlignment w:val="baseline"/>
    </w:pPr>
  </w:style>
  <w:style w:type="character" w:customStyle="1" w:styleId="48">
    <w:name w:val="标题 1 字符1"/>
    <w:link w:val="3"/>
    <w:qFormat/>
    <w:uiPriority w:val="0"/>
    <w:rPr>
      <w:b/>
      <w:bCs/>
      <w:kern w:val="44"/>
      <w:sz w:val="44"/>
      <w:szCs w:val="44"/>
    </w:rPr>
  </w:style>
  <w:style w:type="character" w:customStyle="1" w:styleId="49">
    <w:name w:val="标题 2 字符1"/>
    <w:link w:val="4"/>
    <w:qFormat/>
    <w:uiPriority w:val="0"/>
    <w:rPr>
      <w:rFonts w:ascii="Arial" w:hAnsi="Arial" w:eastAsia="黑体"/>
      <w:b/>
      <w:bCs/>
      <w:kern w:val="2"/>
      <w:sz w:val="32"/>
      <w:szCs w:val="32"/>
    </w:rPr>
  </w:style>
  <w:style w:type="character" w:customStyle="1" w:styleId="50">
    <w:name w:val="标题 3 字符1"/>
    <w:link w:val="5"/>
    <w:qFormat/>
    <w:uiPriority w:val="0"/>
    <w:rPr>
      <w:b/>
      <w:bCs/>
      <w:kern w:val="2"/>
      <w:sz w:val="32"/>
      <w:szCs w:val="32"/>
    </w:rPr>
  </w:style>
  <w:style w:type="character" w:customStyle="1" w:styleId="51">
    <w:name w:val="标题 4 字符1"/>
    <w:link w:val="6"/>
    <w:qFormat/>
    <w:uiPriority w:val="0"/>
    <w:rPr>
      <w:rFonts w:ascii="Arial" w:eastAsia="黑体"/>
      <w:sz w:val="28"/>
    </w:rPr>
  </w:style>
  <w:style w:type="character" w:customStyle="1" w:styleId="52">
    <w:name w:val="标题 5 字符1"/>
    <w:link w:val="7"/>
    <w:qFormat/>
    <w:uiPriority w:val="9"/>
    <w:rPr>
      <w:b/>
      <w:bCs/>
      <w:kern w:val="2"/>
      <w:sz w:val="28"/>
      <w:szCs w:val="28"/>
    </w:rPr>
  </w:style>
  <w:style w:type="character" w:customStyle="1" w:styleId="53">
    <w:name w:val="文档结构图 字符1"/>
    <w:link w:val="12"/>
    <w:qFormat/>
    <w:uiPriority w:val="0"/>
    <w:rPr>
      <w:rFonts w:ascii="宋体"/>
      <w:kern w:val="2"/>
      <w:sz w:val="18"/>
      <w:szCs w:val="18"/>
    </w:rPr>
  </w:style>
  <w:style w:type="character" w:customStyle="1" w:styleId="54">
    <w:name w:val="批注文字 字符2"/>
    <w:link w:val="13"/>
    <w:qFormat/>
    <w:uiPriority w:val="0"/>
    <w:rPr>
      <w:kern w:val="2"/>
      <w:sz w:val="21"/>
      <w:szCs w:val="24"/>
    </w:rPr>
  </w:style>
  <w:style w:type="character" w:customStyle="1" w:styleId="55">
    <w:name w:val="正文文本 3 字符1"/>
    <w:link w:val="15"/>
    <w:qFormat/>
    <w:uiPriority w:val="99"/>
    <w:rPr>
      <w:kern w:val="2"/>
      <w:sz w:val="16"/>
      <w:szCs w:val="16"/>
    </w:rPr>
  </w:style>
  <w:style w:type="character" w:customStyle="1" w:styleId="56">
    <w:name w:val="正文文本 字符1"/>
    <w:link w:val="2"/>
    <w:qFormat/>
    <w:uiPriority w:val="99"/>
    <w:rPr>
      <w:kern w:val="2"/>
      <w:sz w:val="21"/>
      <w:szCs w:val="24"/>
    </w:rPr>
  </w:style>
  <w:style w:type="character" w:customStyle="1" w:styleId="57">
    <w:name w:val="正文文本缩进 字符1"/>
    <w:link w:val="16"/>
    <w:qFormat/>
    <w:uiPriority w:val="0"/>
    <w:rPr>
      <w:rFonts w:ascii="宋体" w:hAnsi="Courier New" w:eastAsia="宋体"/>
      <w:spacing w:val="-4"/>
      <w:kern w:val="2"/>
      <w:sz w:val="18"/>
      <w:lang w:val="en-US" w:eastAsia="zh-CN" w:bidi="ar-SA"/>
    </w:rPr>
  </w:style>
  <w:style w:type="character" w:customStyle="1" w:styleId="58">
    <w:name w:val="纯文本 字符3"/>
    <w:link w:val="20"/>
    <w:qFormat/>
    <w:uiPriority w:val="0"/>
    <w:rPr>
      <w:rFonts w:ascii="宋体" w:hAnsi="Courier New" w:eastAsia="宋体"/>
      <w:kern w:val="2"/>
      <w:sz w:val="21"/>
      <w:lang w:val="en-US" w:eastAsia="zh-CN" w:bidi="ar-SA"/>
    </w:rPr>
  </w:style>
  <w:style w:type="character" w:customStyle="1" w:styleId="59">
    <w:name w:val="日期 字符1"/>
    <w:link w:val="22"/>
    <w:qFormat/>
    <w:uiPriority w:val="0"/>
    <w:rPr>
      <w:kern w:val="2"/>
      <w:sz w:val="21"/>
      <w:szCs w:val="24"/>
    </w:rPr>
  </w:style>
  <w:style w:type="character" w:customStyle="1" w:styleId="60">
    <w:name w:val="正文文本缩进 2 字符1"/>
    <w:link w:val="23"/>
    <w:qFormat/>
    <w:uiPriority w:val="0"/>
    <w:rPr>
      <w:kern w:val="2"/>
      <w:sz w:val="21"/>
      <w:szCs w:val="24"/>
    </w:rPr>
  </w:style>
  <w:style w:type="character" w:customStyle="1" w:styleId="61">
    <w:name w:val="批注框文本 字符1"/>
    <w:link w:val="24"/>
    <w:qFormat/>
    <w:uiPriority w:val="0"/>
    <w:rPr>
      <w:kern w:val="2"/>
      <w:sz w:val="18"/>
      <w:szCs w:val="18"/>
    </w:rPr>
  </w:style>
  <w:style w:type="character" w:customStyle="1" w:styleId="62">
    <w:name w:val="页脚 字符2"/>
    <w:link w:val="25"/>
    <w:qFormat/>
    <w:uiPriority w:val="99"/>
    <w:rPr>
      <w:kern w:val="2"/>
      <w:sz w:val="18"/>
      <w:szCs w:val="18"/>
    </w:rPr>
  </w:style>
  <w:style w:type="character" w:customStyle="1" w:styleId="63">
    <w:name w:val="页眉 字符2"/>
    <w:link w:val="26"/>
    <w:qFormat/>
    <w:uiPriority w:val="99"/>
    <w:rPr>
      <w:kern w:val="2"/>
      <w:sz w:val="18"/>
      <w:szCs w:val="18"/>
    </w:rPr>
  </w:style>
  <w:style w:type="character" w:customStyle="1" w:styleId="64">
    <w:name w:val="批注主题 字符1"/>
    <w:link w:val="36"/>
    <w:qFormat/>
    <w:uiPriority w:val="99"/>
    <w:rPr>
      <w:b/>
      <w:bCs/>
      <w:kern w:val="2"/>
      <w:sz w:val="21"/>
      <w:szCs w:val="24"/>
    </w:rPr>
  </w:style>
  <w:style w:type="character" w:customStyle="1" w:styleId="65">
    <w:name w:val="标题 2 字符2"/>
    <w:link w:val="4"/>
    <w:qFormat/>
    <w:uiPriority w:val="0"/>
    <w:rPr>
      <w:rFonts w:ascii="Arial" w:hAnsi="Arial" w:eastAsia="黑体" w:cs="Times New Roman"/>
      <w:b/>
      <w:bCs/>
      <w:sz w:val="32"/>
      <w:szCs w:val="32"/>
    </w:rPr>
  </w:style>
  <w:style w:type="character" w:customStyle="1" w:styleId="66">
    <w:name w:val="页眉 字符"/>
    <w:qFormat/>
    <w:uiPriority w:val="99"/>
    <w:rPr>
      <w:rFonts w:ascii="Times New Roman" w:hAnsi="Times New Roman"/>
      <w:kern w:val="2"/>
      <w:sz w:val="18"/>
      <w:szCs w:val="18"/>
    </w:rPr>
  </w:style>
  <w:style w:type="character" w:customStyle="1" w:styleId="67">
    <w:name w:val="Char Char1"/>
    <w:qFormat/>
    <w:uiPriority w:val="0"/>
    <w:rPr>
      <w:rFonts w:ascii="宋体" w:hAnsi="Courier New" w:eastAsia="宋体"/>
      <w:kern w:val="2"/>
      <w:sz w:val="21"/>
      <w:lang w:val="en-US" w:eastAsia="zh-CN" w:bidi="ar-SA"/>
    </w:rPr>
  </w:style>
  <w:style w:type="character" w:customStyle="1" w:styleId="68">
    <w:name w:val="纯文本 字符2"/>
    <w:qFormat/>
    <w:uiPriority w:val="0"/>
    <w:rPr>
      <w:rFonts w:ascii="宋体" w:hAnsi="Courier New" w:eastAsia="宋体" w:cs="Courier New"/>
      <w:szCs w:val="21"/>
    </w:rPr>
  </w:style>
  <w:style w:type="character" w:customStyle="1" w:styleId="69">
    <w:name w:val="正文文本_"/>
    <w:link w:val="70"/>
    <w:qFormat/>
    <w:uiPriority w:val="0"/>
    <w:rPr>
      <w:rFonts w:ascii="MingLiU" w:hAnsi="MingLiU" w:eastAsia="MingLiU" w:cs="MingLiU"/>
      <w:spacing w:val="9"/>
      <w:sz w:val="19"/>
      <w:szCs w:val="19"/>
      <w:shd w:val="clear" w:color="auto" w:fill="FFFFFF"/>
    </w:rPr>
  </w:style>
  <w:style w:type="paragraph" w:customStyle="1" w:styleId="70">
    <w:name w:val="正文文本1"/>
    <w:basedOn w:val="1"/>
    <w:link w:val="69"/>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71">
    <w:name w:val="纯文本 Char1"/>
    <w:link w:val="72"/>
    <w:qFormat/>
    <w:uiPriority w:val="0"/>
    <w:rPr>
      <w:rFonts w:ascii="宋体" w:hAnsi="Courier New" w:eastAsia="宋体"/>
      <w:kern w:val="2"/>
      <w:sz w:val="21"/>
      <w:lang w:val="en-US" w:eastAsia="zh-CN" w:bidi="ar-SA"/>
    </w:rPr>
  </w:style>
  <w:style w:type="paragraph" w:customStyle="1" w:styleId="72">
    <w:name w:val="纯文本1"/>
    <w:basedOn w:val="1"/>
    <w:link w:val="71"/>
    <w:qFormat/>
    <w:uiPriority w:val="0"/>
    <w:rPr>
      <w:rFonts w:ascii="宋体" w:hAnsi="Courier New"/>
      <w:szCs w:val="20"/>
    </w:rPr>
  </w:style>
  <w:style w:type="character" w:customStyle="1" w:styleId="73">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7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5">
    <w:name w:val="页脚 字符"/>
    <w:qFormat/>
    <w:uiPriority w:val="99"/>
    <w:rPr>
      <w:sz w:val="18"/>
      <w:szCs w:val="18"/>
    </w:rPr>
  </w:style>
  <w:style w:type="character" w:customStyle="1" w:styleId="76">
    <w:name w:val="批注文字 字符1"/>
    <w:qFormat/>
    <w:uiPriority w:val="0"/>
    <w:rPr>
      <w:rFonts w:ascii="Times New Roman" w:hAnsi="Times New Roman"/>
      <w:kern w:val="2"/>
      <w:sz w:val="21"/>
      <w:szCs w:val="24"/>
    </w:rPr>
  </w:style>
  <w:style w:type="character" w:customStyle="1" w:styleId="77">
    <w:name w:val="正文2 Char Char"/>
    <w:link w:val="78"/>
    <w:qFormat/>
    <w:uiPriority w:val="0"/>
    <w:rPr>
      <w:kern w:val="2"/>
      <w:sz w:val="24"/>
    </w:rPr>
  </w:style>
  <w:style w:type="paragraph" w:customStyle="1" w:styleId="78">
    <w:name w:val="正文2"/>
    <w:basedOn w:val="1"/>
    <w:link w:val="77"/>
    <w:qFormat/>
    <w:uiPriority w:val="0"/>
    <w:pPr>
      <w:adjustRightInd w:val="0"/>
      <w:spacing w:before="156" w:line="360" w:lineRule="auto"/>
      <w:ind w:firstLine="510" w:firstLineChars="200"/>
    </w:pPr>
    <w:rPr>
      <w:sz w:val="24"/>
      <w:szCs w:val="20"/>
    </w:rPr>
  </w:style>
  <w:style w:type="character" w:customStyle="1" w:styleId="79">
    <w:name w:val="纯文本 Char_0"/>
    <w:link w:val="80"/>
    <w:qFormat/>
    <w:uiPriority w:val="0"/>
    <w:rPr>
      <w:rFonts w:ascii="宋体" w:hAnsi="Courier New"/>
      <w:kern w:val="2"/>
      <w:sz w:val="21"/>
      <w:szCs w:val="21"/>
    </w:rPr>
  </w:style>
  <w:style w:type="paragraph" w:customStyle="1" w:styleId="80">
    <w:name w:val="纯文本_0_0"/>
    <w:basedOn w:val="1"/>
    <w:link w:val="79"/>
    <w:qFormat/>
    <w:uiPriority w:val="0"/>
    <w:rPr>
      <w:rFonts w:ascii="宋体" w:hAnsi="Courier New"/>
      <w:szCs w:val="21"/>
    </w:rPr>
  </w:style>
  <w:style w:type="character" w:customStyle="1" w:styleId="81">
    <w:name w:val="批注文字 Char1"/>
    <w:qFormat/>
    <w:uiPriority w:val="0"/>
    <w:rPr>
      <w:rFonts w:ascii="Times New Roman" w:hAnsi="Times New Roman"/>
      <w:kern w:val="2"/>
      <w:sz w:val="21"/>
      <w:szCs w:val="24"/>
    </w:rPr>
  </w:style>
  <w:style w:type="paragraph" w:styleId="82">
    <w:name w:val="List Paragraph"/>
    <w:basedOn w:val="1"/>
    <w:qFormat/>
    <w:uiPriority w:val="34"/>
    <w:pPr>
      <w:ind w:firstLine="420" w:firstLineChars="200"/>
    </w:pPr>
  </w:style>
  <w:style w:type="paragraph" w:customStyle="1" w:styleId="83">
    <w:name w:val="Char Char Char1 Char Char Char Char Char Char Char"/>
    <w:basedOn w:val="1"/>
    <w:qFormat/>
    <w:uiPriority w:val="0"/>
  </w:style>
  <w:style w:type="paragraph" w:customStyle="1" w:styleId="84">
    <w:name w:val="Char Char Char"/>
    <w:basedOn w:val="1"/>
    <w:qFormat/>
    <w:uiPriority w:val="0"/>
    <w:rPr>
      <w:szCs w:val="20"/>
    </w:rPr>
  </w:style>
  <w:style w:type="paragraph" w:customStyle="1" w:styleId="85">
    <w:name w:val=" Char Char Char Char Char Char Char Char Char Char Char Char"/>
    <w:basedOn w:val="1"/>
    <w:qFormat/>
    <w:uiPriority w:val="0"/>
    <w:pPr>
      <w:widowControl/>
      <w:spacing w:after="160" w:afterLines="0" w:line="240" w:lineRule="exact"/>
      <w:jc w:val="left"/>
    </w:pPr>
  </w:style>
  <w:style w:type="paragraph" w:customStyle="1" w:styleId="86">
    <w:name w:val="列出段落1"/>
    <w:basedOn w:val="1"/>
    <w:qFormat/>
    <w:uiPriority w:val="34"/>
    <w:pPr>
      <w:spacing w:before="100" w:beforeAutospacing="1" w:after="100" w:afterAutospacing="1" w:line="360" w:lineRule="auto"/>
      <w:ind w:firstLine="420" w:firstLineChars="200"/>
    </w:pPr>
  </w:style>
  <w:style w:type="paragraph" w:customStyle="1" w:styleId="87">
    <w:name w:val="_Style 85"/>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88">
    <w:name w:val="样式 标题 2 + 非加粗 首行缩进:  2 字符"/>
    <w:basedOn w:val="4"/>
    <w:qFormat/>
    <w:uiPriority w:val="0"/>
    <w:pPr>
      <w:spacing w:before="0" w:beforeLines="0" w:after="0" w:afterLines="0" w:line="600" w:lineRule="exact"/>
      <w:ind w:firstLine="640" w:firstLineChars="200"/>
      <w:jc w:val="left"/>
    </w:pPr>
    <w:rPr>
      <w:rFonts w:cs="宋体"/>
      <w:b w:val="0"/>
      <w:bCs w:val="0"/>
      <w:szCs w:val="20"/>
    </w:rPr>
  </w:style>
  <w:style w:type="paragraph" w:customStyle="1" w:styleId="89">
    <w:name w:val="Table Paragraph"/>
    <w:basedOn w:val="1"/>
    <w:qFormat/>
    <w:uiPriority w:val="1"/>
    <w:pPr>
      <w:jc w:val="left"/>
    </w:pPr>
    <w:rPr>
      <w:rFonts w:ascii="Calibri" w:hAnsi="Calibri"/>
      <w:kern w:val="0"/>
      <w:sz w:val="22"/>
      <w:szCs w:val="22"/>
      <w:lang w:eastAsia="en-US"/>
    </w:rPr>
  </w:style>
  <w:style w:type="paragraph" w:customStyle="1" w:styleId="90">
    <w:name w:val=" Char"/>
    <w:basedOn w:val="1"/>
    <w:qFormat/>
    <w:uiPriority w:val="0"/>
    <w:rPr>
      <w:szCs w:val="21"/>
    </w:rPr>
  </w:style>
  <w:style w:type="paragraph" w:customStyle="1" w:styleId="91">
    <w:name w:val="Char Char Char Char Char Char Char"/>
    <w:basedOn w:val="1"/>
    <w:qFormat/>
    <w:uiPriority w:val="0"/>
  </w:style>
  <w:style w:type="paragraph" w:customStyle="1" w:styleId="92">
    <w:name w:val=" Char Char Char Char Char Char Char"/>
    <w:basedOn w:val="1"/>
    <w:qFormat/>
    <w:uiPriority w:val="0"/>
  </w:style>
  <w:style w:type="paragraph" w:customStyle="1" w:styleId="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4">
    <w:name w:val="Char Char Char Char Char Char Char Char Char Char Char Char"/>
    <w:basedOn w:val="1"/>
    <w:qFormat/>
    <w:uiPriority w:val="0"/>
    <w:pPr>
      <w:widowControl/>
      <w:spacing w:after="160" w:afterLines="0" w:line="240" w:lineRule="exact"/>
      <w:jc w:val="left"/>
    </w:pPr>
  </w:style>
  <w:style w:type="paragraph" w:customStyle="1" w:styleId="95">
    <w:name w:val="表格文字"/>
    <w:basedOn w:val="16"/>
    <w:next w:val="2"/>
    <w:qFormat/>
    <w:uiPriority w:val="0"/>
    <w:pPr>
      <w:adjustRightInd w:val="0"/>
      <w:spacing w:line="420" w:lineRule="atLeast"/>
      <w:jc w:val="left"/>
      <w:textAlignment w:val="baseline"/>
    </w:pPr>
    <w:rPr>
      <w:kern w:val="0"/>
    </w:rPr>
  </w:style>
  <w:style w:type="paragraph" w:customStyle="1" w:styleId="96">
    <w:name w:val="_Style 94"/>
    <w:qFormat/>
    <w:uiPriority w:val="0"/>
    <w:rPr>
      <w:rFonts w:ascii="Times New Roman" w:hAnsi="Times New Roman" w:eastAsia="宋体" w:cs="Times New Roman"/>
      <w:kern w:val="2"/>
      <w:sz w:val="21"/>
      <w:szCs w:val="24"/>
      <w:lang w:val="en-US" w:eastAsia="zh-CN" w:bidi="ar-SA"/>
    </w:rPr>
  </w:style>
  <w:style w:type="paragraph" w:customStyle="1" w:styleId="97">
    <w:name w:val="正文段"/>
    <w:basedOn w:val="1"/>
    <w:qFormat/>
    <w:uiPriority w:val="0"/>
    <w:pPr>
      <w:widowControl/>
      <w:snapToGrid w:val="0"/>
      <w:spacing w:after="156" w:afterLines="50"/>
      <w:ind w:firstLine="200" w:firstLineChars="200"/>
    </w:pPr>
    <w:rPr>
      <w:kern w:val="0"/>
      <w:sz w:val="24"/>
      <w:szCs w:val="20"/>
    </w:rPr>
  </w:style>
  <w:style w:type="paragraph" w:customStyle="1" w:styleId="98">
    <w:name w:val="Char Char Char Char"/>
    <w:basedOn w:val="1"/>
    <w:qFormat/>
    <w:uiPriority w:val="0"/>
    <w:pPr>
      <w:widowControl/>
      <w:spacing w:after="160" w:afterLines="0" w:line="240" w:lineRule="exact"/>
      <w:jc w:val="left"/>
    </w:pPr>
  </w:style>
  <w:style w:type="paragraph" w:customStyle="1" w:styleId="99">
    <w:name w:val="Char"/>
    <w:basedOn w:val="1"/>
    <w:qFormat/>
    <w:uiPriority w:val="0"/>
  </w:style>
  <w:style w:type="paragraph" w:customStyle="1" w:styleId="100">
    <w:name w:val=" Char Char Char Char"/>
    <w:basedOn w:val="1"/>
    <w:qFormat/>
    <w:uiPriority w:val="0"/>
    <w:pPr>
      <w:widowControl/>
      <w:spacing w:after="160" w:afterLines="0" w:line="240" w:lineRule="exact"/>
      <w:jc w:val="left"/>
    </w:pPr>
  </w:style>
  <w:style w:type="paragraph" w:customStyle="1" w:styleId="101">
    <w:name w:val="样式 标题 1 + 居中 段前: 0 磅 段后: 0 磅 行距: 固定值 30 磅"/>
    <w:basedOn w:val="3"/>
    <w:qFormat/>
    <w:uiPriority w:val="0"/>
    <w:pPr>
      <w:spacing w:before="0" w:beforeLines="0" w:after="0" w:afterLines="0" w:line="600" w:lineRule="exact"/>
      <w:jc w:val="center"/>
    </w:pPr>
    <w:rPr>
      <w:rFonts w:cs="宋体"/>
      <w:szCs w:val="20"/>
    </w:rPr>
  </w:style>
  <w:style w:type="paragraph" w:customStyle="1" w:styleId="102">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3">
    <w:name w:val="p0"/>
    <w:basedOn w:val="1"/>
    <w:qFormat/>
    <w:uiPriority w:val="0"/>
    <w:pPr>
      <w:widowControl/>
    </w:pPr>
    <w:rPr>
      <w:kern w:val="0"/>
      <w:szCs w:val="21"/>
    </w:rPr>
  </w:style>
  <w:style w:type="paragraph" w:customStyle="1" w:styleId="104">
    <w:name w:val="默认段落字体 Para Char Char Char Char Char Char Char Char Char1 Char Char Char Char"/>
    <w:basedOn w:val="1"/>
    <w:qFormat/>
    <w:uiPriority w:val="0"/>
    <w:rPr>
      <w:rFonts w:ascii="Tahoma" w:hAnsi="Tahoma"/>
      <w:sz w:val="24"/>
      <w:szCs w:val="20"/>
    </w:rPr>
  </w:style>
  <w:style w:type="character" w:customStyle="1" w:styleId="105">
    <w:name w:val="正文文本 字符"/>
    <w:qFormat/>
    <w:uiPriority w:val="99"/>
    <w:rPr>
      <w:kern w:val="2"/>
      <w:sz w:val="21"/>
      <w:szCs w:val="24"/>
    </w:rPr>
  </w:style>
  <w:style w:type="character" w:customStyle="1" w:styleId="106">
    <w:name w:val="纯文本 字符"/>
    <w:qFormat/>
    <w:uiPriority w:val="0"/>
    <w:rPr>
      <w:rFonts w:ascii="宋体" w:hAnsi="Courier New"/>
      <w:kern w:val="2"/>
      <w:sz w:val="21"/>
    </w:rPr>
  </w:style>
  <w:style w:type="character" w:customStyle="1" w:styleId="107">
    <w:name w:val="标题 1 字符"/>
    <w:qFormat/>
    <w:uiPriority w:val="0"/>
    <w:rPr>
      <w:b/>
      <w:bCs/>
      <w:kern w:val="44"/>
      <w:sz w:val="44"/>
      <w:szCs w:val="44"/>
    </w:rPr>
  </w:style>
  <w:style w:type="character" w:customStyle="1" w:styleId="108">
    <w:name w:val="标题 2 字符"/>
    <w:qFormat/>
    <w:uiPriority w:val="0"/>
    <w:rPr>
      <w:rFonts w:ascii="Arial" w:hAnsi="Arial" w:eastAsia="黑体"/>
      <w:b/>
      <w:bCs/>
      <w:kern w:val="2"/>
      <w:sz w:val="32"/>
      <w:szCs w:val="32"/>
    </w:rPr>
  </w:style>
  <w:style w:type="character" w:customStyle="1" w:styleId="109">
    <w:name w:val="标题 3 字符"/>
    <w:qFormat/>
    <w:uiPriority w:val="0"/>
    <w:rPr>
      <w:b/>
      <w:bCs/>
      <w:kern w:val="2"/>
      <w:sz w:val="32"/>
      <w:szCs w:val="32"/>
    </w:rPr>
  </w:style>
  <w:style w:type="character" w:customStyle="1" w:styleId="110">
    <w:name w:val="标题 4 字符"/>
    <w:qFormat/>
    <w:uiPriority w:val="0"/>
    <w:rPr>
      <w:rFonts w:ascii="Arial" w:eastAsia="黑体"/>
      <w:sz w:val="28"/>
    </w:rPr>
  </w:style>
  <w:style w:type="character" w:customStyle="1" w:styleId="111">
    <w:name w:val="标题 5 字符"/>
    <w:qFormat/>
    <w:uiPriority w:val="9"/>
    <w:rPr>
      <w:b/>
      <w:bCs/>
      <w:kern w:val="2"/>
      <w:sz w:val="28"/>
      <w:szCs w:val="28"/>
    </w:rPr>
  </w:style>
  <w:style w:type="character" w:customStyle="1" w:styleId="112">
    <w:name w:val="文档结构图 字符"/>
    <w:qFormat/>
    <w:uiPriority w:val="0"/>
    <w:rPr>
      <w:rFonts w:ascii="宋体"/>
      <w:kern w:val="2"/>
      <w:sz w:val="18"/>
      <w:szCs w:val="18"/>
    </w:rPr>
  </w:style>
  <w:style w:type="character" w:customStyle="1" w:styleId="113">
    <w:name w:val="批注文字 字符"/>
    <w:qFormat/>
    <w:uiPriority w:val="0"/>
    <w:rPr>
      <w:kern w:val="2"/>
      <w:sz w:val="21"/>
      <w:szCs w:val="24"/>
    </w:rPr>
  </w:style>
  <w:style w:type="character" w:customStyle="1" w:styleId="114">
    <w:name w:val="正文文本 3 字符"/>
    <w:qFormat/>
    <w:uiPriority w:val="99"/>
    <w:rPr>
      <w:kern w:val="2"/>
      <w:sz w:val="16"/>
      <w:szCs w:val="16"/>
    </w:rPr>
  </w:style>
  <w:style w:type="character" w:customStyle="1" w:styleId="115">
    <w:name w:val="正文文本缩进 字符"/>
    <w:qFormat/>
    <w:uiPriority w:val="0"/>
    <w:rPr>
      <w:rFonts w:ascii="宋体" w:hAnsi="Courier New"/>
      <w:spacing w:val="-4"/>
      <w:kern w:val="2"/>
      <w:sz w:val="18"/>
    </w:rPr>
  </w:style>
  <w:style w:type="character" w:customStyle="1" w:styleId="116">
    <w:name w:val="日期 字符"/>
    <w:qFormat/>
    <w:uiPriority w:val="0"/>
    <w:rPr>
      <w:kern w:val="2"/>
      <w:sz w:val="21"/>
      <w:szCs w:val="24"/>
    </w:rPr>
  </w:style>
  <w:style w:type="character" w:customStyle="1" w:styleId="117">
    <w:name w:val="正文文本缩进 2 字符"/>
    <w:qFormat/>
    <w:uiPriority w:val="0"/>
    <w:rPr>
      <w:kern w:val="2"/>
      <w:sz w:val="21"/>
      <w:szCs w:val="24"/>
    </w:rPr>
  </w:style>
  <w:style w:type="character" w:customStyle="1" w:styleId="118">
    <w:name w:val="批注框文本 字符"/>
    <w:qFormat/>
    <w:uiPriority w:val="0"/>
    <w:rPr>
      <w:kern w:val="2"/>
      <w:sz w:val="18"/>
      <w:szCs w:val="18"/>
    </w:rPr>
  </w:style>
  <w:style w:type="character" w:customStyle="1" w:styleId="119">
    <w:name w:val="页脚 字符1"/>
    <w:qFormat/>
    <w:uiPriority w:val="99"/>
    <w:rPr>
      <w:kern w:val="2"/>
      <w:sz w:val="18"/>
      <w:szCs w:val="18"/>
    </w:rPr>
  </w:style>
  <w:style w:type="character" w:customStyle="1" w:styleId="120">
    <w:name w:val="页眉 字符1"/>
    <w:qFormat/>
    <w:uiPriority w:val="99"/>
    <w:rPr>
      <w:kern w:val="2"/>
      <w:sz w:val="18"/>
      <w:szCs w:val="18"/>
    </w:rPr>
  </w:style>
  <w:style w:type="character" w:customStyle="1" w:styleId="121">
    <w:name w:val="批注主题 字符"/>
    <w:qFormat/>
    <w:uiPriority w:val="99"/>
    <w:rPr>
      <w:b/>
      <w:bCs/>
      <w:kern w:val="2"/>
      <w:sz w:val="21"/>
      <w:szCs w:val="24"/>
    </w:rPr>
  </w:style>
  <w:style w:type="paragraph" w:customStyle="1" w:styleId="12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3">
    <w:name w:val="纯文本 字符1"/>
    <w:semiHidden/>
    <w:qFormat/>
    <w:locked/>
    <w:uiPriority w:val="0"/>
    <w:rPr>
      <w:rFonts w:ascii="宋体" w:hAnsi="Courier New"/>
      <w:kern w:val="2"/>
      <w:sz w:val="21"/>
    </w:rPr>
  </w:style>
  <w:style w:type="paragraph" w:customStyle="1" w:styleId="12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Cs w:val="21"/>
    </w:rPr>
  </w:style>
  <w:style w:type="paragraph" w:customStyle="1" w:styleId="126">
    <w:name w:val="Default"/>
    <w:basedOn w:val="72"/>
    <w:next w:val="14"/>
    <w:qFormat/>
    <w:uiPriority w:val="0"/>
    <w:pPr>
      <w:widowControl w:val="0"/>
      <w:autoSpaceDE w:val="0"/>
      <w:autoSpaceDN w:val="0"/>
      <w:adjustRightInd w:val="0"/>
    </w:pPr>
    <w:rPr>
      <w:rFonts w:hint="eastAsia" w:ascii="方正仿宋_GBK" w:hAnsi="方正仿宋_GBK" w:eastAsia="方正仿宋_GBK"/>
      <w:color w:val="000000"/>
      <w:sz w:val="24"/>
      <w:lang w:val="en-US" w:eastAsia="zh-CN" w:bidi="ar-SA"/>
    </w:rPr>
  </w:style>
  <w:style w:type="paragraph" w:customStyle="1" w:styleId="127">
    <w:name w:val="Legal_L2"/>
    <w:basedOn w:val="1"/>
    <w:qFormat/>
    <w:uiPriority w:val="0"/>
    <w:pPr>
      <w:widowControl/>
      <w:spacing w:after="240" w:line="259" w:lineRule="auto"/>
      <w:jc w:val="left"/>
      <w:outlineLvl w:val="1"/>
    </w:pPr>
    <w:rPr>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Users/langzhengyi/Library/Containers/com.kingsoft.wpsoffice.mac/Data/C:\Users\langzhengyi\Library\Containers\com.kingsoft.wpsoffice.mac\Data\C:\home\inspur\C:\home\inspur\192.168.200.66\4&#37096;&#20849;&#20139;1\2025&#24180;&#25307;&#26631;&#39033;&#30446;\11&#26376;\&#20840;&#21306;&#38750;&#27861;&#22534;&#23384;&#12289;&#36716;&#31227;&#28041;&#37325;&#22266;&#20307;&#24223;&#29289;&#21361;&#38505;&#29305;&#24615;&#37492;&#21035;&#21450;&#27745;&#26579;&#37322;&#25918;&#33021;&#21147;&#35780;&#20272;&#39033;&#30446;\&#65288;1117&#25307;&#26631;&#25991;&#20214;&#65289;12.&#20840;&#21306;&#38750;&#27861;&#22534;&#23384;&#12289;&#36716;&#31227;&#28041;&#37325;&#22266;&#20307;&#24223;&#29289;&#21361;&#38505;&#29305;&#24615;&#37492;&#21035;&#21450;&#27745;&#26579;&#37322;&#25918;&#33021;&#21147;&#35780;&#20272;&#39033;&#3044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（1117招标文件）12.全区非法堆存、转移涉重固体废物危险特性鉴别及污染释放能力评估项目.dotx</Template>
  <Pages>87</Pages>
  <Words>51198</Words>
  <Characters>53973</Characters>
  <Lines>396</Lines>
  <Paragraphs>111</Paragraphs>
  <TotalTime>7</TotalTime>
  <ScaleCrop>false</ScaleCrop>
  <LinksUpToDate>false</LinksUpToDate>
  <CharactersWithSpaces>60576</CharactersWithSpaces>
  <Application>WPS Office_12.1.24709.24709_F1E327BC-269C-435d-A152-05C5408002CA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2025-11-20T03:43:00Z</dcterms:created>
  <dc:creator>黄艳颀</dc:creator>
  <cp:lastModifiedBy>黄艳颀</cp:lastModifiedBy>
  <dcterms:modified xsi:type="dcterms:W3CDTF">2026-02-13T09:02:44Z</dcterms:modified>
  <dc:title>南财采管〔2012〕3号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2052-12.1.24709.24709</vt:lpwstr>
  </property>
  <property fmtid="{D5CDD505-2E9C-101B-9397-08002B2CF9AE}" pid="3" name="ICV">
    <vt:lpwstr>D650F1B9367E334834788E697138CA0E_43</vt:lpwstr>
  </property>
  <property fmtid="{D5CDD505-2E9C-101B-9397-08002B2CF9AE}" pid="4" name="KSOTemplateDocerSaveRecord">
    <vt:lpwstr>eyJoZGlkIjoiODAxZjZkNTliNTYyYmJmZDhkZTRkYWM0MGVjZGI1ODgiLCJ1c2VySWQiOiIxNjY1NTAzNDkwIn0=</vt:lpwstr>
  </property>
</Properties>
</file>