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4A7585B">
      <w:pPr>
        <w:jc w:val="center"/>
        <w:rPr>
          <w:rFonts w:hint="eastAsia" w:ascii="宋体" w:hAnsi="宋体" w:cs="宋体"/>
          <w:b/>
          <w:bCs/>
          <w:color w:val="auto"/>
          <w:sz w:val="48"/>
          <w:szCs w:val="48"/>
          <w:highlight w:val="none"/>
        </w:rPr>
      </w:pPr>
      <w:bookmarkStart w:id="0" w:name="OLE_LINK15"/>
      <w:bookmarkStart w:id="1" w:name="OLE_LINK8"/>
      <w:bookmarkStart w:id="2" w:name="OLE_LINK10"/>
      <w:bookmarkStart w:id="3" w:name="OLE_LINK7"/>
      <w:bookmarkStart w:id="4" w:name="OLE_LINK11"/>
    </w:p>
    <w:p w14:paraId="38D8D0CD">
      <w:pPr>
        <w:jc w:val="center"/>
        <w:rPr>
          <w:rFonts w:hint="eastAsia" w:ascii="宋体" w:hAnsi="宋体" w:cs="宋体"/>
          <w:b/>
          <w:bCs/>
          <w:color w:val="auto"/>
          <w:sz w:val="48"/>
          <w:szCs w:val="48"/>
          <w:highlight w:val="none"/>
        </w:rPr>
      </w:pPr>
    </w:p>
    <w:p w14:paraId="770EB077">
      <w:pPr>
        <w:jc w:val="center"/>
        <w:rPr>
          <w:rFonts w:hint="eastAsia" w:ascii="宋体" w:hAnsi="宋体" w:cs="宋体"/>
          <w:b/>
          <w:bCs/>
          <w:color w:val="auto"/>
          <w:sz w:val="48"/>
          <w:szCs w:val="48"/>
          <w:highlight w:val="none"/>
        </w:rPr>
      </w:pPr>
      <w:r>
        <w:rPr>
          <w:rFonts w:hAnsi="宋体"/>
          <w:color w:val="auto"/>
          <w:kern w:val="0"/>
          <w:szCs w:val="21"/>
          <w:highlight w:val="none"/>
        </w:rPr>
        <w:drawing>
          <wp:anchor distT="0" distB="0" distL="114300" distR="114300" simplePos="0" relativeHeight="251662336" behindDoc="0" locked="0" layoutInCell="1" allowOverlap="1">
            <wp:simplePos x="0" y="0"/>
            <wp:positionH relativeFrom="column">
              <wp:posOffset>-342900</wp:posOffset>
            </wp:positionH>
            <wp:positionV relativeFrom="paragraph">
              <wp:posOffset>-373380</wp:posOffset>
            </wp:positionV>
            <wp:extent cx="6395085" cy="1416685"/>
            <wp:effectExtent l="0" t="0" r="0" b="0"/>
            <wp:wrapNone/>
            <wp:docPr id="2"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03★工作★（硬盘）\2018年项目-2022年项目-招标\5、2022年项目\（2.28投标入库）南宁轨道地产集团有限责任公司2022-2025年招标代理服务\招标公司-名称.png"/>
                    <pic:cNvPicPr>
                      <a:picLocks noChangeAspect="1"/>
                    </pic:cNvPicPr>
                  </pic:nvPicPr>
                  <pic:blipFill>
                    <a:blip r:embed="rId20"/>
                    <a:srcRect r="6451"/>
                    <a:stretch>
                      <a:fillRect/>
                    </a:stretch>
                  </pic:blipFill>
                  <pic:spPr>
                    <a:xfrm>
                      <a:off x="654685" y="1099820"/>
                      <a:ext cx="6395085" cy="1416685"/>
                    </a:xfrm>
                    <a:prstGeom prst="rect">
                      <a:avLst/>
                    </a:prstGeom>
                    <a:noFill/>
                    <a:ln>
                      <a:noFill/>
                    </a:ln>
                  </pic:spPr>
                </pic:pic>
              </a:graphicData>
            </a:graphic>
          </wp:anchor>
        </w:drawing>
      </w:r>
    </w:p>
    <w:p w14:paraId="3C4A56C0">
      <w:pPr>
        <w:jc w:val="center"/>
        <w:rPr>
          <w:rFonts w:hint="eastAsia" w:ascii="宋体" w:hAnsi="宋体" w:cs="宋体"/>
          <w:b/>
          <w:bCs/>
          <w:color w:val="auto"/>
          <w:sz w:val="48"/>
          <w:szCs w:val="48"/>
          <w:highlight w:val="none"/>
        </w:rPr>
      </w:pPr>
    </w:p>
    <w:bookmarkEnd w:id="0"/>
    <w:p w14:paraId="06837FF5">
      <w:pPr>
        <w:spacing w:line="360" w:lineRule="auto"/>
        <w:jc w:val="center"/>
        <w:rPr>
          <w:rFonts w:hint="eastAsia" w:ascii="宋体" w:hAnsi="宋体" w:cs="宋体"/>
          <w:b/>
          <w:color w:val="auto"/>
          <w:sz w:val="36"/>
          <w:szCs w:val="36"/>
          <w:highlight w:val="none"/>
        </w:rPr>
      </w:pPr>
      <w:r>
        <w:rPr>
          <w:rFonts w:hint="eastAsia" w:ascii="宋体" w:hAnsi="宋体" w:cs="宋体"/>
          <w:color w:val="auto"/>
          <w:sz w:val="20"/>
          <w:highlight w:val="none"/>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169545</wp:posOffset>
                </wp:positionV>
                <wp:extent cx="5944235" cy="8255"/>
                <wp:effectExtent l="0" t="0" r="0" b="0"/>
                <wp:wrapNone/>
                <wp:docPr id="1"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0.65pt;margin-top:13.35pt;height:0.65pt;width:468.05pt;z-index:251659264;mso-width-relative:page;mso-height-relative:page;" filled="f" stroked="t" coordsize="21600,21600" o:gfxdata="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Z+Ad1wAAAAgBAAAPAAAAAAAAAAEAIAAAACIAAABkcnMvZG93bnJldi54bWxQSwEC&#10;FAAUAAAACACHTuJACkhh9fUBAAD3AwAADgAAAAAAAAABACAAAAAmAQAAZHJzL2Uyb0RvYy54bWxQ&#10;SwUGAAAAAAYABgBZAQAAjQU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14:paraId="72E85C3F">
      <w:pPr>
        <w:pStyle w:val="20"/>
        <w:jc w:val="center"/>
        <w:rPr>
          <w:rFonts w:hint="eastAsia" w:hAnsi="宋体" w:cs="宋体"/>
          <w:color w:val="auto"/>
          <w:sz w:val="72"/>
          <w:szCs w:val="72"/>
          <w:highlight w:val="none"/>
        </w:rPr>
      </w:pPr>
    </w:p>
    <w:p w14:paraId="116DB3D5">
      <w:pPr>
        <w:pStyle w:val="20"/>
        <w:jc w:val="center"/>
        <w:rPr>
          <w:rFonts w:hint="eastAsia" w:hAnsi="宋体" w:cs="宋体"/>
          <w:b/>
          <w:bCs/>
          <w:color w:val="auto"/>
          <w:sz w:val="110"/>
          <w:szCs w:val="110"/>
          <w:highlight w:val="none"/>
        </w:rPr>
      </w:pPr>
      <w:r>
        <w:rPr>
          <w:rFonts w:hint="eastAsia" w:hAnsi="宋体" w:cs="宋体"/>
          <w:color w:val="auto"/>
          <w:sz w:val="110"/>
          <w:szCs w:val="110"/>
          <w:highlight w:val="none"/>
        </w:rPr>
        <w:t>招 标 文 件</w:t>
      </w:r>
    </w:p>
    <w:p w14:paraId="4B7A26EB">
      <w:pPr>
        <w:jc w:val="center"/>
        <w:rPr>
          <w:rFonts w:hint="eastAsia" w:ascii="宋体" w:hAnsi="宋体" w:cs="宋体"/>
          <w:b/>
          <w:color w:val="auto"/>
          <w:sz w:val="36"/>
          <w:szCs w:val="36"/>
          <w:highlight w:val="none"/>
        </w:rPr>
      </w:pPr>
    </w:p>
    <w:p w14:paraId="4F8A03A2">
      <w:pPr>
        <w:pStyle w:val="20"/>
        <w:spacing w:line="360" w:lineRule="auto"/>
        <w:ind w:firstLine="751" w:firstLineChars="250"/>
        <w:jc w:val="left"/>
        <w:rPr>
          <w:rFonts w:hint="eastAsia" w:hAnsi="宋体" w:cs="宋体"/>
          <w:b/>
          <w:color w:val="auto"/>
          <w:sz w:val="30"/>
          <w:szCs w:val="30"/>
          <w:highlight w:val="none"/>
        </w:rPr>
      </w:pPr>
    </w:p>
    <w:p w14:paraId="021757FA">
      <w:pPr>
        <w:snapToGrid w:val="0"/>
        <w:spacing w:before="120" w:beforeLines="50"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（全流程电子化采购）</w:t>
      </w:r>
    </w:p>
    <w:p w14:paraId="59233A6C">
      <w:pPr>
        <w:pStyle w:val="20"/>
        <w:spacing w:line="360" w:lineRule="auto"/>
        <w:ind w:firstLine="751" w:firstLineChars="250"/>
        <w:jc w:val="left"/>
        <w:rPr>
          <w:rFonts w:hint="eastAsia" w:hAnsi="宋体" w:cs="宋体"/>
          <w:b/>
          <w:color w:val="auto"/>
          <w:sz w:val="30"/>
          <w:szCs w:val="30"/>
          <w:highlight w:val="none"/>
        </w:rPr>
      </w:pPr>
    </w:p>
    <w:p w14:paraId="2E332A5F">
      <w:pPr>
        <w:pStyle w:val="20"/>
        <w:spacing w:line="360" w:lineRule="auto"/>
        <w:ind w:firstLine="751" w:firstLineChars="250"/>
        <w:jc w:val="left"/>
        <w:rPr>
          <w:rFonts w:hint="eastAsia" w:hAnsi="宋体" w:cs="宋体"/>
          <w:b/>
          <w:color w:val="auto"/>
          <w:sz w:val="30"/>
          <w:szCs w:val="30"/>
          <w:highlight w:val="none"/>
        </w:rPr>
      </w:pPr>
    </w:p>
    <w:p w14:paraId="1D8EC8BA">
      <w:pPr>
        <w:pStyle w:val="20"/>
        <w:spacing w:line="360" w:lineRule="auto"/>
        <w:ind w:firstLine="751" w:firstLineChars="250"/>
        <w:jc w:val="left"/>
        <w:rPr>
          <w:rFonts w:hint="eastAsia" w:hAnsi="宋体" w:cs="宋体"/>
          <w:b/>
          <w:color w:val="auto"/>
          <w:sz w:val="30"/>
          <w:szCs w:val="30"/>
          <w:highlight w:val="none"/>
        </w:rPr>
      </w:pPr>
    </w:p>
    <w:p w14:paraId="7D62C968">
      <w:pPr>
        <w:pStyle w:val="20"/>
        <w:spacing w:line="360" w:lineRule="auto"/>
        <w:ind w:left="2254" w:leftChars="358" w:hanging="1502" w:hangingChars="50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项目名称：</w:t>
      </w:r>
      <w:r>
        <w:rPr>
          <w:rFonts w:hint="eastAsia" w:hAnsi="宋体" w:cs="宋体"/>
          <w:b/>
          <w:color w:val="auto"/>
          <w:sz w:val="30"/>
          <w:szCs w:val="30"/>
          <w:highlight w:val="none"/>
          <w:lang w:eastAsia="zh-CN"/>
        </w:rPr>
        <w:t>广西涉锑铊重金属环境现状调查与风险评估</w:t>
      </w:r>
    </w:p>
    <w:p w14:paraId="4B6E931F">
      <w:pPr>
        <w:pStyle w:val="20"/>
        <w:spacing w:line="360" w:lineRule="auto"/>
        <w:ind w:firstLine="751" w:firstLineChars="250"/>
        <w:jc w:val="left"/>
        <w:rPr>
          <w:rFonts w:hint="default" w:hAnsi="宋体" w:eastAsia="宋体" w:cs="宋体"/>
          <w:b/>
          <w:color w:val="auto"/>
          <w:sz w:val="30"/>
          <w:szCs w:val="30"/>
          <w:highlight w:val="none"/>
          <w:lang w:val="en-US" w:eastAsia="zh-CN"/>
        </w:rPr>
      </w:pPr>
      <w:r>
        <w:rPr>
          <w:rFonts w:hint="eastAsia" w:hAnsi="宋体" w:cs="宋体"/>
          <w:b/>
          <w:color w:val="auto"/>
          <w:sz w:val="30"/>
          <w:szCs w:val="30"/>
          <w:highlight w:val="none"/>
        </w:rPr>
        <w:t>项目编号：</w:t>
      </w:r>
      <w:r>
        <w:rPr>
          <w:rFonts w:hint="eastAsia" w:hAnsi="宋体" w:cs="宋体"/>
          <w:b/>
          <w:color w:val="auto"/>
          <w:sz w:val="30"/>
          <w:szCs w:val="30"/>
          <w:highlight w:val="none"/>
          <w:lang w:val="en-US" w:eastAsia="zh-CN"/>
        </w:rPr>
        <w:t>GXZC2026-G3-000164-JDZB</w:t>
      </w:r>
    </w:p>
    <w:p w14:paraId="414DC40D">
      <w:pPr>
        <w:spacing w:line="600" w:lineRule="exact"/>
        <w:ind w:left="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-89535</wp:posOffset>
                </wp:positionH>
                <wp:positionV relativeFrom="paragraph">
                  <wp:posOffset>144145</wp:posOffset>
                </wp:positionV>
                <wp:extent cx="5944235" cy="8255"/>
                <wp:effectExtent l="0" t="0" r="0" b="0"/>
                <wp:wrapNone/>
                <wp:docPr id="3" name="直线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7.05pt;margin-top:11.35pt;height:0.65pt;width:468.05pt;z-index:251660288;mso-width-relative:page;mso-height-relative:page;" filled="f" stroked="t" coordsize="21600,21600" o:gfxdata="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vzFLNcAAAAJAQAADwAAAAAAAAABACAAAAAiAAAAZHJzL2Rvd25yZXYueG1sUEsB&#10;AhQAFAAAAAgAh07iQNV1L+72AQAA9wMAAA4AAAAAAAAAAQAgAAAAJgEAAGRycy9lMm9Eb2MueG1s&#10;UEsFBgAAAAAGAAYAWQEAAI4FAAAAAA==&#10;">
                <v:fill on="f" focussize="0,0"/>
                <v:stroke weight="2.25pt" color="#000000" joinstyle="round"/>
                <v:imagedata o:title=""/>
                <o:lock v:ext="edit" aspectratio="f"/>
              </v:line>
            </w:pict>
          </mc:Fallback>
        </mc:AlternateContent>
      </w:r>
    </w:p>
    <w:p w14:paraId="62A43E2E">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采购人：</w:t>
      </w:r>
      <w:r>
        <w:rPr>
          <w:rFonts w:hint="eastAsia" w:hAnsi="宋体" w:cs="宋体"/>
          <w:b/>
          <w:color w:val="auto"/>
          <w:sz w:val="30"/>
          <w:szCs w:val="30"/>
          <w:highlight w:val="none"/>
          <w:lang w:eastAsia="zh-CN"/>
        </w:rPr>
        <w:t>广西壮族自治区生态环境厅</w:t>
      </w:r>
    </w:p>
    <w:p w14:paraId="3741C80D">
      <w:pPr>
        <w:pStyle w:val="20"/>
        <w:spacing w:line="360" w:lineRule="auto"/>
        <w:ind w:firstLine="751" w:firstLineChars="250"/>
        <w:jc w:val="left"/>
        <w:rPr>
          <w:rFonts w:hint="eastAsia" w:hAnsi="宋体" w:eastAsia="宋体" w:cs="宋体"/>
          <w:b/>
          <w:color w:val="auto"/>
          <w:sz w:val="30"/>
          <w:szCs w:val="30"/>
          <w:highlight w:val="none"/>
          <w:lang w:eastAsia="zh-CN"/>
        </w:rPr>
      </w:pPr>
      <w:r>
        <w:rPr>
          <w:rFonts w:hint="eastAsia" w:hAnsi="宋体" w:cs="宋体"/>
          <w:b/>
          <w:color w:val="auto"/>
          <w:sz w:val="30"/>
          <w:szCs w:val="30"/>
          <w:highlight w:val="none"/>
        </w:rPr>
        <w:t>采购代理机构：</w:t>
      </w:r>
      <w:r>
        <w:rPr>
          <w:rFonts w:hint="eastAsia" w:hAnsi="宋体" w:cs="宋体"/>
          <w:b/>
          <w:color w:val="auto"/>
          <w:sz w:val="30"/>
          <w:szCs w:val="30"/>
          <w:highlight w:val="none"/>
          <w:lang w:eastAsia="zh-CN"/>
        </w:rPr>
        <w:t>广西建设工程机电设备招标中心有限公司</w:t>
      </w:r>
    </w:p>
    <w:p w14:paraId="4C964FBD">
      <w:pPr>
        <w:pStyle w:val="20"/>
        <w:spacing w:line="360" w:lineRule="auto"/>
        <w:jc w:val="center"/>
        <w:rPr>
          <w:rFonts w:hint="eastAsia" w:hAnsi="宋体" w:cs="宋体"/>
          <w:b/>
          <w:color w:val="auto"/>
          <w:sz w:val="30"/>
          <w:szCs w:val="30"/>
          <w:highlight w:val="none"/>
        </w:rPr>
      </w:pPr>
    </w:p>
    <w:p w14:paraId="5A20CEA4">
      <w:pPr>
        <w:pStyle w:val="20"/>
        <w:spacing w:line="360" w:lineRule="auto"/>
        <w:jc w:val="center"/>
        <w:rPr>
          <w:rFonts w:hint="default" w:hAnsi="宋体" w:eastAsia="宋体" w:cs="宋体"/>
          <w:b/>
          <w:bCs/>
          <w:color w:val="auto"/>
          <w:spacing w:val="-27"/>
          <w:sz w:val="60"/>
          <w:szCs w:val="60"/>
          <w:highlight w:val="none"/>
          <w:lang w:val="en-US" w:eastAsia="zh-CN"/>
        </w:rPr>
      </w:pPr>
      <w:r>
        <w:rPr>
          <w:rFonts w:hint="eastAsia" w:hAnsi="宋体" w:cs="宋体"/>
          <w:b/>
          <w:color w:val="auto"/>
          <w:sz w:val="30"/>
          <w:szCs w:val="30"/>
          <w:highlight w:val="none"/>
        </w:rPr>
        <w:t>202</w:t>
      </w:r>
      <w:r>
        <w:rPr>
          <w:rFonts w:hint="eastAsia" w:hAnsi="宋体" w:cs="宋体"/>
          <w:b/>
          <w:color w:val="auto"/>
          <w:sz w:val="30"/>
          <w:szCs w:val="30"/>
          <w:highlight w:val="none"/>
          <w:lang w:val="en-US" w:eastAsia="zh-CN"/>
        </w:rPr>
        <w:t>6</w:t>
      </w:r>
      <w:r>
        <w:rPr>
          <w:rFonts w:hint="eastAsia" w:hAnsi="宋体" w:cs="宋体"/>
          <w:b/>
          <w:color w:val="auto"/>
          <w:sz w:val="30"/>
          <w:szCs w:val="30"/>
          <w:highlight w:val="none"/>
        </w:rPr>
        <w:t>年</w:t>
      </w:r>
      <w:r>
        <w:rPr>
          <w:rFonts w:hint="eastAsia" w:hAnsi="宋体" w:cs="宋体"/>
          <w:b/>
          <w:color w:val="auto"/>
          <w:sz w:val="30"/>
          <w:szCs w:val="30"/>
          <w:highlight w:val="none"/>
          <w:lang w:val="en-US" w:eastAsia="zh-CN"/>
        </w:rPr>
        <w:t>2</w:t>
      </w:r>
      <w:r>
        <w:rPr>
          <w:rFonts w:hint="eastAsia" w:hAnsi="宋体" w:cs="宋体"/>
          <w:b/>
          <w:color w:val="auto"/>
          <w:sz w:val="30"/>
          <w:szCs w:val="30"/>
          <w:highlight w:val="none"/>
        </w:rPr>
        <w:t>月</w:t>
      </w:r>
      <w:r>
        <w:rPr>
          <w:rFonts w:hint="eastAsia" w:hAnsi="宋体" w:cs="宋体"/>
          <w:b/>
          <w:color w:val="auto"/>
          <w:sz w:val="30"/>
          <w:szCs w:val="30"/>
          <w:highlight w:val="none"/>
          <w:lang w:val="en-US" w:eastAsia="zh-CN"/>
        </w:rPr>
        <w:t>13日</w:t>
      </w:r>
    </w:p>
    <w:p w14:paraId="15D97715">
      <w:pPr>
        <w:pStyle w:val="20"/>
        <w:spacing w:before="120" w:after="120" w:line="360" w:lineRule="auto"/>
        <w:jc w:val="center"/>
        <w:rPr>
          <w:rFonts w:hint="eastAsia" w:hAnsi="宋体" w:cs="宋体"/>
          <w:b/>
          <w:color w:val="auto"/>
          <w:sz w:val="44"/>
          <w:szCs w:val="44"/>
          <w:highlight w:val="none"/>
        </w:rPr>
        <w:sectPr>
          <w:footerReference r:id="rId6" w:type="first"/>
          <w:headerReference r:id="rId3" w:type="default"/>
          <w:footerReference r:id="rId4" w:type="default"/>
          <w:footerReference r:id="rId5" w:type="even"/>
          <w:pgSz w:w="11906" w:h="16838"/>
          <w:pgMar w:top="1440" w:right="1803" w:bottom="1440" w:left="1803" w:header="850" w:footer="850" w:gutter="0"/>
          <w:pgNumType w:start="0"/>
          <w:cols w:space="720" w:num="1"/>
          <w:titlePg/>
          <w:docGrid w:linePitch="312" w:charSpace="0"/>
        </w:sectPr>
      </w:pPr>
    </w:p>
    <w:p w14:paraId="4BA77137">
      <w:pPr>
        <w:pStyle w:val="20"/>
        <w:spacing w:before="120" w:after="120" w:line="360" w:lineRule="auto"/>
        <w:jc w:val="center"/>
        <w:rPr>
          <w:rFonts w:hint="eastAsia" w:hAnsi="宋体" w:cs="宋体"/>
          <w:b/>
          <w:color w:val="auto"/>
          <w:sz w:val="44"/>
          <w:szCs w:val="44"/>
          <w:highlight w:val="none"/>
        </w:rPr>
      </w:pPr>
      <w:r>
        <w:rPr>
          <w:rFonts w:hint="eastAsia" w:hAnsi="宋体" w:cs="宋体"/>
          <w:b/>
          <w:color w:val="auto"/>
          <w:sz w:val="44"/>
          <w:szCs w:val="44"/>
          <w:highlight w:val="none"/>
        </w:rPr>
        <w:t>目  录</w:t>
      </w:r>
    </w:p>
    <w:p w14:paraId="293AD4FE">
      <w:pPr>
        <w:pStyle w:val="27"/>
        <w:tabs>
          <w:tab w:val="right" w:leader="dot" w:pos="9242"/>
        </w:tabs>
        <w:spacing w:line="400" w:lineRule="exact"/>
        <w:rPr>
          <w:color w:val="auto"/>
          <w:highlight w:val="none"/>
        </w:rPr>
      </w:pPr>
      <w:bookmarkStart w:id="5" w:name="OLE_LINK9"/>
      <w:bookmarkStart w:id="6" w:name="OLE_LINK6"/>
      <w:r>
        <w:rPr>
          <w:rFonts w:hint="eastAsia" w:cs="宋体"/>
          <w:b w:val="0"/>
          <w:bCs w:val="0"/>
          <w:color w:val="auto"/>
          <w:highlight w:val="none"/>
        </w:rPr>
        <w:fldChar w:fldCharType="begin"/>
      </w:r>
      <w:r>
        <w:rPr>
          <w:rFonts w:hint="eastAsia" w:cs="宋体"/>
          <w:b w:val="0"/>
          <w:bCs w:val="0"/>
          <w:color w:val="auto"/>
          <w:highlight w:val="none"/>
        </w:rPr>
        <w:instrText xml:space="preserve">TOC \o "1-3" \h \u </w:instrText>
      </w:r>
      <w:r>
        <w:rPr>
          <w:rFonts w:hint="eastAsia" w:cs="宋体"/>
          <w:b w:val="0"/>
          <w:bCs w:val="0"/>
          <w:color w:val="auto"/>
          <w:highlight w:val="none"/>
        </w:rPr>
        <w:fldChar w:fldCharType="separate"/>
      </w:r>
      <w:r>
        <w:rPr>
          <w:rFonts w:hint="eastAsia" w:cs="宋体"/>
          <w:bCs w:val="0"/>
          <w:color w:val="auto"/>
          <w:highlight w:val="none"/>
        </w:rPr>
        <w:fldChar w:fldCharType="begin"/>
      </w:r>
      <w:r>
        <w:rPr>
          <w:rFonts w:hint="eastAsia" w:cs="宋体"/>
          <w:bCs w:val="0"/>
          <w:color w:val="auto"/>
          <w:highlight w:val="none"/>
        </w:rPr>
        <w:instrText xml:space="preserve"> HYPERLINK \l _Toc21030 </w:instrText>
      </w:r>
      <w:r>
        <w:rPr>
          <w:rFonts w:hint="eastAsia" w:cs="宋体"/>
          <w:bCs w:val="0"/>
          <w:color w:val="auto"/>
          <w:highlight w:val="none"/>
        </w:rPr>
        <w:fldChar w:fldCharType="separate"/>
      </w:r>
      <w:r>
        <w:rPr>
          <w:rFonts w:hint="eastAsia" w:ascii="宋体"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_Toc21030 \h </w:instrText>
      </w:r>
      <w:r>
        <w:rPr>
          <w:color w:val="auto"/>
          <w:highlight w:val="none"/>
        </w:rPr>
        <w:fldChar w:fldCharType="separate"/>
      </w:r>
      <w:r>
        <w:rPr>
          <w:color w:val="auto"/>
          <w:highlight w:val="none"/>
        </w:rPr>
        <w:t>1</w:t>
      </w:r>
      <w:r>
        <w:rPr>
          <w:color w:val="auto"/>
          <w:highlight w:val="none"/>
        </w:rPr>
        <w:fldChar w:fldCharType="end"/>
      </w:r>
      <w:r>
        <w:rPr>
          <w:rFonts w:hint="eastAsia" w:cs="宋体"/>
          <w:bCs w:val="0"/>
          <w:color w:val="auto"/>
          <w:highlight w:val="none"/>
        </w:rPr>
        <w:fldChar w:fldCharType="end"/>
      </w:r>
    </w:p>
    <w:p w14:paraId="18601B64">
      <w:pPr>
        <w:pStyle w:val="27"/>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_Toc12941 </w:instrText>
      </w:r>
      <w:r>
        <w:rPr>
          <w:rFonts w:hint="eastAsia" w:ascii="宋体" w:hAnsi="宋体" w:cs="宋体"/>
          <w:color w:val="auto"/>
          <w:highlight w:val="none"/>
        </w:rPr>
        <w:fldChar w:fldCharType="separate"/>
      </w:r>
      <w:r>
        <w:rPr>
          <w:rFonts w:hint="eastAsia" w:ascii="宋体"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_Toc12941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s="宋体"/>
          <w:color w:val="auto"/>
          <w:highlight w:val="none"/>
        </w:rPr>
        <w:fldChar w:fldCharType="end"/>
      </w:r>
    </w:p>
    <w:p w14:paraId="6B47E2A9">
      <w:pPr>
        <w:pStyle w:val="27"/>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_Toc24453 </w:instrText>
      </w:r>
      <w:r>
        <w:rPr>
          <w:rFonts w:hint="eastAsia" w:ascii="宋体" w:hAnsi="宋体" w:cs="宋体"/>
          <w:color w:val="auto"/>
          <w:highlight w:val="none"/>
        </w:rPr>
        <w:fldChar w:fldCharType="separate"/>
      </w:r>
      <w:r>
        <w:rPr>
          <w:rFonts w:hint="eastAsia" w:ascii="宋体"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_Toc24453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bookmarkStart w:id="268" w:name="_GoBack"/>
      <w:bookmarkEnd w:id="268"/>
    </w:p>
    <w:p w14:paraId="2E92C0FA">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_Toc3016 </w:instrText>
      </w:r>
      <w:r>
        <w:rPr>
          <w:rFonts w:hint="eastAsia" w:ascii="宋体" w:hAnsi="宋体" w:cs="宋体"/>
          <w:color w:val="auto"/>
          <w:highlight w:val="none"/>
        </w:rPr>
        <w:fldChar w:fldCharType="separate"/>
      </w:r>
      <w:r>
        <w:rPr>
          <w:rFonts w:hint="eastAsia" w:ascii="宋体" w:hAnsi="宋体" w:cs="宋体"/>
          <w:color w:val="auto"/>
          <w:szCs w:val="36"/>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_Toc3016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cs="宋体"/>
          <w:color w:val="auto"/>
          <w:highlight w:val="none"/>
        </w:rPr>
        <w:fldChar w:fldCharType="end"/>
      </w:r>
    </w:p>
    <w:p w14:paraId="716AAAAC">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_Toc21607 </w:instrText>
      </w:r>
      <w:r>
        <w:rPr>
          <w:rFonts w:hint="eastAsia" w:ascii="宋体" w:hAnsi="宋体" w:cs="宋体"/>
          <w:color w:val="auto"/>
          <w:highlight w:val="none"/>
        </w:rPr>
        <w:fldChar w:fldCharType="separate"/>
      </w:r>
      <w:r>
        <w:rPr>
          <w:rFonts w:hint="eastAsia" w:ascii="宋体" w:hAnsi="宋体" w:cs="宋体"/>
          <w:color w:val="auto"/>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_Toc21607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5BA14AD7">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_Toc7551 </w:instrText>
      </w:r>
      <w:r>
        <w:rPr>
          <w:rFonts w:hint="eastAsia" w:ascii="宋体" w:hAnsi="宋体" w:cs="宋体"/>
          <w:color w:val="auto"/>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_Toc7551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s="宋体"/>
          <w:color w:val="auto"/>
          <w:highlight w:val="none"/>
        </w:rPr>
        <w:fldChar w:fldCharType="end"/>
      </w:r>
    </w:p>
    <w:p w14:paraId="7CD3B315">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_Toc30666 </w:instrText>
      </w:r>
      <w:r>
        <w:rPr>
          <w:rFonts w:hint="eastAsia" w:ascii="宋体" w:hAnsi="宋体" w:cs="宋体"/>
          <w:color w:val="auto"/>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_Toc30666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s="宋体"/>
          <w:color w:val="auto"/>
          <w:highlight w:val="none"/>
        </w:rPr>
        <w:fldChar w:fldCharType="end"/>
      </w:r>
    </w:p>
    <w:p w14:paraId="56F6BCD4">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_Toc11493 </w:instrText>
      </w:r>
      <w:r>
        <w:rPr>
          <w:rFonts w:hint="eastAsia" w:ascii="宋体" w:hAnsi="宋体" w:cs="宋体"/>
          <w:color w:val="auto"/>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_Toc11493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cs="宋体"/>
          <w:color w:val="auto"/>
          <w:highlight w:val="none"/>
        </w:rPr>
        <w:fldChar w:fldCharType="end"/>
      </w:r>
    </w:p>
    <w:p w14:paraId="7E450DA3">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_Toc21393 </w:instrText>
      </w:r>
      <w:r>
        <w:rPr>
          <w:rFonts w:hint="eastAsia" w:ascii="宋体" w:hAnsi="宋体" w:cs="宋体"/>
          <w:color w:val="auto"/>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_Toc21393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cs="宋体"/>
          <w:color w:val="auto"/>
          <w:highlight w:val="none"/>
        </w:rPr>
        <w:fldChar w:fldCharType="end"/>
      </w:r>
    </w:p>
    <w:p w14:paraId="4D097AC2">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_Toc6086 </w:instrText>
      </w:r>
      <w:r>
        <w:rPr>
          <w:rFonts w:hint="eastAsia" w:ascii="宋体" w:hAnsi="宋体" w:cs="宋体"/>
          <w:color w:val="auto"/>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_Toc6086 \h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s="宋体"/>
          <w:color w:val="auto"/>
          <w:highlight w:val="none"/>
        </w:rPr>
        <w:fldChar w:fldCharType="end"/>
      </w:r>
    </w:p>
    <w:p w14:paraId="0B52F4FD">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_Toc17386 </w:instrText>
      </w:r>
      <w:r>
        <w:rPr>
          <w:rFonts w:hint="eastAsia" w:ascii="宋体" w:hAnsi="宋体" w:cs="宋体"/>
          <w:color w:val="auto"/>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_Toc17386 \h </w:instrText>
      </w:r>
      <w:r>
        <w:rPr>
          <w:color w:val="auto"/>
          <w:highlight w:val="none"/>
        </w:rPr>
        <w:fldChar w:fldCharType="separate"/>
      </w:r>
      <w:r>
        <w:rPr>
          <w:color w:val="auto"/>
          <w:highlight w:val="none"/>
        </w:rPr>
        <w:t>27</w:t>
      </w:r>
      <w:r>
        <w:rPr>
          <w:color w:val="auto"/>
          <w:highlight w:val="none"/>
        </w:rPr>
        <w:fldChar w:fldCharType="end"/>
      </w:r>
      <w:r>
        <w:rPr>
          <w:rFonts w:hint="eastAsia" w:ascii="宋体" w:hAnsi="宋体" w:cs="宋体"/>
          <w:color w:val="auto"/>
          <w:highlight w:val="none"/>
        </w:rPr>
        <w:fldChar w:fldCharType="end"/>
      </w:r>
    </w:p>
    <w:p w14:paraId="6AE83CB6">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_Toc12517 </w:instrText>
      </w:r>
      <w:r>
        <w:rPr>
          <w:rFonts w:hint="eastAsia" w:ascii="宋体" w:hAnsi="宋体" w:cs="宋体"/>
          <w:color w:val="auto"/>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_Toc12517 \h </w:instrText>
      </w:r>
      <w:r>
        <w:rPr>
          <w:color w:val="auto"/>
          <w:highlight w:val="none"/>
        </w:rPr>
        <w:fldChar w:fldCharType="separate"/>
      </w:r>
      <w:r>
        <w:rPr>
          <w:color w:val="auto"/>
          <w:highlight w:val="none"/>
        </w:rPr>
        <w:t>29</w:t>
      </w:r>
      <w:r>
        <w:rPr>
          <w:color w:val="auto"/>
          <w:highlight w:val="none"/>
        </w:rPr>
        <w:fldChar w:fldCharType="end"/>
      </w:r>
      <w:r>
        <w:rPr>
          <w:rFonts w:hint="eastAsia" w:ascii="宋体" w:hAnsi="宋体" w:cs="宋体"/>
          <w:color w:val="auto"/>
          <w:highlight w:val="none"/>
        </w:rPr>
        <w:fldChar w:fldCharType="end"/>
      </w:r>
    </w:p>
    <w:p w14:paraId="5FC68623">
      <w:pPr>
        <w:pStyle w:val="19"/>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_Toc17072 </w:instrText>
      </w:r>
      <w:r>
        <w:rPr>
          <w:rFonts w:hint="eastAsia" w:ascii="宋体" w:hAnsi="宋体" w:cs="宋体"/>
          <w:color w:val="auto"/>
          <w:highlight w:val="none"/>
        </w:rPr>
        <w:fldChar w:fldCharType="separate"/>
      </w:r>
      <w:r>
        <w:rPr>
          <w:rFonts w:hint="eastAsia" w:ascii="宋体" w:hAnsi="宋体" w:cs="宋体"/>
          <w:color w:val="auto"/>
          <w:highlight w:val="none"/>
        </w:rPr>
        <w:t>八、其他事项</w:t>
      </w:r>
      <w:r>
        <w:rPr>
          <w:color w:val="auto"/>
          <w:highlight w:val="none"/>
        </w:rPr>
        <w:tab/>
      </w:r>
      <w:r>
        <w:rPr>
          <w:color w:val="auto"/>
          <w:highlight w:val="none"/>
        </w:rPr>
        <w:fldChar w:fldCharType="begin"/>
      </w:r>
      <w:r>
        <w:rPr>
          <w:color w:val="auto"/>
          <w:highlight w:val="none"/>
        </w:rPr>
        <w:instrText xml:space="preserve"> PAGEREF _Toc17072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cs="宋体"/>
          <w:color w:val="auto"/>
          <w:highlight w:val="none"/>
        </w:rPr>
        <w:fldChar w:fldCharType="end"/>
      </w:r>
    </w:p>
    <w:p w14:paraId="1587B4DF">
      <w:pPr>
        <w:pStyle w:val="27"/>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_Toc15433 </w:instrText>
      </w:r>
      <w:r>
        <w:rPr>
          <w:rFonts w:hint="eastAsia" w:ascii="宋体" w:hAnsi="宋体" w:cs="宋体"/>
          <w:color w:val="auto"/>
          <w:highlight w:val="none"/>
        </w:rPr>
        <w:fldChar w:fldCharType="separate"/>
      </w:r>
      <w:r>
        <w:rPr>
          <w:rFonts w:hint="eastAsia" w:ascii="宋体" w:hAnsi="宋体" w:cs="宋体"/>
          <w:color w:val="auto"/>
          <w:highlight w:val="none"/>
        </w:rPr>
        <w:t>第四章  评标方法及评标标准</w:t>
      </w:r>
      <w:r>
        <w:rPr>
          <w:color w:val="auto"/>
          <w:highlight w:val="none"/>
        </w:rPr>
        <w:tab/>
      </w:r>
      <w:r>
        <w:rPr>
          <w:color w:val="auto"/>
          <w:highlight w:val="none"/>
        </w:rPr>
        <w:fldChar w:fldCharType="begin"/>
      </w:r>
      <w:r>
        <w:rPr>
          <w:color w:val="auto"/>
          <w:highlight w:val="none"/>
        </w:rPr>
        <w:instrText xml:space="preserve"> PAGEREF _Toc15433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s="宋体"/>
          <w:color w:val="auto"/>
          <w:highlight w:val="none"/>
        </w:rPr>
        <w:fldChar w:fldCharType="end"/>
      </w:r>
    </w:p>
    <w:p w14:paraId="32E444F3">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_Toc22273 </w:instrText>
      </w:r>
      <w:r>
        <w:rPr>
          <w:rFonts w:hint="eastAsia" w:ascii="宋体" w:hAnsi="宋体" w:cs="宋体"/>
          <w:color w:val="auto"/>
          <w:highlight w:val="none"/>
        </w:rPr>
        <w:fldChar w:fldCharType="separate"/>
      </w:r>
      <w:r>
        <w:rPr>
          <w:rFonts w:hint="eastAsia" w:ascii="宋体" w:hAnsi="宋体" w:cs="宋体"/>
          <w:color w:val="auto"/>
          <w:highlight w:val="none"/>
        </w:rPr>
        <w:t>一、评标方法</w:t>
      </w:r>
      <w:r>
        <w:rPr>
          <w:color w:val="auto"/>
          <w:highlight w:val="none"/>
        </w:rPr>
        <w:tab/>
      </w:r>
      <w:r>
        <w:rPr>
          <w:color w:val="auto"/>
          <w:highlight w:val="none"/>
        </w:rPr>
        <w:fldChar w:fldCharType="begin"/>
      </w:r>
      <w:r>
        <w:rPr>
          <w:color w:val="auto"/>
          <w:highlight w:val="none"/>
        </w:rPr>
        <w:instrText xml:space="preserve"> PAGEREF _Toc22273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s="宋体"/>
          <w:color w:val="auto"/>
          <w:highlight w:val="none"/>
        </w:rPr>
        <w:fldChar w:fldCharType="end"/>
      </w:r>
    </w:p>
    <w:p w14:paraId="749B872A">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_Toc29445 </w:instrText>
      </w:r>
      <w:r>
        <w:rPr>
          <w:rFonts w:hint="eastAsia" w:ascii="宋体" w:hAnsi="宋体" w:cs="宋体"/>
          <w:color w:val="auto"/>
          <w:highlight w:val="none"/>
        </w:rPr>
        <w:fldChar w:fldCharType="separate"/>
      </w:r>
      <w:r>
        <w:rPr>
          <w:rFonts w:hint="eastAsia" w:ascii="宋体" w:hAnsi="宋体" w:cs="宋体"/>
          <w:color w:val="auto"/>
          <w:highlight w:val="none"/>
        </w:rPr>
        <w:t>二、评标程序</w:t>
      </w:r>
      <w:r>
        <w:rPr>
          <w:color w:val="auto"/>
          <w:highlight w:val="none"/>
        </w:rPr>
        <w:tab/>
      </w:r>
      <w:r>
        <w:rPr>
          <w:color w:val="auto"/>
          <w:highlight w:val="none"/>
        </w:rPr>
        <w:fldChar w:fldCharType="begin"/>
      </w:r>
      <w:r>
        <w:rPr>
          <w:color w:val="auto"/>
          <w:highlight w:val="none"/>
        </w:rPr>
        <w:instrText xml:space="preserve"> PAGEREF _Toc29445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cs="宋体"/>
          <w:color w:val="auto"/>
          <w:highlight w:val="none"/>
        </w:rPr>
        <w:fldChar w:fldCharType="end"/>
      </w:r>
    </w:p>
    <w:p w14:paraId="10D372A8">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_Toc4705 </w:instrText>
      </w:r>
      <w:r>
        <w:rPr>
          <w:rFonts w:hint="eastAsia" w:ascii="宋体" w:hAnsi="宋体" w:cs="宋体"/>
          <w:color w:val="auto"/>
          <w:highlight w:val="none"/>
        </w:rPr>
        <w:fldChar w:fldCharType="separate"/>
      </w:r>
      <w:r>
        <w:rPr>
          <w:rFonts w:hint="eastAsia" w:ascii="宋体" w:hAnsi="宋体" w:cs="宋体"/>
          <w:color w:val="auto"/>
          <w:highlight w:val="none"/>
        </w:rPr>
        <w:t>三、评标标准</w:t>
      </w:r>
      <w:r>
        <w:rPr>
          <w:color w:val="auto"/>
          <w:highlight w:val="none"/>
        </w:rPr>
        <w:tab/>
      </w:r>
      <w:r>
        <w:rPr>
          <w:color w:val="auto"/>
          <w:highlight w:val="none"/>
        </w:rPr>
        <w:fldChar w:fldCharType="begin"/>
      </w:r>
      <w:r>
        <w:rPr>
          <w:color w:val="auto"/>
          <w:highlight w:val="none"/>
        </w:rPr>
        <w:instrText xml:space="preserve"> PAGEREF _Toc4705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s="宋体"/>
          <w:color w:val="auto"/>
          <w:highlight w:val="none"/>
        </w:rPr>
        <w:fldChar w:fldCharType="end"/>
      </w:r>
    </w:p>
    <w:p w14:paraId="7DA0A486">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_Toc29253 </w:instrText>
      </w:r>
      <w:r>
        <w:rPr>
          <w:rFonts w:hint="eastAsia" w:ascii="宋体" w:hAnsi="宋体" w:cs="宋体"/>
          <w:color w:val="auto"/>
          <w:highlight w:val="none"/>
        </w:rPr>
        <w:fldChar w:fldCharType="separate"/>
      </w:r>
      <w:r>
        <w:rPr>
          <w:rFonts w:hint="eastAsia" w:ascii="宋体" w:hAnsi="宋体" w:cs="宋体"/>
          <w:color w:val="auto"/>
          <w:highlight w:val="none"/>
        </w:rPr>
        <w:t>评分标准（综合评分法）</w:t>
      </w:r>
      <w:r>
        <w:rPr>
          <w:color w:val="auto"/>
          <w:highlight w:val="none"/>
        </w:rPr>
        <w:tab/>
      </w:r>
      <w:r>
        <w:rPr>
          <w:color w:val="auto"/>
          <w:highlight w:val="none"/>
        </w:rPr>
        <w:fldChar w:fldCharType="begin"/>
      </w:r>
      <w:r>
        <w:rPr>
          <w:color w:val="auto"/>
          <w:highlight w:val="none"/>
        </w:rPr>
        <w:instrText xml:space="preserve"> PAGEREF _Toc29253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s="宋体"/>
          <w:color w:val="auto"/>
          <w:highlight w:val="none"/>
        </w:rPr>
        <w:fldChar w:fldCharType="end"/>
      </w:r>
    </w:p>
    <w:p w14:paraId="4D911560">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_Toc4130 </w:instrText>
      </w:r>
      <w:r>
        <w:rPr>
          <w:rFonts w:hint="eastAsia" w:ascii="宋体" w:hAnsi="宋体" w:cs="宋体"/>
          <w:color w:val="auto"/>
          <w:highlight w:val="none"/>
        </w:rPr>
        <w:fldChar w:fldCharType="separate"/>
      </w:r>
      <w:r>
        <w:rPr>
          <w:rFonts w:hint="eastAsia" w:ascii="宋体" w:hAnsi="宋体" w:cs="宋体"/>
          <w:color w:val="auto"/>
          <w:highlight w:val="none"/>
        </w:rPr>
        <w:t>四、中标候选人推荐原则</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cs="宋体"/>
          <w:color w:val="auto"/>
          <w:highlight w:val="none"/>
        </w:rPr>
        <w:fldChar w:fldCharType="end"/>
      </w:r>
    </w:p>
    <w:p w14:paraId="2ED4D6B5">
      <w:pPr>
        <w:pStyle w:val="27"/>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_Toc22428 </w:instrText>
      </w:r>
      <w:r>
        <w:rPr>
          <w:rFonts w:hint="eastAsia" w:ascii="宋体" w:hAnsi="宋体" w:cs="宋体"/>
          <w:color w:val="auto"/>
          <w:highlight w:val="none"/>
        </w:rPr>
        <w:fldChar w:fldCharType="separate"/>
      </w:r>
      <w:r>
        <w:rPr>
          <w:rFonts w:hint="eastAsia" w:ascii="宋体"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_Toc22428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cs="宋体"/>
          <w:color w:val="auto"/>
          <w:highlight w:val="none"/>
        </w:rPr>
        <w:fldChar w:fldCharType="end"/>
      </w:r>
    </w:p>
    <w:p w14:paraId="68A9994C">
      <w:pPr>
        <w:pStyle w:val="27"/>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_Toc20718 </w:instrText>
      </w:r>
      <w:r>
        <w:rPr>
          <w:rFonts w:hint="eastAsia" w:ascii="宋体" w:hAnsi="宋体" w:cs="宋体"/>
          <w:color w:val="auto"/>
          <w:highlight w:val="none"/>
        </w:rPr>
        <w:fldChar w:fldCharType="separate"/>
      </w:r>
      <w:r>
        <w:rPr>
          <w:rFonts w:hint="eastAsia" w:ascii="宋体"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_Toc20718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highlight w:val="none"/>
        </w:rPr>
        <w:fldChar w:fldCharType="end"/>
      </w:r>
    </w:p>
    <w:p w14:paraId="17F3AA99">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_Toc7400 </w:instrText>
      </w:r>
      <w:r>
        <w:rPr>
          <w:rFonts w:hint="eastAsia" w:ascii="宋体" w:hAnsi="宋体" w:cs="宋体"/>
          <w:color w:val="auto"/>
          <w:highlight w:val="none"/>
        </w:rPr>
        <w:fldChar w:fldCharType="separate"/>
      </w:r>
      <w:r>
        <w:rPr>
          <w:rFonts w:hint="eastAsia" w:ascii="宋体" w:hAnsi="宋体" w:cs="宋体"/>
          <w:color w:val="auto"/>
          <w:szCs w:val="28"/>
          <w:highlight w:val="none"/>
        </w:rPr>
        <w:t>一、报价文件格式</w:t>
      </w:r>
      <w:r>
        <w:rPr>
          <w:color w:val="auto"/>
          <w:highlight w:val="none"/>
        </w:rPr>
        <w:tab/>
      </w:r>
      <w:r>
        <w:rPr>
          <w:color w:val="auto"/>
          <w:highlight w:val="none"/>
        </w:rPr>
        <w:fldChar w:fldCharType="begin"/>
      </w:r>
      <w:r>
        <w:rPr>
          <w:color w:val="auto"/>
          <w:highlight w:val="none"/>
        </w:rPr>
        <w:instrText xml:space="preserve"> PAGEREF _Toc7400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highlight w:val="none"/>
        </w:rPr>
        <w:fldChar w:fldCharType="end"/>
      </w:r>
    </w:p>
    <w:p w14:paraId="65AD1DCD">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_Toc23452 </w:instrText>
      </w:r>
      <w:r>
        <w:rPr>
          <w:rFonts w:hint="eastAsia" w:ascii="宋体" w:hAnsi="宋体" w:cs="宋体"/>
          <w:color w:val="auto"/>
          <w:highlight w:val="none"/>
        </w:rPr>
        <w:fldChar w:fldCharType="separate"/>
      </w:r>
      <w:r>
        <w:rPr>
          <w:rFonts w:hint="eastAsia"/>
          <w:color w:val="auto"/>
          <w:highlight w:val="none"/>
        </w:rPr>
        <w:t>二、资格证明文件格式</w:t>
      </w:r>
      <w:r>
        <w:rPr>
          <w:color w:val="auto"/>
          <w:highlight w:val="none"/>
        </w:rPr>
        <w:tab/>
      </w:r>
      <w:r>
        <w:rPr>
          <w:color w:val="auto"/>
          <w:highlight w:val="none"/>
        </w:rPr>
        <w:fldChar w:fldCharType="begin"/>
      </w:r>
      <w:r>
        <w:rPr>
          <w:color w:val="auto"/>
          <w:highlight w:val="none"/>
        </w:rPr>
        <w:instrText xml:space="preserve"> PAGEREF _Toc23452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cs="宋体"/>
          <w:color w:val="auto"/>
          <w:highlight w:val="none"/>
        </w:rPr>
        <w:fldChar w:fldCharType="end"/>
      </w:r>
    </w:p>
    <w:p w14:paraId="285564BF">
      <w:pPr>
        <w:pStyle w:val="31"/>
        <w:tabs>
          <w:tab w:val="right" w:leader="dot" w:pos="9242"/>
        </w:tabs>
        <w:spacing w:line="400" w:lineRule="exact"/>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_Toc6222 </w:instrText>
      </w:r>
      <w:r>
        <w:rPr>
          <w:rFonts w:hint="eastAsia" w:ascii="宋体" w:hAnsi="宋体" w:cs="宋体"/>
          <w:color w:val="auto"/>
          <w:highlight w:val="none"/>
        </w:rPr>
        <w:fldChar w:fldCharType="separate"/>
      </w:r>
      <w:r>
        <w:rPr>
          <w:rFonts w:hint="eastAsia" w:ascii="宋体" w:hAnsi="宋体" w:cs="宋体"/>
          <w:color w:val="auto"/>
          <w:szCs w:val="28"/>
          <w:highlight w:val="none"/>
        </w:rPr>
        <w:t>三、商务及技术文件格式</w:t>
      </w:r>
      <w:r>
        <w:rPr>
          <w:color w:val="auto"/>
          <w:highlight w:val="none"/>
        </w:rPr>
        <w:tab/>
      </w:r>
      <w:r>
        <w:rPr>
          <w:color w:val="auto"/>
          <w:highlight w:val="none"/>
        </w:rPr>
        <w:fldChar w:fldCharType="begin"/>
      </w:r>
      <w:r>
        <w:rPr>
          <w:color w:val="auto"/>
          <w:highlight w:val="none"/>
        </w:rPr>
        <w:instrText xml:space="preserve"> PAGEREF _Toc6222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s="宋体"/>
          <w:color w:val="auto"/>
          <w:highlight w:val="none"/>
        </w:rPr>
        <w:fldChar w:fldCharType="end"/>
      </w:r>
    </w:p>
    <w:p w14:paraId="350D1E4E">
      <w:pPr>
        <w:tabs>
          <w:tab w:val="right" w:leader="dot" w:pos="8789"/>
        </w:tabs>
        <w:snapToGrid w:val="0"/>
        <w:spacing w:line="400" w:lineRule="exact"/>
        <w:rPr>
          <w:rFonts w:hint="eastAsia" w:ascii="宋体" w:hAnsi="宋体" w:cs="宋体"/>
          <w:color w:val="auto"/>
          <w:sz w:val="30"/>
          <w:highlight w:val="none"/>
        </w:rPr>
      </w:pPr>
      <w:r>
        <w:rPr>
          <w:rFonts w:hint="eastAsia" w:ascii="宋体" w:hAnsi="宋体" w:cs="宋体"/>
          <w:color w:val="auto"/>
          <w:highlight w:val="none"/>
        </w:rPr>
        <w:fldChar w:fldCharType="end"/>
      </w:r>
      <w:bookmarkEnd w:id="5"/>
    </w:p>
    <w:bookmarkEnd w:id="6"/>
    <w:p w14:paraId="67D2C4C3">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sectPr>
          <w:footerReference r:id="rId7" w:type="default"/>
          <w:pgSz w:w="11906" w:h="16838"/>
          <w:pgMar w:top="1440" w:right="1800" w:bottom="1440" w:left="1800" w:header="851" w:footer="992" w:gutter="0"/>
          <w:pgNumType w:fmt="decimal" w:start="1"/>
          <w:cols w:space="720" w:num="1"/>
          <w:docGrid w:type="lines" w:linePitch="312" w:charSpace="0"/>
        </w:sectPr>
      </w:pPr>
      <w:bookmarkStart w:id="7" w:name="_Toc254970630"/>
      <w:bookmarkStart w:id="8" w:name="_Toc254970489"/>
      <w:bookmarkStart w:id="9" w:name="_Toc21030"/>
      <w:bookmarkStart w:id="10" w:name="_Toc5452"/>
      <w:bookmarkStart w:id="11" w:name="_Toc16993"/>
    </w:p>
    <w:p w14:paraId="2D1D7817">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r>
        <w:rPr>
          <w:rFonts w:hint="eastAsia" w:ascii="宋体" w:hAnsi="宋体" w:cs="宋体"/>
          <w:color w:val="auto"/>
          <w:highlight w:val="none"/>
        </w:rPr>
        <w:t>第一章</w:t>
      </w:r>
      <w:bookmarkEnd w:id="7"/>
      <w:bookmarkEnd w:id="8"/>
      <w:bookmarkStart w:id="12" w:name="_Toc28359001"/>
      <w:bookmarkStart w:id="13" w:name="_Toc35393789"/>
      <w:r>
        <w:rPr>
          <w:rFonts w:hint="eastAsia" w:ascii="宋体" w:hAnsi="宋体" w:cs="宋体"/>
          <w:color w:val="auto"/>
          <w:highlight w:val="none"/>
        </w:rPr>
        <w:t xml:space="preserve">  招标公告</w:t>
      </w:r>
      <w:bookmarkEnd w:id="9"/>
      <w:bookmarkEnd w:id="10"/>
      <w:bookmarkEnd w:id="11"/>
      <w:bookmarkEnd w:id="12"/>
      <w:bookmarkEnd w:id="13"/>
    </w:p>
    <w:p w14:paraId="3932B75B">
      <w:pPr>
        <w:keepNext w:val="0"/>
        <w:keepLines w:val="0"/>
        <w:pageBreakBefore w:val="0"/>
        <w:kinsoku/>
        <w:overflowPunct/>
        <w:topLinePunct w:val="0"/>
        <w:bidi w:val="0"/>
        <w:spacing w:line="400" w:lineRule="exact"/>
        <w:jc w:val="center"/>
        <w:rPr>
          <w:rFonts w:hint="eastAsia" w:ascii="宋体" w:hAnsi="宋体" w:cs="宋体"/>
          <w:color w:val="auto"/>
          <w:sz w:val="24"/>
          <w:highlight w:val="none"/>
        </w:rPr>
      </w:pPr>
      <w:r>
        <w:rPr>
          <w:rFonts w:hint="eastAsia" w:ascii="宋体" w:hAnsi="宋体" w:cs="宋体"/>
          <w:b/>
          <w:bCs/>
          <w:color w:val="auto"/>
          <w:sz w:val="24"/>
          <w:highlight w:val="none"/>
          <w:lang w:eastAsia="zh-CN"/>
        </w:rPr>
        <w:t>广西建设工程机电设备招标中心有限公司</w:t>
      </w:r>
      <w:r>
        <w:rPr>
          <w:rFonts w:hint="eastAsia" w:ascii="宋体" w:hAnsi="宋体" w:cs="宋体"/>
          <w:b/>
          <w:bCs/>
          <w:color w:val="auto"/>
          <w:sz w:val="24"/>
          <w:highlight w:val="none"/>
        </w:rPr>
        <w:t>关于</w:t>
      </w:r>
      <w:r>
        <w:rPr>
          <w:rFonts w:hint="eastAsia" w:ascii="宋体" w:hAnsi="宋体" w:cs="宋体"/>
          <w:b/>
          <w:color w:val="auto"/>
          <w:sz w:val="24"/>
          <w:highlight w:val="none"/>
          <w:lang w:eastAsia="zh-CN"/>
        </w:rPr>
        <w:t>广西涉锑铊重金属环境现状调查与风险评估</w:t>
      </w:r>
      <w:r>
        <w:rPr>
          <w:rFonts w:hint="eastAsia" w:ascii="宋体" w:hAnsi="宋体" w:cs="宋体"/>
          <w:b/>
          <w:bCs/>
          <w:color w:val="auto"/>
          <w:sz w:val="24"/>
          <w:highlight w:val="none"/>
        </w:rPr>
        <w:t>(项目编号：</w:t>
      </w:r>
      <w:r>
        <w:rPr>
          <w:rFonts w:hint="eastAsia" w:ascii="宋体" w:hAnsi="宋体" w:cs="宋体"/>
          <w:b/>
          <w:bCs/>
          <w:color w:val="auto"/>
          <w:sz w:val="24"/>
          <w:highlight w:val="none"/>
          <w:lang w:eastAsia="zh-CN"/>
        </w:rPr>
        <w:t>GXZC2026-G3-000164-JDZB</w:t>
      </w:r>
      <w:r>
        <w:rPr>
          <w:rFonts w:hint="eastAsia" w:ascii="宋体" w:hAnsi="宋体" w:cs="宋体"/>
          <w:b/>
          <w:bCs/>
          <w:color w:val="auto"/>
          <w:sz w:val="24"/>
          <w:highlight w:val="none"/>
        </w:rPr>
        <w:t>)公开招标公告</w:t>
      </w:r>
    </w:p>
    <w:p w14:paraId="2BECA9CF">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项目概况</w:t>
      </w:r>
    </w:p>
    <w:p w14:paraId="6AF562FA">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eastAsia="zh-CN"/>
        </w:rPr>
        <w:t>广西涉锑铊重金属环境现状调查与风险评估</w:t>
      </w:r>
      <w:r>
        <w:rPr>
          <w:rFonts w:hint="eastAsia" w:ascii="宋体" w:hAnsi="宋体" w:cs="宋体"/>
          <w:color w:val="auto"/>
          <w:szCs w:val="21"/>
          <w:highlight w:val="none"/>
        </w:rPr>
        <w:t>招标项目的潜在投标人应在广西政府采购云平台（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12</w:t>
      </w:r>
      <w:r>
        <w:rPr>
          <w:rFonts w:hint="eastAsia" w:ascii="宋体" w:hAnsi="宋体" w:cs="宋体"/>
          <w:bCs/>
          <w:color w:val="auto"/>
          <w:szCs w:val="21"/>
          <w:highlight w:val="none"/>
          <w:u w:val="single"/>
        </w:rPr>
        <w:t>日9时30分（</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14:paraId="0F0156E5">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bookmarkStart w:id="14" w:name="_Toc35393621"/>
      <w:bookmarkStart w:id="15" w:name="_Toc28359079"/>
      <w:bookmarkStart w:id="16" w:name="_Toc35393790"/>
      <w:bookmarkStart w:id="17" w:name="_Toc28359002"/>
      <w:bookmarkStart w:id="18" w:name="_Hlk24379207"/>
      <w:r>
        <w:rPr>
          <w:rFonts w:hint="eastAsia" w:ascii="宋体" w:hAnsi="宋体" w:cs="宋体"/>
          <w:b/>
          <w:bCs/>
          <w:color w:val="auto"/>
          <w:sz w:val="24"/>
          <w:highlight w:val="none"/>
        </w:rPr>
        <w:t>一、项目基本情况</w:t>
      </w:r>
      <w:bookmarkEnd w:id="14"/>
      <w:bookmarkEnd w:id="15"/>
      <w:bookmarkEnd w:id="16"/>
      <w:bookmarkEnd w:id="17"/>
    </w:p>
    <w:bookmarkEnd w:id="18"/>
    <w:p w14:paraId="3647462D">
      <w:pPr>
        <w:keepNext w:val="0"/>
        <w:keepLines w:val="0"/>
        <w:pageBreakBefore w:val="0"/>
        <w:kinsoku/>
        <w:overflowPunct/>
        <w:topLinePunct w:val="0"/>
        <w:bidi w:val="0"/>
        <w:spacing w:line="40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GXZC2026-G3-000164-JDZB</w:t>
      </w:r>
    </w:p>
    <w:p w14:paraId="079E1DEF">
      <w:pPr>
        <w:keepNext w:val="0"/>
        <w:keepLines w:val="0"/>
        <w:pageBreakBefore w:val="0"/>
        <w:kinsoku/>
        <w:overflowPunct/>
        <w:topLinePunct w:val="0"/>
        <w:bidi w:val="0"/>
        <w:spacing w:line="40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szCs w:val="21"/>
          <w:highlight w:val="none"/>
        </w:rPr>
        <w:t>项目名称：</w:t>
      </w:r>
      <w:r>
        <w:rPr>
          <w:rFonts w:hint="eastAsia" w:ascii="宋体" w:hAnsi="宋体" w:cs="宋体"/>
          <w:color w:val="auto"/>
          <w:highlight w:val="none"/>
          <w:lang w:eastAsia="zh-CN"/>
        </w:rPr>
        <w:t>广西涉锑铊重金属环境现状调查与风险评估</w:t>
      </w:r>
    </w:p>
    <w:p w14:paraId="3F0B20A8">
      <w:pPr>
        <w:keepNext w:val="0"/>
        <w:keepLines w:val="0"/>
        <w:pageBreakBefore w:val="0"/>
        <w:kinsoku/>
        <w:overflowPunct/>
        <w:topLinePunct w:val="0"/>
        <w:bidi w:val="0"/>
        <w:spacing w:line="400" w:lineRule="exact"/>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highlight w:val="none"/>
        </w:rPr>
        <w:t>预算总金额（元）</w:t>
      </w:r>
      <w:r>
        <w:rPr>
          <w:rFonts w:hint="eastAsia" w:ascii="宋体" w:hAnsi="宋体" w:cs="宋体"/>
          <w:color w:val="auto"/>
          <w:szCs w:val="21"/>
          <w:highlight w:val="none"/>
        </w:rPr>
        <w:t>：</w:t>
      </w:r>
      <w:r>
        <w:rPr>
          <w:rFonts w:hint="eastAsia" w:ascii="宋体" w:hAnsi="宋体" w:cs="宋体"/>
          <w:color w:val="auto"/>
          <w:szCs w:val="21"/>
          <w:highlight w:val="none"/>
          <w:lang w:eastAsia="zh-CN"/>
        </w:rPr>
        <w:t>16390000.00</w:t>
      </w:r>
    </w:p>
    <w:p w14:paraId="464C766F">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采购需求：</w:t>
      </w:r>
    </w:p>
    <w:p w14:paraId="0752A41C">
      <w:pPr>
        <w:keepNext w:val="0"/>
        <w:keepLines w:val="0"/>
        <w:pageBreakBefore w:val="0"/>
        <w:kinsoku/>
        <w:overflowPunct/>
        <w:topLinePunct w:val="0"/>
        <w:bidi w:val="0"/>
        <w:spacing w:line="400" w:lineRule="exact"/>
        <w:ind w:firstLine="420" w:firstLineChars="200"/>
        <w:rPr>
          <w:rFonts w:hint="eastAsia" w:ascii="宋体" w:hAnsi="宋体" w:cs="宋体"/>
          <w:b/>
          <w:color w:val="auto"/>
          <w:szCs w:val="21"/>
          <w:highlight w:val="none"/>
        </w:rPr>
      </w:pPr>
      <w:r>
        <w:rPr>
          <w:rFonts w:hint="eastAsia" w:ascii="宋体" w:hAnsi="宋体" w:cs="宋体"/>
          <w:b/>
          <w:color w:val="auto"/>
          <w:szCs w:val="21"/>
          <w:highlight w:val="none"/>
        </w:rPr>
        <w:t>标项一</w:t>
      </w:r>
    </w:p>
    <w:p w14:paraId="2F51B68E">
      <w:pPr>
        <w:keepNext w:val="0"/>
        <w:keepLines w:val="0"/>
        <w:pageBreakBefore w:val="0"/>
        <w:kinsoku/>
        <w:overflowPunct/>
        <w:topLinePunct w:val="0"/>
        <w:bidi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lang w:eastAsia="zh-CN"/>
        </w:rPr>
        <w:t>广西涉锑铊重金属环境现状调查与风险评估</w:t>
      </w:r>
    </w:p>
    <w:p w14:paraId="00BAA640">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数量：1</w:t>
      </w:r>
    </w:p>
    <w:p w14:paraId="3F0DB23C">
      <w:pPr>
        <w:keepNext w:val="0"/>
        <w:keepLines w:val="0"/>
        <w:pageBreakBefore w:val="0"/>
        <w:kinsoku/>
        <w:overflowPunct/>
        <w:topLinePunct w:val="0"/>
        <w:bidi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eastAsia="zh-CN"/>
        </w:rPr>
        <w:t>16390000.00</w:t>
      </w:r>
    </w:p>
    <w:p w14:paraId="269A2FED">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bookmarkStart w:id="19" w:name="_Hlk199265269"/>
      <w:r>
        <w:rPr>
          <w:rFonts w:hint="eastAsia" w:ascii="宋体" w:hAnsi="宋体" w:cs="宋体"/>
          <w:color w:val="auto"/>
          <w:szCs w:val="21"/>
          <w:highlight w:val="none"/>
        </w:rPr>
        <w:t>对14个</w:t>
      </w:r>
      <w:r>
        <w:rPr>
          <w:rFonts w:hint="eastAsia" w:ascii="宋体" w:hAnsi="宋体" w:cs="宋体"/>
          <w:color w:val="auto"/>
          <w:szCs w:val="21"/>
          <w:highlight w:val="none"/>
          <w:lang w:eastAsia="zh-CN"/>
        </w:rPr>
        <w:t>设区市</w:t>
      </w:r>
      <w:r>
        <w:rPr>
          <w:rFonts w:hint="eastAsia" w:ascii="宋体" w:hAnsi="宋体" w:cs="宋体"/>
          <w:color w:val="auto"/>
          <w:szCs w:val="21"/>
          <w:highlight w:val="none"/>
        </w:rPr>
        <w:t>涉锑铊重金属环境开展现状调查与风险评估，掌握广西锑铊重金属在水环境介质中的污染现状及环境风险防控体系建设情况，科学评估涉锑、铊企业及污染区域等环境风险，识别主要环境风险源和风险受体，评估企业</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重点流域等</w:t>
      </w:r>
      <w:r>
        <w:rPr>
          <w:rFonts w:hint="eastAsia" w:ascii="宋体" w:hAnsi="宋体" w:cs="宋体"/>
          <w:color w:val="auto"/>
          <w:szCs w:val="21"/>
          <w:highlight w:val="none"/>
        </w:rPr>
        <w:t>在应对突发环境事件时，对锑铊等重金属污染物的防控能力，提出针对性的风险管控措施。</w:t>
      </w:r>
      <w:bookmarkEnd w:id="19"/>
      <w:r>
        <w:rPr>
          <w:rFonts w:hint="eastAsia" w:ascii="宋体" w:hAnsi="宋体" w:cs="宋体"/>
          <w:color w:val="auto"/>
          <w:szCs w:val="21"/>
          <w:highlight w:val="none"/>
          <w:lang w:val="en-US" w:eastAsia="zh-CN"/>
        </w:rPr>
        <w:t>具体</w:t>
      </w:r>
      <w:r>
        <w:rPr>
          <w:rFonts w:hint="eastAsia" w:ascii="宋体" w:hAnsi="宋体" w:cs="宋体"/>
          <w:color w:val="auto"/>
          <w:szCs w:val="21"/>
          <w:highlight w:val="none"/>
        </w:rPr>
        <w:t>详见招标文件第二章采购需求。</w:t>
      </w:r>
    </w:p>
    <w:p w14:paraId="570912D9">
      <w:pPr>
        <w:keepNext w:val="0"/>
        <w:keepLines w:val="0"/>
        <w:pageBreakBefore w:val="0"/>
        <w:kinsoku/>
        <w:overflowPunct/>
        <w:topLinePunct w:val="0"/>
        <w:bidi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最高限价（如有）：</w:t>
      </w:r>
      <w:r>
        <w:rPr>
          <w:rFonts w:hint="eastAsia" w:ascii="宋体" w:hAnsi="宋体" w:cs="宋体"/>
          <w:color w:val="auto"/>
          <w:szCs w:val="21"/>
          <w:highlight w:val="none"/>
          <w:lang w:eastAsia="zh-CN"/>
        </w:rPr>
        <w:t>16390000.00</w:t>
      </w:r>
    </w:p>
    <w:p w14:paraId="1DE4C6DB">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合同履约期限：自合同签订之日起至2026年11月15日。</w:t>
      </w:r>
    </w:p>
    <w:p w14:paraId="63034CAF">
      <w:pPr>
        <w:keepNext w:val="0"/>
        <w:keepLines w:val="0"/>
        <w:pageBreakBefore w:val="0"/>
        <w:kinsoku/>
        <w:overflowPunct/>
        <w:topLinePunct w:val="0"/>
        <w:bidi w:val="0"/>
        <w:spacing w:line="40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本标项接受联合体投标。联合体成员不得超过3家，否则视为无效投标。</w:t>
      </w:r>
    </w:p>
    <w:p w14:paraId="274B9366">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备注：无</w:t>
      </w:r>
    </w:p>
    <w:p w14:paraId="79118F79">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bookmarkStart w:id="20" w:name="_Toc35393791"/>
      <w:bookmarkStart w:id="21" w:name="_Toc28359080"/>
      <w:bookmarkStart w:id="22" w:name="_Toc28359003"/>
      <w:bookmarkStart w:id="23" w:name="_Toc35393622"/>
      <w:r>
        <w:rPr>
          <w:rFonts w:hint="eastAsia" w:ascii="宋体" w:hAnsi="宋体" w:cs="宋体"/>
          <w:b/>
          <w:bCs/>
          <w:color w:val="auto"/>
          <w:sz w:val="24"/>
          <w:highlight w:val="none"/>
        </w:rPr>
        <w:t>二、申请人的资格要求：</w:t>
      </w:r>
      <w:bookmarkEnd w:id="20"/>
      <w:bookmarkEnd w:id="21"/>
      <w:bookmarkEnd w:id="22"/>
      <w:bookmarkEnd w:id="23"/>
    </w:p>
    <w:p w14:paraId="33D2090B">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bookmarkStart w:id="24" w:name="_Hlk51746371"/>
      <w:bookmarkStart w:id="25" w:name="_Toc35393792"/>
      <w:bookmarkStart w:id="26" w:name="_Toc28359081"/>
      <w:bookmarkStart w:id="27" w:name="_Toc35393623"/>
      <w:bookmarkStart w:id="28" w:name="_Toc28359004"/>
      <w:r>
        <w:rPr>
          <w:rFonts w:hint="eastAsia" w:ascii="宋体" w:hAnsi="宋体" w:cs="宋体"/>
          <w:color w:val="auto"/>
          <w:szCs w:val="21"/>
          <w:highlight w:val="none"/>
        </w:rPr>
        <w:t>1.满足《中华人民共和国政府采购法》第二十二条规定；</w:t>
      </w:r>
    </w:p>
    <w:p w14:paraId="6B000BF5">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u w:val="single"/>
        </w:rPr>
        <w:t>本项目非专门面向中小企业采购的项目；</w:t>
      </w:r>
    </w:p>
    <w:p w14:paraId="147468FA">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u w:val="single"/>
        </w:rPr>
        <w:t>投标人须</w:t>
      </w:r>
      <w:r>
        <w:rPr>
          <w:rFonts w:hint="eastAsia" w:ascii="宋体" w:hAnsi="宋体" w:cs="宋体"/>
          <w:color w:val="auto"/>
          <w:szCs w:val="21"/>
          <w:highlight w:val="none"/>
          <w:u w:val="single"/>
          <w:lang w:val="en-US" w:eastAsia="zh-CN"/>
        </w:rPr>
        <w:t>具备</w:t>
      </w:r>
      <w:r>
        <w:rPr>
          <w:rFonts w:hint="eastAsia" w:ascii="宋体" w:hAnsi="宋体" w:cs="宋体"/>
          <w:color w:val="auto"/>
          <w:szCs w:val="21"/>
          <w:highlight w:val="none"/>
          <w:u w:val="single"/>
        </w:rPr>
        <w:t>有效的检验检测机构资质认定CMA证书</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联合体投标时，联合体各方中承担分析检测任务的单位必须具有本项目必测项pH、锑、铊、镉、汞、砷、铅的CMA资质</w:t>
      </w:r>
      <w:r>
        <w:rPr>
          <w:rFonts w:hint="eastAsia" w:ascii="宋体" w:hAnsi="宋体" w:cs="宋体"/>
          <w:color w:val="auto"/>
          <w:szCs w:val="21"/>
          <w:highlight w:val="none"/>
          <w:u w:val="single"/>
        </w:rPr>
        <w:t>。</w:t>
      </w:r>
    </w:p>
    <w:bookmarkEnd w:id="24"/>
    <w:p w14:paraId="4DDDADE0">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r>
        <w:rPr>
          <w:rFonts w:hint="eastAsia" w:ascii="宋体" w:hAnsi="宋体" w:cs="宋体"/>
          <w:b/>
          <w:bCs/>
          <w:color w:val="auto"/>
          <w:sz w:val="24"/>
          <w:highlight w:val="none"/>
        </w:rPr>
        <w:t>三、获取招标文件</w:t>
      </w:r>
      <w:bookmarkEnd w:id="25"/>
      <w:bookmarkEnd w:id="26"/>
      <w:bookmarkEnd w:id="27"/>
      <w:bookmarkEnd w:id="28"/>
    </w:p>
    <w:p w14:paraId="6C906CCC">
      <w:pPr>
        <w:keepNext w:val="0"/>
        <w:keepLines w:val="0"/>
        <w:pageBreakBefore w:val="0"/>
        <w:kinsoku/>
        <w:overflowPunct/>
        <w:topLinePunct w:val="0"/>
        <w:bidi w:val="0"/>
        <w:spacing w:line="400" w:lineRule="exact"/>
        <w:ind w:firstLine="54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13</w:t>
      </w:r>
      <w:r>
        <w:rPr>
          <w:rFonts w:hint="eastAsia" w:ascii="宋体" w:hAnsi="宋体" w:cs="宋体"/>
          <w:bCs/>
          <w:color w:val="auto"/>
          <w:kern w:val="0"/>
          <w:szCs w:val="21"/>
          <w:highlight w:val="none"/>
        </w:rPr>
        <w:t>日至202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27</w:t>
      </w:r>
      <w:r>
        <w:rPr>
          <w:rFonts w:hint="eastAsia" w:ascii="宋体" w:hAnsi="宋体" w:cs="宋体"/>
          <w:bCs/>
          <w:color w:val="auto"/>
          <w:kern w:val="0"/>
          <w:szCs w:val="21"/>
          <w:highlight w:val="none"/>
        </w:rPr>
        <w:t>日，每天上午00:00至12:00，下午12:00至23:59（北京时间，法定节假日除外）</w:t>
      </w:r>
    </w:p>
    <w:p w14:paraId="769BF6FD">
      <w:pPr>
        <w:keepNext w:val="0"/>
        <w:keepLines w:val="0"/>
        <w:pageBreakBefore w:val="0"/>
        <w:kinsoku/>
        <w:overflowPunct/>
        <w:topLinePunct w:val="0"/>
        <w:bidi w:val="0"/>
        <w:spacing w:line="400" w:lineRule="exact"/>
        <w:ind w:firstLine="540"/>
        <w:rPr>
          <w:rFonts w:hint="eastAsia" w:ascii="宋体" w:hAnsi="宋体" w:cs="宋体"/>
          <w:color w:val="auto"/>
          <w:szCs w:val="21"/>
          <w:highlight w:val="none"/>
        </w:rPr>
      </w:pPr>
      <w:r>
        <w:rPr>
          <w:rFonts w:hint="eastAsia" w:ascii="宋体" w:hAnsi="宋体" w:cs="宋体"/>
          <w:bCs/>
          <w:color w:val="auto"/>
          <w:kern w:val="0"/>
          <w:szCs w:val="21"/>
          <w:highlight w:val="none"/>
        </w:rPr>
        <w:t>2.地点：</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p>
    <w:p w14:paraId="50877A4C">
      <w:pPr>
        <w:keepNext w:val="0"/>
        <w:keepLines w:val="0"/>
        <w:pageBreakBefore w:val="0"/>
        <w:kinsoku/>
        <w:wordWrap w:val="0"/>
        <w:overflowPunct/>
        <w:topLinePunct w:val="0"/>
        <w:bidi w:val="0"/>
        <w:spacing w:line="400" w:lineRule="exact"/>
        <w:ind w:firstLine="53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3.方式：网上下载。本项目不提供纸质文件，潜在供应商需在</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r>
        <w:rPr>
          <w:rFonts w:hint="eastAsia" w:ascii="宋体" w:hAnsi="宋体" w:cs="宋体"/>
          <w:bCs/>
          <w:color w:val="auto"/>
          <w:kern w:val="0"/>
          <w:szCs w:val="21"/>
          <w:highlight w:val="none"/>
        </w:rPr>
        <w:t>-进入“项目采购”应用，在获取采购文件菜单中选择项目，获取招标文件。</w:t>
      </w:r>
      <w:r>
        <w:rPr>
          <w:rFonts w:hint="eastAsia" w:ascii="宋体" w:hAnsi="宋体" w:cs="宋体"/>
          <w:color w:val="auto"/>
          <w:szCs w:val="21"/>
          <w:highlight w:val="none"/>
        </w:rPr>
        <w:t>电子投标文件制作需要基于广西政府采购云平台获取的招标文件编制，</w:t>
      </w:r>
      <w:r>
        <w:rPr>
          <w:rFonts w:hint="eastAsia" w:ascii="宋体" w:hAnsi="宋体" w:cs="宋体"/>
          <w:bCs/>
          <w:color w:val="auto"/>
          <w:kern w:val="0"/>
          <w:szCs w:val="21"/>
          <w:highlight w:val="none"/>
        </w:rPr>
        <w:t>通过其他方式获取招标文件的，将有可能导致供应商无法在</w:t>
      </w:r>
      <w:r>
        <w:rPr>
          <w:rFonts w:hint="eastAsia" w:ascii="宋体" w:hAnsi="宋体" w:cs="宋体"/>
          <w:color w:val="auto"/>
          <w:szCs w:val="21"/>
          <w:highlight w:val="none"/>
        </w:rPr>
        <w:t>广西政府采购云平台</w:t>
      </w:r>
      <w:r>
        <w:rPr>
          <w:rFonts w:hint="eastAsia" w:ascii="宋体" w:hAnsi="宋体" w:cs="宋体"/>
          <w:bCs/>
          <w:color w:val="auto"/>
          <w:kern w:val="0"/>
          <w:szCs w:val="21"/>
          <w:highlight w:val="none"/>
        </w:rPr>
        <w:t>编制及上传投标文件。</w:t>
      </w:r>
    </w:p>
    <w:p w14:paraId="5EEFFA46">
      <w:pPr>
        <w:keepNext w:val="0"/>
        <w:keepLines w:val="0"/>
        <w:pageBreakBefore w:val="0"/>
        <w:kinsoku/>
        <w:overflowPunct/>
        <w:topLinePunct w:val="0"/>
        <w:bidi w:val="0"/>
        <w:spacing w:line="400" w:lineRule="exact"/>
        <w:ind w:firstLine="540"/>
        <w:rPr>
          <w:rFonts w:hint="eastAsia" w:ascii="宋体" w:hAnsi="宋体" w:cs="宋体"/>
          <w:color w:val="auto"/>
          <w:szCs w:val="21"/>
          <w:highlight w:val="none"/>
        </w:rPr>
      </w:pPr>
      <w:r>
        <w:rPr>
          <w:rFonts w:hint="eastAsia" w:ascii="宋体" w:hAnsi="宋体" w:cs="宋体"/>
          <w:bCs/>
          <w:color w:val="auto"/>
          <w:kern w:val="0"/>
          <w:szCs w:val="21"/>
          <w:highlight w:val="none"/>
        </w:rPr>
        <w:t>4.售价（元）：</w:t>
      </w:r>
      <w:r>
        <w:rPr>
          <w:rFonts w:hint="eastAsia" w:ascii="宋体" w:hAnsi="宋体" w:cs="宋体"/>
          <w:color w:val="auto"/>
          <w:szCs w:val="21"/>
          <w:highlight w:val="none"/>
        </w:rPr>
        <w:t>0</w:t>
      </w:r>
    </w:p>
    <w:p w14:paraId="5359D262">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bookmarkStart w:id="29" w:name="_Toc28359082"/>
      <w:bookmarkStart w:id="30" w:name="_Toc28359005"/>
      <w:bookmarkStart w:id="31" w:name="_Toc35393793"/>
      <w:bookmarkStart w:id="32" w:name="_Toc35393624"/>
      <w:r>
        <w:rPr>
          <w:rFonts w:hint="eastAsia" w:ascii="宋体" w:hAnsi="宋体" w:cs="宋体"/>
          <w:b/>
          <w:bCs/>
          <w:color w:val="auto"/>
          <w:sz w:val="24"/>
          <w:highlight w:val="none"/>
        </w:rPr>
        <w:t>四、提交投标文件</w:t>
      </w:r>
      <w:bookmarkEnd w:id="29"/>
      <w:bookmarkEnd w:id="30"/>
      <w:r>
        <w:rPr>
          <w:rFonts w:hint="eastAsia" w:ascii="宋体" w:hAnsi="宋体" w:cs="宋体"/>
          <w:b/>
          <w:bCs/>
          <w:color w:val="auto"/>
          <w:sz w:val="24"/>
          <w:highlight w:val="none"/>
        </w:rPr>
        <w:t>截止时间、开标时间和地点</w:t>
      </w:r>
      <w:bookmarkEnd w:id="31"/>
      <w:bookmarkEnd w:id="32"/>
    </w:p>
    <w:p w14:paraId="79151DFB">
      <w:pPr>
        <w:keepNext w:val="0"/>
        <w:keepLines w:val="0"/>
        <w:pageBreakBefore w:val="0"/>
        <w:kinsoku/>
        <w:overflowPunct/>
        <w:topLinePunct w:val="0"/>
        <w:bidi w:val="0"/>
        <w:spacing w:line="400" w:lineRule="exact"/>
        <w:ind w:firstLine="420" w:firstLineChars="200"/>
        <w:rPr>
          <w:rFonts w:hint="eastAsia" w:ascii="宋体" w:hAnsi="宋体" w:cs="宋体"/>
          <w:bCs/>
          <w:color w:val="auto"/>
          <w:kern w:val="0"/>
          <w:szCs w:val="21"/>
          <w:highlight w:val="none"/>
        </w:rPr>
      </w:pPr>
      <w:bookmarkStart w:id="33" w:name="_Toc35393794"/>
      <w:bookmarkStart w:id="34" w:name="_Toc28359007"/>
      <w:bookmarkStart w:id="35" w:name="_Toc35393625"/>
      <w:bookmarkStart w:id="36" w:name="_Toc28359084"/>
      <w:r>
        <w:rPr>
          <w:rFonts w:hint="eastAsia" w:ascii="宋体" w:hAnsi="宋体" w:cs="宋体"/>
          <w:bCs/>
          <w:color w:val="auto"/>
          <w:kern w:val="0"/>
          <w:szCs w:val="21"/>
          <w:highlight w:val="none"/>
        </w:rPr>
        <w:t>1.提交投标文件截止时间：202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日9时30分（北京时间）</w:t>
      </w:r>
    </w:p>
    <w:p w14:paraId="75EF48EA">
      <w:pPr>
        <w:keepNext w:val="0"/>
        <w:keepLines w:val="0"/>
        <w:pageBreakBefore w:val="0"/>
        <w:kinsoku/>
        <w:overflowPunct/>
        <w:topLinePunct w:val="0"/>
        <w:bidi w:val="0"/>
        <w:spacing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2.投标地点（网址）：广西政府采购云平台（https://www.gcy.zfcg.gxzf.gov.cn/）</w:t>
      </w:r>
    </w:p>
    <w:p w14:paraId="4A4141C2">
      <w:pPr>
        <w:keepNext w:val="0"/>
        <w:keepLines w:val="0"/>
        <w:pageBreakBefore w:val="0"/>
        <w:kinsoku/>
        <w:overflowPunct/>
        <w:topLinePunct w:val="0"/>
        <w:bidi w:val="0"/>
        <w:spacing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3.开标时间：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3</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w:t>
      </w:r>
      <w:r>
        <w:rPr>
          <w:rFonts w:hint="eastAsia" w:ascii="宋体" w:hAnsi="宋体" w:cs="宋体"/>
          <w:bCs/>
          <w:color w:val="auto"/>
          <w:szCs w:val="21"/>
          <w:highlight w:val="none"/>
        </w:rPr>
        <w:t>9时30分</w:t>
      </w:r>
    </w:p>
    <w:p w14:paraId="6407CC37">
      <w:pPr>
        <w:keepNext w:val="0"/>
        <w:keepLines w:val="0"/>
        <w:pageBreakBefore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4.开标地点：广西政府采购云平台电子开标大厅开标。</w:t>
      </w:r>
    </w:p>
    <w:p w14:paraId="006AE556">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r>
        <w:rPr>
          <w:rFonts w:hint="eastAsia" w:ascii="宋体" w:hAnsi="宋体" w:cs="宋体"/>
          <w:b/>
          <w:bCs/>
          <w:color w:val="auto"/>
          <w:sz w:val="24"/>
          <w:highlight w:val="none"/>
        </w:rPr>
        <w:t>五、公告期限</w:t>
      </w:r>
      <w:bookmarkEnd w:id="33"/>
      <w:bookmarkEnd w:id="34"/>
      <w:bookmarkEnd w:id="35"/>
      <w:bookmarkEnd w:id="36"/>
    </w:p>
    <w:p w14:paraId="446123CF">
      <w:pPr>
        <w:keepNext w:val="0"/>
        <w:keepLines w:val="0"/>
        <w:pageBreakBefore w:val="0"/>
        <w:kinsoku/>
        <w:overflowPunct/>
        <w:topLinePunct w:val="0"/>
        <w:bidi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31046045">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bookmarkStart w:id="37" w:name="_Toc35393626"/>
      <w:bookmarkStart w:id="38" w:name="_Toc35393795"/>
      <w:r>
        <w:rPr>
          <w:rFonts w:hint="eastAsia" w:ascii="宋体" w:hAnsi="宋体" w:cs="宋体"/>
          <w:b/>
          <w:bCs/>
          <w:color w:val="auto"/>
          <w:sz w:val="24"/>
          <w:highlight w:val="none"/>
        </w:rPr>
        <w:t>六、其他补充事宜</w:t>
      </w:r>
      <w:bookmarkEnd w:id="37"/>
      <w:bookmarkEnd w:id="38"/>
    </w:p>
    <w:p w14:paraId="2709E2AD">
      <w:pPr>
        <w:keepNext w:val="0"/>
        <w:keepLines w:val="0"/>
        <w:pageBreakBefore w:val="0"/>
        <w:kinsoku/>
        <w:overflowPunct/>
        <w:topLinePunct w:val="0"/>
        <w:bidi w:val="0"/>
        <w:spacing w:line="400" w:lineRule="exact"/>
        <w:ind w:firstLine="420" w:firstLineChars="200"/>
        <w:rPr>
          <w:rFonts w:hint="eastAsia" w:ascii="宋体" w:hAnsi="宋体" w:cs="宋体"/>
          <w:color w:val="auto"/>
          <w:kern w:val="0"/>
          <w:szCs w:val="21"/>
          <w:highlight w:val="none"/>
        </w:rPr>
      </w:pPr>
      <w:bookmarkStart w:id="39" w:name="_Hlk37429585"/>
      <w:bookmarkStart w:id="40" w:name="_Hlk37429595"/>
      <w:bookmarkStart w:id="41" w:name="_Toc35393627"/>
      <w:bookmarkStart w:id="42" w:name="_Toc28359008"/>
      <w:bookmarkStart w:id="43" w:name="_Toc35393796"/>
      <w:bookmarkStart w:id="44" w:name="_Toc28359085"/>
      <w:r>
        <w:rPr>
          <w:rFonts w:hint="eastAsia" w:ascii="宋体" w:hAnsi="宋体" w:cs="宋体"/>
          <w:color w:val="auto"/>
          <w:kern w:val="0"/>
          <w:szCs w:val="21"/>
          <w:highlight w:val="none"/>
        </w:rPr>
        <w:t>1.投标保证金（人民币）：</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0000.00元。</w:t>
      </w:r>
    </w:p>
    <w:p w14:paraId="75BA279E">
      <w:pPr>
        <w:keepNext w:val="0"/>
        <w:keepLines w:val="0"/>
        <w:pageBreakBefore w:val="0"/>
        <w:kinsoku/>
        <w:overflowPunct/>
        <w:topLinePunct w:val="0"/>
        <w:bidi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投标保证金的缴纳方式：以银行转账、支票、汇票、本票或者金融机构、担保机构出具的保函等非现金形式提交。采用银行转账方式的，在投标截止时间前交至采购代理机构指定账户并且到账。汇款时投标人的汇款单据应注明“</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项目编号）</w:t>
      </w:r>
      <w:r>
        <w:rPr>
          <w:rFonts w:hint="eastAsia" w:ascii="宋体" w:hAnsi="宋体" w:cs="宋体"/>
          <w:color w:val="auto"/>
          <w:kern w:val="0"/>
          <w:szCs w:val="21"/>
          <w:highlight w:val="none"/>
        </w:rPr>
        <w:t>投标保证金”。</w:t>
      </w:r>
    </w:p>
    <w:p w14:paraId="35417405">
      <w:pPr>
        <w:keepNext w:val="0"/>
        <w:keepLines w:val="0"/>
        <w:pageBreakBefore w:val="0"/>
        <w:kinsoku/>
        <w:overflowPunct/>
        <w:topLinePunct w:val="0"/>
        <w:bidi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2.网上查询地址</w:t>
      </w:r>
    </w:p>
    <w:bookmarkEnd w:id="39"/>
    <w:p w14:paraId="086681F6">
      <w:pPr>
        <w:keepNext w:val="0"/>
        <w:keepLines w:val="0"/>
        <w:pageBreakBefore w:val="0"/>
        <w:kinsoku/>
        <w:wordWrap w:val="0"/>
        <w:overflowPunct/>
        <w:topLinePunct w:val="0"/>
        <w:bidi w:val="0"/>
        <w:spacing w:line="400" w:lineRule="exact"/>
        <w:ind w:firstLine="424" w:firstLineChars="202"/>
        <w:rPr>
          <w:rFonts w:hint="eastAsia" w:ascii="宋体" w:hAnsi="宋体" w:cs="宋体"/>
          <w:i/>
          <w:color w:val="auto"/>
          <w:kern w:val="0"/>
          <w:szCs w:val="21"/>
          <w:highlight w:val="none"/>
        </w:rPr>
      </w:pPr>
      <w:r>
        <w:rPr>
          <w:rFonts w:hint="eastAsia" w:ascii="宋体" w:hAnsi="宋体" w:cs="宋体"/>
          <w:color w:val="auto"/>
          <w:kern w:val="0"/>
          <w:szCs w:val="21"/>
          <w:highlight w:val="none"/>
        </w:rPr>
        <w:t>http://www.ccgp.gov.cn（中国政府采购网）、http://zfcg.gxzf.gov.cn（广西壮族自治区政府采购网）、http://gxggzy.gxzf.gov.cn/（广西壮族自治区公共资源交易中心）、http://jtt.gxzf.gov.cn/（</w:t>
      </w:r>
      <w:r>
        <w:rPr>
          <w:rFonts w:hint="eastAsia" w:ascii="宋体" w:hAnsi="宋体" w:cs="宋体"/>
          <w:color w:val="auto"/>
          <w:kern w:val="0"/>
          <w:szCs w:val="21"/>
          <w:highlight w:val="none"/>
          <w:lang w:eastAsia="zh-CN"/>
        </w:rPr>
        <w:t>广西壮族自治区生态环境厅</w:t>
      </w:r>
      <w:r>
        <w:rPr>
          <w:rFonts w:hint="eastAsia" w:ascii="宋体" w:hAnsi="宋体" w:cs="宋体"/>
          <w:color w:val="auto"/>
          <w:kern w:val="0"/>
          <w:szCs w:val="21"/>
          <w:highlight w:val="none"/>
        </w:rPr>
        <w:t>官网）</w:t>
      </w:r>
      <w:r>
        <w:rPr>
          <w:rFonts w:hint="eastAsia" w:ascii="宋体" w:hAnsi="宋体" w:cs="宋体"/>
          <w:color w:val="auto"/>
          <w:kern w:val="0"/>
          <w:szCs w:val="21"/>
          <w:highlight w:val="none"/>
          <w:lang w:eastAsia="zh-CN"/>
        </w:rPr>
        <w:t>、http://www.guangxibid.com.cn/</w:t>
      </w:r>
      <w:r>
        <w:rPr>
          <w:rFonts w:hint="eastAsia" w:ascii="宋体" w:hAnsi="宋体" w:cs="宋体"/>
          <w:color w:val="auto"/>
          <w:kern w:val="0"/>
          <w:szCs w:val="21"/>
          <w:highlight w:val="none"/>
          <w:lang w:val="en-US" w:eastAsia="zh-CN"/>
        </w:rPr>
        <w:t>（广西招标网）</w:t>
      </w:r>
      <w:r>
        <w:rPr>
          <w:rFonts w:hint="eastAsia" w:ascii="宋体" w:hAnsi="宋体" w:cs="宋体"/>
          <w:color w:val="auto"/>
          <w:kern w:val="0"/>
          <w:szCs w:val="21"/>
          <w:highlight w:val="none"/>
        </w:rPr>
        <w:t>。</w:t>
      </w:r>
    </w:p>
    <w:bookmarkEnd w:id="40"/>
    <w:p w14:paraId="5A3B4F1B">
      <w:pPr>
        <w:keepNext w:val="0"/>
        <w:keepLines w:val="0"/>
        <w:pageBreakBefore w:val="0"/>
        <w:kinsoku/>
        <w:overflowPunct/>
        <w:topLinePunct w:val="0"/>
        <w:bidi w:val="0"/>
        <w:spacing w:line="400" w:lineRule="exact"/>
        <w:ind w:firstLine="424" w:firstLineChars="202"/>
        <w:rPr>
          <w:rFonts w:hint="eastAsia" w:ascii="宋体" w:hAnsi="宋体" w:cs="宋体"/>
          <w:color w:val="auto"/>
          <w:kern w:val="0"/>
          <w:szCs w:val="21"/>
          <w:highlight w:val="none"/>
        </w:rPr>
      </w:pPr>
      <w:bookmarkStart w:id="45" w:name="_Hlk37429674"/>
      <w:r>
        <w:rPr>
          <w:rFonts w:hint="eastAsia" w:ascii="宋体" w:hAnsi="宋体" w:cs="宋体"/>
          <w:color w:val="auto"/>
          <w:szCs w:val="21"/>
          <w:highlight w:val="none"/>
        </w:rPr>
        <w:t>3.</w:t>
      </w:r>
      <w:r>
        <w:rPr>
          <w:rFonts w:hint="eastAsia" w:ascii="宋体" w:hAnsi="宋体" w:cs="宋体"/>
          <w:color w:val="auto"/>
          <w:kern w:val="0"/>
          <w:szCs w:val="21"/>
          <w:highlight w:val="none"/>
        </w:rPr>
        <w:t>本项目需要落实的政府采购政策</w:t>
      </w:r>
    </w:p>
    <w:bookmarkEnd w:id="45"/>
    <w:p w14:paraId="04FAA6AE">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BA586EE">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（2）政府采购促进残疾人就业政策。</w:t>
      </w:r>
    </w:p>
    <w:p w14:paraId="20406364">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（3）政府采购支持监狱企业发展。</w:t>
      </w:r>
    </w:p>
    <w:p w14:paraId="1539498B">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（4）强制采购节能产品；优先采购节能产品、环境标志产品。</w:t>
      </w:r>
    </w:p>
    <w:p w14:paraId="2819880A">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（5）扶持不发达地区和少数民族地区政策。</w:t>
      </w:r>
    </w:p>
    <w:p w14:paraId="2C0F16F7">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F4CFF20">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A49E2BD">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6.投标人</w:t>
      </w:r>
      <w:r>
        <w:rPr>
          <w:rFonts w:hint="eastAsia" w:ascii="宋体" w:hAnsi="宋体" w:cs="宋体"/>
          <w:color w:val="auto"/>
          <w:szCs w:val="21"/>
          <w:highlight w:val="none"/>
        </w:rPr>
        <w:t>投标注意事项</w:t>
      </w:r>
    </w:p>
    <w:p w14:paraId="24328726">
      <w:pPr>
        <w:keepNext w:val="0"/>
        <w:keepLines w:val="0"/>
        <w:pageBreakBefore w:val="0"/>
        <w:widowControl/>
        <w:kinsoku/>
        <w:wordWrap w:val="0"/>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ascii="宋体" w:hAnsi="宋体" w:cs="宋体"/>
          <w:color w:val="auto"/>
          <w:highlight w:val="none"/>
        </w:rPr>
        <w:t>后缀名为“jmbs”的文件</w:t>
      </w:r>
      <w:r>
        <w:rPr>
          <w:rFonts w:hint="eastAsia" w:ascii="宋体" w:hAnsi="宋体" w:cs="宋体"/>
          <w:color w:val="auto"/>
          <w:szCs w:val="21"/>
          <w:highlight w:val="none"/>
        </w:rPr>
        <w:t>），</w:t>
      </w:r>
      <w:r>
        <w:rPr>
          <w:rFonts w:hint="eastAsia" w:ascii="宋体" w:hAnsi="宋体" w:cs="宋体"/>
          <w:b/>
          <w:color w:val="auto"/>
          <w:szCs w:val="21"/>
          <w:highlight w:val="none"/>
        </w:rPr>
        <w:t>投标人在</w:t>
      </w:r>
      <w:r>
        <w:rPr>
          <w:rFonts w:hint="eastAsia" w:ascii="宋体" w:hAnsi="宋体" w:cs="宋体"/>
          <w:color w:val="auto"/>
          <w:szCs w:val="21"/>
          <w:highlight w:val="none"/>
        </w:rPr>
        <w:t>广西政府采购云平台</w:t>
      </w:r>
      <w:r>
        <w:rPr>
          <w:rFonts w:hint="eastAsia" w:ascii="宋体" w:hAnsi="宋体" w:cs="宋体"/>
          <w:b/>
          <w:color w:val="auto"/>
          <w:szCs w:val="21"/>
          <w:highlight w:val="none"/>
        </w:rPr>
        <w:t>提交电子投标文件时，请填写参加远程开标活动经办人联系方式。</w:t>
      </w:r>
      <w:r>
        <w:rPr>
          <w:rFonts w:hint="eastAsia" w:ascii="宋体" w:hAnsi="宋体" w:cs="宋体"/>
          <w:color w:val="auto"/>
          <w:szCs w:val="21"/>
          <w:highlight w:val="none"/>
        </w:rPr>
        <w:t>投标人登录广西政府采购云平台，依次进入“服务中心-项目采购-操作流程-电子招投标-</w:t>
      </w:r>
      <w:r>
        <w:rPr>
          <w:rFonts w:hint="eastAsia" w:ascii="宋体" w:hAnsi="宋体" w:cs="宋体"/>
          <w:color w:val="auto"/>
          <w:highlight w:val="none"/>
        </w:rPr>
        <w:t>政府采购项目电子交易管理操作指南-供应商</w:t>
      </w:r>
      <w:r>
        <w:rPr>
          <w:rFonts w:hint="eastAsia" w:ascii="宋体" w:hAnsi="宋体" w:cs="宋体"/>
          <w:color w:val="auto"/>
          <w:szCs w:val="21"/>
          <w:highlight w:val="none"/>
        </w:rPr>
        <w:t>”查看电子投标具体操作流程。</w:t>
      </w:r>
    </w:p>
    <w:p w14:paraId="383BBF52">
      <w:pPr>
        <w:keepNext w:val="0"/>
        <w:keepLines w:val="0"/>
        <w:pageBreakBefore w:val="0"/>
        <w:widowControl/>
        <w:kinsoku/>
        <w:overflowPunct/>
        <w:topLinePunct w:val="0"/>
        <w:bidi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rPr>
        <w:t>，</w:t>
      </w:r>
      <w:r>
        <w:rPr>
          <w:rFonts w:hint="eastAsia" w:ascii="宋体" w:hAnsi="宋体" w:cs="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s="宋体"/>
          <w:color w:val="auto"/>
          <w:szCs w:val="21"/>
          <w:highlight w:val="none"/>
        </w:rPr>
        <w:t>）。</w:t>
      </w:r>
    </w:p>
    <w:p w14:paraId="46598C32">
      <w:pPr>
        <w:keepNext w:val="0"/>
        <w:keepLines w:val="0"/>
        <w:pageBreakBefore w:val="0"/>
        <w:kinsoku/>
        <w:overflowPunct/>
        <w:topLinePunct w:val="0"/>
        <w:bidi w:val="0"/>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电子开标大厅现场按规定时间对加密的投标文件进行解密，否则后果自负。</w:t>
      </w:r>
    </w:p>
    <w:p w14:paraId="209D950C">
      <w:pPr>
        <w:keepNext w:val="0"/>
        <w:keepLines w:val="0"/>
        <w:pageBreakBefore w:val="0"/>
        <w:kinsoku/>
        <w:wordWrap w:val="0"/>
        <w:overflowPunct/>
        <w:topLinePunct w:val="0"/>
        <w:bidi w:val="0"/>
        <w:spacing w:line="400" w:lineRule="exact"/>
        <w:ind w:firstLine="424" w:firstLineChars="202"/>
        <w:rPr>
          <w:rFonts w:hint="eastAsia" w:ascii="宋体" w:hAnsi="宋体" w:cs="宋体"/>
          <w:bCs/>
          <w:color w:val="auto"/>
          <w:szCs w:val="21"/>
          <w:highlight w:val="none"/>
        </w:rPr>
      </w:pPr>
      <w:r>
        <w:rPr>
          <w:rFonts w:hint="eastAsia" w:ascii="宋体" w:hAnsi="宋体" w:cs="宋体"/>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将予以拒收。</w:t>
      </w:r>
    </w:p>
    <w:p w14:paraId="6C9FB818">
      <w:pPr>
        <w:keepNext w:val="0"/>
        <w:keepLines w:val="0"/>
        <w:pageBreakBefore w:val="0"/>
        <w:numPr>
          <w:ilvl w:val="0"/>
          <w:numId w:val="0"/>
        </w:numPr>
        <w:kinsoku/>
        <w:wordWrap w:val="0"/>
        <w:overflowPunct/>
        <w:topLinePunct w:val="0"/>
        <w:bidi w:val="0"/>
        <w:spacing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7.</w:t>
      </w:r>
      <w:r>
        <w:rPr>
          <w:rFonts w:hint="eastAsia" w:ascii="宋体" w:hAnsi="宋体" w:cs="宋体"/>
          <w:bCs/>
          <w:color w:val="auto"/>
          <w:szCs w:val="21"/>
          <w:highlight w:val="none"/>
        </w:rPr>
        <w:t>采购意向公开链接：</w:t>
      </w:r>
      <w:r>
        <w:rPr>
          <w:rFonts w:hint="eastAsia" w:ascii="宋体" w:hAnsi="宋体" w:cs="宋体"/>
          <w:bCs/>
          <w:color w:val="auto"/>
          <w:szCs w:val="21"/>
          <w:highlight w:val="none"/>
        </w:rPr>
        <w:fldChar w:fldCharType="begin"/>
      </w:r>
      <w:r>
        <w:rPr>
          <w:rFonts w:hint="eastAsia" w:ascii="宋体" w:hAnsi="宋体" w:cs="宋体"/>
          <w:bCs/>
          <w:color w:val="auto"/>
          <w:szCs w:val="21"/>
          <w:highlight w:val="none"/>
        </w:rPr>
        <w:instrText xml:space="preserve"> HYPERLINK "https://zfcg.gxzf.gov.cn/site/detail?categoryCode=ZcyAnnouncement&amp;parentId=66485&amp;articleId=oPgeg5OnXK8tcT+E/1+JZQ==" </w:instrText>
      </w:r>
      <w:r>
        <w:rPr>
          <w:rFonts w:hint="eastAsia" w:ascii="宋体" w:hAnsi="宋体" w:cs="宋体"/>
          <w:bCs/>
          <w:color w:val="auto"/>
          <w:szCs w:val="21"/>
          <w:highlight w:val="none"/>
        </w:rPr>
        <w:fldChar w:fldCharType="separate"/>
      </w:r>
      <w:r>
        <w:rPr>
          <w:rStyle w:val="43"/>
          <w:rFonts w:hint="eastAsia" w:ascii="宋体" w:hAnsi="宋体" w:cs="宋体"/>
          <w:bCs/>
          <w:color w:val="auto"/>
          <w:szCs w:val="21"/>
          <w:highlight w:val="none"/>
        </w:rPr>
        <w:t>https://zfcg.gxzf.gov.cn/site/detail?categoryCode=ZcyAnnouncement&amp;parentId=66485&amp;articleId=oPgeg5OnXK8tcT+E/1+JZQ==</w:t>
      </w:r>
      <w:r>
        <w:rPr>
          <w:rFonts w:hint="eastAsia" w:ascii="宋体" w:hAnsi="宋体" w:cs="宋体"/>
          <w:bCs/>
          <w:color w:val="auto"/>
          <w:szCs w:val="21"/>
          <w:highlight w:val="none"/>
        </w:rPr>
        <w:fldChar w:fldCharType="end"/>
      </w:r>
    </w:p>
    <w:p w14:paraId="2B3AFD0C">
      <w:pPr>
        <w:pStyle w:val="45"/>
        <w:keepNext w:val="0"/>
        <w:keepLines w:val="0"/>
        <w:pageBreakBefore w:val="0"/>
        <w:numPr>
          <w:ilvl w:val="0"/>
          <w:numId w:val="0"/>
        </w:numPr>
        <w:kinsoku/>
        <w:overflowPunct/>
        <w:topLinePunct w:val="0"/>
        <w:bidi w:val="0"/>
        <w:spacing w:line="400" w:lineRule="exact"/>
        <w:ind w:leftChars="202"/>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8.</w:t>
      </w:r>
      <w:r>
        <w:rPr>
          <w:rFonts w:hint="eastAsia" w:ascii="宋体" w:hAnsi="宋体" w:eastAsia="宋体" w:cs="宋体"/>
          <w:b/>
          <w:bCs/>
          <w:color w:val="auto"/>
          <w:kern w:val="2"/>
          <w:sz w:val="21"/>
          <w:szCs w:val="21"/>
          <w:highlight w:val="none"/>
          <w:lang w:val="en-US" w:eastAsia="zh-CN" w:bidi="ar-SA"/>
        </w:rPr>
        <w:t>本项目采用远程异地评标。</w:t>
      </w:r>
    </w:p>
    <w:p w14:paraId="39410417">
      <w:pPr>
        <w:keepNext w:val="0"/>
        <w:keepLines w:val="0"/>
        <w:pageBreakBefore w:val="0"/>
        <w:kinsoku/>
        <w:overflowPunct/>
        <w:topLinePunct w:val="0"/>
        <w:bidi w:val="0"/>
        <w:spacing w:line="400" w:lineRule="exact"/>
        <w:rPr>
          <w:rFonts w:hint="eastAsia"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bookmarkEnd w:id="41"/>
      <w:bookmarkEnd w:id="42"/>
      <w:bookmarkEnd w:id="43"/>
      <w:bookmarkEnd w:id="44"/>
    </w:p>
    <w:p w14:paraId="7029B53C">
      <w:pPr>
        <w:keepNext w:val="0"/>
        <w:keepLines w:val="0"/>
        <w:pageBreakBefore w:val="0"/>
        <w:kinsoku/>
        <w:overflowPunct/>
        <w:topLinePunct w:val="0"/>
        <w:bidi w:val="0"/>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0E003FE4">
      <w:pPr>
        <w:keepNext w:val="0"/>
        <w:keepLines w:val="0"/>
        <w:pageBreakBefore w:val="0"/>
        <w:kinsoku/>
        <w:overflowPunct/>
        <w:topLinePunct w:val="0"/>
        <w:bidi w:val="0"/>
        <w:spacing w:line="400" w:lineRule="exact"/>
        <w:ind w:firstLine="424" w:firstLineChars="202"/>
        <w:jc w:val="left"/>
        <w:rPr>
          <w:rFonts w:hint="eastAsia" w:ascii="宋体" w:hAnsi="宋体" w:eastAsia="宋体" w:cs="宋体"/>
          <w:color w:val="auto"/>
          <w:szCs w:val="21"/>
          <w:highlight w:val="none"/>
          <w:lang w:eastAsia="zh-CN"/>
        </w:rPr>
      </w:pPr>
      <w:bookmarkStart w:id="46" w:name="_Toc28359009"/>
      <w:bookmarkStart w:id="47" w:name="_Toc28359086"/>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广西壮族自治区生态环境厅</w:t>
      </w:r>
    </w:p>
    <w:p w14:paraId="6EAA7928">
      <w:pPr>
        <w:keepNext w:val="0"/>
        <w:keepLines w:val="0"/>
        <w:pageBreakBefore w:val="0"/>
        <w:kinsoku/>
        <w:overflowPunct/>
        <w:topLinePunct w:val="0"/>
        <w:bidi w:val="0"/>
        <w:spacing w:line="400" w:lineRule="exact"/>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南宁市青秀区佛子岭路16号</w:t>
      </w:r>
    </w:p>
    <w:p w14:paraId="27181D1A">
      <w:pPr>
        <w:keepNext w:val="0"/>
        <w:keepLines w:val="0"/>
        <w:pageBreakBefore w:val="0"/>
        <w:kinsoku/>
        <w:overflowPunct/>
        <w:topLinePunct w:val="0"/>
        <w:bidi w:val="0"/>
        <w:spacing w:line="400" w:lineRule="exact"/>
        <w:ind w:firstLine="424" w:firstLineChars="202"/>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黄工</w:t>
      </w:r>
    </w:p>
    <w:p w14:paraId="760E21DE">
      <w:pPr>
        <w:keepNext w:val="0"/>
        <w:keepLines w:val="0"/>
        <w:pageBreakBefore w:val="0"/>
        <w:kinsoku/>
        <w:overflowPunct/>
        <w:topLinePunct w:val="0"/>
        <w:bidi w:val="0"/>
        <w:spacing w:line="400" w:lineRule="exact"/>
        <w:ind w:firstLine="424" w:firstLineChars="202"/>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lang w:val="en-US" w:eastAsia="zh-CN"/>
        </w:rPr>
        <w:t>0771-5313068</w:t>
      </w:r>
    </w:p>
    <w:bookmarkEnd w:id="46"/>
    <w:bookmarkEnd w:id="47"/>
    <w:p w14:paraId="2812268C">
      <w:pPr>
        <w:keepNext w:val="0"/>
        <w:keepLines w:val="0"/>
        <w:pageBreakBefore w:val="0"/>
        <w:kinsoku/>
        <w:overflowPunct/>
        <w:topLinePunct w:val="0"/>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096D23F9">
      <w:pPr>
        <w:keepNext w:val="0"/>
        <w:keepLines w:val="0"/>
        <w:pageBreakBefore w:val="0"/>
        <w:kinsoku/>
        <w:overflowPunct/>
        <w:topLinePunct w:val="0"/>
        <w:bidi w:val="0"/>
        <w:spacing w:line="400" w:lineRule="exact"/>
        <w:ind w:firstLine="424" w:firstLineChars="202"/>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广西建设工程机电设备招标中心有限公司</w:t>
      </w:r>
    </w:p>
    <w:p w14:paraId="3D887239">
      <w:pPr>
        <w:keepNext w:val="0"/>
        <w:keepLines w:val="0"/>
        <w:pageBreakBefore w:val="0"/>
        <w:kinsoku/>
        <w:overflowPunct/>
        <w:topLinePunct w:val="0"/>
        <w:bidi w:val="0"/>
        <w:spacing w:line="400" w:lineRule="exact"/>
        <w:ind w:firstLine="424" w:firstLineChars="202"/>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 址：</w:t>
      </w:r>
      <w:r>
        <w:rPr>
          <w:rFonts w:hint="eastAsia" w:ascii="宋体" w:hAnsi="宋体" w:cs="宋体"/>
          <w:color w:val="auto"/>
          <w:szCs w:val="21"/>
          <w:highlight w:val="none"/>
          <w:lang w:eastAsia="zh-CN"/>
        </w:rPr>
        <w:t>广西南宁市青秀区枫林路18号广西国控大厦（枫林路办公区）裙楼三楼</w:t>
      </w:r>
    </w:p>
    <w:p w14:paraId="5FCDE73C">
      <w:pPr>
        <w:keepNext w:val="0"/>
        <w:keepLines w:val="0"/>
        <w:pageBreakBefore w:val="0"/>
        <w:kinsoku/>
        <w:overflowPunct/>
        <w:topLinePunct w:val="0"/>
        <w:bidi w:val="0"/>
        <w:spacing w:line="400" w:lineRule="exact"/>
        <w:ind w:firstLine="424" w:firstLineChars="202"/>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联系方式：</w:t>
      </w:r>
      <w:r>
        <w:rPr>
          <w:rFonts w:hint="eastAsia" w:ascii="宋体" w:hAnsi="宋体" w:cs="宋体"/>
          <w:color w:val="auto"/>
          <w:szCs w:val="21"/>
          <w:highlight w:val="none"/>
          <w:lang w:eastAsia="zh-CN"/>
        </w:rPr>
        <w:t>0771-5824250</w:t>
      </w:r>
    </w:p>
    <w:p w14:paraId="252F0EB1">
      <w:pPr>
        <w:keepNext w:val="0"/>
        <w:keepLines w:val="0"/>
        <w:pageBreakBefore w:val="0"/>
        <w:kinsoku/>
        <w:overflowPunct/>
        <w:topLinePunct w:val="0"/>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2D9F6539">
      <w:pPr>
        <w:keepNext w:val="0"/>
        <w:keepLines w:val="0"/>
        <w:pageBreakBefore w:val="0"/>
        <w:kinsoku/>
        <w:overflowPunct/>
        <w:topLinePunct w:val="0"/>
        <w:bidi w:val="0"/>
        <w:spacing w:line="400" w:lineRule="exact"/>
        <w:ind w:firstLine="424" w:firstLineChars="202"/>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王剑、黄艳颀、陈泰东</w:t>
      </w:r>
    </w:p>
    <w:p w14:paraId="1C5D3EB9">
      <w:pPr>
        <w:keepNext w:val="0"/>
        <w:keepLines w:val="0"/>
        <w:pageBreakBefore w:val="0"/>
        <w:kinsoku/>
        <w:overflowPunct/>
        <w:topLinePunct w:val="0"/>
        <w:bidi w:val="0"/>
        <w:spacing w:line="400" w:lineRule="exact"/>
        <w:ind w:firstLine="424" w:firstLineChars="202"/>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电　话：</w:t>
      </w:r>
      <w:r>
        <w:rPr>
          <w:rFonts w:hint="eastAsia" w:ascii="宋体" w:hAnsi="宋体" w:cs="宋体"/>
          <w:color w:val="auto"/>
          <w:szCs w:val="21"/>
          <w:highlight w:val="none"/>
          <w:lang w:eastAsia="zh-CN"/>
        </w:rPr>
        <w:t>0771-5824250</w:t>
      </w:r>
    </w:p>
    <w:p w14:paraId="0B2736A8">
      <w:pPr>
        <w:keepNext w:val="0"/>
        <w:keepLines w:val="0"/>
        <w:pageBreakBefore w:val="0"/>
        <w:kinsoku/>
        <w:overflowPunct/>
        <w:topLinePunct w:val="0"/>
        <w:bidi w:val="0"/>
        <w:spacing w:line="400" w:lineRule="exact"/>
        <w:rPr>
          <w:rFonts w:hint="eastAsia" w:ascii="宋体" w:hAnsi="宋体" w:cs="宋体"/>
          <w:color w:val="auto"/>
          <w:szCs w:val="21"/>
          <w:highlight w:val="none"/>
        </w:rPr>
      </w:pPr>
    </w:p>
    <w:p w14:paraId="1F596318">
      <w:pPr>
        <w:keepNext w:val="0"/>
        <w:keepLines w:val="0"/>
        <w:pageBreakBefore w:val="0"/>
        <w:kinsoku/>
        <w:overflowPunct/>
        <w:topLinePunct w:val="0"/>
        <w:bidi w:val="0"/>
        <w:spacing w:line="400" w:lineRule="exact"/>
        <w:jc w:val="right"/>
        <w:rPr>
          <w:rFonts w:hint="eastAsia" w:ascii="宋体" w:hAnsi="宋体" w:cs="宋体"/>
          <w:b/>
          <w:bCs/>
          <w:color w:val="auto"/>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广西建设工程机电设备招标中心有限公司</w:t>
      </w:r>
      <w:r>
        <w:rPr>
          <w:rFonts w:hint="eastAsia" w:ascii="宋体" w:hAnsi="宋体" w:cs="宋体"/>
          <w:b/>
          <w:bCs/>
          <w:color w:val="auto"/>
          <w:highlight w:val="none"/>
        </w:rPr>
        <w:t xml:space="preserve"> </w:t>
      </w:r>
    </w:p>
    <w:p w14:paraId="0A4FDC14">
      <w:pPr>
        <w:keepNext w:val="0"/>
        <w:keepLines w:val="0"/>
        <w:pageBreakBefore w:val="0"/>
        <w:kinsoku/>
        <w:overflowPunct/>
        <w:topLinePunct w:val="0"/>
        <w:bidi w:val="0"/>
        <w:spacing w:line="400" w:lineRule="exact"/>
        <w:ind w:firstLine="4095" w:firstLineChars="1950"/>
        <w:jc w:val="right"/>
        <w:rPr>
          <w:rFonts w:hint="eastAsia" w:ascii="宋体" w:hAnsi="宋体" w:cs="宋体"/>
          <w:b/>
          <w:bCs/>
          <w:color w:val="auto"/>
          <w:highlight w:val="none"/>
        </w:rPr>
      </w:pP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 xml:space="preserve"> 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13</w:t>
      </w:r>
      <w:r>
        <w:rPr>
          <w:rFonts w:hint="eastAsia" w:ascii="宋体" w:hAnsi="宋体" w:cs="宋体"/>
          <w:bCs/>
          <w:color w:val="auto"/>
          <w:kern w:val="0"/>
          <w:szCs w:val="21"/>
          <w:highlight w:val="none"/>
        </w:rPr>
        <w:t>日</w:t>
      </w:r>
    </w:p>
    <w:p w14:paraId="10A37067">
      <w:pPr>
        <w:pStyle w:val="3"/>
        <w:keepNext w:val="0"/>
        <w:keepLines w:val="0"/>
        <w:pageBreakBefore w:val="0"/>
        <w:tabs>
          <w:tab w:val="left" w:pos="0"/>
          <w:tab w:val="left" w:pos="3165"/>
          <w:tab w:val="center" w:pos="4153"/>
        </w:tabs>
        <w:kinsoku/>
        <w:overflowPunct/>
        <w:topLinePunct w:val="0"/>
        <w:autoSpaceDE w:val="0"/>
        <w:autoSpaceDN w:val="0"/>
        <w:bidi w:val="0"/>
        <w:adjustRightInd w:val="0"/>
        <w:spacing w:before="0" w:after="0" w:line="240" w:lineRule="auto"/>
        <w:jc w:val="center"/>
        <w:rPr>
          <w:rFonts w:hint="eastAsia" w:ascii="宋体" w:hAnsi="宋体" w:cs="宋体"/>
          <w:color w:val="auto"/>
          <w:highlight w:val="none"/>
        </w:rPr>
      </w:pPr>
      <w:r>
        <w:rPr>
          <w:rFonts w:hint="eastAsia" w:ascii="宋体" w:hAnsi="宋体" w:cs="宋体"/>
          <w:color w:val="auto"/>
          <w:sz w:val="24"/>
          <w:szCs w:val="20"/>
          <w:highlight w:val="none"/>
        </w:rPr>
        <w:br w:type="page"/>
      </w:r>
      <w:bookmarkStart w:id="48" w:name="_Toc12941"/>
      <w:bookmarkStart w:id="49" w:name="_Toc29892"/>
      <w:bookmarkStart w:id="50" w:name="_Toc28054"/>
      <w:r>
        <w:rPr>
          <w:rFonts w:hint="eastAsia" w:ascii="宋体" w:hAnsi="宋体" w:cs="宋体"/>
          <w:color w:val="auto"/>
          <w:highlight w:val="none"/>
        </w:rPr>
        <w:t>第二章  采购需求</w:t>
      </w:r>
      <w:bookmarkEnd w:id="48"/>
      <w:bookmarkEnd w:id="49"/>
      <w:bookmarkEnd w:id="50"/>
    </w:p>
    <w:p w14:paraId="295A9C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一、说明：</w:t>
      </w:r>
    </w:p>
    <w:p w14:paraId="16CAD9A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1.为落实政府采购政策需满足的要求</w:t>
      </w:r>
    </w:p>
    <w:p w14:paraId="589051D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本招标文件所称中小企业必须符合《政府采购促进中小企业发展管理办法》（财库〔2020〕46号）的规定。</w:t>
      </w:r>
    </w:p>
    <w:p w14:paraId="1F604E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3DBBA2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3.投标人必须自行为其投标产品侵犯他人的知识产权或者专利成果的行为承担相应法律责任。</w:t>
      </w:r>
    </w:p>
    <w:p w14:paraId="3A6C39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b/>
          <w:color w:val="auto"/>
          <w:szCs w:val="21"/>
          <w:highlight w:val="none"/>
        </w:rPr>
        <w:t>4.采购内容的中小企业划分标准所属行业名称：</w:t>
      </w:r>
      <w:r>
        <w:rPr>
          <w:rFonts w:hint="eastAsia" w:ascii="宋体" w:hAnsi="宋体" w:cs="宋体"/>
          <w:b/>
          <w:color w:val="auto"/>
          <w:szCs w:val="21"/>
          <w:highlight w:val="none"/>
          <w:u w:val="single"/>
        </w:rPr>
        <w:t>其他未列明行业</w:t>
      </w:r>
      <w:r>
        <w:rPr>
          <w:rFonts w:hint="eastAsia" w:ascii="宋体" w:hAnsi="宋体" w:cs="宋体"/>
          <w:bCs/>
          <w:color w:val="auto"/>
          <w:szCs w:val="21"/>
          <w:highlight w:val="none"/>
        </w:rPr>
        <w:t>。</w:t>
      </w:r>
    </w:p>
    <w:p w14:paraId="2F6CC1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b/>
          <w:color w:val="auto"/>
          <w:szCs w:val="21"/>
          <w:highlight w:val="none"/>
        </w:rPr>
        <w:t>5.采购预算</w:t>
      </w:r>
      <w:r>
        <w:rPr>
          <w:rFonts w:hint="eastAsia" w:ascii="宋体" w:hAnsi="宋体" w:cs="宋体"/>
          <w:bCs/>
          <w:color w:val="auto"/>
          <w:szCs w:val="21"/>
          <w:highlight w:val="none"/>
        </w:rPr>
        <w:t>：</w:t>
      </w:r>
      <w:r>
        <w:rPr>
          <w:rFonts w:hint="eastAsia" w:ascii="宋体" w:hAnsi="宋体" w:cs="宋体"/>
          <w:color w:val="auto"/>
          <w:szCs w:val="21"/>
          <w:highlight w:val="none"/>
          <w:u w:val="single"/>
          <w:lang w:eastAsia="zh-CN"/>
        </w:rPr>
        <w:t>16390000.00</w:t>
      </w:r>
      <w:r>
        <w:rPr>
          <w:rFonts w:hint="eastAsia" w:ascii="宋体" w:hAnsi="宋体" w:cs="宋体"/>
          <w:color w:val="auto"/>
          <w:szCs w:val="21"/>
          <w:highlight w:val="none"/>
          <w:u w:val="single"/>
        </w:rPr>
        <w:t>元。</w:t>
      </w:r>
    </w:p>
    <w:p w14:paraId="7ED2D0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6.采购需求要求未尽事宜由采购人与中标供应商在采购合同中约定。</w:t>
      </w:r>
    </w:p>
    <w:p w14:paraId="07B0992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7.</w:t>
      </w: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r>
        <w:rPr>
          <w:rFonts w:hint="eastAsia" w:ascii="宋体" w:hAnsi="宋体" w:eastAsia="宋体" w:cs="宋体"/>
          <w:b/>
          <w:bCs/>
          <w:color w:val="auto"/>
          <w:szCs w:val="21"/>
          <w:highlight w:val="none"/>
          <w:lang w:val="en-US" w:eastAsia="zh-CN"/>
        </w:rPr>
        <w:t xml:space="preserve"> </w:t>
      </w:r>
    </w:p>
    <w:p w14:paraId="3AA53DB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8.本项目采购需求表中，若有要求提供的证明文件材料或承诺书的，请在《技术要求偏离表》或《商务要求偏离表》中应答时，同时注明相关文件材料或承诺书放置的页码。</w:t>
      </w:r>
    </w:p>
    <w:p w14:paraId="665DC553">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rPr>
      </w:pPr>
    </w:p>
    <w:p w14:paraId="0931521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color w:val="auto"/>
          <w:sz w:val="24"/>
          <w:highlight w:val="none"/>
        </w:rPr>
      </w:pPr>
      <w:r>
        <w:rPr>
          <w:rFonts w:hint="eastAsia" w:ascii="宋体" w:hAnsi="宋体" w:cs="宋体"/>
          <w:b/>
          <w:color w:val="auto"/>
          <w:szCs w:val="21"/>
          <w:highlight w:val="none"/>
        </w:rPr>
        <w:t>二、技术及商务要求：</w:t>
      </w:r>
    </w:p>
    <w:tbl>
      <w:tblPr>
        <w:tblStyle w:val="38"/>
        <w:tblW w:w="88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91" w:type="dxa"/>
          <w:bottom w:w="0" w:type="dxa"/>
          <w:right w:w="91" w:type="dxa"/>
        </w:tblCellMar>
      </w:tblPr>
      <w:tblGrid>
        <w:gridCol w:w="624"/>
        <w:gridCol w:w="887"/>
        <w:gridCol w:w="480"/>
        <w:gridCol w:w="240"/>
        <w:gridCol w:w="657"/>
        <w:gridCol w:w="5917"/>
      </w:tblGrid>
      <w:tr w14:paraId="3F6E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8805" w:type="dxa"/>
            <w:gridSpan w:val="6"/>
            <w:tcBorders>
              <w:top w:val="single" w:color="000000" w:sz="2" w:space="0"/>
              <w:left w:val="single" w:color="000000" w:sz="2" w:space="0"/>
              <w:bottom w:val="single" w:color="000000" w:sz="2" w:space="0"/>
              <w:right w:val="single" w:color="000000" w:sz="2" w:space="0"/>
            </w:tcBorders>
            <w:noWrap w:val="0"/>
            <w:vAlign w:val="center"/>
          </w:tcPr>
          <w:p w14:paraId="0B9A9E9B">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textAlignment w:val="auto"/>
              <w:rPr>
                <w:rFonts w:hint="eastAsia" w:ascii="宋体" w:hAnsi="宋体" w:cs="宋体"/>
                <w:color w:val="auto"/>
                <w:szCs w:val="21"/>
                <w:highlight w:val="none"/>
              </w:rPr>
            </w:pP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项目要求及技术需求</w:t>
            </w:r>
          </w:p>
        </w:tc>
      </w:tr>
      <w:tr w14:paraId="578D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6" w:hRule="atLeast"/>
          <w:jc w:val="center"/>
        </w:trPr>
        <w:tc>
          <w:tcPr>
            <w:tcW w:w="624" w:type="dxa"/>
            <w:tcBorders>
              <w:top w:val="single" w:color="000000" w:sz="2" w:space="0"/>
              <w:left w:val="single" w:color="000000" w:sz="2" w:space="0"/>
              <w:bottom w:val="single" w:color="000000" w:sz="2" w:space="0"/>
              <w:right w:val="single" w:color="000000" w:sz="2" w:space="0"/>
            </w:tcBorders>
            <w:noWrap w:val="0"/>
            <w:vAlign w:val="center"/>
          </w:tcPr>
          <w:p w14:paraId="36E5CFA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887" w:type="dxa"/>
            <w:tcBorders>
              <w:top w:val="single" w:color="000000" w:sz="2" w:space="0"/>
              <w:left w:val="single" w:color="000000" w:sz="2" w:space="0"/>
              <w:bottom w:val="single" w:color="000000" w:sz="2" w:space="0"/>
              <w:right w:val="single" w:color="000000" w:sz="2" w:space="0"/>
            </w:tcBorders>
            <w:noWrap w:val="0"/>
            <w:vAlign w:val="center"/>
          </w:tcPr>
          <w:p w14:paraId="7D6F09F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标的</w:t>
            </w:r>
          </w:p>
          <w:p w14:paraId="05F6443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名称</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2FD97AA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数量</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0CEA75A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单位</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46A9DFC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项目要求及技术需求</w:t>
            </w:r>
          </w:p>
        </w:tc>
      </w:tr>
      <w:tr w14:paraId="5BD4F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624" w:type="dxa"/>
            <w:tcBorders>
              <w:top w:val="single" w:color="000000" w:sz="2" w:space="0"/>
              <w:left w:val="single" w:color="000000" w:sz="2" w:space="0"/>
              <w:bottom w:val="single" w:color="000000" w:sz="2" w:space="0"/>
              <w:right w:val="single" w:color="000000" w:sz="2" w:space="0"/>
            </w:tcBorders>
            <w:noWrap w:val="0"/>
            <w:vAlign w:val="center"/>
          </w:tcPr>
          <w:p w14:paraId="1CBFE3F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887" w:type="dxa"/>
            <w:tcBorders>
              <w:top w:val="single" w:color="000000" w:sz="2" w:space="0"/>
              <w:left w:val="single" w:color="000000" w:sz="2" w:space="0"/>
              <w:bottom w:val="single" w:color="000000" w:sz="2" w:space="0"/>
              <w:right w:val="single" w:color="000000" w:sz="2" w:space="0"/>
            </w:tcBorders>
            <w:noWrap w:val="0"/>
            <w:vAlign w:val="center"/>
          </w:tcPr>
          <w:p w14:paraId="4F604E4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广西涉锑铊重金属环境现状调查与风险评估</w:t>
            </w:r>
          </w:p>
        </w:tc>
        <w:tc>
          <w:tcPr>
            <w:tcW w:w="720" w:type="dxa"/>
            <w:gridSpan w:val="2"/>
            <w:tcBorders>
              <w:top w:val="single" w:color="000000" w:sz="2" w:space="0"/>
              <w:left w:val="single" w:color="000000" w:sz="2" w:space="0"/>
              <w:bottom w:val="single" w:color="000000" w:sz="2" w:space="0"/>
              <w:right w:val="single" w:color="000000" w:sz="2" w:space="0"/>
            </w:tcBorders>
            <w:noWrap w:val="0"/>
            <w:vAlign w:val="center"/>
          </w:tcPr>
          <w:p w14:paraId="698DDA8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1</w:t>
            </w:r>
          </w:p>
        </w:tc>
        <w:tc>
          <w:tcPr>
            <w:tcW w:w="657" w:type="dxa"/>
            <w:tcBorders>
              <w:top w:val="single" w:color="000000" w:sz="2" w:space="0"/>
              <w:left w:val="single" w:color="000000" w:sz="2" w:space="0"/>
              <w:bottom w:val="single" w:color="000000" w:sz="2" w:space="0"/>
              <w:right w:val="single" w:color="000000" w:sz="2" w:space="0"/>
            </w:tcBorders>
            <w:noWrap w:val="0"/>
            <w:vAlign w:val="center"/>
          </w:tcPr>
          <w:p w14:paraId="4CF6649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项</w:t>
            </w:r>
          </w:p>
        </w:tc>
        <w:tc>
          <w:tcPr>
            <w:tcW w:w="5917" w:type="dxa"/>
            <w:tcBorders>
              <w:top w:val="single" w:color="000000" w:sz="2" w:space="0"/>
              <w:left w:val="single" w:color="000000" w:sz="2" w:space="0"/>
              <w:bottom w:val="single" w:color="000000" w:sz="2" w:space="0"/>
              <w:right w:val="single" w:color="000000" w:sz="2" w:space="0"/>
            </w:tcBorders>
            <w:noWrap w:val="0"/>
            <w:vAlign w:val="center"/>
          </w:tcPr>
          <w:p w14:paraId="1E18935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▲一、总体要求</w:t>
            </w:r>
          </w:p>
          <w:p w14:paraId="70F41E79">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按照《广西涉重金属环境安全隐患排查整治专项行动方案》《重金属环境安全隐患排查整治行动方案（2025-2030年）》等文件要求，对14个设区市涉锑铊重金属环境开展现状调查与风险评估，掌握广西锑铊重金属在水环境介质中的污染现状及环境风险防控体系建设情况，科学评估涉锑、铊企业及污染区域等环境风险，识别主要环境风险源和风险受体，评估企业等在应对突发环境事件时，对锑铊等重金属污染物的防控能力，提出针对性的风险管控措施。</w:t>
            </w:r>
          </w:p>
          <w:p w14:paraId="139AABB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▲二、服务内容和技术要求</w:t>
            </w:r>
          </w:p>
          <w:p w14:paraId="2A8F19A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 主要服务</w:t>
            </w:r>
          </w:p>
          <w:p w14:paraId="34329F1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2.1.1基础信息调查</w:t>
            </w:r>
          </w:p>
          <w:p w14:paraId="34D13A6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主要对非金属矿物制品业、有色金属冶炼和压延加工业、金属制品业等涉锑铊行业约437家企业开展资料收集，了解原辅材料、三废情况、固废堆存区、排放口位置、工艺等信息；对《广西深入打好涉重金属环境安全风险隐患排查整治攻坚行动方案（2025-2030年）》提出的涉重金属环境安全隐患排查重点流域清单以及广西重点关注流域刁江、大环江、下雷河、黔江、浔江、贺江、北流河、漓江和九洲江等9个流域区控、国控断面位置等进行调查；对涉锑铊的尾矿库进行调查，了解尾矿类别、渗滤液（污水）处理情况等信息。开展现场踏勘和人员访谈，了解历史环境问题、尾矿库运作状况、企业产排污状况、固废堆存区、排放口管理以及环境治理工作等情况，进一步核实并补充完善资料收集清单。对涉锑铊行业企业等污染源与重点流域、水系等环境要素的源汇关系进行调查和分析。</w:t>
            </w:r>
          </w:p>
          <w:p w14:paraId="56BD214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2.1.2采样点位布设</w:t>
            </w:r>
          </w:p>
          <w:p w14:paraId="3BA93C7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根据基础信息调查、现场勘察的结果，分析企业原辅料、产排污等情况，在可能造成锑铊等重金属污染的原料、废水收集池、雨水收集池、废水排放口、固废堆存区以及涉锑铊企业5km范围内涉及的水域上游、下游地表水及其底泥（沉积物）进行布点；对刁江、大环江、下雷河、黔江、浔江、贺江、北流河、漓江、九洲江等9个流域国控、区控断面地表水及其底泥（沉积物）进行布点。</w:t>
            </w:r>
          </w:p>
          <w:p w14:paraId="29962568">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2.1.3样品采集与分析</w:t>
            </w:r>
          </w:p>
          <w:p w14:paraId="18ADD94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（1）采集企业原料、固废样品，开展其全量分析和水浸分析；采集企业废水、雨水收集池样品，开展监测分析。</w:t>
            </w:r>
          </w:p>
          <w:p w14:paraId="305E680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（2）采集涉锑铊企业5km范围内涉及水域上游、下游地表水和底泥（沉积物）样品，开展监测分析，地表水水质点位按照枯、丰、平三期采样，枯水期同步采集底泥。</w:t>
            </w:r>
          </w:p>
          <w:p w14:paraId="63F7769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采集刁江、大环江、下雷河、黔江、浔江、贺江、北流河、漓江、九洲江等9个流域的国控、区控断面水质和底泥（沉积物）样品，开展监测分析，其中9个流域地表水水质点位按照枯、丰、平三期采样，枯水期同步采集底泥；</w:t>
            </w:r>
          </w:p>
          <w:p w14:paraId="3B604C1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（4）上述的总体原料分析样品、地表水样品、底泥（沉积物）样品、废水样品、固废等样品数量不少于4030个，测试项目包括必测项pH、锑、铊、镉、汞、砷、铅以及根据基础信息调查识别的特征污染物。</w:t>
            </w:r>
          </w:p>
          <w:p w14:paraId="3DC92E1E">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2.1.4重金属污染风险评估</w:t>
            </w:r>
          </w:p>
          <w:p w14:paraId="7308E369">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参照《重金属环境安全隐患排查风险评估和整治技术指南》，根据污染源危害性、污染源扩散性、环境敏感目标分布三要素构建指标体系，对企业等划分风险等级，开展水体等重金属生态风险评估，摸清锑铊重金属的来源。</w:t>
            </w:r>
          </w:p>
          <w:p w14:paraId="13087CB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2.1.5成果汇总分析</w:t>
            </w:r>
          </w:p>
          <w:p w14:paraId="3F32B75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通过汇总收集监测数据，解析污染源和空间上的污染分布差异，推断区域主要污染来源与贡献。将涉锑铊企业及尾矿库位置、废水排放口、风险等级等信息与流域底图叠加，风险源、地理要素和监测数据在空间上关联并进行可视化分析，反馈出广西重点流域各风险源的时空分布情况，为地方应对应急事故，常态性现场核查以及精准执法和污染防控提供强有力的空间信息支撑。最终形成涉锑铊企业等污染源分布调查图集、涉锑铊污染源风险点及风险分级清单、重点流域风险图、涉锑铊企业排污口位置与干支流汇水关系图、企业原料锑铊风险等级清单、广西涉锑铊重金属环境现状调查与风险评估报告、广西涉锑铊企业标准化台账等成果。</w:t>
            </w:r>
          </w:p>
          <w:p w14:paraId="4B4BFC7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2.1.6 按采购人需求完成其他相关工作。</w:t>
            </w:r>
          </w:p>
          <w:p w14:paraId="337B526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2.2工作质量控制要求</w:t>
            </w:r>
          </w:p>
          <w:p w14:paraId="7E90629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（1）投标人需严格根据《广西涉重金属环境安全隐患排查整治专项行动方案》《重金属环境安全隐患排查整治行动方案（2025-2030年）》等国家和自治区有关要求开展工作。</w:t>
            </w:r>
          </w:p>
          <w:p w14:paraId="16F2B97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（2）样品采集分析测试应严格按照《地表水环境质量监测技术规范》（HJ91.2-2022）《污水监测技术规范》（HJ 91.1-2019）《工业固体废物采样制样技术规范》（HJ/T 20-1998）《固体废物 浸出毒性浸出方法 水平振荡法》（HJ 557-2010）等相关标准规范的要求。</w:t>
            </w:r>
          </w:p>
          <w:p w14:paraId="799FAFCD">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（3）投标人需按照相关要求做好安全防护，制定安全防护计划，加强安全培训。</w:t>
            </w:r>
          </w:p>
          <w:p w14:paraId="4679C42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2.3数据资料归属及保密要求</w:t>
            </w:r>
          </w:p>
          <w:p w14:paraId="523B854C">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本项目所形成的数据和报告归采购人所有。未经采购人授权，不得将数据和报告发送给任何第三方，严格执行项目实施过程中产生数据和报告等资料保密管理。</w:t>
            </w:r>
          </w:p>
          <w:p w14:paraId="7EAEDAA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2.4成果提交及项目验收</w:t>
            </w:r>
          </w:p>
          <w:p w14:paraId="439F678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所提交成果需提交电子版并通过采购人验收备案：</w:t>
            </w:r>
          </w:p>
          <w:p w14:paraId="2B7D600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（1）涉锑铊企业等污染源分布调查图集1份；</w:t>
            </w:r>
          </w:p>
          <w:p w14:paraId="3EE5A84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（2）涉锑铊污染源风险点及风险分级清单1份；</w:t>
            </w:r>
          </w:p>
          <w:p w14:paraId="216162D0">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（3）重点流域风险图1份；</w:t>
            </w:r>
          </w:p>
          <w:p w14:paraId="6156D8C6">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（4）涉锑铊企业排污口位置与干支流汇水关系图1份；</w:t>
            </w:r>
          </w:p>
          <w:p w14:paraId="06BC91B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（5）企业原料锑铊风险等级清单1份；</w:t>
            </w:r>
          </w:p>
          <w:p w14:paraId="062AAB3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（6）广西涉锑铊重金属环境现状调查与风险评估报告1份；</w:t>
            </w:r>
          </w:p>
          <w:p w14:paraId="64AE76C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（7）广西涉锑铊企业标准化台账一套；</w:t>
            </w:r>
          </w:p>
          <w:p w14:paraId="4CB2ADB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（8）项目开展过程中，按采购人要求提供本项目的其他服务成果及相关图件。</w:t>
            </w:r>
          </w:p>
          <w:p w14:paraId="5F46A104">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2.5仪器设备要求</w:t>
            </w:r>
          </w:p>
          <w:p w14:paraId="44E82E95">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投标人应同时具备电感耦合等离子体质谱（ICP-MS）、原子吸收分光光度计、原子荧光分光光度计各1台。投标时须提供设备发票复印件和有效期内的检定证书（校准证书）复印件，作为评审依据。</w:t>
            </w:r>
          </w:p>
          <w:p w14:paraId="46A91417">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需有效证明（属于供应商自有，租用不予计算），即提供仪器设备列表、设备的彩色照片、采购发票（发票抬头为投标人名字）和有效期限内的检定证书（校准证书）复印件等，并加盖公章，否则将其作为无效投标处理。</w:t>
            </w:r>
          </w:p>
          <w:p w14:paraId="2165AA5F">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▲三、特定资格要求</w:t>
            </w:r>
          </w:p>
          <w:p w14:paraId="04BC64A1">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投标人须具备有效的检验检测机构资质认定CMA证书；联合体投标时，联合体各方中承担分析检测任务的单位必须具有本项目必测项pH、锑、铊、镉、汞、砷、铅的CMA资质。</w:t>
            </w:r>
          </w:p>
          <w:p w14:paraId="73DBDCD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▲四、服务期限</w:t>
            </w:r>
          </w:p>
          <w:p w14:paraId="5224129B">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自合同签订之日起至2026年11月15日。</w:t>
            </w:r>
          </w:p>
          <w:p w14:paraId="7701914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▲五、项目服务团队要求</w:t>
            </w:r>
          </w:p>
          <w:p w14:paraId="1C6A03B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投标人配备能够承担技术服务工作的相关专业技术人员，其中项目负责人1人</w:t>
            </w:r>
            <w:r>
              <w:rPr>
                <w:rFonts w:hint="eastAsia" w:ascii="宋体" w:hAnsi="宋体" w:cs="宋体"/>
                <w:color w:val="auto"/>
                <w:szCs w:val="21"/>
                <w:highlight w:val="none"/>
                <w:lang w:val="en-US" w:eastAsia="zh-CN"/>
              </w:rPr>
              <w:t>须</w:t>
            </w:r>
            <w:r>
              <w:rPr>
                <w:rFonts w:hint="eastAsia" w:ascii="宋体" w:hAnsi="宋体" w:cs="宋体"/>
                <w:color w:val="auto"/>
                <w:szCs w:val="21"/>
                <w:highlight w:val="none"/>
              </w:rPr>
              <w:t>为正高级职称（职称专业为环境类、化学类等相关专业），项目主要专业技术人员的人员数量和能力应满足技术服务工作任务的需要，拟投入本项目专业技术人员不少于20人，其中高级职称不少于2人。</w:t>
            </w:r>
          </w:p>
          <w:p w14:paraId="4197CD4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注：拟投入本项目的以上人员均是投标人在职在岗正式员工（非退休），投标文件需提供人员职称证书证明材料复印件、项目实施人员劳动合同复印件或事业单位编制证明复印件。</w:t>
            </w:r>
          </w:p>
          <w:p w14:paraId="1F61000A">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“▲”是指不能负偏离的条款。</w:t>
            </w:r>
          </w:p>
        </w:tc>
      </w:tr>
      <w:tr w14:paraId="5F418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jc w:val="center"/>
        </w:trPr>
        <w:tc>
          <w:tcPr>
            <w:tcW w:w="8805" w:type="dxa"/>
            <w:gridSpan w:val="6"/>
            <w:tcBorders>
              <w:top w:val="single" w:color="000000" w:sz="2" w:space="0"/>
              <w:left w:val="single" w:color="000000" w:sz="2" w:space="0"/>
              <w:bottom w:val="single" w:color="000000" w:sz="2" w:space="0"/>
              <w:right w:val="single" w:color="000000" w:sz="2" w:space="0"/>
            </w:tcBorders>
            <w:noWrap w:val="0"/>
            <w:vAlign w:val="center"/>
          </w:tcPr>
          <w:p w14:paraId="54E6CA0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二</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商务要求</w:t>
            </w:r>
          </w:p>
        </w:tc>
      </w:tr>
      <w:tr w14:paraId="0BED0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609F9BBF">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序号</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C60ED9A">
            <w:pPr>
              <w:spacing w:line="4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要求内容</w:t>
            </w:r>
          </w:p>
        </w:tc>
      </w:tr>
      <w:tr w14:paraId="709B0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31086B92">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（一）</w:t>
            </w:r>
            <w:r>
              <w:rPr>
                <w:rFonts w:hint="default" w:ascii="宋体" w:hAnsi="宋体" w:eastAsia="宋体" w:cs="宋体"/>
                <w:color w:val="auto"/>
                <w:szCs w:val="21"/>
                <w:highlight w:val="none"/>
              </w:rPr>
              <w:t>合同签订</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8D630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自中标通知书发出之日起</w:t>
            </w:r>
            <w:r>
              <w:rPr>
                <w:rFonts w:hint="eastAsia"/>
                <w:color w:val="auto"/>
                <w:sz w:val="21"/>
                <w:szCs w:val="21"/>
                <w:highlight w:val="none"/>
                <w:lang w:val="en-US" w:eastAsia="zh-CN"/>
              </w:rPr>
              <w:t>25</w:t>
            </w:r>
            <w:r>
              <w:rPr>
                <w:rFonts w:hint="default"/>
                <w:color w:val="auto"/>
                <w:sz w:val="21"/>
                <w:szCs w:val="21"/>
                <w:highlight w:val="none"/>
              </w:rPr>
              <w:t>日内。</w:t>
            </w:r>
          </w:p>
        </w:tc>
      </w:tr>
      <w:tr w14:paraId="189C4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31FBA7FE">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（二）</w:t>
            </w:r>
            <w:r>
              <w:rPr>
                <w:rFonts w:hint="default" w:ascii="宋体" w:hAnsi="宋体" w:eastAsia="宋体" w:cs="宋体"/>
                <w:color w:val="auto"/>
                <w:szCs w:val="21"/>
                <w:highlight w:val="none"/>
              </w:rPr>
              <w:t>服务标准</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3D8B48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符合现行国家相关标准、行业标准、地方标准及本项目要求。</w:t>
            </w:r>
          </w:p>
        </w:tc>
      </w:tr>
      <w:tr w14:paraId="1CAB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54BCA2EC">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（三）</w:t>
            </w:r>
            <w:r>
              <w:rPr>
                <w:rFonts w:hint="default" w:ascii="宋体" w:hAnsi="宋体" w:eastAsia="宋体" w:cs="宋体"/>
                <w:color w:val="auto"/>
                <w:szCs w:val="21"/>
                <w:highlight w:val="none"/>
              </w:rPr>
              <w:t>交付时间</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0E0BAC4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default"/>
                <w:color w:val="auto"/>
                <w:sz w:val="21"/>
                <w:szCs w:val="21"/>
                <w:highlight w:val="none"/>
              </w:rPr>
              <w:t>所有服务和成果提交时间在</w:t>
            </w:r>
            <w:r>
              <w:rPr>
                <w:rFonts w:hint="default"/>
                <w:color w:val="auto"/>
                <w:sz w:val="21"/>
                <w:szCs w:val="21"/>
                <w:highlight w:val="none"/>
                <w:lang w:eastAsia="zh-CN"/>
              </w:rPr>
              <w:t>202</w:t>
            </w:r>
            <w:r>
              <w:rPr>
                <w:rFonts w:hint="default"/>
                <w:color w:val="auto"/>
                <w:sz w:val="21"/>
                <w:szCs w:val="21"/>
                <w:highlight w:val="none"/>
                <w:lang w:val="en-US" w:eastAsia="zh-CN"/>
              </w:rPr>
              <w:t>6</w:t>
            </w:r>
            <w:r>
              <w:rPr>
                <w:rFonts w:hint="default"/>
                <w:color w:val="auto"/>
                <w:sz w:val="21"/>
                <w:szCs w:val="21"/>
                <w:highlight w:val="none"/>
                <w:lang w:eastAsia="zh-CN"/>
              </w:rPr>
              <w:t>年</w:t>
            </w:r>
            <w:r>
              <w:rPr>
                <w:rFonts w:hint="default"/>
                <w:color w:val="auto"/>
                <w:sz w:val="21"/>
                <w:szCs w:val="21"/>
                <w:highlight w:val="none"/>
                <w:lang w:val="en-US" w:eastAsia="zh-CN"/>
              </w:rPr>
              <w:t>11</w:t>
            </w:r>
            <w:r>
              <w:rPr>
                <w:rFonts w:hint="default"/>
                <w:color w:val="auto"/>
                <w:sz w:val="21"/>
                <w:szCs w:val="21"/>
                <w:highlight w:val="none"/>
                <w:lang w:eastAsia="zh-CN"/>
              </w:rPr>
              <w:t>月</w:t>
            </w:r>
            <w:r>
              <w:rPr>
                <w:rFonts w:hint="default"/>
                <w:color w:val="auto"/>
                <w:sz w:val="21"/>
                <w:szCs w:val="21"/>
                <w:highlight w:val="none"/>
                <w:lang w:val="en-US" w:eastAsia="zh-CN"/>
              </w:rPr>
              <w:t>15</w:t>
            </w:r>
            <w:r>
              <w:rPr>
                <w:rFonts w:hint="default"/>
                <w:color w:val="auto"/>
                <w:sz w:val="21"/>
                <w:szCs w:val="21"/>
                <w:highlight w:val="none"/>
              </w:rPr>
              <w:t>日前。</w:t>
            </w:r>
          </w:p>
        </w:tc>
      </w:tr>
      <w:tr w14:paraId="01576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05C253FF">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（四）</w:t>
            </w:r>
            <w:r>
              <w:rPr>
                <w:rFonts w:hint="default" w:ascii="宋体" w:hAnsi="宋体" w:eastAsia="宋体" w:cs="宋体"/>
                <w:color w:val="auto"/>
                <w:szCs w:val="21"/>
                <w:highlight w:val="none"/>
              </w:rPr>
              <w:t>交付地点</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44B3D0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1"/>
                <w:szCs w:val="21"/>
                <w:highlight w:val="none"/>
              </w:rPr>
            </w:pPr>
            <w:r>
              <w:rPr>
                <w:rFonts w:hint="eastAsia"/>
                <w:color w:val="auto"/>
                <w:sz w:val="21"/>
                <w:szCs w:val="21"/>
                <w:highlight w:val="none"/>
                <w:lang w:val="en-US" w:eastAsia="zh-CN"/>
              </w:rPr>
              <w:t>采购人指定点（</w:t>
            </w:r>
            <w:r>
              <w:rPr>
                <w:rFonts w:hint="default"/>
                <w:color w:val="auto"/>
                <w:sz w:val="21"/>
                <w:szCs w:val="21"/>
                <w:highlight w:val="none"/>
              </w:rPr>
              <w:t>南宁市佛子岭路16号</w:t>
            </w:r>
            <w:r>
              <w:rPr>
                <w:rFonts w:hint="eastAsia"/>
                <w:color w:val="auto"/>
                <w:sz w:val="21"/>
                <w:szCs w:val="21"/>
                <w:highlight w:val="none"/>
                <w:lang w:val="en-US" w:eastAsia="zh-CN"/>
              </w:rPr>
              <w:t>）</w:t>
            </w:r>
          </w:p>
        </w:tc>
      </w:tr>
      <w:tr w14:paraId="0BD49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4261C6E1">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（五）</w:t>
            </w:r>
            <w:r>
              <w:rPr>
                <w:rFonts w:hint="default" w:ascii="宋体" w:hAnsi="宋体" w:eastAsia="宋体" w:cs="宋体"/>
                <w:color w:val="auto"/>
                <w:szCs w:val="21"/>
                <w:highlight w:val="none"/>
              </w:rPr>
              <w:t>付款方式</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0C09EC1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w:t>
            </w:r>
            <w:r>
              <w:rPr>
                <w:rFonts w:hint="eastAsia"/>
                <w:color w:val="auto"/>
                <w:sz w:val="21"/>
                <w:szCs w:val="21"/>
                <w:highlight w:val="none"/>
              </w:rPr>
              <w:t>合同生效之日起10个工作日内，</w:t>
            </w:r>
            <w:r>
              <w:rPr>
                <w:rFonts w:hint="eastAsia"/>
                <w:color w:val="auto"/>
                <w:sz w:val="21"/>
                <w:szCs w:val="21"/>
                <w:highlight w:val="none"/>
                <w:lang w:val="en-US" w:eastAsia="zh-CN"/>
              </w:rPr>
              <w:t>采购人</w:t>
            </w:r>
            <w:r>
              <w:rPr>
                <w:rFonts w:hint="eastAsia"/>
                <w:color w:val="auto"/>
                <w:sz w:val="21"/>
                <w:szCs w:val="21"/>
                <w:highlight w:val="none"/>
              </w:rPr>
              <w:t>向</w:t>
            </w:r>
            <w:r>
              <w:rPr>
                <w:rFonts w:hint="eastAsia"/>
                <w:color w:val="auto"/>
                <w:sz w:val="21"/>
                <w:szCs w:val="21"/>
                <w:highlight w:val="none"/>
                <w:lang w:eastAsia="zh-CN"/>
              </w:rPr>
              <w:t>中标人</w:t>
            </w:r>
            <w:r>
              <w:rPr>
                <w:rFonts w:hint="eastAsia"/>
                <w:color w:val="auto"/>
                <w:sz w:val="21"/>
                <w:szCs w:val="21"/>
                <w:highlight w:val="none"/>
              </w:rPr>
              <w:t>支付合同合计金额</w:t>
            </w:r>
            <w:r>
              <w:rPr>
                <w:rFonts w:hint="eastAsia"/>
                <w:color w:val="auto"/>
                <w:sz w:val="21"/>
                <w:szCs w:val="21"/>
                <w:highlight w:val="none"/>
                <w:lang w:val="en-US" w:eastAsia="zh-CN"/>
              </w:rPr>
              <w:t>30</w:t>
            </w:r>
            <w:r>
              <w:rPr>
                <w:rFonts w:hint="eastAsia"/>
                <w:color w:val="auto"/>
                <w:sz w:val="21"/>
                <w:szCs w:val="21"/>
                <w:highlight w:val="none"/>
              </w:rPr>
              <w:t>%的合同款；</w:t>
            </w:r>
          </w:p>
          <w:p w14:paraId="559737D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rPr>
              <w:t>2</w:t>
            </w:r>
            <w:r>
              <w:rPr>
                <w:rFonts w:hint="eastAsia"/>
                <w:color w:val="auto"/>
                <w:sz w:val="21"/>
                <w:szCs w:val="21"/>
                <w:highlight w:val="none"/>
                <w:lang w:val="en-US" w:eastAsia="zh-CN"/>
              </w:rPr>
              <w:t>.</w:t>
            </w:r>
            <w:r>
              <w:rPr>
                <w:rFonts w:hint="eastAsia"/>
                <w:color w:val="auto"/>
                <w:sz w:val="21"/>
                <w:szCs w:val="21"/>
                <w:highlight w:val="none"/>
                <w:lang w:eastAsia="zh-CN"/>
              </w:rPr>
              <w:t>中标人</w:t>
            </w:r>
            <w:r>
              <w:rPr>
                <w:rFonts w:hint="eastAsia"/>
                <w:color w:val="auto"/>
                <w:sz w:val="21"/>
                <w:szCs w:val="21"/>
                <w:highlight w:val="none"/>
              </w:rPr>
              <w:t>按照采购需求</w:t>
            </w:r>
            <w:r>
              <w:rPr>
                <w:rFonts w:hint="eastAsia"/>
                <w:color w:val="auto"/>
                <w:sz w:val="21"/>
                <w:szCs w:val="21"/>
                <w:highlight w:val="none"/>
                <w:lang w:val="en-US" w:eastAsia="zh-CN"/>
              </w:rPr>
              <w:t>完成437家</w:t>
            </w:r>
            <w:r>
              <w:rPr>
                <w:rFonts w:hint="eastAsia"/>
                <w:color w:val="auto"/>
                <w:sz w:val="21"/>
                <w:szCs w:val="21"/>
                <w:highlight w:val="none"/>
              </w:rPr>
              <w:t>涉锑铊企业</w:t>
            </w:r>
            <w:r>
              <w:rPr>
                <w:rFonts w:hint="eastAsia"/>
                <w:color w:val="auto"/>
                <w:sz w:val="21"/>
                <w:szCs w:val="21"/>
                <w:highlight w:val="none"/>
                <w:lang w:val="en-US" w:eastAsia="zh-CN"/>
              </w:rPr>
              <w:t>的</w:t>
            </w:r>
            <w:r>
              <w:rPr>
                <w:rFonts w:hint="eastAsia"/>
                <w:color w:val="auto"/>
                <w:sz w:val="21"/>
                <w:szCs w:val="21"/>
                <w:highlight w:val="none"/>
              </w:rPr>
              <w:t>基础信息调查</w:t>
            </w:r>
            <w:r>
              <w:rPr>
                <w:rFonts w:hint="eastAsia"/>
                <w:color w:val="auto"/>
                <w:sz w:val="21"/>
                <w:szCs w:val="21"/>
                <w:highlight w:val="none"/>
                <w:lang w:val="en-US" w:eastAsia="zh-CN"/>
              </w:rPr>
              <w:t>工作，</w:t>
            </w:r>
            <w:r>
              <w:rPr>
                <w:rFonts w:hint="eastAsia"/>
                <w:color w:val="auto"/>
                <w:sz w:val="21"/>
                <w:szCs w:val="21"/>
                <w:highlight w:val="none"/>
              </w:rPr>
              <w:t>提交</w:t>
            </w:r>
            <w:r>
              <w:rPr>
                <w:rFonts w:hint="eastAsia"/>
                <w:color w:val="auto"/>
                <w:sz w:val="21"/>
                <w:szCs w:val="21"/>
                <w:highlight w:val="none"/>
                <w:lang w:val="en-US" w:eastAsia="zh-CN"/>
              </w:rPr>
              <w:t>437家</w:t>
            </w:r>
            <w:r>
              <w:rPr>
                <w:rFonts w:hint="eastAsia"/>
                <w:color w:val="auto"/>
                <w:sz w:val="21"/>
                <w:szCs w:val="21"/>
                <w:highlight w:val="none"/>
              </w:rPr>
              <w:t>涉锑铊企业标准化台账</w:t>
            </w:r>
            <w:r>
              <w:rPr>
                <w:rFonts w:hint="eastAsia"/>
                <w:color w:val="auto"/>
                <w:sz w:val="21"/>
                <w:szCs w:val="21"/>
                <w:highlight w:val="none"/>
                <w:lang w:eastAsia="zh-CN"/>
              </w:rPr>
              <w:t>材料</w:t>
            </w:r>
            <w:r>
              <w:rPr>
                <w:rFonts w:hint="eastAsia"/>
                <w:color w:val="auto"/>
                <w:sz w:val="21"/>
                <w:szCs w:val="21"/>
                <w:highlight w:val="none"/>
              </w:rPr>
              <w:t>，并经</w:t>
            </w:r>
            <w:r>
              <w:rPr>
                <w:rFonts w:hint="eastAsia"/>
                <w:color w:val="auto"/>
                <w:sz w:val="21"/>
                <w:szCs w:val="21"/>
                <w:highlight w:val="none"/>
                <w:lang w:val="en-US" w:eastAsia="zh-CN"/>
              </w:rPr>
              <w:t>采购人</w:t>
            </w:r>
            <w:r>
              <w:rPr>
                <w:rFonts w:hint="eastAsia"/>
                <w:color w:val="auto"/>
                <w:sz w:val="21"/>
                <w:szCs w:val="21"/>
                <w:highlight w:val="none"/>
              </w:rPr>
              <w:t>确认合格后，</w:t>
            </w:r>
            <w:r>
              <w:rPr>
                <w:rFonts w:hint="eastAsia"/>
                <w:color w:val="auto"/>
                <w:sz w:val="21"/>
                <w:szCs w:val="21"/>
                <w:highlight w:val="none"/>
                <w:lang w:val="en-US" w:eastAsia="zh-CN"/>
              </w:rPr>
              <w:t>采购人</w:t>
            </w:r>
            <w:r>
              <w:rPr>
                <w:rFonts w:hint="eastAsia"/>
                <w:color w:val="auto"/>
                <w:sz w:val="21"/>
                <w:szCs w:val="21"/>
                <w:highlight w:val="none"/>
              </w:rPr>
              <w:t>于10个工作日内向</w:t>
            </w:r>
            <w:r>
              <w:rPr>
                <w:rFonts w:hint="eastAsia"/>
                <w:color w:val="auto"/>
                <w:sz w:val="21"/>
                <w:szCs w:val="21"/>
                <w:highlight w:val="none"/>
                <w:lang w:eastAsia="zh-CN"/>
              </w:rPr>
              <w:t>中标人</w:t>
            </w:r>
            <w:r>
              <w:rPr>
                <w:rFonts w:hint="eastAsia"/>
                <w:color w:val="auto"/>
                <w:sz w:val="21"/>
                <w:szCs w:val="21"/>
                <w:highlight w:val="none"/>
              </w:rPr>
              <w:t>支付合同合计金额</w:t>
            </w:r>
            <w:r>
              <w:rPr>
                <w:rFonts w:hint="eastAsia"/>
                <w:color w:val="auto"/>
                <w:sz w:val="21"/>
                <w:szCs w:val="21"/>
                <w:highlight w:val="none"/>
                <w:lang w:val="en-US" w:eastAsia="zh-CN"/>
              </w:rPr>
              <w:t>50</w:t>
            </w:r>
            <w:r>
              <w:rPr>
                <w:rFonts w:hint="eastAsia"/>
                <w:color w:val="auto"/>
                <w:sz w:val="21"/>
                <w:szCs w:val="21"/>
                <w:highlight w:val="none"/>
              </w:rPr>
              <w:t>%的合同款；</w:t>
            </w:r>
          </w:p>
          <w:p w14:paraId="29FF8C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rPr>
              <w:t>3</w:t>
            </w:r>
            <w:r>
              <w:rPr>
                <w:rFonts w:hint="eastAsia"/>
                <w:color w:val="auto"/>
                <w:sz w:val="21"/>
                <w:szCs w:val="21"/>
                <w:highlight w:val="none"/>
                <w:lang w:val="en-US" w:eastAsia="zh-CN"/>
              </w:rPr>
              <w:t>.</w:t>
            </w:r>
            <w:r>
              <w:rPr>
                <w:rFonts w:hint="eastAsia"/>
                <w:color w:val="auto"/>
                <w:sz w:val="21"/>
                <w:szCs w:val="21"/>
                <w:highlight w:val="none"/>
                <w:lang w:eastAsia="zh-CN"/>
              </w:rPr>
              <w:t>中标人</w:t>
            </w:r>
            <w:r>
              <w:rPr>
                <w:rFonts w:hint="eastAsia"/>
                <w:color w:val="auto"/>
                <w:sz w:val="21"/>
                <w:szCs w:val="21"/>
                <w:highlight w:val="none"/>
              </w:rPr>
              <w:t>完成所有服务并按照采购需求提交项目成果，经</w:t>
            </w:r>
            <w:r>
              <w:rPr>
                <w:rFonts w:hint="eastAsia"/>
                <w:color w:val="auto"/>
                <w:sz w:val="21"/>
                <w:szCs w:val="21"/>
                <w:highlight w:val="none"/>
                <w:lang w:val="en-US" w:eastAsia="zh-CN"/>
              </w:rPr>
              <w:t>采购人</w:t>
            </w:r>
            <w:r>
              <w:rPr>
                <w:rFonts w:hint="eastAsia"/>
                <w:color w:val="auto"/>
                <w:sz w:val="21"/>
                <w:szCs w:val="21"/>
                <w:highlight w:val="none"/>
              </w:rPr>
              <w:t>验收合格后，</w:t>
            </w:r>
            <w:r>
              <w:rPr>
                <w:rFonts w:hint="eastAsia"/>
                <w:color w:val="auto"/>
                <w:sz w:val="21"/>
                <w:szCs w:val="21"/>
                <w:highlight w:val="none"/>
                <w:lang w:val="en-US" w:eastAsia="zh-CN"/>
              </w:rPr>
              <w:t>采购人</w:t>
            </w:r>
            <w:r>
              <w:rPr>
                <w:rFonts w:hint="eastAsia"/>
                <w:color w:val="auto"/>
                <w:sz w:val="21"/>
                <w:szCs w:val="21"/>
                <w:highlight w:val="none"/>
              </w:rPr>
              <w:t>于10个工作日内支付剩余合同合计金额</w:t>
            </w:r>
            <w:r>
              <w:rPr>
                <w:rFonts w:hint="eastAsia"/>
                <w:color w:val="auto"/>
                <w:sz w:val="21"/>
                <w:szCs w:val="21"/>
                <w:highlight w:val="none"/>
                <w:lang w:val="en-US" w:eastAsia="zh-CN"/>
              </w:rPr>
              <w:t>20</w:t>
            </w:r>
            <w:r>
              <w:rPr>
                <w:rFonts w:hint="eastAsia"/>
                <w:color w:val="auto"/>
                <w:sz w:val="21"/>
                <w:szCs w:val="21"/>
                <w:highlight w:val="none"/>
              </w:rPr>
              <w:t>%的合同款；</w:t>
            </w:r>
          </w:p>
          <w:p w14:paraId="179541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rPr>
              <w:t>4</w:t>
            </w:r>
            <w:r>
              <w:rPr>
                <w:rFonts w:hint="eastAsia"/>
                <w:color w:val="auto"/>
                <w:sz w:val="21"/>
                <w:szCs w:val="21"/>
                <w:highlight w:val="none"/>
                <w:lang w:val="en-US" w:eastAsia="zh-CN"/>
              </w:rPr>
              <w:t>.质量不符合要求的、任务量达不到的应在采购人规定的时间内进行整改直至符合合同要求，无法整改的或超出整改时限的，则按照工作量扣减相应费用。</w:t>
            </w:r>
          </w:p>
        </w:tc>
      </w:tr>
      <w:tr w14:paraId="5B42E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793EAD7D">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lang w:eastAsia="zh-CN"/>
              </w:rPr>
              <w:t>（六）</w:t>
            </w:r>
            <w:r>
              <w:rPr>
                <w:rFonts w:hint="default" w:ascii="宋体" w:hAnsi="宋体" w:eastAsia="宋体" w:cs="宋体"/>
                <w:color w:val="auto"/>
                <w:szCs w:val="21"/>
                <w:highlight w:val="none"/>
              </w:rPr>
              <w:t>投标报价要求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282D3E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本项目按总包干报价，包括所有服务、技术支持、售后服务、差旅费、劳务费、样品采集和检测费、材料费、培训费、验收费、手续费、包装费、运输费、保险费和各项税金及由于市场价格波动增加的费用，以及不可预见费等全部费用。（采购人不再支付任何费用）；</w:t>
            </w:r>
          </w:p>
          <w:p w14:paraId="553807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eastAsia="宋体"/>
                <w:color w:val="auto"/>
                <w:sz w:val="21"/>
                <w:szCs w:val="21"/>
                <w:highlight w:val="none"/>
                <w:lang w:eastAsia="zh-CN"/>
              </w:rPr>
            </w:pPr>
            <w:r>
              <w:rPr>
                <w:rFonts w:hint="eastAsia"/>
                <w:color w:val="auto"/>
                <w:sz w:val="21"/>
                <w:szCs w:val="21"/>
                <w:highlight w:val="none"/>
              </w:rPr>
              <w:t>2</w:t>
            </w:r>
            <w:r>
              <w:rPr>
                <w:rFonts w:hint="eastAsia"/>
                <w:color w:val="auto"/>
                <w:sz w:val="21"/>
                <w:szCs w:val="21"/>
                <w:highlight w:val="none"/>
                <w:lang w:val="en-US" w:eastAsia="zh-CN"/>
              </w:rPr>
              <w:t>.</w:t>
            </w:r>
            <w:r>
              <w:rPr>
                <w:rFonts w:hint="eastAsia"/>
                <w:color w:val="auto"/>
                <w:sz w:val="21"/>
                <w:szCs w:val="21"/>
                <w:highlight w:val="none"/>
              </w:rPr>
              <w:t>为了确保采购质量和维护公平的竞争，根据《中华人民共和国政府采购法》第七十七条和《中华人民共和国反不正当竞争法》第十一条，经营者不得以排挤对手为目的，以低于成本的价格销售商品（服务）。采购人不能接受投标人的恶意低价的竞争。</w:t>
            </w:r>
            <w:r>
              <w:rPr>
                <w:rFonts w:hint="eastAsia" w:ascii="宋体" w:hAnsi="宋体" w:cs="宋体"/>
                <w:b w:val="0"/>
                <w:bCs/>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r>
              <w:rPr>
                <w:rFonts w:hint="eastAsia"/>
                <w:bCs/>
                <w:color w:val="auto"/>
                <w:sz w:val="21"/>
                <w:szCs w:val="21"/>
                <w:highlight w:val="none"/>
                <w:lang w:eastAsia="zh-CN"/>
              </w:rPr>
              <w:t>。</w:t>
            </w:r>
          </w:p>
        </w:tc>
      </w:tr>
      <w:tr w14:paraId="2DF51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633CC96B">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（七）履约保证金</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6408367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1"/>
                <w:szCs w:val="21"/>
                <w:highlight w:val="none"/>
              </w:rPr>
            </w:pPr>
            <w:r>
              <w:rPr>
                <w:rFonts w:hint="default"/>
                <w:color w:val="auto"/>
                <w:sz w:val="21"/>
                <w:szCs w:val="21"/>
                <w:highlight w:val="none"/>
              </w:rPr>
              <w:t>本项目收取履约保证金，具体规定如下：</w:t>
            </w:r>
          </w:p>
          <w:p w14:paraId="60467C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1.履约保证金金额：按</w:t>
            </w:r>
            <w:r>
              <w:rPr>
                <w:rFonts w:hint="eastAsia"/>
                <w:color w:val="auto"/>
                <w:sz w:val="21"/>
                <w:szCs w:val="21"/>
                <w:highlight w:val="none"/>
                <w:lang w:val="en-US" w:eastAsia="zh-CN"/>
              </w:rPr>
              <w:t>中标</w:t>
            </w:r>
            <w:r>
              <w:rPr>
                <w:rFonts w:hint="default"/>
                <w:color w:val="auto"/>
                <w:sz w:val="21"/>
                <w:szCs w:val="21"/>
                <w:highlight w:val="none"/>
                <w:lang w:val="en-US" w:eastAsia="zh-CN"/>
              </w:rPr>
              <w:t>金额的2%。</w:t>
            </w:r>
          </w:p>
          <w:p w14:paraId="4BAAA13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2.履约保证金缴纳方式：</w:t>
            </w:r>
            <w:r>
              <w:rPr>
                <w:rFonts w:hint="eastAsia"/>
                <w:color w:val="auto"/>
                <w:sz w:val="21"/>
                <w:szCs w:val="21"/>
                <w:highlight w:val="none"/>
                <w:lang w:val="en-US" w:eastAsia="zh-CN"/>
              </w:rPr>
              <w:t>中标人</w:t>
            </w:r>
            <w:r>
              <w:rPr>
                <w:rFonts w:hint="default"/>
                <w:color w:val="auto"/>
                <w:sz w:val="21"/>
                <w:szCs w:val="21"/>
                <w:highlight w:val="none"/>
              </w:rPr>
              <w:t>须于签订合同后</w:t>
            </w:r>
            <w:r>
              <w:rPr>
                <w:rFonts w:hint="eastAsia"/>
                <w:color w:val="auto"/>
                <w:sz w:val="21"/>
                <w:szCs w:val="21"/>
                <w:highlight w:val="none"/>
                <w:lang w:eastAsia="zh-CN"/>
              </w:rPr>
              <w:t>1</w:t>
            </w:r>
            <w:r>
              <w:rPr>
                <w:rFonts w:hint="eastAsia"/>
                <w:color w:val="auto"/>
                <w:sz w:val="21"/>
                <w:szCs w:val="21"/>
                <w:highlight w:val="none"/>
                <w:lang w:val="en-US" w:eastAsia="zh-CN"/>
              </w:rPr>
              <w:t>0</w:t>
            </w:r>
            <w:r>
              <w:rPr>
                <w:rFonts w:hint="default"/>
                <w:color w:val="auto"/>
                <w:sz w:val="21"/>
                <w:szCs w:val="21"/>
                <w:highlight w:val="none"/>
              </w:rPr>
              <w:t>个工作日内将履约保证金递交到采购人指定账户。递交方式：银行转账、支票、汇票、本票或者金融机构出具的保函等非现金方式</w:t>
            </w:r>
            <w:r>
              <w:rPr>
                <w:rFonts w:hint="default"/>
                <w:color w:val="auto"/>
                <w:sz w:val="21"/>
                <w:szCs w:val="21"/>
                <w:highlight w:val="none"/>
                <w:lang w:eastAsia="zh-CN"/>
              </w:rPr>
              <w:t>，</w:t>
            </w:r>
            <w:r>
              <w:rPr>
                <w:rFonts w:hint="default"/>
                <w:color w:val="auto"/>
                <w:sz w:val="21"/>
                <w:szCs w:val="21"/>
                <w:highlight w:val="none"/>
                <w:lang w:val="en-US" w:eastAsia="zh-CN"/>
              </w:rPr>
              <w:t>转账时请备注“项目名称（可简写）+履约保证金”。</w:t>
            </w:r>
          </w:p>
          <w:p w14:paraId="343F68B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default"/>
                <w:color w:val="auto"/>
                <w:sz w:val="21"/>
                <w:szCs w:val="21"/>
                <w:highlight w:val="none"/>
                <w:lang w:val="en-US" w:eastAsia="zh-CN"/>
              </w:rPr>
              <w:t>3.履约保证金退付：在本项目服务期限内完成约定工作任务后，由</w:t>
            </w:r>
            <w:r>
              <w:rPr>
                <w:rFonts w:hint="eastAsia"/>
                <w:color w:val="auto"/>
                <w:sz w:val="21"/>
                <w:szCs w:val="21"/>
                <w:highlight w:val="none"/>
                <w:lang w:val="en-US" w:eastAsia="zh-CN"/>
              </w:rPr>
              <w:t>中标人</w:t>
            </w:r>
            <w:r>
              <w:rPr>
                <w:rFonts w:hint="default"/>
                <w:color w:val="auto"/>
                <w:sz w:val="21"/>
                <w:szCs w:val="21"/>
                <w:highlight w:val="none"/>
                <w:lang w:val="en-US" w:eastAsia="zh-CN"/>
              </w:rPr>
              <w:t>向采购人提供《广西壮族自治区政府采购项目合同验收书》</w:t>
            </w:r>
            <w:r>
              <w:rPr>
                <w:rFonts w:hint="eastAsia" w:ascii="宋体" w:hAnsi="宋体" w:cs="宋体"/>
                <w:color w:val="auto"/>
                <w:sz w:val="21"/>
                <w:szCs w:val="21"/>
                <w:lang w:eastAsia="zh-CN"/>
              </w:rPr>
              <w:t>、履约保证金退付函和乙方履约保证金支付凭证</w:t>
            </w:r>
            <w:r>
              <w:rPr>
                <w:rFonts w:hint="default"/>
                <w:color w:val="auto"/>
                <w:sz w:val="21"/>
                <w:szCs w:val="21"/>
                <w:highlight w:val="none"/>
                <w:lang w:val="en-US" w:eastAsia="zh-CN"/>
              </w:rPr>
              <w:t>，采购人在验收合格并出具验收书后</w:t>
            </w:r>
            <w:r>
              <w:rPr>
                <w:rFonts w:hint="eastAsia"/>
                <w:color w:val="auto"/>
                <w:sz w:val="21"/>
                <w:szCs w:val="21"/>
                <w:highlight w:val="none"/>
                <w:lang w:val="en-US" w:eastAsia="zh-CN"/>
              </w:rPr>
              <w:t>5</w:t>
            </w:r>
            <w:r>
              <w:rPr>
                <w:rFonts w:hint="default"/>
                <w:color w:val="auto"/>
                <w:sz w:val="21"/>
                <w:szCs w:val="21"/>
                <w:highlight w:val="none"/>
              </w:rPr>
              <w:t>个工作日内</w:t>
            </w:r>
            <w:r>
              <w:rPr>
                <w:rFonts w:hint="default"/>
                <w:color w:val="auto"/>
                <w:sz w:val="21"/>
                <w:szCs w:val="21"/>
                <w:highlight w:val="none"/>
                <w:lang w:val="en-US" w:eastAsia="zh-CN"/>
              </w:rPr>
              <w:t>办理退还手续（不计利息）。</w:t>
            </w:r>
          </w:p>
        </w:tc>
      </w:tr>
      <w:tr w14:paraId="7D4C1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991" w:type="dxa"/>
            <w:gridSpan w:val="3"/>
            <w:tcBorders>
              <w:top w:val="single" w:color="000000" w:sz="2" w:space="0"/>
              <w:left w:val="single" w:color="000000" w:sz="2" w:space="0"/>
              <w:bottom w:val="single" w:color="000000" w:sz="2" w:space="0"/>
              <w:right w:val="single" w:color="000000" w:sz="2" w:space="0"/>
            </w:tcBorders>
            <w:noWrap w:val="0"/>
            <w:vAlign w:val="center"/>
          </w:tcPr>
          <w:p w14:paraId="5348267B">
            <w:pPr>
              <w:keepNext w:val="0"/>
              <w:keepLines w:val="0"/>
              <w:pageBreakBefore w:val="0"/>
              <w:widowControl w:val="0"/>
              <w:tabs>
                <w:tab w:val="left" w:pos="180"/>
                <w:tab w:val="left" w:pos="1620"/>
              </w:tabs>
              <w:kinsoku/>
              <w:wordWrap/>
              <w:overflowPunct/>
              <w:topLinePunct w:val="0"/>
              <w:autoSpaceDE/>
              <w:autoSpaceDN/>
              <w:bidi w:val="0"/>
              <w:adjustRightInd/>
              <w:snapToGrid/>
              <w:spacing w:before="168" w:beforeLines="70" w:line="400" w:lineRule="exact"/>
              <w:jc w:val="center"/>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rPr>
              <w:t>（</w:t>
            </w:r>
            <w:r>
              <w:rPr>
                <w:rFonts w:hint="eastAsia" w:ascii="宋体" w:hAnsi="宋体" w:eastAsia="宋体" w:cs="宋体"/>
                <w:color w:val="auto"/>
                <w:szCs w:val="21"/>
                <w:highlight w:val="none"/>
                <w:lang w:eastAsia="zh-CN"/>
              </w:rPr>
              <w:t>八</w:t>
            </w:r>
            <w:r>
              <w:rPr>
                <w:rFonts w:hint="default" w:ascii="宋体" w:hAnsi="宋体" w:eastAsia="宋体" w:cs="宋体"/>
                <w:color w:val="auto"/>
                <w:szCs w:val="21"/>
                <w:highlight w:val="none"/>
              </w:rPr>
              <w:t>）其他要求</w:t>
            </w:r>
          </w:p>
        </w:tc>
        <w:tc>
          <w:tcPr>
            <w:tcW w:w="6814" w:type="dxa"/>
            <w:gridSpan w:val="3"/>
            <w:tcBorders>
              <w:top w:val="single" w:color="000000" w:sz="2" w:space="0"/>
              <w:left w:val="single" w:color="000000" w:sz="2" w:space="0"/>
              <w:bottom w:val="single" w:color="000000" w:sz="2" w:space="0"/>
              <w:right w:val="single" w:color="000000" w:sz="2" w:space="0"/>
            </w:tcBorders>
            <w:noWrap w:val="0"/>
            <w:vAlign w:val="center"/>
          </w:tcPr>
          <w:p w14:paraId="002E423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因本项目需求需根据</w:t>
            </w:r>
            <w:r>
              <w:rPr>
                <w:rFonts w:hint="eastAsia"/>
                <w:color w:val="auto"/>
                <w:sz w:val="21"/>
                <w:szCs w:val="21"/>
                <w:highlight w:val="none"/>
                <w:lang w:eastAsia="zh-CN"/>
              </w:rPr>
              <w:t>国家相关要求开展</w:t>
            </w:r>
            <w:r>
              <w:rPr>
                <w:rFonts w:hint="eastAsia"/>
                <w:color w:val="auto"/>
                <w:sz w:val="21"/>
                <w:szCs w:val="21"/>
                <w:highlight w:val="none"/>
              </w:rPr>
              <w:t>，最终</w:t>
            </w:r>
            <w:r>
              <w:rPr>
                <w:rFonts w:hint="eastAsia"/>
                <w:color w:val="auto"/>
                <w:sz w:val="21"/>
                <w:szCs w:val="21"/>
                <w:highlight w:val="none"/>
                <w:lang w:eastAsia="zh-CN"/>
              </w:rPr>
              <w:t>开展工作内容需根据国家最新工作要求</w:t>
            </w:r>
            <w:r>
              <w:rPr>
                <w:rFonts w:hint="eastAsia"/>
                <w:color w:val="auto"/>
                <w:sz w:val="21"/>
                <w:szCs w:val="21"/>
                <w:highlight w:val="none"/>
              </w:rPr>
              <w:t>进行调整确定，投标人必须按照采购人要求配合作业、验收及结算等全部工作；</w:t>
            </w:r>
          </w:p>
          <w:p w14:paraId="31C679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拟投入本项目的人员均是投标人在职在岗正式员工（非退休）；</w:t>
            </w:r>
          </w:p>
          <w:p w14:paraId="14FE00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如果投标人队伍发生重大变更导致无法按要求开展项目任务或者发生重大责任事故的，采购人有权终止委托；</w:t>
            </w:r>
          </w:p>
          <w:p w14:paraId="622C2F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4.</w:t>
            </w:r>
            <w:r>
              <w:rPr>
                <w:rFonts w:hint="eastAsia"/>
                <w:color w:val="auto"/>
                <w:sz w:val="21"/>
                <w:szCs w:val="21"/>
                <w:highlight w:val="none"/>
              </w:rPr>
              <w:t>本项目不得转包、分包；</w:t>
            </w:r>
          </w:p>
          <w:p w14:paraId="643A834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数据资料归属及保密：本项目所形成的数据和报告归采购人所有。未经采购人授权，不得将数据和报告提供给任何第三方。</w:t>
            </w:r>
          </w:p>
          <w:p w14:paraId="2A2D89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sz w:val="21"/>
                <w:szCs w:val="21"/>
                <w:highlight w:val="none"/>
              </w:rPr>
            </w:pPr>
            <w:r>
              <w:rPr>
                <w:rFonts w:hint="eastAsia"/>
                <w:color w:val="auto"/>
                <w:sz w:val="21"/>
                <w:szCs w:val="21"/>
                <w:highlight w:val="none"/>
              </w:rPr>
              <w:t>注：</w:t>
            </w:r>
            <w:r>
              <w:rPr>
                <w:rFonts w:hint="eastAsia"/>
                <w:color w:val="auto"/>
                <w:sz w:val="21"/>
                <w:szCs w:val="21"/>
                <w:highlight w:val="none"/>
                <w:lang w:eastAsia="zh-CN"/>
              </w:rPr>
              <w:t>“</w:t>
            </w:r>
            <w:r>
              <w:rPr>
                <w:rFonts w:hint="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rPr>
              <w:t>是指不能负偏离的条款。</w:t>
            </w:r>
          </w:p>
        </w:tc>
      </w:tr>
    </w:tbl>
    <w:p w14:paraId="00B99B3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highlight w:val="none"/>
        </w:rPr>
      </w:pPr>
      <w:r>
        <w:rPr>
          <w:rFonts w:ascii="Calibri" w:hAnsi="Calibri"/>
          <w:color w:val="auto"/>
          <w:szCs w:val="22"/>
          <w:highlight w:val="none"/>
        </w:rPr>
        <w:br w:type="page"/>
      </w:r>
      <w:r>
        <w:rPr>
          <w:rFonts w:hint="eastAsia" w:ascii="宋体" w:hAnsi="宋体" w:cs="宋体"/>
          <w:b/>
          <w:bCs/>
          <w:color w:val="auto"/>
          <w:sz w:val="40"/>
          <w:szCs w:val="48"/>
          <w:highlight w:val="none"/>
        </w:rPr>
        <w:t>附件：</w:t>
      </w:r>
    </w:p>
    <w:p w14:paraId="5D18DED6">
      <w:pPr>
        <w:spacing w:line="528" w:lineRule="exact"/>
        <w:ind w:left="11" w:hanging="11"/>
        <w:jc w:val="center"/>
        <w:rPr>
          <w:rFonts w:hint="eastAsia"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38"/>
        <w:tblW w:w="8969" w:type="dxa"/>
        <w:jc w:val="center"/>
        <w:tblLayout w:type="fixed"/>
        <w:tblCellMar>
          <w:top w:w="0" w:type="dxa"/>
          <w:left w:w="108" w:type="dxa"/>
          <w:bottom w:w="0" w:type="dxa"/>
          <w:right w:w="108" w:type="dxa"/>
        </w:tblCellMar>
      </w:tblPr>
      <w:tblGrid>
        <w:gridCol w:w="1690"/>
        <w:gridCol w:w="1642"/>
        <w:gridCol w:w="1084"/>
        <w:gridCol w:w="1923"/>
        <w:gridCol w:w="1709"/>
        <w:gridCol w:w="921"/>
      </w:tblGrid>
      <w:tr w14:paraId="18C35FFB">
        <w:trPr>
          <w:trHeight w:val="661" w:hRule="atLeast"/>
          <w:jc w:val="center"/>
        </w:trPr>
        <w:tc>
          <w:tcPr>
            <w:tcW w:w="1690" w:type="dxa"/>
            <w:tcBorders>
              <w:top w:val="single" w:color="auto" w:sz="4" w:space="0"/>
              <w:left w:val="single" w:color="auto" w:sz="4" w:space="0"/>
              <w:bottom w:val="single" w:color="auto" w:sz="4" w:space="0"/>
              <w:right w:val="single" w:color="auto" w:sz="4" w:space="0"/>
            </w:tcBorders>
            <w:noWrap w:val="0"/>
            <w:vAlign w:val="center"/>
          </w:tcPr>
          <w:p w14:paraId="77960176">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642" w:type="dxa"/>
            <w:tcBorders>
              <w:top w:val="single" w:color="auto" w:sz="4" w:space="0"/>
              <w:left w:val="nil"/>
              <w:bottom w:val="single" w:color="auto" w:sz="4" w:space="0"/>
              <w:right w:val="single" w:color="auto" w:sz="4" w:space="0"/>
            </w:tcBorders>
            <w:noWrap w:val="0"/>
            <w:vAlign w:val="center"/>
          </w:tcPr>
          <w:p w14:paraId="197A3201">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1084" w:type="dxa"/>
            <w:tcBorders>
              <w:top w:val="single" w:color="auto" w:sz="4" w:space="0"/>
              <w:left w:val="nil"/>
              <w:bottom w:val="single" w:color="auto" w:sz="4" w:space="0"/>
              <w:right w:val="single" w:color="auto" w:sz="4" w:space="0"/>
            </w:tcBorders>
            <w:noWrap w:val="0"/>
            <w:vAlign w:val="center"/>
          </w:tcPr>
          <w:p w14:paraId="65B83D72">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923" w:type="dxa"/>
            <w:tcBorders>
              <w:top w:val="single" w:color="auto" w:sz="4" w:space="0"/>
              <w:left w:val="nil"/>
              <w:bottom w:val="single" w:color="auto" w:sz="4" w:space="0"/>
              <w:right w:val="single" w:color="auto" w:sz="4" w:space="0"/>
            </w:tcBorders>
            <w:noWrap w:val="0"/>
            <w:vAlign w:val="center"/>
          </w:tcPr>
          <w:p w14:paraId="0A1F74C0">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07DF754C">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921" w:type="dxa"/>
            <w:tcBorders>
              <w:top w:val="single" w:color="auto" w:sz="4" w:space="0"/>
              <w:left w:val="nil"/>
              <w:bottom w:val="single" w:color="auto" w:sz="4" w:space="0"/>
              <w:right w:val="single" w:color="auto" w:sz="4" w:space="0"/>
            </w:tcBorders>
            <w:noWrap w:val="0"/>
            <w:vAlign w:val="center"/>
          </w:tcPr>
          <w:p w14:paraId="6D852630">
            <w:pPr>
              <w:widowControl/>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微型</w:t>
            </w:r>
          </w:p>
        </w:tc>
      </w:tr>
      <w:tr w14:paraId="44598BD9">
        <w:trPr>
          <w:trHeight w:val="336" w:hRule="atLeast"/>
          <w:jc w:val="center"/>
        </w:trPr>
        <w:tc>
          <w:tcPr>
            <w:tcW w:w="1690" w:type="dxa"/>
            <w:tcBorders>
              <w:top w:val="nil"/>
              <w:left w:val="single" w:color="auto" w:sz="4" w:space="0"/>
              <w:bottom w:val="single" w:color="auto" w:sz="4" w:space="0"/>
              <w:right w:val="single" w:color="auto" w:sz="4" w:space="0"/>
            </w:tcBorders>
            <w:noWrap w:val="0"/>
            <w:vAlign w:val="bottom"/>
          </w:tcPr>
          <w:p w14:paraId="1E5BBC35">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642" w:type="dxa"/>
            <w:tcBorders>
              <w:top w:val="nil"/>
              <w:left w:val="nil"/>
              <w:bottom w:val="single" w:color="auto" w:sz="4" w:space="0"/>
              <w:right w:val="single" w:color="auto" w:sz="4" w:space="0"/>
            </w:tcBorders>
            <w:noWrap w:val="0"/>
            <w:vAlign w:val="center"/>
          </w:tcPr>
          <w:p w14:paraId="072D90F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79BF9C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529AB1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4D7F5FD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50≤Y＜500</w:t>
            </w:r>
          </w:p>
        </w:tc>
        <w:tc>
          <w:tcPr>
            <w:tcW w:w="921" w:type="dxa"/>
            <w:tcBorders>
              <w:top w:val="nil"/>
              <w:left w:val="nil"/>
              <w:bottom w:val="single" w:color="auto" w:sz="4" w:space="0"/>
              <w:right w:val="single" w:color="auto" w:sz="4" w:space="0"/>
            </w:tcBorders>
            <w:noWrap w:val="0"/>
            <w:vAlign w:val="center"/>
          </w:tcPr>
          <w:p w14:paraId="0E553D4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16336405">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0FB4584C">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642" w:type="dxa"/>
            <w:tcBorders>
              <w:top w:val="nil"/>
              <w:left w:val="nil"/>
              <w:bottom w:val="single" w:color="auto" w:sz="4" w:space="0"/>
              <w:right w:val="single" w:color="auto" w:sz="4" w:space="0"/>
            </w:tcBorders>
            <w:noWrap w:val="0"/>
            <w:vAlign w:val="center"/>
          </w:tcPr>
          <w:p w14:paraId="10427EE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74068D2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5D813B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711F4C1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21" w:type="dxa"/>
            <w:tcBorders>
              <w:top w:val="nil"/>
              <w:left w:val="nil"/>
              <w:bottom w:val="single" w:color="auto" w:sz="4" w:space="0"/>
              <w:right w:val="single" w:color="auto" w:sz="4" w:space="0"/>
            </w:tcBorders>
            <w:noWrap w:val="0"/>
            <w:vAlign w:val="center"/>
          </w:tcPr>
          <w:p w14:paraId="4B8FA0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6CB9B803">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0293B87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7677531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74A93B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A3E74E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09" w:type="dxa"/>
            <w:tcBorders>
              <w:top w:val="nil"/>
              <w:left w:val="nil"/>
              <w:bottom w:val="single" w:color="auto" w:sz="4" w:space="0"/>
              <w:right w:val="single" w:color="auto" w:sz="4" w:space="0"/>
            </w:tcBorders>
            <w:noWrap w:val="0"/>
            <w:vAlign w:val="center"/>
          </w:tcPr>
          <w:p w14:paraId="25FD25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921" w:type="dxa"/>
            <w:tcBorders>
              <w:top w:val="nil"/>
              <w:left w:val="nil"/>
              <w:bottom w:val="single" w:color="auto" w:sz="4" w:space="0"/>
              <w:right w:val="single" w:color="auto" w:sz="4" w:space="0"/>
            </w:tcBorders>
            <w:noWrap w:val="0"/>
            <w:vAlign w:val="center"/>
          </w:tcPr>
          <w:p w14:paraId="688E932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7B137788">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128672A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642" w:type="dxa"/>
            <w:tcBorders>
              <w:top w:val="nil"/>
              <w:left w:val="nil"/>
              <w:bottom w:val="single" w:color="auto" w:sz="4" w:space="0"/>
              <w:right w:val="single" w:color="auto" w:sz="4" w:space="0"/>
            </w:tcBorders>
            <w:noWrap w:val="0"/>
            <w:vAlign w:val="center"/>
          </w:tcPr>
          <w:p w14:paraId="64B788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98D816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C35BA5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09" w:type="dxa"/>
            <w:tcBorders>
              <w:top w:val="nil"/>
              <w:left w:val="nil"/>
              <w:bottom w:val="single" w:color="auto" w:sz="4" w:space="0"/>
              <w:right w:val="single" w:color="auto" w:sz="4" w:space="0"/>
            </w:tcBorders>
            <w:noWrap w:val="0"/>
            <w:vAlign w:val="center"/>
          </w:tcPr>
          <w:p w14:paraId="2C3DC66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921" w:type="dxa"/>
            <w:tcBorders>
              <w:top w:val="nil"/>
              <w:left w:val="nil"/>
              <w:bottom w:val="single" w:color="auto" w:sz="4" w:space="0"/>
              <w:right w:val="single" w:color="auto" w:sz="4" w:space="0"/>
            </w:tcBorders>
            <w:noWrap w:val="0"/>
            <w:vAlign w:val="center"/>
          </w:tcPr>
          <w:p w14:paraId="5565C32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3C7F786D">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479FF1E3">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61EDB6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044B7D8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264091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09" w:type="dxa"/>
            <w:tcBorders>
              <w:top w:val="nil"/>
              <w:left w:val="nil"/>
              <w:bottom w:val="single" w:color="auto" w:sz="4" w:space="0"/>
              <w:right w:val="single" w:color="auto" w:sz="4" w:space="0"/>
            </w:tcBorders>
            <w:noWrap w:val="0"/>
            <w:vAlign w:val="center"/>
          </w:tcPr>
          <w:p w14:paraId="75C7413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921" w:type="dxa"/>
            <w:tcBorders>
              <w:top w:val="nil"/>
              <w:left w:val="nil"/>
              <w:bottom w:val="single" w:color="auto" w:sz="4" w:space="0"/>
              <w:right w:val="single" w:color="auto" w:sz="4" w:space="0"/>
            </w:tcBorders>
            <w:noWrap w:val="0"/>
            <w:vAlign w:val="center"/>
          </w:tcPr>
          <w:p w14:paraId="05C6AB8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Z＜300</w:t>
            </w:r>
          </w:p>
        </w:tc>
      </w:tr>
      <w:tr w14:paraId="5A5B24BB">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01BAFF7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642" w:type="dxa"/>
            <w:tcBorders>
              <w:top w:val="nil"/>
              <w:left w:val="nil"/>
              <w:bottom w:val="single" w:color="auto" w:sz="4" w:space="0"/>
              <w:right w:val="single" w:color="auto" w:sz="4" w:space="0"/>
            </w:tcBorders>
            <w:noWrap w:val="0"/>
            <w:vAlign w:val="center"/>
          </w:tcPr>
          <w:p w14:paraId="13E6493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1BF5CED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0691B73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09" w:type="dxa"/>
            <w:tcBorders>
              <w:top w:val="nil"/>
              <w:left w:val="nil"/>
              <w:bottom w:val="single" w:color="auto" w:sz="4" w:space="0"/>
              <w:right w:val="single" w:color="auto" w:sz="4" w:space="0"/>
            </w:tcBorders>
            <w:noWrap w:val="0"/>
            <w:vAlign w:val="center"/>
          </w:tcPr>
          <w:p w14:paraId="7770945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5≤X＜20</w:t>
            </w:r>
          </w:p>
        </w:tc>
        <w:tc>
          <w:tcPr>
            <w:tcW w:w="921" w:type="dxa"/>
            <w:tcBorders>
              <w:top w:val="nil"/>
              <w:left w:val="nil"/>
              <w:bottom w:val="single" w:color="auto" w:sz="4" w:space="0"/>
              <w:right w:val="single" w:color="auto" w:sz="4" w:space="0"/>
            </w:tcBorders>
            <w:noWrap w:val="0"/>
            <w:vAlign w:val="center"/>
          </w:tcPr>
          <w:p w14:paraId="009EA9A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X＜5</w:t>
            </w:r>
          </w:p>
        </w:tc>
      </w:tr>
      <w:tr w14:paraId="0F4CA1B8">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097E7ACC">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D6A146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1623A4F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7CFB0B9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09" w:type="dxa"/>
            <w:tcBorders>
              <w:top w:val="nil"/>
              <w:left w:val="nil"/>
              <w:bottom w:val="single" w:color="auto" w:sz="4" w:space="0"/>
              <w:right w:val="single" w:color="auto" w:sz="4" w:space="0"/>
            </w:tcBorders>
            <w:noWrap w:val="0"/>
            <w:vAlign w:val="center"/>
          </w:tcPr>
          <w:p w14:paraId="03EFF9C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921" w:type="dxa"/>
            <w:tcBorders>
              <w:top w:val="nil"/>
              <w:left w:val="nil"/>
              <w:bottom w:val="single" w:color="auto" w:sz="4" w:space="0"/>
              <w:right w:val="single" w:color="auto" w:sz="4" w:space="0"/>
            </w:tcBorders>
            <w:noWrap w:val="0"/>
            <w:vAlign w:val="center"/>
          </w:tcPr>
          <w:p w14:paraId="5F35F85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Y＜1000</w:t>
            </w:r>
          </w:p>
        </w:tc>
      </w:tr>
      <w:tr w14:paraId="718BA2F1">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7B4EFB29">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642" w:type="dxa"/>
            <w:tcBorders>
              <w:top w:val="nil"/>
              <w:left w:val="nil"/>
              <w:bottom w:val="single" w:color="auto" w:sz="4" w:space="0"/>
              <w:right w:val="single" w:color="auto" w:sz="4" w:space="0"/>
            </w:tcBorders>
            <w:noWrap w:val="0"/>
            <w:vAlign w:val="center"/>
          </w:tcPr>
          <w:p w14:paraId="2B7A9B2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267C49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158DD49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09" w:type="dxa"/>
            <w:tcBorders>
              <w:top w:val="nil"/>
              <w:left w:val="nil"/>
              <w:bottom w:val="single" w:color="auto" w:sz="4" w:space="0"/>
              <w:right w:val="single" w:color="auto" w:sz="4" w:space="0"/>
            </w:tcBorders>
            <w:noWrap w:val="0"/>
            <w:vAlign w:val="center"/>
          </w:tcPr>
          <w:p w14:paraId="45284B5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10≤X＜50</w:t>
            </w:r>
          </w:p>
        </w:tc>
        <w:tc>
          <w:tcPr>
            <w:tcW w:w="921" w:type="dxa"/>
            <w:tcBorders>
              <w:top w:val="nil"/>
              <w:left w:val="nil"/>
              <w:bottom w:val="single" w:color="auto" w:sz="4" w:space="0"/>
              <w:right w:val="single" w:color="auto" w:sz="4" w:space="0"/>
            </w:tcBorders>
            <w:noWrap w:val="0"/>
            <w:vAlign w:val="center"/>
          </w:tcPr>
          <w:p w14:paraId="2A9A584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6030E169">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529067A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0AAA9D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70F9ECC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2B0EE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9" w:type="dxa"/>
            <w:tcBorders>
              <w:top w:val="nil"/>
              <w:left w:val="nil"/>
              <w:bottom w:val="single" w:color="auto" w:sz="4" w:space="0"/>
              <w:right w:val="single" w:color="auto" w:sz="4" w:space="0"/>
            </w:tcBorders>
            <w:noWrap w:val="0"/>
            <w:vAlign w:val="center"/>
          </w:tcPr>
          <w:p w14:paraId="72505F4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100≤Y＜500</w:t>
            </w:r>
          </w:p>
        </w:tc>
        <w:tc>
          <w:tcPr>
            <w:tcW w:w="921" w:type="dxa"/>
            <w:tcBorders>
              <w:top w:val="nil"/>
              <w:left w:val="nil"/>
              <w:bottom w:val="single" w:color="auto" w:sz="4" w:space="0"/>
              <w:right w:val="single" w:color="auto" w:sz="4" w:space="0"/>
            </w:tcBorders>
            <w:noWrap w:val="0"/>
            <w:vAlign w:val="center"/>
          </w:tcPr>
          <w:p w14:paraId="6D32C0D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58876C0F">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798C7EA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642" w:type="dxa"/>
            <w:tcBorders>
              <w:top w:val="nil"/>
              <w:left w:val="nil"/>
              <w:bottom w:val="single" w:color="auto" w:sz="4" w:space="0"/>
              <w:right w:val="single" w:color="auto" w:sz="4" w:space="0"/>
            </w:tcBorders>
            <w:noWrap w:val="0"/>
            <w:vAlign w:val="center"/>
          </w:tcPr>
          <w:p w14:paraId="7A39058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1425116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769BE1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0182D3D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21" w:type="dxa"/>
            <w:tcBorders>
              <w:top w:val="nil"/>
              <w:left w:val="nil"/>
              <w:bottom w:val="single" w:color="auto" w:sz="4" w:space="0"/>
              <w:right w:val="single" w:color="auto" w:sz="4" w:space="0"/>
            </w:tcBorders>
            <w:noWrap w:val="0"/>
            <w:vAlign w:val="center"/>
          </w:tcPr>
          <w:p w14:paraId="4EA5664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2A605955">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4CB17B57">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7A0D04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F64759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68752AB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09" w:type="dxa"/>
            <w:tcBorders>
              <w:top w:val="nil"/>
              <w:left w:val="nil"/>
              <w:bottom w:val="single" w:color="auto" w:sz="4" w:space="0"/>
              <w:right w:val="single" w:color="auto" w:sz="4" w:space="0"/>
            </w:tcBorders>
            <w:noWrap w:val="0"/>
            <w:vAlign w:val="center"/>
          </w:tcPr>
          <w:p w14:paraId="4913138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921" w:type="dxa"/>
            <w:tcBorders>
              <w:top w:val="nil"/>
              <w:left w:val="nil"/>
              <w:bottom w:val="single" w:color="auto" w:sz="4" w:space="0"/>
              <w:right w:val="single" w:color="auto" w:sz="4" w:space="0"/>
            </w:tcBorders>
            <w:noWrap w:val="0"/>
            <w:vAlign w:val="center"/>
          </w:tcPr>
          <w:p w14:paraId="153B129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w:t>
            </w:r>
          </w:p>
        </w:tc>
      </w:tr>
      <w:tr w14:paraId="1A336003">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48CBF00E">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642" w:type="dxa"/>
            <w:tcBorders>
              <w:top w:val="nil"/>
              <w:left w:val="nil"/>
              <w:bottom w:val="single" w:color="auto" w:sz="4" w:space="0"/>
              <w:right w:val="single" w:color="auto" w:sz="4" w:space="0"/>
            </w:tcBorders>
            <w:noWrap w:val="0"/>
            <w:vAlign w:val="center"/>
          </w:tcPr>
          <w:p w14:paraId="468DC12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546496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2E9F794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09" w:type="dxa"/>
            <w:tcBorders>
              <w:top w:val="nil"/>
              <w:left w:val="nil"/>
              <w:bottom w:val="single" w:color="auto" w:sz="4" w:space="0"/>
              <w:right w:val="single" w:color="auto" w:sz="4" w:space="0"/>
            </w:tcBorders>
            <w:noWrap w:val="0"/>
            <w:vAlign w:val="center"/>
          </w:tcPr>
          <w:p w14:paraId="7313E93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20≤X＜100</w:t>
            </w:r>
          </w:p>
        </w:tc>
        <w:tc>
          <w:tcPr>
            <w:tcW w:w="921" w:type="dxa"/>
            <w:tcBorders>
              <w:top w:val="nil"/>
              <w:left w:val="nil"/>
              <w:bottom w:val="single" w:color="auto" w:sz="4" w:space="0"/>
              <w:right w:val="single" w:color="auto" w:sz="4" w:space="0"/>
            </w:tcBorders>
            <w:noWrap w:val="0"/>
            <w:vAlign w:val="center"/>
          </w:tcPr>
          <w:p w14:paraId="229B7D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7FB21847">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23EC271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6971860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67A717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82637E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09" w:type="dxa"/>
            <w:tcBorders>
              <w:top w:val="nil"/>
              <w:left w:val="nil"/>
              <w:bottom w:val="single" w:color="auto" w:sz="4" w:space="0"/>
              <w:right w:val="single" w:color="auto" w:sz="4" w:space="0"/>
            </w:tcBorders>
            <w:noWrap w:val="0"/>
            <w:vAlign w:val="center"/>
          </w:tcPr>
          <w:p w14:paraId="197BA3A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921" w:type="dxa"/>
            <w:tcBorders>
              <w:top w:val="nil"/>
              <w:left w:val="nil"/>
              <w:bottom w:val="single" w:color="auto" w:sz="4" w:space="0"/>
              <w:right w:val="single" w:color="auto" w:sz="4" w:space="0"/>
            </w:tcBorders>
            <w:noWrap w:val="0"/>
            <w:vAlign w:val="center"/>
          </w:tcPr>
          <w:p w14:paraId="734A7DD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64CD31DF">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7246914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642" w:type="dxa"/>
            <w:tcBorders>
              <w:top w:val="nil"/>
              <w:left w:val="nil"/>
              <w:bottom w:val="single" w:color="auto" w:sz="4" w:space="0"/>
              <w:right w:val="single" w:color="auto" w:sz="4" w:space="0"/>
            </w:tcBorders>
            <w:noWrap w:val="0"/>
            <w:vAlign w:val="center"/>
          </w:tcPr>
          <w:p w14:paraId="1064347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40DA1E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4794851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7E4A5D3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21" w:type="dxa"/>
            <w:tcBorders>
              <w:top w:val="nil"/>
              <w:left w:val="nil"/>
              <w:bottom w:val="single" w:color="auto" w:sz="4" w:space="0"/>
              <w:right w:val="single" w:color="auto" w:sz="4" w:space="0"/>
            </w:tcBorders>
            <w:noWrap w:val="0"/>
            <w:vAlign w:val="center"/>
          </w:tcPr>
          <w:p w14:paraId="6698942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394B589D">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6E6B9872">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D188F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2BECCC6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571AF57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09" w:type="dxa"/>
            <w:tcBorders>
              <w:top w:val="nil"/>
              <w:left w:val="nil"/>
              <w:bottom w:val="single" w:color="auto" w:sz="4" w:space="0"/>
              <w:right w:val="single" w:color="auto" w:sz="4" w:space="0"/>
            </w:tcBorders>
            <w:noWrap w:val="0"/>
            <w:vAlign w:val="center"/>
          </w:tcPr>
          <w:p w14:paraId="7C1062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21" w:type="dxa"/>
            <w:tcBorders>
              <w:top w:val="nil"/>
              <w:left w:val="nil"/>
              <w:bottom w:val="single" w:color="auto" w:sz="4" w:space="0"/>
              <w:right w:val="single" w:color="auto" w:sz="4" w:space="0"/>
            </w:tcBorders>
            <w:noWrap w:val="0"/>
            <w:vAlign w:val="center"/>
          </w:tcPr>
          <w:p w14:paraId="4F45F71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7F7EB006">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5569E6F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642" w:type="dxa"/>
            <w:tcBorders>
              <w:top w:val="nil"/>
              <w:left w:val="nil"/>
              <w:bottom w:val="single" w:color="auto" w:sz="4" w:space="0"/>
              <w:right w:val="single" w:color="auto" w:sz="4" w:space="0"/>
            </w:tcBorders>
            <w:noWrap w:val="0"/>
            <w:vAlign w:val="center"/>
          </w:tcPr>
          <w:p w14:paraId="148243C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3CE7CD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2CBBCFF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27AAF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4E68FD3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74D66DD7">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6923BA89">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0F1C5B9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53E60A6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D93A2E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4677EC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21" w:type="dxa"/>
            <w:tcBorders>
              <w:top w:val="nil"/>
              <w:left w:val="nil"/>
              <w:bottom w:val="single" w:color="auto" w:sz="4" w:space="0"/>
              <w:right w:val="single" w:color="auto" w:sz="4" w:space="0"/>
            </w:tcBorders>
            <w:noWrap w:val="0"/>
            <w:vAlign w:val="center"/>
          </w:tcPr>
          <w:p w14:paraId="762F2D4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524C32E">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504B570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642" w:type="dxa"/>
            <w:tcBorders>
              <w:top w:val="nil"/>
              <w:left w:val="nil"/>
              <w:bottom w:val="single" w:color="auto" w:sz="4" w:space="0"/>
              <w:right w:val="single" w:color="auto" w:sz="4" w:space="0"/>
            </w:tcBorders>
            <w:noWrap w:val="0"/>
            <w:vAlign w:val="center"/>
          </w:tcPr>
          <w:p w14:paraId="39D462B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44BB6F5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6313D06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1C30D18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7391102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AFC0858">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0E848F1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51A57A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418D825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D419CC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9" w:type="dxa"/>
            <w:tcBorders>
              <w:top w:val="nil"/>
              <w:left w:val="nil"/>
              <w:bottom w:val="single" w:color="auto" w:sz="4" w:space="0"/>
              <w:right w:val="single" w:color="auto" w:sz="4" w:space="0"/>
            </w:tcBorders>
            <w:noWrap w:val="0"/>
            <w:vAlign w:val="center"/>
          </w:tcPr>
          <w:p w14:paraId="06F75BE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21" w:type="dxa"/>
            <w:tcBorders>
              <w:top w:val="nil"/>
              <w:left w:val="nil"/>
              <w:bottom w:val="single" w:color="auto" w:sz="4" w:space="0"/>
              <w:right w:val="single" w:color="auto" w:sz="4" w:space="0"/>
            </w:tcBorders>
            <w:noWrap w:val="0"/>
            <w:vAlign w:val="center"/>
          </w:tcPr>
          <w:p w14:paraId="1F1046B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3664C4F3">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275D3F1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642" w:type="dxa"/>
            <w:tcBorders>
              <w:top w:val="nil"/>
              <w:left w:val="nil"/>
              <w:bottom w:val="single" w:color="auto" w:sz="4" w:space="0"/>
              <w:right w:val="single" w:color="auto" w:sz="4" w:space="0"/>
            </w:tcBorders>
            <w:noWrap w:val="0"/>
            <w:vAlign w:val="center"/>
          </w:tcPr>
          <w:p w14:paraId="1061A2F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5828DA8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54CA2D0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09" w:type="dxa"/>
            <w:tcBorders>
              <w:top w:val="nil"/>
              <w:left w:val="nil"/>
              <w:bottom w:val="single" w:color="auto" w:sz="4" w:space="0"/>
              <w:right w:val="single" w:color="auto" w:sz="4" w:space="0"/>
            </w:tcBorders>
            <w:noWrap w:val="0"/>
            <w:vAlign w:val="center"/>
          </w:tcPr>
          <w:p w14:paraId="245EB5D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2EDCC5B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61000476">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0FD2CBAD">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352D091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748B131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02301BE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09" w:type="dxa"/>
            <w:tcBorders>
              <w:top w:val="nil"/>
              <w:left w:val="nil"/>
              <w:bottom w:val="single" w:color="auto" w:sz="4" w:space="0"/>
              <w:right w:val="single" w:color="auto" w:sz="4" w:space="0"/>
            </w:tcBorders>
            <w:noWrap w:val="0"/>
            <w:vAlign w:val="center"/>
          </w:tcPr>
          <w:p w14:paraId="4C8DB80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921" w:type="dxa"/>
            <w:tcBorders>
              <w:top w:val="nil"/>
              <w:left w:val="nil"/>
              <w:bottom w:val="single" w:color="auto" w:sz="4" w:space="0"/>
              <w:right w:val="single" w:color="auto" w:sz="4" w:space="0"/>
            </w:tcBorders>
            <w:noWrap w:val="0"/>
            <w:vAlign w:val="center"/>
          </w:tcPr>
          <w:p w14:paraId="200BDB5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51623EF5">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77EE30C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642" w:type="dxa"/>
            <w:tcBorders>
              <w:top w:val="nil"/>
              <w:left w:val="nil"/>
              <w:bottom w:val="single" w:color="auto" w:sz="4" w:space="0"/>
              <w:right w:val="single" w:color="auto" w:sz="4" w:space="0"/>
            </w:tcBorders>
            <w:noWrap w:val="0"/>
            <w:vAlign w:val="center"/>
          </w:tcPr>
          <w:p w14:paraId="7E0034E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0770BB8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18FD627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8E9680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548788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2C8F0EBD">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498503FC">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EED152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7DD5946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5551B3C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09" w:type="dxa"/>
            <w:tcBorders>
              <w:top w:val="nil"/>
              <w:left w:val="nil"/>
              <w:bottom w:val="single" w:color="auto" w:sz="4" w:space="0"/>
              <w:right w:val="single" w:color="auto" w:sz="4" w:space="0"/>
            </w:tcBorders>
            <w:noWrap w:val="0"/>
            <w:vAlign w:val="center"/>
          </w:tcPr>
          <w:p w14:paraId="731ADBB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50≤Y＜1000</w:t>
            </w:r>
          </w:p>
        </w:tc>
        <w:tc>
          <w:tcPr>
            <w:tcW w:w="921" w:type="dxa"/>
            <w:tcBorders>
              <w:top w:val="nil"/>
              <w:left w:val="nil"/>
              <w:bottom w:val="single" w:color="auto" w:sz="4" w:space="0"/>
              <w:right w:val="single" w:color="auto" w:sz="4" w:space="0"/>
            </w:tcBorders>
            <w:noWrap w:val="0"/>
            <w:vAlign w:val="center"/>
          </w:tcPr>
          <w:p w14:paraId="3DE42E2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611C12DA">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363BAA64">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642" w:type="dxa"/>
            <w:tcBorders>
              <w:top w:val="nil"/>
              <w:left w:val="nil"/>
              <w:bottom w:val="single" w:color="auto" w:sz="4" w:space="0"/>
              <w:right w:val="single" w:color="auto" w:sz="4" w:space="0"/>
            </w:tcBorders>
            <w:noWrap w:val="0"/>
            <w:vAlign w:val="center"/>
          </w:tcPr>
          <w:p w14:paraId="787C27C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0B0659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3A2DF8F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09" w:type="dxa"/>
            <w:tcBorders>
              <w:top w:val="nil"/>
              <w:left w:val="nil"/>
              <w:bottom w:val="single" w:color="auto" w:sz="4" w:space="0"/>
              <w:right w:val="single" w:color="auto" w:sz="4" w:space="0"/>
            </w:tcBorders>
            <w:noWrap w:val="0"/>
            <w:vAlign w:val="center"/>
          </w:tcPr>
          <w:p w14:paraId="19B43C8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921" w:type="dxa"/>
            <w:tcBorders>
              <w:top w:val="nil"/>
              <w:left w:val="nil"/>
              <w:bottom w:val="single" w:color="auto" w:sz="4" w:space="0"/>
              <w:right w:val="single" w:color="auto" w:sz="4" w:space="0"/>
            </w:tcBorders>
            <w:noWrap w:val="0"/>
            <w:vAlign w:val="center"/>
          </w:tcPr>
          <w:p w14:paraId="7A79773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512A3114">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546C47F6">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0AE634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2AD329F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436B80E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09" w:type="dxa"/>
            <w:tcBorders>
              <w:top w:val="nil"/>
              <w:left w:val="nil"/>
              <w:bottom w:val="single" w:color="auto" w:sz="4" w:space="0"/>
              <w:right w:val="single" w:color="auto" w:sz="4" w:space="0"/>
            </w:tcBorders>
            <w:noWrap w:val="0"/>
            <w:vAlign w:val="center"/>
          </w:tcPr>
          <w:p w14:paraId="1F6D840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921" w:type="dxa"/>
            <w:tcBorders>
              <w:top w:val="nil"/>
              <w:left w:val="nil"/>
              <w:bottom w:val="single" w:color="auto" w:sz="4" w:space="0"/>
              <w:right w:val="single" w:color="auto" w:sz="4" w:space="0"/>
            </w:tcBorders>
            <w:noWrap w:val="0"/>
            <w:vAlign w:val="center"/>
          </w:tcPr>
          <w:p w14:paraId="47B0518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Y＜2000</w:t>
            </w:r>
          </w:p>
        </w:tc>
      </w:tr>
      <w:tr w14:paraId="390F6370">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63643C6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642" w:type="dxa"/>
            <w:tcBorders>
              <w:top w:val="nil"/>
              <w:left w:val="nil"/>
              <w:bottom w:val="single" w:color="auto" w:sz="4" w:space="0"/>
              <w:right w:val="single" w:color="auto" w:sz="4" w:space="0"/>
            </w:tcBorders>
            <w:noWrap w:val="0"/>
            <w:vAlign w:val="center"/>
          </w:tcPr>
          <w:p w14:paraId="68CBC30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7748C7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AB8799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9" w:type="dxa"/>
            <w:tcBorders>
              <w:top w:val="nil"/>
              <w:left w:val="nil"/>
              <w:bottom w:val="single" w:color="auto" w:sz="4" w:space="0"/>
              <w:right w:val="single" w:color="auto" w:sz="4" w:space="0"/>
            </w:tcBorders>
            <w:noWrap w:val="0"/>
            <w:vAlign w:val="center"/>
          </w:tcPr>
          <w:p w14:paraId="6785C0E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921" w:type="dxa"/>
            <w:tcBorders>
              <w:top w:val="nil"/>
              <w:left w:val="nil"/>
              <w:bottom w:val="single" w:color="auto" w:sz="4" w:space="0"/>
              <w:right w:val="single" w:color="auto" w:sz="4" w:space="0"/>
            </w:tcBorders>
            <w:noWrap w:val="0"/>
            <w:vAlign w:val="center"/>
          </w:tcPr>
          <w:p w14:paraId="5F0B725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1B0CE56B">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2B7B8A03">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43A48B8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084" w:type="dxa"/>
            <w:tcBorders>
              <w:top w:val="nil"/>
              <w:left w:val="nil"/>
              <w:bottom w:val="single" w:color="auto" w:sz="4" w:space="0"/>
              <w:right w:val="single" w:color="auto" w:sz="4" w:space="0"/>
            </w:tcBorders>
            <w:noWrap w:val="0"/>
            <w:vAlign w:val="center"/>
          </w:tcPr>
          <w:p w14:paraId="3559975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2D45D03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09" w:type="dxa"/>
            <w:tcBorders>
              <w:top w:val="nil"/>
              <w:left w:val="nil"/>
              <w:bottom w:val="single" w:color="auto" w:sz="4" w:space="0"/>
              <w:right w:val="single" w:color="auto" w:sz="4" w:space="0"/>
            </w:tcBorders>
            <w:noWrap w:val="0"/>
            <w:vAlign w:val="center"/>
          </w:tcPr>
          <w:p w14:paraId="60BF2BD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921" w:type="dxa"/>
            <w:tcBorders>
              <w:top w:val="nil"/>
              <w:left w:val="nil"/>
              <w:bottom w:val="single" w:color="auto" w:sz="4" w:space="0"/>
              <w:right w:val="single" w:color="auto" w:sz="4" w:space="0"/>
            </w:tcBorders>
            <w:noWrap w:val="0"/>
            <w:vAlign w:val="center"/>
          </w:tcPr>
          <w:p w14:paraId="6A18F2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Y＜500</w:t>
            </w:r>
          </w:p>
        </w:tc>
      </w:tr>
      <w:tr w14:paraId="6497D1AB">
        <w:trPr>
          <w:trHeight w:val="336" w:hRule="atLeast"/>
          <w:jc w:val="center"/>
        </w:trPr>
        <w:tc>
          <w:tcPr>
            <w:tcW w:w="1690" w:type="dxa"/>
            <w:vMerge w:val="restart"/>
            <w:tcBorders>
              <w:top w:val="nil"/>
              <w:left w:val="single" w:color="auto" w:sz="4" w:space="0"/>
              <w:bottom w:val="single" w:color="auto" w:sz="4" w:space="0"/>
              <w:right w:val="single" w:color="auto" w:sz="4" w:space="0"/>
            </w:tcBorders>
            <w:noWrap w:val="0"/>
            <w:vAlign w:val="bottom"/>
          </w:tcPr>
          <w:p w14:paraId="75E4985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642" w:type="dxa"/>
            <w:tcBorders>
              <w:top w:val="nil"/>
              <w:left w:val="nil"/>
              <w:bottom w:val="single" w:color="auto" w:sz="4" w:space="0"/>
              <w:right w:val="single" w:color="auto" w:sz="4" w:space="0"/>
            </w:tcBorders>
            <w:noWrap w:val="0"/>
            <w:vAlign w:val="center"/>
          </w:tcPr>
          <w:p w14:paraId="2AC494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3BC6915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36214C4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0DEB841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531E4B6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541FA867">
        <w:trPr>
          <w:trHeight w:val="336" w:hRule="atLeast"/>
          <w:jc w:val="center"/>
        </w:trPr>
        <w:tc>
          <w:tcPr>
            <w:tcW w:w="1690" w:type="dxa"/>
            <w:vMerge w:val="continue"/>
            <w:tcBorders>
              <w:top w:val="nil"/>
              <w:left w:val="single" w:color="auto" w:sz="4" w:space="0"/>
              <w:bottom w:val="single" w:color="auto" w:sz="4" w:space="0"/>
              <w:right w:val="single" w:color="auto" w:sz="4" w:space="0"/>
            </w:tcBorders>
            <w:noWrap w:val="0"/>
            <w:vAlign w:val="center"/>
          </w:tcPr>
          <w:p w14:paraId="33AD4A6B">
            <w:pPr>
              <w:widowControl/>
              <w:jc w:val="left"/>
              <w:rPr>
                <w:rFonts w:hint="eastAsia" w:ascii="宋体" w:hAnsi="宋体" w:cs="宋体"/>
                <w:b/>
                <w:bCs/>
                <w:color w:val="auto"/>
                <w:kern w:val="0"/>
                <w:szCs w:val="21"/>
                <w:highlight w:val="none"/>
              </w:rPr>
            </w:pPr>
          </w:p>
        </w:tc>
        <w:tc>
          <w:tcPr>
            <w:tcW w:w="1642" w:type="dxa"/>
            <w:tcBorders>
              <w:top w:val="nil"/>
              <w:left w:val="nil"/>
              <w:bottom w:val="single" w:color="auto" w:sz="4" w:space="0"/>
              <w:right w:val="single" w:color="auto" w:sz="4" w:space="0"/>
            </w:tcBorders>
            <w:noWrap w:val="0"/>
            <w:vAlign w:val="center"/>
          </w:tcPr>
          <w:p w14:paraId="29C2E5B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084" w:type="dxa"/>
            <w:tcBorders>
              <w:top w:val="nil"/>
              <w:left w:val="nil"/>
              <w:bottom w:val="single" w:color="auto" w:sz="4" w:space="0"/>
              <w:right w:val="single" w:color="auto" w:sz="4" w:space="0"/>
            </w:tcBorders>
            <w:noWrap w:val="0"/>
            <w:vAlign w:val="center"/>
          </w:tcPr>
          <w:p w14:paraId="6EF92F5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23" w:type="dxa"/>
            <w:tcBorders>
              <w:top w:val="nil"/>
              <w:left w:val="nil"/>
              <w:bottom w:val="single" w:color="auto" w:sz="4" w:space="0"/>
              <w:right w:val="single" w:color="auto" w:sz="4" w:space="0"/>
            </w:tcBorders>
            <w:noWrap w:val="0"/>
            <w:vAlign w:val="center"/>
          </w:tcPr>
          <w:p w14:paraId="5740E42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09" w:type="dxa"/>
            <w:tcBorders>
              <w:top w:val="nil"/>
              <w:left w:val="nil"/>
              <w:bottom w:val="single" w:color="auto" w:sz="4" w:space="0"/>
              <w:right w:val="single" w:color="auto" w:sz="4" w:space="0"/>
            </w:tcBorders>
            <w:noWrap w:val="0"/>
            <w:vAlign w:val="center"/>
          </w:tcPr>
          <w:p w14:paraId="2134816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921" w:type="dxa"/>
            <w:tcBorders>
              <w:top w:val="nil"/>
              <w:left w:val="nil"/>
              <w:bottom w:val="single" w:color="auto" w:sz="4" w:space="0"/>
              <w:right w:val="single" w:color="auto" w:sz="4" w:space="0"/>
            </w:tcBorders>
            <w:noWrap w:val="0"/>
            <w:vAlign w:val="center"/>
          </w:tcPr>
          <w:p w14:paraId="54CC931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4D475D4B">
        <w:trPr>
          <w:trHeight w:val="346" w:hRule="atLeast"/>
          <w:jc w:val="center"/>
        </w:trPr>
        <w:tc>
          <w:tcPr>
            <w:tcW w:w="1690" w:type="dxa"/>
            <w:tcBorders>
              <w:top w:val="nil"/>
              <w:left w:val="single" w:color="auto" w:sz="4" w:space="0"/>
              <w:bottom w:val="single" w:color="auto" w:sz="4" w:space="0"/>
              <w:right w:val="single" w:color="auto" w:sz="4" w:space="0"/>
            </w:tcBorders>
            <w:noWrap w:val="0"/>
            <w:vAlign w:val="bottom"/>
          </w:tcPr>
          <w:p w14:paraId="72F3E5AA">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642" w:type="dxa"/>
            <w:tcBorders>
              <w:top w:val="nil"/>
              <w:left w:val="nil"/>
              <w:bottom w:val="single" w:color="auto" w:sz="4" w:space="0"/>
              <w:right w:val="single" w:color="auto" w:sz="4" w:space="0"/>
            </w:tcBorders>
            <w:noWrap w:val="0"/>
            <w:vAlign w:val="center"/>
          </w:tcPr>
          <w:p w14:paraId="282DC23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084" w:type="dxa"/>
            <w:tcBorders>
              <w:top w:val="nil"/>
              <w:left w:val="nil"/>
              <w:bottom w:val="single" w:color="auto" w:sz="4" w:space="0"/>
              <w:right w:val="single" w:color="auto" w:sz="4" w:space="0"/>
            </w:tcBorders>
            <w:noWrap w:val="0"/>
            <w:vAlign w:val="center"/>
          </w:tcPr>
          <w:p w14:paraId="6919F85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923" w:type="dxa"/>
            <w:tcBorders>
              <w:top w:val="nil"/>
              <w:left w:val="nil"/>
              <w:bottom w:val="single" w:color="auto" w:sz="4" w:space="0"/>
              <w:right w:val="single" w:color="auto" w:sz="4" w:space="0"/>
            </w:tcBorders>
            <w:noWrap w:val="0"/>
            <w:vAlign w:val="center"/>
          </w:tcPr>
          <w:p w14:paraId="7FE71E5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9" w:type="dxa"/>
            <w:tcBorders>
              <w:top w:val="nil"/>
              <w:left w:val="nil"/>
              <w:bottom w:val="single" w:color="auto" w:sz="4" w:space="0"/>
              <w:right w:val="single" w:color="auto" w:sz="4" w:space="0"/>
            </w:tcBorders>
            <w:noWrap w:val="0"/>
            <w:vAlign w:val="center"/>
          </w:tcPr>
          <w:p w14:paraId="4290C00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21" w:type="dxa"/>
            <w:tcBorders>
              <w:top w:val="nil"/>
              <w:left w:val="nil"/>
              <w:bottom w:val="single" w:color="auto" w:sz="4" w:space="0"/>
              <w:right w:val="single" w:color="auto" w:sz="4" w:space="0"/>
            </w:tcBorders>
            <w:noWrap w:val="0"/>
            <w:vAlign w:val="center"/>
          </w:tcPr>
          <w:p w14:paraId="583D3B8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bl>
    <w:p w14:paraId="5647BF57">
      <w:pPr>
        <w:keepNext w:val="0"/>
        <w:keepLines w:val="0"/>
        <w:pageBreakBefore w:val="0"/>
        <w:widowControl w:val="0"/>
        <w:kinsoku/>
        <w:wordWrap/>
        <w:overflowPunct/>
        <w:topLinePunct w:val="0"/>
        <w:autoSpaceDE/>
        <w:autoSpaceDN/>
        <w:bidi w:val="0"/>
        <w:adjustRightInd/>
        <w:snapToGrid/>
        <w:spacing w:line="360" w:lineRule="exact"/>
        <w:ind w:firstLine="525" w:firstLineChars="250"/>
        <w:textAlignment w:val="auto"/>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7F506CE">
      <w:pPr>
        <w:pStyle w:val="25"/>
        <w:rPr>
          <w:rFonts w:hint="eastAsia"/>
          <w:color w:val="auto"/>
          <w:highlight w:val="none"/>
        </w:rPr>
      </w:pPr>
    </w:p>
    <w:p w14:paraId="1CF523AC">
      <w:pPr>
        <w:pStyle w:val="3"/>
        <w:keepNext w:val="0"/>
        <w:keepLines w:val="0"/>
        <w:tabs>
          <w:tab w:val="left" w:pos="0"/>
          <w:tab w:val="left" w:pos="3165"/>
          <w:tab w:val="center" w:pos="4153"/>
        </w:tabs>
        <w:autoSpaceDE w:val="0"/>
        <w:autoSpaceDN w:val="0"/>
        <w:adjustRightInd w:val="0"/>
        <w:spacing w:before="0" w:after="0" w:line="240" w:lineRule="auto"/>
        <w:jc w:val="center"/>
        <w:rPr>
          <w:rFonts w:hint="eastAsia" w:ascii="宋体" w:hAnsi="宋体" w:cs="宋体"/>
          <w:color w:val="auto"/>
          <w:highlight w:val="none"/>
        </w:rPr>
      </w:pPr>
      <w:bookmarkStart w:id="51" w:name="_Toc21295"/>
      <w:bookmarkStart w:id="52" w:name="_Toc24453"/>
      <w:bookmarkStart w:id="53" w:name="_Toc6950"/>
      <w:r>
        <w:rPr>
          <w:rFonts w:hint="eastAsia" w:ascii="宋体" w:hAnsi="宋体" w:cs="宋体"/>
          <w:color w:val="auto"/>
          <w:highlight w:val="none"/>
        </w:rPr>
        <w:t>第三章  投标人须知</w:t>
      </w:r>
      <w:bookmarkEnd w:id="51"/>
      <w:bookmarkEnd w:id="52"/>
      <w:bookmarkEnd w:id="53"/>
    </w:p>
    <w:p w14:paraId="7DC1E230">
      <w:pPr>
        <w:pStyle w:val="4"/>
        <w:spacing w:line="240" w:lineRule="auto"/>
        <w:jc w:val="center"/>
        <w:rPr>
          <w:rFonts w:hint="eastAsia" w:ascii="宋体" w:hAnsi="宋体" w:eastAsia="宋体" w:cs="宋体"/>
          <w:color w:val="auto"/>
          <w:sz w:val="36"/>
          <w:szCs w:val="36"/>
          <w:highlight w:val="none"/>
        </w:rPr>
      </w:pPr>
      <w:bookmarkStart w:id="54" w:name="_Toc254970526"/>
      <w:bookmarkStart w:id="55" w:name="_Toc4963"/>
      <w:bookmarkStart w:id="56" w:name="_Toc254970667"/>
      <w:bookmarkStart w:id="57" w:name="_Toc3016"/>
      <w:bookmarkStart w:id="58" w:name="_Toc25167"/>
      <w:r>
        <w:rPr>
          <w:rFonts w:hint="eastAsia" w:ascii="宋体" w:hAnsi="宋体" w:eastAsia="宋体" w:cs="宋体"/>
          <w:color w:val="auto"/>
          <w:sz w:val="36"/>
          <w:szCs w:val="36"/>
          <w:highlight w:val="none"/>
        </w:rPr>
        <w:t>投标人须知前附表</w:t>
      </w:r>
      <w:bookmarkEnd w:id="54"/>
      <w:bookmarkEnd w:id="55"/>
      <w:bookmarkEnd w:id="56"/>
      <w:bookmarkEnd w:id="57"/>
      <w:bookmarkEnd w:id="58"/>
    </w:p>
    <w:tbl>
      <w:tblPr>
        <w:tblStyle w:val="38"/>
        <w:tblW w:w="8734" w:type="dxa"/>
        <w:tblInd w:w="-6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8"/>
        <w:gridCol w:w="7846"/>
      </w:tblGrid>
      <w:tr w14:paraId="381F9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270C8D1A">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5E76BC15">
            <w:pPr>
              <w:keepNext w:val="0"/>
              <w:keepLines w:val="0"/>
              <w:pageBreakBefore w:val="0"/>
              <w:widowControl w:val="0"/>
              <w:kinsoku/>
              <w:overflowPunct/>
              <w:topLinePunct w:val="0"/>
              <w:bidi w:val="0"/>
              <w:spacing w:before="120" w:beforeLines="50"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77522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4306F72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16E02BA7">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1308038F">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7E4980D5">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B4C007B">
            <w:pPr>
              <w:keepNext w:val="0"/>
              <w:keepLines w:val="0"/>
              <w:pageBreakBefore w:val="0"/>
              <w:widowControl w:val="0"/>
              <w:kinsoku/>
              <w:wordWrap w:val="0"/>
              <w:overflowPunct/>
              <w:topLinePunct w:val="0"/>
              <w:bidi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2D124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362B456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59" w:name="_5"/>
            <w:bookmarkEnd w:id="59"/>
            <w:bookmarkStart w:id="60" w:name="_9.2"/>
            <w:bookmarkEnd w:id="60"/>
            <w:bookmarkStart w:id="61" w:name="_8.1"/>
            <w:bookmarkEnd w:id="61"/>
            <w:r>
              <w:rPr>
                <w:rFonts w:hint="eastAsia" w:ascii="宋体" w:hAnsi="宋体" w:cs="宋体"/>
                <w:color w:val="auto"/>
                <w:szCs w:val="21"/>
                <w:highlight w:val="none"/>
              </w:rPr>
              <w:t>6.1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461004DA">
            <w:pPr>
              <w:pStyle w:val="13"/>
              <w:keepNext w:val="0"/>
              <w:keepLines w:val="0"/>
              <w:pageBreakBefore w:val="0"/>
              <w:widowControl w:val="0"/>
              <w:kinsoku/>
              <w:overflowPunct/>
              <w:topLinePunct w:val="0"/>
              <w:bidi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本项目是否接受联合体投标：详见招标公告。</w:t>
            </w:r>
          </w:p>
        </w:tc>
      </w:tr>
      <w:tr w14:paraId="0354C8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6CD9ADA5">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48EEDAF8">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2" w:name="_Hlk54105293"/>
            <w:r>
              <w:rPr>
                <w:rFonts w:hint="eastAsia" w:ascii="宋体" w:hAnsi="宋体" w:cs="宋体"/>
                <w:color w:val="auto"/>
                <w:szCs w:val="21"/>
                <w:highlight w:val="none"/>
              </w:rPr>
              <w:t>如接受联合体投标，</w:t>
            </w:r>
            <w:bookmarkEnd w:id="62"/>
            <w:r>
              <w:rPr>
                <w:rFonts w:hint="eastAsia" w:ascii="宋体" w:hAnsi="宋体" w:cs="宋体"/>
                <w:color w:val="auto"/>
                <w:szCs w:val="21"/>
                <w:highlight w:val="none"/>
              </w:rPr>
              <w:t>联合体投标要求如下：</w:t>
            </w:r>
          </w:p>
          <w:p w14:paraId="501AA7B5">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1.两个或两个以上投标人可以组成一个投标联合体，以一个投标人的身份共同参加投标。</w:t>
            </w:r>
            <w:r>
              <w:rPr>
                <w:rFonts w:hint="eastAsia" w:ascii="宋体" w:hAnsi="宋体" w:cs="宋体"/>
                <w:b/>
                <w:bCs/>
                <w:color w:val="auto"/>
                <w:szCs w:val="21"/>
                <w:highlight w:val="none"/>
              </w:rPr>
              <w:t>联合体投标人的名称应统一按“XXX公司与XXX公司的联合体”的规则填写</w:t>
            </w:r>
            <w:r>
              <w:rPr>
                <w:rFonts w:hint="eastAsia" w:ascii="宋体" w:hAnsi="宋体" w:cs="宋体"/>
                <w:color w:val="auto"/>
                <w:szCs w:val="21"/>
                <w:highlight w:val="none"/>
              </w:rPr>
              <w:t>。联合体投标的，须提供《联合体投标协议书》（格式后附）。</w:t>
            </w:r>
          </w:p>
          <w:p w14:paraId="6AF636FB">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3EEF8A6E">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3.联合体各方之间必须签订联合投标协议，协议书必须明确主体方（或者牵头方）并明确约定联合体各方承担的工作和相应的责任（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各方承担责任与义务的分工必须符合采购需求，否则，联合体投标无效</w:t>
            </w:r>
            <w:r>
              <w:rPr>
                <w:rFonts w:hint="eastAsia" w:ascii="宋体" w:hAnsi="宋体" w:cs="宋体"/>
                <w:color w:val="auto"/>
                <w:szCs w:val="21"/>
                <w:highlight w:val="none"/>
              </w:rPr>
              <w:t>），并将联合投标协议放入投标文件。联合体各方必须共同与采购人签订采购合同，就采购合同约定的事项对采购人承担连带责任。</w:t>
            </w:r>
          </w:p>
          <w:p w14:paraId="0998CF4E">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4.以联合体形式参加政府采购活动的，联合体各方不得再单独参加或者与其他投标人另外组成联合体参加同一合同项下的政府采购活动。</w:t>
            </w:r>
          </w:p>
          <w:p w14:paraId="61D34C10">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5.联合体中有同类资质的投标人按照联合体分工承担相同工作的，应当按照资质等级较低的投标人确定资质等级。</w:t>
            </w:r>
          </w:p>
          <w:p w14:paraId="7B622AE7">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联合体投标的联合体任何一方提供满足要求的业绩均为有效投标业绩</w:t>
            </w:r>
            <w:r>
              <w:rPr>
                <w:rFonts w:hint="eastAsia"/>
                <w:color w:val="auto"/>
                <w:highlight w:val="none"/>
                <w:lang w:val="en-US" w:eastAsia="zh-CN"/>
              </w:rPr>
              <w:t>（</w:t>
            </w:r>
            <w:r>
              <w:rPr>
                <w:rFonts w:hint="eastAsia" w:ascii="宋体" w:hAnsi="宋体" w:cs="宋体"/>
                <w:color w:val="auto"/>
                <w:szCs w:val="21"/>
                <w:highlight w:val="none"/>
              </w:rPr>
              <w:t>招标文件另有规定的除外</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59BFB5FA">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7.投标人为联合体的，可以由联合体中的一方或者多方共同交纳投标保证金，其交纳的保证金对联合体各方均具有约束力。</w:t>
            </w:r>
          </w:p>
          <w:p w14:paraId="549C3078">
            <w:pPr>
              <w:pStyle w:val="13"/>
              <w:keepNext w:val="0"/>
              <w:keepLines w:val="0"/>
              <w:pageBreakBefore w:val="0"/>
              <w:widowControl w:val="0"/>
              <w:kinsoku/>
              <w:overflowPunct/>
              <w:topLinePunct w:val="0"/>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8.联合体各方均应按照招标文件的规定提交资格证明文件。</w:t>
            </w:r>
          </w:p>
        </w:tc>
      </w:tr>
      <w:tr w14:paraId="39A6A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311527AF">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6A71207B">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☑不允许分包</w:t>
            </w:r>
          </w:p>
          <w:p w14:paraId="01CEBF9D">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3" w:name="OLE_LINK12"/>
            <w:r>
              <w:rPr>
                <w:rFonts w:hint="eastAsia" w:ascii="宋体" w:hAnsi="宋体" w:cs="宋体"/>
                <w:color w:val="auto"/>
                <w:szCs w:val="21"/>
                <w:highlight w:val="none"/>
              </w:rPr>
              <w:t>□</w:t>
            </w:r>
            <w:bookmarkEnd w:id="63"/>
            <w:r>
              <w:rPr>
                <w:rFonts w:hint="eastAsia" w:ascii="宋体" w:hAnsi="宋体" w:cs="宋体"/>
                <w:color w:val="auto"/>
                <w:szCs w:val="21"/>
                <w:highlight w:val="none"/>
              </w:rPr>
              <w:t>允许分包</w:t>
            </w:r>
          </w:p>
          <w:p w14:paraId="03611CD7">
            <w:pPr>
              <w:pStyle w:val="13"/>
              <w:keepNext w:val="0"/>
              <w:keepLines w:val="0"/>
              <w:pageBreakBefore w:val="0"/>
              <w:widowControl w:val="0"/>
              <w:kinsoku/>
              <w:overflowPunct/>
              <w:topLinePunct w:val="0"/>
              <w:bidi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w:t>
            </w:r>
          </w:p>
          <w:p w14:paraId="783F9E24">
            <w:pPr>
              <w:pStyle w:val="13"/>
              <w:keepNext w:val="0"/>
              <w:keepLines w:val="0"/>
              <w:pageBreakBefore w:val="0"/>
              <w:widowControl w:val="0"/>
              <w:kinsoku/>
              <w:overflowPunct/>
              <w:topLinePunct w:val="0"/>
              <w:bidi w:val="0"/>
              <w:spacing w:line="400" w:lineRule="exact"/>
              <w:jc w:val="both"/>
              <w:rPr>
                <w:rFonts w:hint="eastAsia" w:ascii="宋体" w:hAnsi="宋体" w:cs="宋体"/>
                <w:color w:val="auto"/>
                <w:szCs w:val="21"/>
                <w:highlight w:val="none"/>
                <w:u w:val="singl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w:t>
            </w:r>
          </w:p>
        </w:tc>
      </w:tr>
      <w:tr w14:paraId="7BBDC6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0" w:hRule="atLeast"/>
        </w:trPr>
        <w:tc>
          <w:tcPr>
            <w:tcW w:w="888" w:type="dxa"/>
            <w:vMerge w:val="restart"/>
            <w:tcBorders>
              <w:top w:val="single" w:color="auto" w:sz="4" w:space="0"/>
              <w:left w:val="single" w:color="auto" w:sz="4" w:space="0"/>
              <w:right w:val="single" w:color="auto" w:sz="4" w:space="0"/>
            </w:tcBorders>
            <w:noWrap w:val="0"/>
            <w:vAlign w:val="center"/>
          </w:tcPr>
          <w:p w14:paraId="0058082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11.2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24EDBDA6">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bookmarkStart w:id="64" w:name="OLE_LINK13"/>
            <w:r>
              <w:rPr>
                <w:rFonts w:hint="eastAsia" w:ascii="宋体" w:hAnsi="宋体" w:cs="宋体"/>
                <w:color w:val="auto"/>
                <w:szCs w:val="21"/>
                <w:highlight w:val="none"/>
              </w:rPr>
              <w:t>☑</w:t>
            </w:r>
            <w:bookmarkEnd w:id="64"/>
            <w:r>
              <w:rPr>
                <w:rFonts w:hint="eastAsia" w:ascii="宋体" w:hAnsi="宋体" w:cs="宋体"/>
                <w:color w:val="auto"/>
                <w:szCs w:val="21"/>
                <w:highlight w:val="none"/>
              </w:rPr>
              <w:t>不组织现场考察</w:t>
            </w:r>
          </w:p>
        </w:tc>
      </w:tr>
      <w:tr w14:paraId="12546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3" w:hRule="atLeast"/>
        </w:trPr>
        <w:tc>
          <w:tcPr>
            <w:tcW w:w="888" w:type="dxa"/>
            <w:vMerge w:val="continue"/>
            <w:tcBorders>
              <w:left w:val="single" w:color="auto" w:sz="4" w:space="0"/>
              <w:bottom w:val="single" w:color="auto" w:sz="4" w:space="0"/>
              <w:right w:val="single" w:color="auto" w:sz="4" w:space="0"/>
            </w:tcBorders>
            <w:noWrap w:val="0"/>
            <w:vAlign w:val="center"/>
          </w:tcPr>
          <w:p w14:paraId="3467D58F">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p>
        </w:tc>
        <w:tc>
          <w:tcPr>
            <w:tcW w:w="7846" w:type="dxa"/>
            <w:tcBorders>
              <w:top w:val="single" w:color="auto" w:sz="4" w:space="0"/>
              <w:left w:val="single" w:color="auto" w:sz="4" w:space="0"/>
              <w:bottom w:val="single" w:color="auto" w:sz="4" w:space="0"/>
              <w:right w:val="single" w:color="auto" w:sz="4" w:space="0"/>
            </w:tcBorders>
            <w:noWrap w:val="0"/>
            <w:vAlign w:val="center"/>
          </w:tcPr>
          <w:p w14:paraId="22762C47">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☑不组织召开开标前答疑会</w:t>
            </w:r>
          </w:p>
        </w:tc>
      </w:tr>
      <w:tr w14:paraId="225C3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vMerge w:val="restart"/>
            <w:tcBorders>
              <w:top w:val="single" w:color="auto" w:sz="4" w:space="0"/>
              <w:left w:val="single" w:color="auto" w:sz="4" w:space="0"/>
              <w:right w:val="single" w:color="auto" w:sz="4" w:space="0"/>
            </w:tcBorders>
            <w:noWrap w:val="0"/>
            <w:vAlign w:val="center"/>
          </w:tcPr>
          <w:p w14:paraId="7F11438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5" w:name="_13.1"/>
            <w:bookmarkEnd w:id="65"/>
            <w:r>
              <w:rPr>
                <w:rFonts w:hint="eastAsia" w:ascii="宋体" w:hAnsi="宋体" w:cs="宋体"/>
                <w:color w:val="auto"/>
                <w:szCs w:val="21"/>
                <w:highlight w:val="none"/>
              </w:rPr>
              <w:t>13</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7D27E4F7">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705F70AA">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1.投标函（格式后附）；</w:t>
            </w:r>
            <w:r>
              <w:rPr>
                <w:rFonts w:hint="eastAsia" w:ascii="宋体" w:hAnsi="宋体" w:cs="宋体"/>
                <w:b/>
                <w:color w:val="auto"/>
                <w:szCs w:val="21"/>
                <w:highlight w:val="none"/>
              </w:rPr>
              <w:t>（必须提供，否则按无效投标处理）</w:t>
            </w:r>
          </w:p>
          <w:p w14:paraId="71DCBF29">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2.开标一览表（格式后附）；（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1E4B478">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3.中小企业声明函或监狱企业证明文件或残疾人福利性单位声明函；（如有请提供）</w:t>
            </w:r>
          </w:p>
          <w:p w14:paraId="589AB90E">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4.投标人针对报价需要说明的其他文件和说明（格式自拟）。（如有请提供）</w:t>
            </w:r>
          </w:p>
          <w:p w14:paraId="6DF74299">
            <w:pPr>
              <w:keepNext w:val="0"/>
              <w:keepLines w:val="0"/>
              <w:pageBreakBefore w:val="0"/>
              <w:widowControl w:val="0"/>
              <w:tabs>
                <w:tab w:val="left" w:pos="459"/>
              </w:tabs>
              <w:kinsoku/>
              <w:overflowPunct/>
              <w:topLinePunct w:val="0"/>
              <w:bidi w:val="0"/>
              <w:snapToGrid w:val="0"/>
              <w:spacing w:line="400" w:lineRule="exact"/>
              <w:ind w:left="-2" w:leftChars="-1" w:firstLine="420" w:firstLineChars="200"/>
              <w:rPr>
                <w:rFonts w:hint="eastAsia" w:ascii="宋体" w:hAnsi="宋体" w:cs="宋体"/>
                <w:b/>
                <w:color w:val="auto"/>
                <w:szCs w:val="21"/>
                <w:highlight w:val="none"/>
              </w:rPr>
            </w:pPr>
            <w:r>
              <w:rPr>
                <w:rFonts w:hint="eastAsia" w:ascii="宋体" w:hAnsi="宋体" w:cs="宋体"/>
                <w:b/>
                <w:color w:val="auto"/>
                <w:szCs w:val="21"/>
                <w:highlight w:val="none"/>
              </w:rPr>
              <w:t>注：1.以上标明“必须提供”的材料的，必须加盖投标人电子签章，否则按无效投标处理；</w:t>
            </w:r>
          </w:p>
          <w:p w14:paraId="7CE4E29B">
            <w:pPr>
              <w:keepNext w:val="0"/>
              <w:keepLines w:val="0"/>
              <w:pageBreakBefore w:val="0"/>
              <w:widowControl w:val="0"/>
              <w:tabs>
                <w:tab w:val="left" w:pos="459"/>
              </w:tabs>
              <w:kinsoku/>
              <w:overflowPunct/>
              <w:topLinePunct w:val="0"/>
              <w:bidi w:val="0"/>
              <w:snapToGrid w:val="0"/>
              <w:spacing w:line="400" w:lineRule="exact"/>
              <w:ind w:left="-2" w:leftChars="-1" w:firstLine="841" w:firstLineChars="400"/>
              <w:rPr>
                <w:rFonts w:hint="eastAsia" w:ascii="宋体" w:hAnsi="宋体" w:cs="宋体"/>
                <w:b/>
                <w:color w:val="auto"/>
                <w:szCs w:val="21"/>
                <w:highlight w:val="none"/>
              </w:rPr>
            </w:pPr>
            <w:r>
              <w:rPr>
                <w:rFonts w:hint="eastAsia" w:ascii="宋体" w:hAnsi="宋体" w:cs="宋体"/>
                <w:b/>
                <w:color w:val="auto"/>
                <w:szCs w:val="21"/>
                <w:highlight w:val="none"/>
              </w:rPr>
              <w:t>2.联合体投标时，盖章处须加盖联合体牵头人电子签章，规定签字处签字（或者电子签名），否则响应文件按无效处理。</w:t>
            </w:r>
          </w:p>
        </w:tc>
      </w:tr>
      <w:tr w14:paraId="1BEFCC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vMerge w:val="continue"/>
            <w:tcBorders>
              <w:left w:val="single" w:color="auto" w:sz="4" w:space="0"/>
              <w:right w:val="single" w:color="auto" w:sz="4" w:space="0"/>
            </w:tcBorders>
            <w:noWrap w:val="0"/>
            <w:vAlign w:val="center"/>
          </w:tcPr>
          <w:p w14:paraId="4EE62535">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6" w:name="_13.2"/>
            <w:bookmarkEnd w:id="66"/>
          </w:p>
        </w:tc>
        <w:tc>
          <w:tcPr>
            <w:tcW w:w="7846" w:type="dxa"/>
            <w:tcBorders>
              <w:top w:val="single" w:color="auto" w:sz="4" w:space="0"/>
              <w:left w:val="single" w:color="auto" w:sz="4" w:space="0"/>
              <w:bottom w:val="single" w:color="auto" w:sz="4" w:space="0"/>
              <w:right w:val="single" w:color="auto" w:sz="4" w:space="0"/>
            </w:tcBorders>
            <w:noWrap w:val="0"/>
            <w:vAlign w:val="center"/>
          </w:tcPr>
          <w:p w14:paraId="2E41D6AF">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627820AB">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73"/>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91EC0E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税收的证明材料的凭据复印件；依法免税的投标人，必须提供相应文件证明其依法免税。从成立之日起到投标文件提交截止时间止不足要求月数的，只需提供从成立之日起的依法缴纳税收相应证明文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8B47688">
            <w:pPr>
              <w:keepNext w:val="0"/>
              <w:keepLines w:val="0"/>
              <w:pageBreakBefore w:val="0"/>
              <w:widowControl w:val="0"/>
              <w:kinsoku/>
              <w:overflowPunct/>
              <w:topLinePunct w:val="0"/>
              <w:bidi w:val="0"/>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lang w:eastAsia="zh-CN"/>
              </w:rPr>
              <w:t>2025年7月至2026年1月</w:t>
            </w:r>
            <w:r>
              <w:rPr>
                <w:rFonts w:hint="eastAsia" w:ascii="宋体" w:hAnsi="宋体" w:cs="宋体"/>
                <w:color w:val="auto"/>
                <w:szCs w:val="21"/>
                <w:highlight w:val="none"/>
              </w:rPr>
              <w:t>内任意连续</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的依法缴纳社会保障资金的缴费凭证（专用收据或者社会保险缴纳清单或者社保部门的证明）复印件；依法不需要缴纳社会保障资金的投标人，必须提供相应文件证明不需要缴纳社会保障资金。从成立之日起到投标文件提交截止时间止不足要求月数的只需提供从成立之日起的依法缴纳社会保障资金的相应证明文件]（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3C88D5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s="宋体"/>
                <w:color w:val="auto"/>
                <w:szCs w:val="21"/>
                <w:highlight w:val="none"/>
                <w:u w:val="single"/>
              </w:rPr>
              <w:t>2024年度</w:t>
            </w:r>
            <w:r>
              <w:rPr>
                <w:rFonts w:hint="eastAsia" w:ascii="宋体" w:hAnsi="宋体" w:cs="宋体"/>
                <w:color w:val="auto"/>
                <w:szCs w:val="21"/>
                <w:highlight w:val="none"/>
              </w:rPr>
              <w:t>的财务审计报告（至少包括资产负债表、利润表、现金流量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E4F419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BEA056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需法定代表人签字或电子签名，必须提供，否则按无效投标处理</w:t>
            </w:r>
            <w:r>
              <w:rPr>
                <w:rFonts w:hint="eastAsia" w:ascii="宋体" w:hAnsi="宋体" w:cs="宋体"/>
                <w:color w:val="auto"/>
                <w:szCs w:val="21"/>
                <w:highlight w:val="none"/>
              </w:rPr>
              <w:t>）</w:t>
            </w:r>
          </w:p>
          <w:p w14:paraId="7EFEE29F">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none"/>
                <w:lang w:val="en-US" w:eastAsia="zh-CN"/>
              </w:rPr>
              <w:t>7.</w:t>
            </w:r>
            <w:r>
              <w:rPr>
                <w:rFonts w:hint="eastAsia" w:ascii="宋体" w:hAnsi="宋体" w:cs="宋体"/>
                <w:color w:val="auto"/>
                <w:szCs w:val="21"/>
                <w:highlight w:val="none"/>
                <w:u w:val="none"/>
              </w:rPr>
              <w:t>投标人须</w:t>
            </w:r>
            <w:r>
              <w:rPr>
                <w:rFonts w:hint="eastAsia" w:ascii="宋体" w:hAnsi="宋体" w:cs="宋体"/>
                <w:color w:val="auto"/>
                <w:szCs w:val="21"/>
                <w:highlight w:val="none"/>
                <w:u w:val="none"/>
                <w:lang w:val="en-US" w:eastAsia="zh-CN"/>
              </w:rPr>
              <w:t>具备</w:t>
            </w:r>
            <w:r>
              <w:rPr>
                <w:rFonts w:hint="eastAsia" w:ascii="宋体" w:hAnsi="宋体" w:cs="宋体"/>
                <w:color w:val="auto"/>
                <w:szCs w:val="21"/>
                <w:highlight w:val="none"/>
                <w:u w:val="none"/>
              </w:rPr>
              <w:t>有效的检验检测机构资质认定CMA证书</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none"/>
                <w:lang w:val="en-US" w:eastAsia="zh-CN"/>
              </w:rPr>
              <w:t>联合体投标时，联合体各方中承担分析检测任务的单位必须具有本项目必测项pH、锑、铊、镉、汞、砷、铅的CMA资质</w:t>
            </w:r>
            <w:r>
              <w:rPr>
                <w:rFonts w:hint="eastAsia" w:ascii="宋体" w:hAnsi="宋体" w:cs="宋体"/>
                <w:color w:val="auto"/>
                <w:szCs w:val="21"/>
                <w:highlight w:val="none"/>
                <w:u w:val="none"/>
                <w:lang w:eastAsia="zh-CN"/>
              </w:rPr>
              <w:t>（提供</w:t>
            </w:r>
            <w:r>
              <w:rPr>
                <w:rFonts w:hint="eastAsia" w:ascii="宋体" w:hAnsi="宋体" w:cs="宋体"/>
                <w:color w:val="auto"/>
                <w:szCs w:val="21"/>
                <w:highlight w:val="none"/>
                <w:u w:val="none"/>
                <w:lang w:val="en-US" w:eastAsia="zh-CN"/>
              </w:rPr>
              <w:t>CMA证书及能力附表</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1441E1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.联合体协议书（格式后附）；（</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3A10DDBF">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.除招标文件规定必须提供以外，投标人认为需要提供的其他证明材料。（如有请提供）</w:t>
            </w:r>
          </w:p>
          <w:p w14:paraId="6E1220FD">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r>
              <w:rPr>
                <w:rFonts w:hint="eastAsia" w:ascii="宋体" w:hAnsi="宋体" w:cs="宋体"/>
                <w:b/>
                <w:color w:val="auto"/>
                <w:szCs w:val="21"/>
                <w:highlight w:val="none"/>
              </w:rPr>
              <w:t>格式中有要求法定代表人或者委托代理人签字的，必须按要求签字（或是电子签名），并加盖供应商电子签章，否则响应文件按无效处理。</w:t>
            </w:r>
          </w:p>
          <w:p w14:paraId="78F2110D">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2.联合体投标时，第1-5项资格证明文件联合体各方均必须分别提供，</w:t>
            </w:r>
            <w:r>
              <w:rPr>
                <w:rFonts w:hint="eastAsia" w:ascii="宋体" w:hAnsi="宋体" w:cs="宋体"/>
                <w:b/>
                <w:color w:val="auto"/>
                <w:szCs w:val="21"/>
                <w:highlight w:val="none"/>
              </w:rPr>
              <w:t>并由联合体牵头人加盖电子签章，规定签字处签字</w:t>
            </w:r>
            <w:r>
              <w:rPr>
                <w:rFonts w:hint="eastAsia" w:ascii="宋体" w:hAnsi="宋体" w:cs="宋体"/>
                <w:b/>
                <w:bCs/>
                <w:color w:val="auto"/>
                <w:szCs w:val="21"/>
                <w:highlight w:val="none"/>
              </w:rPr>
              <w:t>（或者电子签名），否则按无效投标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tc>
      </w:tr>
      <w:tr w14:paraId="666CD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vMerge w:val="continue"/>
            <w:tcBorders>
              <w:left w:val="single" w:color="auto" w:sz="4" w:space="0"/>
              <w:right w:val="single" w:color="auto" w:sz="4" w:space="0"/>
            </w:tcBorders>
            <w:noWrap w:val="0"/>
            <w:vAlign w:val="center"/>
          </w:tcPr>
          <w:p w14:paraId="23E84A58">
            <w:pPr>
              <w:keepNext w:val="0"/>
              <w:keepLines w:val="0"/>
              <w:pageBreakBefore w:val="0"/>
              <w:widowControl w:val="0"/>
              <w:kinsoku/>
              <w:overflowPunct/>
              <w:topLinePunct w:val="0"/>
              <w:bidi w:val="0"/>
              <w:spacing w:line="400" w:lineRule="exact"/>
              <w:rPr>
                <w:rFonts w:hint="eastAsia" w:ascii="宋体" w:hAnsi="宋体" w:cs="宋体"/>
                <w:color w:val="auto"/>
                <w:szCs w:val="21"/>
                <w:highlight w:val="none"/>
              </w:rPr>
            </w:pPr>
            <w:bookmarkStart w:id="67" w:name="_13.3"/>
            <w:bookmarkEnd w:id="67"/>
          </w:p>
        </w:tc>
        <w:tc>
          <w:tcPr>
            <w:tcW w:w="7846" w:type="dxa"/>
            <w:tcBorders>
              <w:top w:val="single" w:color="auto" w:sz="4" w:space="0"/>
              <w:left w:val="single" w:color="auto" w:sz="4" w:space="0"/>
              <w:bottom w:val="single" w:color="auto" w:sz="4" w:space="0"/>
              <w:right w:val="single" w:color="auto" w:sz="4" w:space="0"/>
            </w:tcBorders>
            <w:noWrap w:val="0"/>
            <w:vAlign w:val="center"/>
          </w:tcPr>
          <w:p w14:paraId="5CB52BCC">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b/>
                <w:color w:val="auto"/>
                <w:kern w:val="0"/>
                <w:szCs w:val="21"/>
                <w:highlight w:val="none"/>
              </w:rPr>
              <w:t>商务及技术文件</w:t>
            </w:r>
            <w:r>
              <w:rPr>
                <w:rFonts w:hint="eastAsia" w:ascii="宋体" w:hAnsi="宋体" w:cs="宋体"/>
                <w:b/>
                <w:color w:val="auto"/>
                <w:szCs w:val="21"/>
                <w:highlight w:val="none"/>
              </w:rPr>
              <w:t>：</w:t>
            </w:r>
          </w:p>
          <w:p w14:paraId="2E4636D4">
            <w:pPr>
              <w:pStyle w:val="33"/>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商务文件：</w:t>
            </w:r>
          </w:p>
          <w:p w14:paraId="6162297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1.无串通投标行为的承诺函（格式后附）；（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6FB69D4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2.投标保证金缴纳证明；（</w:t>
            </w:r>
            <w:r>
              <w:rPr>
                <w:rFonts w:hint="eastAsia" w:ascii="宋体" w:hAnsi="宋体" w:cs="宋体"/>
                <w:b/>
                <w:bCs/>
                <w:color w:val="auto"/>
                <w:szCs w:val="21"/>
                <w:highlight w:val="none"/>
              </w:rPr>
              <w:t>如要求提交投标保证金的则必须提供</w:t>
            </w:r>
            <w:r>
              <w:rPr>
                <w:rFonts w:hint="eastAsia" w:ascii="宋体" w:hAnsi="宋体" w:cs="宋体"/>
                <w:b/>
                <w:color w:val="auto"/>
                <w:szCs w:val="21"/>
                <w:highlight w:val="none"/>
              </w:rPr>
              <w:t>，否则按无效投标处理</w:t>
            </w:r>
            <w:r>
              <w:rPr>
                <w:rFonts w:hint="eastAsia" w:ascii="宋体" w:hAnsi="宋体" w:cs="宋体"/>
                <w:color w:val="auto"/>
                <w:szCs w:val="21"/>
                <w:highlight w:val="none"/>
              </w:rPr>
              <w:t>）</w:t>
            </w:r>
          </w:p>
          <w:p w14:paraId="610AF81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3BF338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委托时必须提供，否则按无效投标处理</w:t>
            </w:r>
            <w:r>
              <w:rPr>
                <w:rFonts w:hint="eastAsia" w:ascii="宋体" w:hAnsi="宋体" w:cs="宋体"/>
                <w:color w:val="auto"/>
                <w:szCs w:val="21"/>
                <w:highlight w:val="none"/>
              </w:rPr>
              <w:t>）</w:t>
            </w:r>
          </w:p>
          <w:p w14:paraId="0DD0992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D2FE84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6.售后服务承诺（格式自拟）；（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2B8D59EE">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7.投标人情况介绍（格式自拟）；（如有请提供）</w:t>
            </w:r>
          </w:p>
          <w:p w14:paraId="626AA5C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8.投标人业绩证明材料（格式后附）；（如有请提供）</w:t>
            </w:r>
          </w:p>
          <w:p w14:paraId="1C8F36A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9.除招标文件规定必须提供以外，投标人认为需要提供的其他证明材料（格式自拟）。（投标人根据“第二章 采购需求”及“第四章 评标方法及评标标准”提供有关证明材料）。（如有请提供）</w:t>
            </w:r>
          </w:p>
          <w:p w14:paraId="458D559E">
            <w:pPr>
              <w:pStyle w:val="33"/>
              <w:keepNext w:val="0"/>
              <w:keepLines w:val="0"/>
              <w:pageBreakBefore w:val="0"/>
              <w:widowControl w:val="0"/>
              <w:kinsoku/>
              <w:overflowPunct/>
              <w:topLinePunct w:val="0"/>
              <w:bidi w:val="0"/>
              <w:spacing w:line="400" w:lineRule="exact"/>
              <w:ind w:firstLine="422"/>
              <w:rPr>
                <w:rFonts w:hint="eastAsia" w:hAnsi="宋体" w:cs="宋体"/>
                <w:color w:val="auto"/>
                <w:szCs w:val="21"/>
                <w:highlight w:val="none"/>
              </w:rPr>
            </w:pPr>
            <w:r>
              <w:rPr>
                <w:rFonts w:hint="eastAsia" w:hAnsi="宋体" w:cs="宋体"/>
                <w:color w:val="auto"/>
                <w:szCs w:val="21"/>
                <w:highlight w:val="none"/>
              </w:rPr>
              <w:t>技术文件：</w:t>
            </w:r>
          </w:p>
          <w:p w14:paraId="6776DA3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1.技术要求偏离表（格式后附）；（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234007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2.服务实施方案（格式自拟）；（</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26585C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3.项目实施人员一览表（格式后附）；（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4E5105A8">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4.投标人对本项目的合理化建议和改进措施（格式自拟）；（如有请提供）</w:t>
            </w:r>
          </w:p>
          <w:p w14:paraId="040C865C">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5.除招标文件规定必须提供以外，投标人认为需要提供的其他证明材料（格式自拟）。（投标人根据“第二章 采购需求”及“第四章 评标方法及评标标准”提供有关证明材料）。（如有请提供）</w:t>
            </w:r>
          </w:p>
          <w:p w14:paraId="3AA49513">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注：1.以上标明“必须提供”的材料的，必须加盖投标人电子签章，否则按无效投标处理；</w:t>
            </w:r>
          </w:p>
          <w:p w14:paraId="3B3BD43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cs="宋体"/>
                <w:color w:val="auto"/>
                <w:szCs w:val="21"/>
                <w:highlight w:val="none"/>
              </w:rPr>
            </w:pPr>
            <w:r>
              <w:rPr>
                <w:rFonts w:hint="eastAsia" w:ascii="宋体" w:hAnsi="宋体" w:cs="宋体"/>
                <w:b/>
                <w:bCs/>
                <w:color w:val="auto"/>
                <w:szCs w:val="21"/>
                <w:highlight w:val="none"/>
              </w:rPr>
              <w:t>2.联合体投标时，盖章处须加盖联合体牵头人电子签章，规定签字处签字（或者电子签名），否则响应文件按无效处理。</w:t>
            </w:r>
          </w:p>
        </w:tc>
      </w:tr>
      <w:tr w14:paraId="2B1F3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518760D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68" w:name="_13.4"/>
            <w:bookmarkEnd w:id="68"/>
            <w:bookmarkStart w:id="69" w:name="_16.2"/>
            <w:bookmarkEnd w:id="69"/>
            <w:bookmarkStart w:id="70" w:name="_13.5"/>
            <w:bookmarkEnd w:id="70"/>
            <w:r>
              <w:rPr>
                <w:rFonts w:hint="eastAsia" w:ascii="宋体" w:hAnsi="宋体" w:cs="宋体"/>
                <w:color w:val="auto"/>
                <w:szCs w:val="21"/>
                <w:highlight w:val="none"/>
              </w:rPr>
              <w:t>16</w:t>
            </w:r>
            <w:bookmarkStart w:id="71" w:name="_Hlt19693759"/>
            <w:bookmarkStart w:id="72" w:name="_Hlt19693758"/>
            <w:bookmarkStart w:id="73" w:name="_Hlt19194067"/>
            <w:bookmarkStart w:id="74" w:name="_Hlt19194066"/>
            <w:r>
              <w:rPr>
                <w:rFonts w:hint="eastAsia" w:ascii="宋体" w:hAnsi="宋体" w:cs="宋体"/>
                <w:color w:val="auto"/>
                <w:szCs w:val="21"/>
                <w:highlight w:val="none"/>
              </w:rPr>
              <w:t>.</w:t>
            </w:r>
            <w:bookmarkEnd w:id="71"/>
            <w:bookmarkEnd w:id="72"/>
            <w:bookmarkEnd w:id="73"/>
            <w:bookmarkEnd w:id="74"/>
            <w:r>
              <w:rPr>
                <w:rFonts w:hint="eastAsia" w:ascii="宋体" w:hAnsi="宋体" w:cs="宋体"/>
                <w:color w:val="auto"/>
                <w:szCs w:val="21"/>
                <w:highlight w:val="none"/>
              </w:rPr>
              <w:t>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02EC4E03">
            <w:pPr>
              <w:keepNext w:val="0"/>
              <w:keepLines w:val="0"/>
              <w:pageBreakBefore w:val="0"/>
              <w:widowControl w:val="0"/>
              <w:kinsoku/>
              <w:overflowPunct/>
              <w:topLinePunct w:val="0"/>
              <w:bidi w:val="0"/>
              <w:snapToGrid w:val="0"/>
              <w:spacing w:line="400" w:lineRule="exact"/>
              <w:rPr>
                <w:rFonts w:hint="eastAsia" w:ascii="宋体" w:hAnsi="宋体" w:cs="宋体"/>
                <w:b/>
                <w:i/>
                <w:color w:val="auto"/>
                <w:szCs w:val="21"/>
                <w:highlight w:val="none"/>
              </w:rPr>
            </w:pPr>
            <w:r>
              <w:rPr>
                <w:rFonts w:hint="eastAsia" w:ascii="宋体" w:hAnsi="宋体" w:cs="宋体"/>
                <w:color w:val="auto"/>
                <w:szCs w:val="21"/>
                <w:highlight w:val="none"/>
              </w:rPr>
              <w:t>投标报价是履行合同的最终价格。</w:t>
            </w:r>
          </w:p>
        </w:tc>
      </w:tr>
      <w:tr w14:paraId="070C2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5CC0939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5" w:name="_17.1"/>
            <w:bookmarkEnd w:id="75"/>
            <w:r>
              <w:rPr>
                <w:rFonts w:hint="eastAsia" w:ascii="宋体" w:hAnsi="宋体" w:cs="宋体"/>
                <w:color w:val="auto"/>
                <w:szCs w:val="21"/>
                <w:highlight w:val="none"/>
              </w:rPr>
              <w:t>17.2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344E2FBE">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90</w:t>
            </w:r>
            <w:r>
              <w:rPr>
                <w:rFonts w:hint="eastAsia" w:ascii="宋体" w:hAnsi="宋体" w:cs="宋体"/>
                <w:color w:val="auto"/>
                <w:szCs w:val="21"/>
                <w:highlight w:val="none"/>
              </w:rPr>
              <w:t>日。</w:t>
            </w:r>
          </w:p>
        </w:tc>
      </w:tr>
      <w:tr w14:paraId="363D9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6A2D2BCF">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6" w:name="_18"/>
            <w:bookmarkEnd w:id="76"/>
            <w:r>
              <w:rPr>
                <w:rFonts w:hint="eastAsia" w:ascii="宋体" w:hAnsi="宋体" w:cs="宋体"/>
                <w:color w:val="auto"/>
                <w:szCs w:val="21"/>
                <w:highlight w:val="none"/>
              </w:rPr>
              <w:t>18.1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7391ED68">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□本项目不收取投标保证金。</w:t>
            </w:r>
          </w:p>
          <w:p w14:paraId="3E50885B">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☑本项目收取投标保证金，具体规定</w:t>
            </w:r>
            <w:r>
              <w:rPr>
                <w:rFonts w:hint="eastAsia" w:ascii="宋体" w:hAnsi="宋体" w:eastAsia="宋体" w:cs="宋体"/>
                <w:color w:val="auto"/>
                <w:szCs w:val="21"/>
                <w:highlight w:val="none"/>
                <w:lang w:val="en-US" w:eastAsia="zh-CN"/>
              </w:rPr>
              <w:t>如下：</w:t>
            </w:r>
          </w:p>
          <w:p w14:paraId="2F850F1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投标保证金人民币 </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lang w:eastAsia="zh-CN"/>
              </w:rPr>
              <w:t>000</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元。</w:t>
            </w:r>
          </w:p>
          <w:p w14:paraId="0C520055">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的交纳方式：银行转账、支票、汇票、本票或者金融、担保机构出具的保函（包含电子保函），禁止采用现钞方式。采用银行转账方式的，在投标截止时间前从投标人账户交至指定账户并且到账【开户银行：招商银行南宁分行营业部，开户名称：</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，银行账号：】；采用支票、汇票、本票或者保函等方式的，在投标截止时间前，投标人必须递交单独密封的支票、汇票、本票或者保函原件。否则视为无效投标保证金。</w:t>
            </w:r>
          </w:p>
          <w:p w14:paraId="4A588BE6">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49FCB5B9">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1.投标保证金采用银行转账交纳方式的，在投标截止时间前交至指定账户并且到账，投标人应将银行转账底单的复印件作为投标保证金提交凭证，放置于商务及技术文件中，</w:t>
            </w:r>
            <w:r>
              <w:rPr>
                <w:rFonts w:hint="eastAsia" w:ascii="宋体" w:hAnsi="宋体" w:eastAsia="宋体" w:cs="宋体"/>
                <w:b/>
                <w:bCs/>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645FDEAC">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银行、保险机构出具的保函（包含电子保函）交纳方式的，投标人应将支票、汇票、本票或者银行、保险机构出具的保函（包含电子保函）的复印件作为投标保证金提交凭证，放置于商务及技术文件中，</w:t>
            </w:r>
            <w:r>
              <w:rPr>
                <w:rFonts w:hint="eastAsia" w:ascii="宋体" w:hAnsi="宋体" w:eastAsia="宋体" w:cs="宋体"/>
                <w:b/>
                <w:bCs/>
                <w:color w:val="auto"/>
                <w:szCs w:val="21"/>
                <w:highlight w:val="none"/>
              </w:rPr>
              <w:t>否则投标无效</w:t>
            </w:r>
            <w:r>
              <w:rPr>
                <w:rFonts w:hint="eastAsia" w:ascii="宋体" w:hAnsi="宋体" w:eastAsia="宋体" w:cs="宋体"/>
                <w:color w:val="auto"/>
                <w:szCs w:val="21"/>
                <w:highlight w:val="none"/>
              </w:rPr>
              <w:t>。投标人必须在投标截止时间前采用现场或邮寄方式（现场提交地址：广西壮族自治区公共资源交易中心（广西南宁市青秀区</w:t>
            </w:r>
            <w:r>
              <w:rPr>
                <w:rFonts w:hint="eastAsia" w:ascii="宋体" w:hAnsi="宋体" w:eastAsia="宋体" w:cs="宋体"/>
                <w:color w:val="auto"/>
                <w:szCs w:val="21"/>
                <w:highlight w:val="none"/>
                <w:lang w:eastAsia="zh-CN"/>
              </w:rPr>
              <w:t>星湖路22号开标楼</w:t>
            </w:r>
            <w:r>
              <w:rPr>
                <w:rFonts w:hint="eastAsia" w:ascii="宋体" w:hAnsi="宋体" w:eastAsia="宋体" w:cs="宋体"/>
                <w:color w:val="auto"/>
                <w:szCs w:val="21"/>
                <w:highlight w:val="none"/>
              </w:rPr>
              <w:t>）（具体根据开标当日电子屏幕显示的安排）；邮寄地址：</w:t>
            </w:r>
            <w:r>
              <w:rPr>
                <w:rFonts w:hint="eastAsia" w:ascii="宋体" w:hAnsi="宋体" w:eastAsia="宋体" w:cs="宋体"/>
                <w:color w:val="auto"/>
                <w:szCs w:val="21"/>
                <w:highlight w:val="none"/>
                <w:lang w:eastAsia="zh-CN"/>
              </w:rPr>
              <w:t>南宁市青秀区枫林路18号广西国控集团（枫林路办公区）裙楼三层</w:t>
            </w: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lang w:val="en-US" w:eastAsia="zh-CN"/>
              </w:rPr>
              <w:t>王剑</w:t>
            </w:r>
            <w:r>
              <w:rPr>
                <w:rFonts w:hint="eastAsia" w:ascii="宋体" w:hAnsi="宋体" w:eastAsia="宋体" w:cs="宋体"/>
                <w:color w:val="auto"/>
                <w:szCs w:val="21"/>
                <w:highlight w:val="none"/>
              </w:rPr>
              <w:t>，联系方式：0771-</w:t>
            </w:r>
            <w:r>
              <w:rPr>
                <w:rFonts w:hint="eastAsia" w:ascii="宋体" w:hAnsi="宋体" w:eastAsia="宋体" w:cs="宋体"/>
                <w:color w:val="auto"/>
                <w:szCs w:val="21"/>
                <w:highlight w:val="none"/>
                <w:lang w:val="en-US" w:eastAsia="zh-CN"/>
              </w:rPr>
              <w:t>5824250</w:t>
            </w:r>
            <w:r>
              <w:rPr>
                <w:rFonts w:hint="eastAsia" w:ascii="宋体" w:hAnsi="宋体" w:eastAsia="宋体" w:cs="宋体"/>
                <w:color w:val="auto"/>
                <w:szCs w:val="21"/>
                <w:highlight w:val="none"/>
              </w:rPr>
              <w:t>）将单独密封的支票、汇票、本票或者银行、保险机构出具的保函原件提交给采购人或者采购代理机构，未按时提交的，投标无效，由采购人或者采购代理机构向投标人出具回执（邮寄方式的除外），并妥善保管。</w:t>
            </w:r>
          </w:p>
          <w:p w14:paraId="04EAD502">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投标人为联合体的，可以由联合体中的一方或者多方共同交纳投标保证金，其交纳的保证金对联合体各方均具有约束力。</w:t>
            </w:r>
          </w:p>
          <w:p w14:paraId="7C819C7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备注： </w:t>
            </w:r>
          </w:p>
          <w:p w14:paraId="6D6CBFC0">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1.投标保证金在投标截止时间后提交的，或者不按规定交纳方式交纳的，或者未足额交纳的（包含保函额度不足的），视为无效投标保证金。</w:t>
            </w:r>
          </w:p>
          <w:p w14:paraId="323E6BB4">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2.投标人采用现钞方式或者从个人账户（自然人投标除外）转出的投标保证金，视为无效投标保证金。</w:t>
            </w:r>
          </w:p>
          <w:p w14:paraId="20492A7A">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3.支票、汇票或者本票出现无效或者背书情形的，视为无效投标保证金。</w:t>
            </w:r>
          </w:p>
          <w:p w14:paraId="1E27E85C">
            <w:pPr>
              <w:keepNext w:val="0"/>
              <w:keepLines w:val="0"/>
              <w:pageBreakBefore w:val="0"/>
              <w:widowControl w:val="0"/>
              <w:kinsoku/>
              <w:overflowPunct/>
              <w:topLinePunct w:val="0"/>
              <w:bidi w:val="0"/>
              <w:snapToGrid w:val="0"/>
              <w:spacing w:line="40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4.保函有效期低于投标有效期的，视为无效投标保证金。</w:t>
            </w:r>
          </w:p>
          <w:p w14:paraId="094ADC12">
            <w:pPr>
              <w:keepNext w:val="0"/>
              <w:keepLines w:val="0"/>
              <w:pageBreakBefore w:val="0"/>
              <w:widowControl w:val="0"/>
              <w:kinsoku/>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eastAsia="宋体" w:cs="宋体"/>
                <w:b/>
                <w:bCs/>
                <w:color w:val="auto"/>
                <w:szCs w:val="21"/>
                <w:highlight w:val="none"/>
              </w:rPr>
              <w:t>5.采用银行、保险机构出具保函的，必须为无条件保函，否则视为无效投标保证金。</w:t>
            </w:r>
          </w:p>
        </w:tc>
      </w:tr>
      <w:tr w14:paraId="1AF3E0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93"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8B820B1">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7" w:name="_19.2"/>
            <w:bookmarkEnd w:id="77"/>
            <w:bookmarkStart w:id="78" w:name="_21.1"/>
            <w:bookmarkEnd w:id="78"/>
            <w:r>
              <w:rPr>
                <w:rFonts w:hint="eastAsia" w:ascii="宋体" w:hAnsi="宋体" w:cs="宋体"/>
                <w:color w:val="auto"/>
                <w:szCs w:val="21"/>
                <w:highlight w:val="none"/>
              </w:rPr>
              <w:t>20</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4628112B">
            <w:pPr>
              <w:keepNext w:val="0"/>
              <w:keepLines w:val="0"/>
              <w:pageBreakBefore w:val="0"/>
              <w:widowControl w:val="0"/>
              <w:kinsoku/>
              <w:overflowPunct/>
              <w:topLinePunct w:val="0"/>
              <w:autoSpaceDE w:val="0"/>
              <w:autoSpaceDN w:val="0"/>
              <w:bidi w:val="0"/>
              <w:adjustRightIn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本项目不接受电子备份投标文件 </w:t>
            </w:r>
          </w:p>
        </w:tc>
      </w:tr>
      <w:tr w14:paraId="06CE7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76"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5F0286C">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55AF4E6C">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1.提交投标文件截止时间：详见招标公告</w:t>
            </w:r>
          </w:p>
          <w:p w14:paraId="560E0652">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2.投标地点：详见招标公告</w:t>
            </w:r>
          </w:p>
        </w:tc>
      </w:tr>
      <w:tr w14:paraId="27B11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45712DFE">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79" w:name="_23"/>
            <w:bookmarkEnd w:id="79"/>
            <w:r>
              <w:rPr>
                <w:rFonts w:hint="eastAsia" w:ascii="宋体" w:hAnsi="宋体" w:cs="宋体"/>
                <w:color w:val="auto"/>
                <w:szCs w:val="21"/>
                <w:highlight w:val="none"/>
              </w:rPr>
              <w:t>23</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615D15E5">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1.开标时间：详见招标公告</w:t>
            </w:r>
          </w:p>
          <w:p w14:paraId="3BD842D5">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2.开标地点：详见招标公告</w:t>
            </w:r>
          </w:p>
        </w:tc>
      </w:tr>
      <w:tr w14:paraId="3FE8E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7DA214B7">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24.3（1）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0CF2BAA6">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7F201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755990D8">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0" w:name="_25.3"/>
            <w:bookmarkEnd w:id="80"/>
            <w:r>
              <w:rPr>
                <w:rFonts w:hint="eastAsia" w:ascii="宋体" w:hAnsi="宋体" w:cs="宋体"/>
                <w:color w:val="auto"/>
                <w:szCs w:val="21"/>
                <w:highlight w:val="none"/>
              </w:rPr>
              <w:t>25.3（2）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0570162D">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06763553">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查询渠道：“信用中国”网站（www.creditchina.gov.cn）、中国政府采购网（www.ccgp.gov.cn）。</w:t>
            </w:r>
          </w:p>
          <w:p w14:paraId="47F5109A">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06F19162">
            <w:pPr>
              <w:keepNext w:val="0"/>
              <w:keepLines w:val="0"/>
              <w:pageBreakBefore w:val="0"/>
              <w:widowControl w:val="0"/>
              <w:kinsoku/>
              <w:wordWrap w:val="0"/>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）作为附件上传保存。</w:t>
            </w:r>
          </w:p>
          <w:p w14:paraId="4CAD9CDD">
            <w:pPr>
              <w:keepNext w:val="0"/>
              <w:keepLines w:val="0"/>
              <w:pageBreakBefore w:val="0"/>
              <w:widowControl w:val="0"/>
              <w:kinsoku/>
              <w:wordWrap w:val="0"/>
              <w:overflowPunct/>
              <w:topLinePunct w:val="0"/>
              <w:bidi w:val="0"/>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或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51934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50C3A46A">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szCs w:val="21"/>
                <w:highlight w:val="none"/>
              </w:rPr>
            </w:pPr>
            <w:bookmarkStart w:id="81" w:name="_26"/>
            <w:bookmarkEnd w:id="81"/>
            <w:r>
              <w:rPr>
                <w:rFonts w:hint="eastAsia" w:ascii="宋体" w:hAnsi="宋体" w:eastAsia="宋体" w:cs="宋体"/>
                <w:color w:val="auto"/>
                <w:szCs w:val="21"/>
                <w:highlight w:val="none"/>
              </w:rPr>
              <w:t>26.1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5BBE887B">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评标委员会的人数</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single"/>
                <w:lang w:val="en-US" w:eastAsia="zh-CN"/>
              </w:rPr>
              <w:t>7</w:t>
            </w:r>
            <w:r>
              <w:rPr>
                <w:rFonts w:hint="eastAsia" w:ascii="宋体" w:hAnsi="宋体" w:eastAsia="宋体" w:cs="宋体"/>
                <w:color w:val="auto"/>
                <w:szCs w:val="21"/>
                <w:highlight w:val="none"/>
              </w:rPr>
              <w:t>人</w:t>
            </w:r>
          </w:p>
        </w:tc>
      </w:tr>
      <w:tr w14:paraId="7F121C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DE686D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2" w:name="_28.3"/>
            <w:bookmarkEnd w:id="82"/>
            <w:r>
              <w:rPr>
                <w:rFonts w:hint="eastAsia" w:ascii="宋体" w:hAnsi="宋体" w:cs="宋体"/>
                <w:color w:val="auto"/>
                <w:szCs w:val="21"/>
                <w:highlight w:val="none"/>
              </w:rPr>
              <w:t>29.1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36CC50D3">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评标方法：综合评分法</w:t>
            </w:r>
          </w:p>
        </w:tc>
      </w:tr>
      <w:tr w14:paraId="19E340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EF1F44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3" w:name="_29.2.2（2）"/>
            <w:bookmarkEnd w:id="83"/>
            <w:r>
              <w:rPr>
                <w:rFonts w:hint="eastAsia" w:ascii="宋体" w:hAnsi="宋体" w:cs="宋体"/>
                <w:color w:val="auto"/>
                <w:szCs w:val="21"/>
                <w:highlight w:val="none"/>
              </w:rPr>
              <w:t>29.2</w:t>
            </w:r>
          </w:p>
        </w:tc>
        <w:tc>
          <w:tcPr>
            <w:tcW w:w="7846" w:type="dxa"/>
            <w:tcBorders>
              <w:top w:val="single" w:color="auto" w:sz="4" w:space="0"/>
              <w:left w:val="single" w:color="auto" w:sz="4" w:space="0"/>
              <w:right w:val="single" w:color="auto" w:sz="4" w:space="0"/>
            </w:tcBorders>
            <w:noWrap w:val="0"/>
            <w:vAlign w:val="center"/>
          </w:tcPr>
          <w:p w14:paraId="60A5A84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72891352">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08030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trPr>
        <w:tc>
          <w:tcPr>
            <w:tcW w:w="888" w:type="dxa"/>
            <w:tcBorders>
              <w:top w:val="single" w:color="auto" w:sz="4" w:space="0"/>
              <w:left w:val="single" w:color="auto" w:sz="4" w:space="0"/>
              <w:right w:val="single" w:color="auto" w:sz="4" w:space="0"/>
            </w:tcBorders>
            <w:noWrap w:val="0"/>
            <w:vAlign w:val="center"/>
          </w:tcPr>
          <w:p w14:paraId="24549DE3">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29.3</w:t>
            </w:r>
          </w:p>
        </w:tc>
        <w:tc>
          <w:tcPr>
            <w:tcW w:w="7846" w:type="dxa"/>
            <w:tcBorders>
              <w:top w:val="single" w:color="auto" w:sz="4" w:space="0"/>
              <w:left w:val="single" w:color="auto" w:sz="4" w:space="0"/>
              <w:right w:val="single" w:color="auto" w:sz="4" w:space="0"/>
            </w:tcBorders>
            <w:noWrap w:val="0"/>
            <w:vAlign w:val="center"/>
          </w:tcPr>
          <w:p w14:paraId="52476871">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中标候选人推荐数量：</w:t>
            </w:r>
            <w:r>
              <w:rPr>
                <w:rFonts w:hint="eastAsia" w:ascii="宋体" w:hAnsi="宋体" w:cs="宋体"/>
                <w:color w:val="auto"/>
                <w:szCs w:val="21"/>
                <w:highlight w:val="none"/>
                <w:u w:val="single"/>
              </w:rPr>
              <w:t>3</w:t>
            </w:r>
            <w:r>
              <w:rPr>
                <w:rFonts w:hint="eastAsia" w:ascii="宋体" w:hAnsi="宋体" w:cs="宋体"/>
                <w:color w:val="auto"/>
                <w:szCs w:val="21"/>
                <w:highlight w:val="none"/>
              </w:rPr>
              <w:t>名</w:t>
            </w:r>
          </w:p>
        </w:tc>
      </w:tr>
      <w:tr w14:paraId="576BA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06ED0086">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30.1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6CD9475D">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采用综合评分法的采购项目，采购人确定中标人时，出现中标候选人并列的情形，采购人按以下的方式确定中标人：</w:t>
            </w:r>
            <w:r>
              <w:rPr>
                <w:rFonts w:hint="eastAsia" w:ascii="宋体" w:hAnsi="宋体" w:cs="宋体"/>
                <w:iCs/>
                <w:color w:val="auto"/>
                <w:szCs w:val="21"/>
                <w:highlight w:val="none"/>
              </w:rPr>
              <w:t>依次按投标报价低的优先、投标报价评分得分高的优先、服务方案评分高的顺序确定；按上述方式无法确定的，由采购人随机抽取。</w:t>
            </w:r>
          </w:p>
        </w:tc>
      </w:tr>
      <w:tr w14:paraId="7DEDE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6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61E36D7">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4" w:name="_39.1"/>
            <w:bookmarkEnd w:id="84"/>
            <w:r>
              <w:rPr>
                <w:rFonts w:hint="eastAsia" w:ascii="宋体" w:hAnsi="宋体" w:cs="宋体"/>
                <w:color w:val="auto"/>
                <w:szCs w:val="21"/>
                <w:highlight w:val="none"/>
              </w:rPr>
              <w:t>35.1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14A2FD8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本项目不收取履约保证金。</w:t>
            </w:r>
          </w:p>
          <w:p w14:paraId="585827ED">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eastAsia="宋体" w:cs="宋体"/>
                <w:iCs/>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本项目收取履约保证金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rPr>
              <w:t>具体规定详见第</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章《</w:t>
            </w:r>
            <w:r>
              <w:rPr>
                <w:rFonts w:hint="eastAsia" w:ascii="宋体" w:hAnsi="宋体" w:cs="宋体"/>
                <w:color w:val="auto"/>
                <w:szCs w:val="21"/>
                <w:highlight w:val="none"/>
                <w:lang w:val="en-US" w:eastAsia="zh-CN"/>
              </w:rPr>
              <w:t>采购需求</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商务要求</w:t>
            </w:r>
            <w:r>
              <w:rPr>
                <w:rFonts w:hint="eastAsia" w:ascii="宋体" w:hAnsi="宋体" w:cs="宋体"/>
                <w:color w:val="auto"/>
                <w:szCs w:val="21"/>
                <w:highlight w:val="none"/>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履约</w:t>
            </w:r>
            <w:r>
              <w:rPr>
                <w:rFonts w:hint="eastAsia" w:ascii="宋体" w:hAnsi="宋体" w:cs="宋体"/>
                <w:color w:val="auto"/>
                <w:szCs w:val="21"/>
                <w:highlight w:val="none"/>
              </w:rPr>
              <w:t>保证金”的要求。</w:t>
            </w:r>
          </w:p>
          <w:p w14:paraId="4E95B567">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备注：</w:t>
            </w:r>
          </w:p>
          <w:p w14:paraId="75BE3461">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1. 根据《广西壮族自治区财政厅关于贯彻落实政府采购优化营商环境百日攻坚行动方案的通知》（桂财采〔2020〕49号）规定、广西壮族自治区财政厅关于规范政府采购货物和服务项目保证金管理的通知（桂财规〔2022〕8号 ）和《广西壮族自治区财政厅关于持续优化政府采购营商环境推动高质量发展的通知》（桂财采〔2024〕55 号），采购文件要求中标或者中标人提交履约保证金的，履约保证金数额不得超过政府采购合同金额的5%，对中小企业收取的履约保证金数额不得超过政府采购合同金额的2%。采购人可根据供应商的资信等情况减免履约保证金。</w:t>
            </w:r>
          </w:p>
          <w:p w14:paraId="41A2CF33">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1AC2DBB3">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b/>
                <w:iCs/>
                <w:color w:val="auto"/>
                <w:szCs w:val="21"/>
                <w:highlight w:val="none"/>
              </w:rPr>
            </w:pPr>
            <w:r>
              <w:rPr>
                <w:rFonts w:hint="eastAsia" w:ascii="宋体" w:hAnsi="宋体" w:cs="宋体"/>
                <w:b/>
                <w:iCs/>
                <w:color w:val="auto"/>
                <w:szCs w:val="21"/>
                <w:highlight w:val="none"/>
              </w:rPr>
              <w:t>3.采用银行、保险机构出具的保函的，必须为无条件保函，否则不予签订合同。</w:t>
            </w:r>
          </w:p>
          <w:p w14:paraId="45C14E8A">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b/>
                <w:iCs/>
                <w:color w:val="auto"/>
                <w:szCs w:val="21"/>
                <w:highlight w:val="none"/>
              </w:rPr>
              <w:t>4.投标人为联合体的，由联合体其中一方按规定提交的履约保证金，视为有效履约保证金。</w:t>
            </w:r>
          </w:p>
        </w:tc>
      </w:tr>
      <w:tr w14:paraId="1438C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184CDB43">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5" w:name="_40.1"/>
            <w:bookmarkEnd w:id="85"/>
            <w:r>
              <w:rPr>
                <w:rFonts w:hint="eastAsia" w:ascii="宋体" w:hAnsi="宋体" w:cs="宋体"/>
                <w:color w:val="auto"/>
                <w:szCs w:val="21"/>
                <w:highlight w:val="none"/>
              </w:rPr>
              <w:t>36.1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6DEC0AEF">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签订合同携带的证明材料：</w:t>
            </w:r>
          </w:p>
          <w:p w14:paraId="05399358">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06108600">
            <w:pPr>
              <w:keepNext w:val="0"/>
              <w:keepLines w:val="0"/>
              <w:pageBreakBefore w:val="0"/>
              <w:widowControl w:val="0"/>
              <w:kinsoku/>
              <w:overflowPunct/>
              <w:topLinePunct w:val="0"/>
              <w:autoSpaceDE w:val="0"/>
              <w:autoSpaceDN w:val="0"/>
              <w:bidi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74398E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543DC51D">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38.2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09290E53">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412EA6F4">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质疑联系部门及联系方式：</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0771-5824250</w:t>
            </w:r>
            <w:r>
              <w:rPr>
                <w:rFonts w:hint="eastAsia" w:ascii="宋体" w:hAnsi="宋体" w:cs="宋体"/>
                <w:color w:val="auto"/>
                <w:szCs w:val="21"/>
                <w:highlight w:val="none"/>
              </w:rPr>
              <w:t>，通讯地址：</w:t>
            </w:r>
            <w:r>
              <w:rPr>
                <w:rFonts w:hint="eastAsia" w:ascii="宋体" w:hAnsi="宋体" w:cs="宋体"/>
                <w:color w:val="auto"/>
                <w:szCs w:val="21"/>
                <w:highlight w:val="none"/>
                <w:lang w:eastAsia="zh-CN"/>
              </w:rPr>
              <w:t>广西建设工程机电设备招标中心有限公司</w:t>
            </w:r>
            <w:r>
              <w:rPr>
                <w:rFonts w:hint="eastAsia" w:ascii="宋体" w:hAnsi="宋体" w:cs="宋体"/>
                <w:color w:val="auto"/>
                <w:szCs w:val="21"/>
                <w:highlight w:val="none"/>
              </w:rPr>
              <w:t>（</w:t>
            </w:r>
            <w:r>
              <w:rPr>
                <w:rFonts w:hint="eastAsia" w:ascii="宋体" w:hAnsi="宋体" w:cs="宋体"/>
                <w:color w:val="auto"/>
                <w:szCs w:val="21"/>
                <w:highlight w:val="none"/>
                <w:lang w:eastAsia="zh-CN"/>
              </w:rPr>
              <w:t>广西南宁市青秀区枫林路18号广西国控大厦（枫林路办公区）裙楼三楼</w:t>
            </w:r>
            <w:r>
              <w:rPr>
                <w:rFonts w:hint="eastAsia" w:ascii="宋体" w:hAnsi="宋体" w:cs="宋体"/>
                <w:color w:val="auto"/>
                <w:szCs w:val="21"/>
                <w:highlight w:val="none"/>
              </w:rPr>
              <w:t>）</w:t>
            </w:r>
          </w:p>
          <w:p w14:paraId="1D110A58">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业务时间：工作日每天上午8时30分到12时00分，下午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0分到</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0分。</w:t>
            </w:r>
          </w:p>
        </w:tc>
      </w:tr>
      <w:tr w14:paraId="7C90B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74CE52C4">
            <w:pPr>
              <w:keepNext w:val="0"/>
              <w:keepLines w:val="0"/>
              <w:pageBreakBefore w:val="0"/>
              <w:widowControl w:val="0"/>
              <w:kinsoku/>
              <w:overflowPunct/>
              <w:topLinePunct w:val="0"/>
              <w:bidi w:val="0"/>
              <w:spacing w:line="400" w:lineRule="exact"/>
              <w:jc w:val="center"/>
              <w:rPr>
                <w:rFonts w:hint="eastAsia" w:ascii="宋体" w:hAnsi="宋体" w:cs="宋体"/>
                <w:color w:val="auto"/>
                <w:szCs w:val="21"/>
                <w:highlight w:val="none"/>
              </w:rPr>
            </w:pPr>
            <w:bookmarkStart w:id="86" w:name="_42"/>
            <w:bookmarkEnd w:id="86"/>
            <w:bookmarkStart w:id="87" w:name="_41"/>
            <w:bookmarkEnd w:id="87"/>
            <w:bookmarkStart w:id="88" w:name="_Hlt17709148"/>
            <w:r>
              <w:rPr>
                <w:rFonts w:hint="eastAsia" w:ascii="宋体" w:hAnsi="宋体" w:cs="宋体"/>
                <w:color w:val="auto"/>
                <w:szCs w:val="21"/>
                <w:highlight w:val="none"/>
              </w:rPr>
              <w:t>3</w:t>
            </w:r>
            <w:bookmarkEnd w:id="88"/>
            <w:r>
              <w:rPr>
                <w:rFonts w:hint="eastAsia" w:ascii="宋体" w:hAnsi="宋体" w:cs="宋体"/>
                <w:color w:val="auto"/>
                <w:szCs w:val="21"/>
                <w:highlight w:val="none"/>
              </w:rPr>
              <w:t>9.1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52B4D9F2">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1.采购代理费支付方式：本项目代理服务费由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1CECD931">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2.采购代理费收取标准：</w:t>
            </w:r>
          </w:p>
          <w:p w14:paraId="678AF672">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以中标金额为计费额，按本须知正文第39.1条规定的收费计算标准（服务类）采用差额定率累进法计算出收费基准价格，采购代理收费以收费</w:t>
            </w:r>
            <w:r>
              <w:rPr>
                <w:rFonts w:hint="eastAsia" w:hAnsi="宋体" w:cs="宋体"/>
                <w:color w:val="auto"/>
                <w:highlight w:val="none"/>
                <w:lang w:val="en-US" w:eastAsia="zh-CN"/>
              </w:rPr>
              <w:t>标准</w:t>
            </w:r>
            <w:r>
              <w:rPr>
                <w:rFonts w:hint="eastAsia" w:hAnsi="宋体" w:cs="宋体"/>
                <w:color w:val="auto"/>
                <w:highlight w:val="none"/>
              </w:rPr>
              <w:t>收取。</w:t>
            </w:r>
          </w:p>
          <w:p w14:paraId="263B0607">
            <w:pPr>
              <w:keepNext w:val="0"/>
              <w:keepLines w:val="0"/>
              <w:pageBreakBefore w:val="0"/>
              <w:widowControl w:val="0"/>
              <w:kinsoku/>
              <w:overflowPunct/>
              <w:topLinePunct w:val="0"/>
              <w:bidi w:val="0"/>
              <w:snapToGrid w:val="0"/>
              <w:spacing w:line="400" w:lineRule="exac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3.账户名称：</w:t>
            </w:r>
            <w:r>
              <w:rPr>
                <w:rFonts w:hint="eastAsia" w:ascii="宋体" w:hAnsi="宋体" w:cs="宋体"/>
                <w:color w:val="auto"/>
                <w:kern w:val="0"/>
                <w:szCs w:val="21"/>
                <w:highlight w:val="none"/>
                <w:lang w:eastAsia="zh-CN"/>
              </w:rPr>
              <w:t>广西建设工程机电设备招标中心有限公司</w:t>
            </w:r>
          </w:p>
          <w:p w14:paraId="62B79E9A">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lang w:eastAsia="zh-CN"/>
              </w:rPr>
            </w:pPr>
            <w:r>
              <w:rPr>
                <w:rFonts w:hint="eastAsia" w:hAnsi="宋体" w:cs="宋体"/>
                <w:color w:val="auto"/>
                <w:highlight w:val="none"/>
              </w:rPr>
              <w:t>银行账号：</w:t>
            </w:r>
          </w:p>
          <w:p w14:paraId="6CED60D5">
            <w:pPr>
              <w:pStyle w:val="20"/>
              <w:keepNext w:val="0"/>
              <w:keepLines w:val="0"/>
              <w:pageBreakBefore w:val="0"/>
              <w:widowControl w:val="0"/>
              <w:kinsoku/>
              <w:overflowPunct/>
              <w:topLinePunct w:val="0"/>
              <w:bidi w:val="0"/>
              <w:snapToGrid w:val="0"/>
              <w:spacing w:line="400" w:lineRule="exact"/>
              <w:rPr>
                <w:rFonts w:hint="eastAsia" w:hAnsi="宋体" w:cs="宋体"/>
                <w:color w:val="auto"/>
                <w:highlight w:val="none"/>
              </w:rPr>
            </w:pPr>
            <w:r>
              <w:rPr>
                <w:rFonts w:hint="eastAsia" w:hAnsi="宋体" w:cs="宋体"/>
                <w:color w:val="auto"/>
                <w:highlight w:val="none"/>
              </w:rPr>
              <w:t>开户银行：</w:t>
            </w:r>
            <w:r>
              <w:rPr>
                <w:rFonts w:hint="eastAsia" w:hAnsi="宋体" w:cs="宋体"/>
                <w:color w:val="auto"/>
                <w:highlight w:val="none"/>
                <w:lang w:eastAsia="zh-CN"/>
              </w:rPr>
              <w:t>招商银行南宁分行营业部</w:t>
            </w:r>
          </w:p>
        </w:tc>
      </w:tr>
      <w:tr w14:paraId="70697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0D743058">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40.1</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4CE7B6EC">
            <w:pPr>
              <w:keepNext w:val="0"/>
              <w:keepLines w:val="0"/>
              <w:pageBreakBefore w:val="0"/>
              <w:widowControl w:val="0"/>
              <w:kinsoku/>
              <w:overflowPunct/>
              <w:topLinePunct w:val="0"/>
              <w:bidi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6C66B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88" w:type="dxa"/>
            <w:tcBorders>
              <w:top w:val="single" w:color="auto" w:sz="4" w:space="0"/>
              <w:left w:val="single" w:color="auto" w:sz="4" w:space="0"/>
              <w:bottom w:val="single" w:color="auto" w:sz="4" w:space="0"/>
              <w:right w:val="single" w:color="auto" w:sz="4" w:space="0"/>
            </w:tcBorders>
            <w:noWrap w:val="0"/>
            <w:vAlign w:val="center"/>
          </w:tcPr>
          <w:p w14:paraId="4536B46D">
            <w:pPr>
              <w:keepNext w:val="0"/>
              <w:keepLines w:val="0"/>
              <w:pageBreakBefore w:val="0"/>
              <w:widowControl w:val="0"/>
              <w:kinsoku/>
              <w:overflowPunct/>
              <w:topLinePunct w:val="0"/>
              <w:bidi w:val="0"/>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40.2</w:t>
            </w:r>
          </w:p>
        </w:tc>
        <w:tc>
          <w:tcPr>
            <w:tcW w:w="7846" w:type="dxa"/>
            <w:tcBorders>
              <w:top w:val="single" w:color="auto" w:sz="4" w:space="0"/>
              <w:left w:val="single" w:color="auto" w:sz="4" w:space="0"/>
              <w:bottom w:val="single" w:color="auto" w:sz="4" w:space="0"/>
              <w:right w:val="single" w:color="auto" w:sz="4" w:space="0"/>
            </w:tcBorders>
            <w:noWrap w:val="0"/>
            <w:vAlign w:val="center"/>
          </w:tcPr>
          <w:p w14:paraId="6B1C6101">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93C0758">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2.本招标文件所称的“</w:t>
            </w:r>
            <w:r>
              <w:rPr>
                <w:rFonts w:hint="eastAsia" w:hAnsi="宋体" w:cs="宋体"/>
                <w:color w:val="auto"/>
                <w:highlight w:val="none"/>
              </w:rPr>
              <w:t>电子签章</w:t>
            </w:r>
            <w:r>
              <w:rPr>
                <w:rFonts w:hint="eastAsia" w:hAnsi="宋体" w:cs="宋体"/>
                <w:bCs/>
                <w:color w:val="auto"/>
                <w:highlight w:val="none"/>
              </w:rPr>
              <w:t>”、“电子签名”</w:t>
            </w:r>
            <w:r>
              <w:rPr>
                <w:rFonts w:hint="eastAsia" w:hAnsi="宋体" w:cs="宋体"/>
                <w:color w:val="auto"/>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35AA15C3">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7190E06">
            <w:pPr>
              <w:pStyle w:val="20"/>
              <w:keepNext w:val="0"/>
              <w:keepLines w:val="0"/>
              <w:pageBreakBefore w:val="0"/>
              <w:widowControl w:val="0"/>
              <w:kinsoku/>
              <w:overflowPunct/>
              <w:topLinePunct w:val="0"/>
              <w:bidi w:val="0"/>
              <w:snapToGrid w:val="0"/>
              <w:spacing w:line="400" w:lineRule="exact"/>
              <w:rPr>
                <w:rFonts w:hint="eastAsia" w:hAnsi="宋体" w:cs="宋体"/>
                <w:bCs/>
                <w:color w:val="auto"/>
                <w:highlight w:val="none"/>
              </w:rPr>
            </w:pPr>
            <w:r>
              <w:rPr>
                <w:rFonts w:hint="eastAsia" w:hAnsi="宋体" w:cs="宋体"/>
                <w:bCs/>
                <w:color w:val="auto"/>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728E456B">
            <w:pPr>
              <w:keepNext w:val="0"/>
              <w:keepLines w:val="0"/>
              <w:pageBreakBefore w:val="0"/>
              <w:widowControl w:val="0"/>
              <w:kinsoku/>
              <w:overflowPunct/>
              <w:topLinePunct w:val="0"/>
              <w:bidi w:val="0"/>
              <w:spacing w:line="400" w:lineRule="exact"/>
              <w:jc w:val="left"/>
              <w:rPr>
                <w:rFonts w:hint="eastAsia"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bCs/>
                <w:color w:val="auto"/>
                <w:kern w:val="0"/>
                <w:szCs w:val="21"/>
                <w:highlight w:val="none"/>
              </w:rPr>
              <w:t>本招标文件所称的“以上”“以下”“以内”“届满”，包括本数；所称的“不满”“超过”“以外”，不包括本数。</w:t>
            </w:r>
          </w:p>
        </w:tc>
      </w:tr>
    </w:tbl>
    <w:p w14:paraId="7DF7B3D6">
      <w:pPr>
        <w:snapToGrid w:val="0"/>
        <w:rPr>
          <w:rFonts w:hint="eastAsia" w:ascii="宋体" w:hAnsi="宋体" w:cs="宋体"/>
          <w:color w:val="auto"/>
          <w:sz w:val="24"/>
          <w:szCs w:val="20"/>
          <w:highlight w:val="none"/>
        </w:rPr>
      </w:pPr>
    </w:p>
    <w:p w14:paraId="0D1FE97A">
      <w:pPr>
        <w:snapToGrid w:val="0"/>
        <w:rPr>
          <w:rFonts w:hint="eastAsia" w:ascii="宋体" w:hAnsi="宋体" w:cs="宋体"/>
          <w:color w:val="auto"/>
          <w:sz w:val="24"/>
          <w:szCs w:val="20"/>
          <w:highlight w:val="none"/>
        </w:rPr>
      </w:pPr>
    </w:p>
    <w:p w14:paraId="7EACE0AA">
      <w:pPr>
        <w:pStyle w:val="4"/>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89" w:name="_Toc4106"/>
      <w:bookmarkStart w:id="90" w:name="_Toc21607"/>
      <w:bookmarkStart w:id="91" w:name="_Toc978"/>
      <w:r>
        <w:rPr>
          <w:rFonts w:hint="eastAsia" w:ascii="宋体" w:hAnsi="宋体" w:eastAsia="宋体" w:cs="宋体"/>
          <w:color w:val="auto"/>
          <w:highlight w:val="none"/>
        </w:rPr>
        <w:t>投标人须知正文</w:t>
      </w:r>
      <w:bookmarkEnd w:id="89"/>
      <w:bookmarkEnd w:id="90"/>
      <w:bookmarkEnd w:id="91"/>
    </w:p>
    <w:p w14:paraId="7374EE6A">
      <w:pPr>
        <w:pStyle w:val="5"/>
        <w:keepNext w:val="0"/>
        <w:keepLines w:val="0"/>
        <w:jc w:val="center"/>
        <w:rPr>
          <w:rFonts w:hint="eastAsia" w:ascii="宋体" w:hAnsi="宋体" w:cs="宋体"/>
          <w:color w:val="auto"/>
          <w:highlight w:val="none"/>
        </w:rPr>
      </w:pPr>
      <w:bookmarkStart w:id="92" w:name="_Toc7551"/>
      <w:bookmarkStart w:id="93" w:name="_Toc1149"/>
      <w:r>
        <w:rPr>
          <w:rFonts w:hint="eastAsia" w:ascii="宋体" w:hAnsi="宋体" w:cs="宋体"/>
          <w:color w:val="auto"/>
          <w:highlight w:val="none"/>
        </w:rPr>
        <w:t>一、总  则</w:t>
      </w:r>
      <w:bookmarkEnd w:id="92"/>
      <w:bookmarkEnd w:id="93"/>
    </w:p>
    <w:p w14:paraId="62631672">
      <w:pPr>
        <w:spacing w:line="440" w:lineRule="exact"/>
        <w:ind w:firstLine="480" w:firstLineChars="200"/>
        <w:rPr>
          <w:rFonts w:hint="eastAsia" w:ascii="宋体" w:hAnsi="宋体" w:cs="宋体"/>
          <w:b/>
          <w:color w:val="auto"/>
          <w:sz w:val="24"/>
          <w:highlight w:val="none"/>
        </w:rPr>
      </w:pPr>
      <w:bookmarkStart w:id="94" w:name="_Toc254970527"/>
      <w:bookmarkStart w:id="95" w:name="_Toc254970668"/>
      <w:r>
        <w:rPr>
          <w:rFonts w:hint="eastAsia" w:ascii="宋体" w:hAnsi="宋体" w:cs="宋体"/>
          <w:b/>
          <w:color w:val="auto"/>
          <w:sz w:val="24"/>
          <w:highlight w:val="none"/>
        </w:rPr>
        <w:t>1.适用范围</w:t>
      </w:r>
      <w:bookmarkEnd w:id="94"/>
      <w:bookmarkEnd w:id="95"/>
    </w:p>
    <w:p w14:paraId="669D877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ADF793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C0AD408">
      <w:pPr>
        <w:spacing w:line="440" w:lineRule="exact"/>
        <w:ind w:firstLine="480" w:firstLineChars="200"/>
        <w:rPr>
          <w:rFonts w:hint="eastAsia" w:ascii="宋体" w:hAnsi="宋体" w:cs="宋体"/>
          <w:b/>
          <w:color w:val="auto"/>
          <w:sz w:val="24"/>
          <w:highlight w:val="none"/>
        </w:rPr>
      </w:pPr>
      <w:bookmarkStart w:id="96" w:name="_Toc254970528"/>
      <w:bookmarkStart w:id="97" w:name="_Toc254970669"/>
      <w:r>
        <w:rPr>
          <w:rFonts w:hint="eastAsia" w:ascii="宋体" w:hAnsi="宋体" w:cs="宋体"/>
          <w:b/>
          <w:color w:val="auto"/>
          <w:sz w:val="24"/>
          <w:highlight w:val="none"/>
        </w:rPr>
        <w:t>2.定义</w:t>
      </w:r>
      <w:bookmarkEnd w:id="96"/>
      <w:bookmarkEnd w:id="97"/>
    </w:p>
    <w:p w14:paraId="75D443FE">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211A7415">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5AA418EC">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4703B7A">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5E57157F">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2.5“服务”是指除货物和工程以外的其他政府采购对象。</w:t>
      </w:r>
    </w:p>
    <w:p w14:paraId="2DE0FFF4">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62B41FBF">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2.7“实质性要求”是指招标文件中已经指明不满足则投标无效的条款，或者不能负偏离的条款，或者采购需求中带“▲”的条款。</w:t>
      </w:r>
    </w:p>
    <w:p w14:paraId="5993F7E0">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3283A4E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098774A">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98" w:name="_Toc254970670"/>
      <w:bookmarkStart w:id="99" w:name="_Toc254970529"/>
    </w:p>
    <w:p w14:paraId="7609F12E">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w:t>
      </w:r>
      <w:bookmarkEnd w:id="98"/>
      <w:bookmarkEnd w:id="99"/>
      <w:r>
        <w:rPr>
          <w:rFonts w:hint="eastAsia" w:ascii="宋体" w:hAnsi="宋体" w:cs="宋体"/>
          <w:b/>
          <w:color w:val="auto"/>
          <w:sz w:val="24"/>
          <w:highlight w:val="none"/>
        </w:rPr>
        <w:t>投标人的资格要求</w:t>
      </w:r>
    </w:p>
    <w:p w14:paraId="476BD8D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32E07780">
      <w:pPr>
        <w:spacing w:line="440" w:lineRule="exact"/>
        <w:ind w:firstLine="480" w:firstLineChars="200"/>
        <w:rPr>
          <w:rFonts w:hint="eastAsia" w:ascii="宋体" w:hAnsi="宋体" w:cs="宋体"/>
          <w:b/>
          <w:color w:val="auto"/>
          <w:sz w:val="24"/>
          <w:highlight w:val="none"/>
        </w:rPr>
      </w:pPr>
      <w:bookmarkStart w:id="100" w:name="_Toc254970671"/>
      <w:bookmarkStart w:id="101" w:name="_Toc254970530"/>
      <w:r>
        <w:rPr>
          <w:rFonts w:hint="eastAsia" w:ascii="宋体" w:hAnsi="宋体" w:cs="宋体"/>
          <w:b/>
          <w:color w:val="auto"/>
          <w:sz w:val="24"/>
          <w:highlight w:val="none"/>
        </w:rPr>
        <w:t>4.投标委托</w:t>
      </w:r>
      <w:bookmarkEnd w:id="100"/>
      <w:bookmarkEnd w:id="101"/>
    </w:p>
    <w:p w14:paraId="4E5796A2">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47C2DA98">
      <w:pPr>
        <w:spacing w:line="440" w:lineRule="exact"/>
        <w:ind w:firstLine="480" w:firstLineChars="200"/>
        <w:rPr>
          <w:rFonts w:hint="eastAsia" w:ascii="宋体" w:hAnsi="宋体" w:cs="宋体"/>
          <w:b/>
          <w:color w:val="auto"/>
          <w:sz w:val="24"/>
          <w:highlight w:val="none"/>
        </w:rPr>
      </w:pPr>
      <w:bookmarkStart w:id="102" w:name="_5.投标费用"/>
      <w:bookmarkEnd w:id="102"/>
      <w:bookmarkStart w:id="103" w:name="_Toc254970531"/>
      <w:bookmarkStart w:id="104" w:name="_Toc254970672"/>
      <w:r>
        <w:rPr>
          <w:rFonts w:hint="eastAsia" w:ascii="宋体" w:hAnsi="宋体" w:cs="宋体"/>
          <w:b/>
          <w:color w:val="auto"/>
          <w:sz w:val="24"/>
          <w:highlight w:val="none"/>
        </w:rPr>
        <w:t>5.投标费用</w:t>
      </w:r>
      <w:bookmarkEnd w:id="103"/>
      <w:bookmarkEnd w:id="104"/>
    </w:p>
    <w:p w14:paraId="0A85EB0F">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34297660">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6.联合体投标</w:t>
      </w:r>
    </w:p>
    <w:p w14:paraId="422286AE">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0CE886AF">
      <w:pPr>
        <w:snapToGrid w:val="0"/>
        <w:spacing w:line="44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173A638C">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bCs/>
          <w:color w:val="auto"/>
          <w:szCs w:val="21"/>
          <w:highlight w:val="none"/>
        </w:rPr>
        <w:t>6.3</w:t>
      </w:r>
      <w:r>
        <w:rPr>
          <w:rFonts w:hint="eastAsia" w:ascii="宋体" w:hAnsi="宋体" w:cs="宋体"/>
          <w:color w:val="auto"/>
          <w:szCs w:val="21"/>
          <w:highlight w:val="none"/>
        </w:rPr>
        <w:t>根据《政府采购促进中小企业发展管理办法》（财库〔2020〕46号）第九条第二款、《财政部关于进一步加大政府采购支持中小企业力度的通知》（财库〔2022〕19号）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p>
    <w:p w14:paraId="5D4B12E4">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7.转包与分包</w:t>
      </w:r>
    </w:p>
    <w:p w14:paraId="3FF853EC">
      <w:pPr>
        <w:snapToGrid w:val="0"/>
        <w:spacing w:line="440" w:lineRule="exact"/>
        <w:ind w:firstLine="420" w:firstLineChars="200"/>
        <w:jc w:val="left"/>
        <w:rPr>
          <w:rFonts w:hint="eastAsia" w:ascii="宋体" w:hAnsi="宋体" w:cs="宋体"/>
          <w:color w:val="auto"/>
          <w:szCs w:val="21"/>
          <w:highlight w:val="none"/>
        </w:rPr>
      </w:pPr>
      <w:bookmarkStart w:id="105" w:name="_Toc254970673"/>
      <w:bookmarkStart w:id="106" w:name="_Toc254970532"/>
      <w:r>
        <w:rPr>
          <w:rFonts w:hint="eastAsia" w:ascii="宋体" w:hAnsi="宋体" w:cs="宋体"/>
          <w:color w:val="auto"/>
          <w:szCs w:val="21"/>
          <w:highlight w:val="none"/>
        </w:rPr>
        <w:t>7.1本项目不允许转包。</w:t>
      </w:r>
    </w:p>
    <w:p w14:paraId="45D9811A">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11D4849A">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0B4E9C48">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8.特别说明</w:t>
      </w:r>
      <w:bookmarkEnd w:id="105"/>
      <w:bookmarkEnd w:id="106"/>
    </w:p>
    <w:p w14:paraId="54A7FE0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8.1如果本招标文件要求提供投标人或制造商的资格、信誉、荣誉、业绩与企业认证等材料的，资格、信誉、荣誉、业绩与企业认证等必须为投标人或者制造商所拥有或自身获得 。</w:t>
      </w:r>
    </w:p>
    <w:p w14:paraId="62A20DD7">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8.2投标人应仔细阅读招标文件的所有内容，按照招标文件的要求提交投标文件，并对所提供的全部资料的真实性承担法律责任。</w:t>
      </w:r>
    </w:p>
    <w:p w14:paraId="3B485984">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F170395">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9.回避与串通投标</w:t>
      </w:r>
    </w:p>
    <w:p w14:paraId="5B14EF4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9.1在政府采购活动中，采购人员及相关人员与供应商有下列利害关系之一的，应当回避：</w:t>
      </w:r>
    </w:p>
    <w:p w14:paraId="1D8405F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5F09FAE">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04A40B9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0FD277C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499B8730">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4BE8D485">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F9C5C97">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9.2有下列情形之一的视为投标人相互串通投标，投标文件将被视为无效：</w:t>
      </w:r>
    </w:p>
    <w:p w14:paraId="48E58CB1">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（1）不同投标人的投标文件由同一单位或者个人编制；或者不同投标人报名的IP地址一致的；或者编制标书硬件设备CPU编号、硬盘编号、网卡地址一致的情况。</w:t>
      </w:r>
    </w:p>
    <w:p w14:paraId="51701B2B">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（2）不同投标人委托同一单位或者个人办理投标事宜；</w:t>
      </w:r>
    </w:p>
    <w:p w14:paraId="54239F53">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（3）不同的投标人的投标文件载明的项目管理员为同一个人；</w:t>
      </w:r>
    </w:p>
    <w:p w14:paraId="70407AED">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（4）不同投标人的投标文件异常一致或者投标报价呈规律性差异；</w:t>
      </w:r>
    </w:p>
    <w:p w14:paraId="4AA8F2AF">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（5）不同投标人的投标文件相互混装；</w:t>
      </w:r>
    </w:p>
    <w:p w14:paraId="769796DD">
      <w:pPr>
        <w:snapToGrid w:val="0"/>
        <w:spacing w:line="440" w:lineRule="exact"/>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（6）不同投标人的投标保证金从同一单位或者个人账户转出。</w:t>
      </w:r>
    </w:p>
    <w:p w14:paraId="7174F381">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7245CA8A">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14:paraId="41F0349B">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14:paraId="2DBF91D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14:paraId="015736F2">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B4C364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6E458EA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14:paraId="72AAE147">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14:paraId="0C49FCF6">
      <w:pPr>
        <w:pStyle w:val="5"/>
        <w:keepNext w:val="0"/>
        <w:keepLines w:val="0"/>
        <w:jc w:val="center"/>
        <w:rPr>
          <w:rFonts w:hint="eastAsia" w:ascii="宋体" w:hAnsi="宋体" w:cs="宋体"/>
          <w:color w:val="auto"/>
          <w:highlight w:val="none"/>
        </w:rPr>
      </w:pPr>
      <w:bookmarkStart w:id="107" w:name="_Toc16733"/>
      <w:bookmarkStart w:id="108" w:name="_Toc30666"/>
      <w:bookmarkStart w:id="109" w:name="_Toc254970675"/>
      <w:bookmarkStart w:id="110" w:name="_Toc254970534"/>
      <w:r>
        <w:rPr>
          <w:rFonts w:hint="eastAsia" w:ascii="宋体" w:hAnsi="宋体" w:cs="宋体"/>
          <w:color w:val="auto"/>
          <w:highlight w:val="none"/>
        </w:rPr>
        <w:t>二、招标文件</w:t>
      </w:r>
      <w:bookmarkEnd w:id="107"/>
      <w:bookmarkEnd w:id="108"/>
      <w:bookmarkEnd w:id="109"/>
      <w:bookmarkEnd w:id="110"/>
    </w:p>
    <w:p w14:paraId="49EA6E7B">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10.招标文件的组成</w:t>
      </w:r>
    </w:p>
    <w:p w14:paraId="603975DE">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14:paraId="1D190A70">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 xml:space="preserve">（2）采购需求； </w:t>
      </w:r>
    </w:p>
    <w:p w14:paraId="2DE74D26">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4ED017EC">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04CA3FA6">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6E341A41">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30330C7A">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11.招标文件的澄清、修改 、现场考察和答疑会</w:t>
      </w:r>
    </w:p>
    <w:p w14:paraId="43A56A07">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104702B">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2945650C">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11.2</w:t>
      </w:r>
      <w:bookmarkStart w:id="111" w:name="_Hlk53134511"/>
      <w:r>
        <w:rPr>
          <w:rFonts w:hint="eastAsia" w:hAnsi="宋体" w:cs="宋体"/>
          <w:color w:val="auto"/>
          <w:highlight w:val="none"/>
        </w:rPr>
        <w:t>采购人或者采购代理机构可以在招标文件提供期限截止后，组织已获取招标文件的潜在投标人现场考察或者召开开标前答疑会，具体详见“投标人须知前附表”。</w:t>
      </w:r>
    </w:p>
    <w:bookmarkEnd w:id="111"/>
    <w:p w14:paraId="280CFE58">
      <w:pPr>
        <w:pStyle w:val="5"/>
        <w:keepNext w:val="0"/>
        <w:keepLines w:val="0"/>
        <w:jc w:val="center"/>
        <w:rPr>
          <w:rFonts w:hint="eastAsia" w:ascii="宋体" w:hAnsi="宋体" w:cs="宋体"/>
          <w:color w:val="auto"/>
          <w:highlight w:val="none"/>
        </w:rPr>
      </w:pPr>
      <w:bookmarkStart w:id="112" w:name="_Toc254970535"/>
      <w:bookmarkStart w:id="113" w:name="_Toc11493"/>
      <w:bookmarkStart w:id="114" w:name="_Toc254970676"/>
      <w:bookmarkStart w:id="115" w:name="_Toc28609"/>
      <w:r>
        <w:rPr>
          <w:rFonts w:hint="eastAsia" w:ascii="宋体" w:hAnsi="宋体" w:cs="宋体"/>
          <w:color w:val="auto"/>
          <w:highlight w:val="none"/>
        </w:rPr>
        <w:t>三、投标文件的编制</w:t>
      </w:r>
      <w:bookmarkEnd w:id="112"/>
      <w:bookmarkEnd w:id="113"/>
      <w:bookmarkEnd w:id="114"/>
      <w:bookmarkEnd w:id="115"/>
    </w:p>
    <w:p w14:paraId="56BE6186">
      <w:pPr>
        <w:spacing w:line="440" w:lineRule="exact"/>
        <w:ind w:firstLine="480" w:firstLineChars="200"/>
        <w:rPr>
          <w:rFonts w:hint="eastAsia" w:ascii="宋体" w:hAnsi="宋体" w:cs="宋体"/>
          <w:b/>
          <w:color w:val="auto"/>
          <w:sz w:val="24"/>
          <w:highlight w:val="none"/>
        </w:rPr>
      </w:pPr>
      <w:bookmarkStart w:id="116" w:name="_Toc254970677"/>
      <w:bookmarkStart w:id="117" w:name="_Toc254970536"/>
      <w:r>
        <w:rPr>
          <w:rFonts w:hint="eastAsia" w:ascii="宋体" w:hAnsi="宋体" w:cs="宋体"/>
          <w:b/>
          <w:color w:val="auto"/>
          <w:sz w:val="24"/>
          <w:highlight w:val="none"/>
        </w:rPr>
        <w:t>12.投标文件的编制原则</w:t>
      </w:r>
    </w:p>
    <w:p w14:paraId="7791D7C5">
      <w:pPr>
        <w:snapToGrid w:val="0"/>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6BD9ED04">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13.投标文件的组成</w:t>
      </w:r>
      <w:bookmarkEnd w:id="116"/>
      <w:bookmarkEnd w:id="117"/>
    </w:p>
    <w:p w14:paraId="0997429C">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投标文件由报价文件、资格证明文件、商务及技术文件三部分组成。</w:t>
      </w:r>
    </w:p>
    <w:p w14:paraId="0A1396F0">
      <w:pPr>
        <w:snapToGrid w:val="0"/>
        <w:spacing w:line="440" w:lineRule="exact"/>
        <w:ind w:firstLine="420" w:firstLineChars="200"/>
        <w:jc w:val="left"/>
        <w:rPr>
          <w:rFonts w:hint="eastAsia" w:ascii="宋体" w:hAnsi="宋体" w:cs="宋体"/>
          <w:color w:val="auto"/>
          <w:szCs w:val="21"/>
          <w:highlight w:val="none"/>
        </w:rPr>
      </w:pPr>
      <w:bookmarkStart w:id="118" w:name="_13.1报价文件:_具体材料见“投标人须知前附表”。"/>
      <w:bookmarkEnd w:id="118"/>
      <w:r>
        <w:rPr>
          <w:rFonts w:hint="eastAsia" w:ascii="宋体" w:hAnsi="宋体" w:cs="宋体"/>
          <w:color w:val="auto"/>
          <w:szCs w:val="21"/>
          <w:highlight w:val="none"/>
        </w:rPr>
        <w:t>（1）报价文件：具体材料见“投标人须知前附表”。</w:t>
      </w:r>
    </w:p>
    <w:p w14:paraId="2DE66549">
      <w:pPr>
        <w:snapToGrid w:val="0"/>
        <w:spacing w:line="440" w:lineRule="exact"/>
        <w:ind w:firstLine="420" w:firstLineChars="200"/>
        <w:jc w:val="left"/>
        <w:rPr>
          <w:rFonts w:hint="eastAsia" w:ascii="宋体" w:hAnsi="宋体" w:cs="宋体"/>
          <w:color w:val="auto"/>
          <w:szCs w:val="21"/>
          <w:highlight w:val="none"/>
        </w:rPr>
      </w:pPr>
      <w:bookmarkStart w:id="119" w:name="_13.2资格证明文件：具体材料见“投标人须知前附表”。"/>
      <w:bookmarkEnd w:id="119"/>
      <w:r>
        <w:rPr>
          <w:rFonts w:hint="eastAsia" w:ascii="宋体" w:hAnsi="宋体" w:cs="宋体"/>
          <w:color w:val="auto"/>
          <w:szCs w:val="21"/>
          <w:highlight w:val="none"/>
        </w:rPr>
        <w:t>（2）资格证明文件：具体材料见“投标人须知前附表”。</w:t>
      </w:r>
    </w:p>
    <w:p w14:paraId="391B4951">
      <w:pPr>
        <w:snapToGrid w:val="0"/>
        <w:spacing w:line="440" w:lineRule="exact"/>
        <w:ind w:firstLine="420" w:firstLineChars="200"/>
        <w:jc w:val="left"/>
        <w:rPr>
          <w:rFonts w:hint="eastAsia" w:ascii="宋体" w:hAnsi="宋体" w:cs="宋体"/>
          <w:color w:val="auto"/>
          <w:szCs w:val="21"/>
          <w:highlight w:val="none"/>
        </w:rPr>
      </w:pPr>
      <w:bookmarkStart w:id="120" w:name="_13.3商务文件:_具体材料见“投标人须知前附表”。"/>
      <w:bookmarkEnd w:id="120"/>
      <w:r>
        <w:rPr>
          <w:rFonts w:hint="eastAsia" w:ascii="宋体" w:hAnsi="宋体" w:cs="宋体"/>
          <w:color w:val="auto"/>
          <w:szCs w:val="21"/>
          <w:highlight w:val="none"/>
        </w:rPr>
        <w:t>（3）商务及技术文件：具体材料见“投标人须知前附表”。</w:t>
      </w:r>
    </w:p>
    <w:p w14:paraId="2B31B525">
      <w:pPr>
        <w:spacing w:line="440" w:lineRule="exact"/>
        <w:ind w:firstLine="480" w:firstLineChars="200"/>
        <w:rPr>
          <w:rFonts w:hint="eastAsia" w:ascii="宋体" w:hAnsi="宋体" w:cs="宋体"/>
          <w:b/>
          <w:color w:val="auto"/>
          <w:sz w:val="24"/>
          <w:highlight w:val="none"/>
        </w:rPr>
      </w:pPr>
      <w:bookmarkStart w:id="121" w:name="_13.5投标文件电子版：具体材料见“投标人须知前附表”。"/>
      <w:bookmarkEnd w:id="121"/>
      <w:bookmarkStart w:id="122" w:name="_13.4技术文件：具体材料见“投标人须知前附表”。"/>
      <w:bookmarkEnd w:id="122"/>
      <w:bookmarkStart w:id="123" w:name="_Toc254970678"/>
      <w:bookmarkStart w:id="124" w:name="_Toc254970537"/>
      <w:r>
        <w:rPr>
          <w:rFonts w:hint="eastAsia" w:ascii="宋体" w:hAnsi="宋体" w:cs="宋体"/>
          <w:b/>
          <w:color w:val="auto"/>
          <w:sz w:val="24"/>
          <w:highlight w:val="none"/>
        </w:rPr>
        <w:t>14.投标文件的语言及计量</w:t>
      </w:r>
      <w:bookmarkEnd w:id="123"/>
      <w:bookmarkEnd w:id="124"/>
    </w:p>
    <w:p w14:paraId="1427BD40">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14.1语言文字</w:t>
      </w:r>
    </w:p>
    <w:p w14:paraId="3E20F65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040F92B">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14.2投标计量单位</w:t>
      </w:r>
    </w:p>
    <w:p w14:paraId="62C20400">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
          <w:color w:val="auto"/>
          <w:szCs w:val="21"/>
          <w:highlight w:val="none"/>
        </w:rPr>
        <w:t>否则视同未响应</w:t>
      </w:r>
      <w:r>
        <w:rPr>
          <w:rFonts w:hint="eastAsia" w:ascii="宋体" w:hAnsi="宋体" w:cs="宋体"/>
          <w:color w:val="auto"/>
          <w:szCs w:val="21"/>
          <w:highlight w:val="none"/>
        </w:rPr>
        <w:t>。</w:t>
      </w:r>
    </w:p>
    <w:p w14:paraId="6B5CFFF2">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15.投标的风险</w:t>
      </w:r>
    </w:p>
    <w:p w14:paraId="77C109BA">
      <w:pPr>
        <w:pStyle w:val="20"/>
        <w:snapToGrid w:val="0"/>
        <w:spacing w:line="440" w:lineRule="exact"/>
        <w:ind w:firstLine="420" w:firstLineChars="200"/>
        <w:jc w:val="left"/>
        <w:rPr>
          <w:rFonts w:hint="eastAsia" w:hAnsi="宋体" w:cs="宋体"/>
          <w:color w:val="auto"/>
          <w:highlight w:val="none"/>
        </w:rPr>
      </w:pPr>
      <w:r>
        <w:rPr>
          <w:rFonts w:hint="eastAsia" w:hAnsi="宋体" w:cs="宋体"/>
          <w:color w:val="auto"/>
          <w:highlight w:val="none"/>
        </w:rPr>
        <w:t>投标人没有按照招标文件要求提供全部资料，或者投标人没有对招标文件作出实质性响应是投标人的风险，并可能导致其投标被拒绝。</w:t>
      </w:r>
    </w:p>
    <w:p w14:paraId="42CB1E1A">
      <w:pPr>
        <w:spacing w:line="440" w:lineRule="exact"/>
        <w:ind w:firstLine="480" w:firstLineChars="200"/>
        <w:rPr>
          <w:rFonts w:hint="eastAsia" w:ascii="宋体" w:hAnsi="宋体" w:cs="宋体"/>
          <w:b/>
          <w:color w:val="auto"/>
          <w:sz w:val="24"/>
          <w:highlight w:val="none"/>
        </w:rPr>
      </w:pPr>
      <w:bookmarkStart w:id="125" w:name="_Toc254970679"/>
      <w:bookmarkStart w:id="126" w:name="_Toc254970538"/>
      <w:r>
        <w:rPr>
          <w:rFonts w:hint="eastAsia" w:ascii="宋体" w:hAnsi="宋体" w:cs="宋体"/>
          <w:b/>
          <w:color w:val="auto"/>
          <w:sz w:val="24"/>
          <w:highlight w:val="none"/>
        </w:rPr>
        <w:t>16.投标报价</w:t>
      </w:r>
      <w:bookmarkEnd w:id="125"/>
      <w:bookmarkEnd w:id="126"/>
    </w:p>
    <w:p w14:paraId="3E4E44F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16.1投标报价应按“第六章　投标文件格式”中“开标一览表”格式填写。</w:t>
      </w:r>
    </w:p>
    <w:p w14:paraId="6A42E26A">
      <w:pPr>
        <w:snapToGrid w:val="0"/>
        <w:spacing w:line="440" w:lineRule="exact"/>
        <w:ind w:firstLine="420" w:firstLineChars="200"/>
        <w:jc w:val="left"/>
        <w:rPr>
          <w:rFonts w:hint="eastAsia" w:ascii="宋体" w:hAnsi="宋体" w:cs="宋体"/>
          <w:color w:val="auto"/>
          <w:szCs w:val="21"/>
          <w:highlight w:val="none"/>
        </w:rPr>
      </w:pPr>
      <w:bookmarkStart w:id="127" w:name="_16.2投标报价具体定义见投标人须知前附表。"/>
      <w:bookmarkEnd w:id="127"/>
      <w:r>
        <w:rPr>
          <w:rFonts w:hint="eastAsia" w:ascii="宋体" w:hAnsi="宋体" w:cs="宋体"/>
          <w:color w:val="auto"/>
          <w:szCs w:val="21"/>
          <w:highlight w:val="none"/>
        </w:rPr>
        <w:t>16.2投标报价具体包括内容详见“投标人须知前附表”。</w:t>
      </w:r>
    </w:p>
    <w:p w14:paraId="45D2335B">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16.3投标人必须就所投每个分标的全部内容分别作完整唯一总价报价，不得存在漏项报价；投标人必须就所投分标的单项内容作唯一报价。</w:t>
      </w:r>
    </w:p>
    <w:p w14:paraId="7F4966F2">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17.投标有效期</w:t>
      </w:r>
    </w:p>
    <w:p w14:paraId="1124A348">
      <w:pPr>
        <w:snapToGrid w:val="0"/>
        <w:spacing w:line="440" w:lineRule="exact"/>
        <w:ind w:firstLine="420" w:firstLineChars="200"/>
        <w:jc w:val="left"/>
        <w:rPr>
          <w:rFonts w:hint="eastAsia" w:ascii="宋体" w:hAnsi="宋体" w:cs="宋体"/>
          <w:color w:val="auto"/>
          <w:szCs w:val="21"/>
          <w:highlight w:val="none"/>
        </w:rPr>
      </w:pPr>
      <w:bookmarkStart w:id="128" w:name="_17.1投标有效期应按“投标人须知中的前附表”规定的期限。"/>
      <w:bookmarkEnd w:id="128"/>
      <w:r>
        <w:rPr>
          <w:rFonts w:hint="eastAsia" w:ascii="宋体" w:hAnsi="宋体" w:cs="宋体"/>
          <w:color w:val="auto"/>
          <w:szCs w:val="21"/>
          <w:highlight w:val="none"/>
        </w:rPr>
        <w:t>17.1投标有效期是指为保证采购人有足够的时间在开标后完成评标、定标、合同签订等工作而要求投标人提交的投标文件在一定时间内保持有效的期限。</w:t>
      </w:r>
    </w:p>
    <w:p w14:paraId="4446504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17.2</w:t>
      </w:r>
      <w:bookmarkStart w:id="129" w:name="_Toc254970540"/>
      <w:bookmarkStart w:id="130" w:name="_Toc254970681"/>
      <w:r>
        <w:rPr>
          <w:rFonts w:hint="eastAsia" w:ascii="宋体" w:hAnsi="宋体" w:cs="宋体"/>
          <w:color w:val="auto"/>
          <w:szCs w:val="21"/>
          <w:highlight w:val="none"/>
        </w:rPr>
        <w:t xml:space="preserve"> 投标有效期应按招标文件规定的期限作出承诺，具体详见“投标人须知前附表”。</w:t>
      </w:r>
      <w:r>
        <w:rPr>
          <w:rFonts w:hint="eastAsia" w:ascii="宋体" w:hAnsi="宋体" w:cs="宋体"/>
          <w:b/>
          <w:color w:val="auto"/>
          <w:szCs w:val="21"/>
          <w:highlight w:val="none"/>
        </w:rPr>
        <w:t>承诺的投标有效期低于招标文件规定期限的，按无效投标处理</w:t>
      </w:r>
      <w:r>
        <w:rPr>
          <w:rFonts w:hint="eastAsia" w:ascii="宋体" w:hAnsi="宋体" w:cs="宋体"/>
          <w:color w:val="auto"/>
          <w:szCs w:val="21"/>
          <w:highlight w:val="none"/>
        </w:rPr>
        <w:t>。</w:t>
      </w:r>
    </w:p>
    <w:p w14:paraId="4BF8688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17.3投标人的投标文件在投标有效期内均保持有效。</w:t>
      </w:r>
      <w:bookmarkEnd w:id="129"/>
      <w:bookmarkEnd w:id="130"/>
    </w:p>
    <w:p w14:paraId="5059C2A6">
      <w:pPr>
        <w:spacing w:line="440" w:lineRule="exact"/>
        <w:ind w:firstLine="480" w:firstLineChars="200"/>
        <w:rPr>
          <w:rFonts w:hint="eastAsia" w:ascii="宋体" w:hAnsi="宋体" w:cs="宋体"/>
          <w:b/>
          <w:color w:val="auto"/>
          <w:sz w:val="24"/>
          <w:highlight w:val="none"/>
        </w:rPr>
      </w:pPr>
      <w:bookmarkStart w:id="131" w:name="_18.投标保证金"/>
      <w:bookmarkEnd w:id="131"/>
      <w:bookmarkStart w:id="132" w:name="_Toc254970682"/>
      <w:bookmarkStart w:id="133" w:name="_Toc254970541"/>
      <w:r>
        <w:rPr>
          <w:rFonts w:hint="eastAsia" w:ascii="宋体" w:hAnsi="宋体" w:cs="宋体"/>
          <w:b/>
          <w:color w:val="auto"/>
          <w:sz w:val="24"/>
          <w:highlight w:val="none"/>
        </w:rPr>
        <w:t>18.投标保证金</w:t>
      </w:r>
      <w:bookmarkEnd w:id="132"/>
      <w:bookmarkEnd w:id="133"/>
    </w:p>
    <w:p w14:paraId="3B3C18F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18.1投标人须按“投标人须知前附表” 的规定提交投标保证金。</w:t>
      </w:r>
    </w:p>
    <w:p w14:paraId="62980D77">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18.2投标保证金的退还</w:t>
      </w:r>
    </w:p>
    <w:p w14:paraId="4FF4595B">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未中标人的投标保证金自中标通知书发出之日起5个工作日内退还；中标人的投标保证金自政府采购合同签订之日起5个工作日内退还。 </w:t>
      </w:r>
    </w:p>
    <w:p w14:paraId="62B605C1">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18.3除逾期退还投标保证金和终止招标的情形以外，投标保证金不计息。</w:t>
      </w:r>
    </w:p>
    <w:p w14:paraId="725E89F5">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18.4投标人有下列情形之一的，投标保证金将不予退还：</w:t>
      </w:r>
    </w:p>
    <w:p w14:paraId="16786FA2">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79AB00F3">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310B909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4EDECFCF">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517426AD">
      <w:pPr>
        <w:snapToGrid w:val="0"/>
        <w:spacing w:line="440" w:lineRule="exact"/>
        <w:ind w:firstLine="420" w:firstLineChars="200"/>
        <w:jc w:val="left"/>
        <w:rPr>
          <w:rFonts w:hint="eastAsia" w:ascii="宋体" w:hAnsi="宋体" w:cs="宋体"/>
          <w:color w:val="auto"/>
          <w:szCs w:val="21"/>
          <w:highlight w:val="none"/>
        </w:rPr>
      </w:pPr>
      <w:bookmarkStart w:id="134" w:name="_Toc254970542"/>
      <w:bookmarkStart w:id="135" w:name="_Toc254970683"/>
      <w:r>
        <w:rPr>
          <w:rFonts w:hint="eastAsia" w:ascii="宋体" w:hAnsi="宋体" w:cs="宋体"/>
          <w:color w:val="auto"/>
          <w:szCs w:val="21"/>
          <w:highlight w:val="none"/>
        </w:rPr>
        <w:t>（5）投标人出现本章第9.2、9.3情形的；</w:t>
      </w:r>
    </w:p>
    <w:p w14:paraId="0F07C609">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34"/>
    <w:bookmarkEnd w:id="135"/>
    <w:p w14:paraId="3F2CCD0D">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19.投标文件的编制</w:t>
      </w:r>
    </w:p>
    <w:p w14:paraId="73F01C7C">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17AEEC99">
      <w:pPr>
        <w:pStyle w:val="20"/>
        <w:spacing w:line="440" w:lineRule="exact"/>
        <w:ind w:firstLine="420" w:firstLineChars="200"/>
        <w:rPr>
          <w:rFonts w:hint="eastAsia" w:hAnsi="宋体" w:cs="宋体"/>
          <w:color w:val="auto"/>
          <w:highlight w:val="none"/>
        </w:rPr>
      </w:pPr>
      <w:bookmarkStart w:id="136" w:name="_19.2投标文件应按报价文件、资格证明文件、商务文件、技术文件分别编制"/>
      <w:bookmarkEnd w:id="136"/>
      <w:r>
        <w:rPr>
          <w:rFonts w:hint="eastAsia" w:hAnsi="宋体" w:cs="宋体"/>
          <w:color w:val="auto"/>
          <w:highlight w:val="none"/>
        </w:rPr>
        <w:t>19.2为确保网上操作合法、有效和安全，投标人应当在投标截止时间前完成在广西政府采购云平台的身份认证，确保在电子投标过程中能够对相关数据电文进行加密和使用电子签章。</w:t>
      </w:r>
    </w:p>
    <w:p w14:paraId="7C209EA8">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19.3投标文件须由投标人在规定位置签字（或者电子签名）、盖章（具体以投标人须知前附表或投标文件格式规定为准），</w:t>
      </w:r>
      <w:r>
        <w:rPr>
          <w:rFonts w:hint="eastAsia" w:hAnsi="宋体" w:cs="宋体"/>
          <w:b/>
          <w:color w:val="auto"/>
          <w:highlight w:val="none"/>
        </w:rPr>
        <w:t>否则按无效投标处理</w:t>
      </w:r>
      <w:r>
        <w:rPr>
          <w:rFonts w:hint="eastAsia" w:hAnsi="宋体" w:cs="宋体"/>
          <w:color w:val="auto"/>
          <w:highlight w:val="none"/>
        </w:rPr>
        <w:t>。</w:t>
      </w:r>
    </w:p>
    <w:p w14:paraId="44103B52">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hAnsi="宋体" w:cs="宋体"/>
          <w:b/>
          <w:color w:val="auto"/>
          <w:highlight w:val="none"/>
        </w:rPr>
        <w:t>否则按无效投标处理</w:t>
      </w:r>
      <w:r>
        <w:rPr>
          <w:rFonts w:hint="eastAsia" w:hAnsi="宋体" w:cs="宋体"/>
          <w:color w:val="auto"/>
          <w:highlight w:val="none"/>
        </w:rPr>
        <w:t>。</w:t>
      </w:r>
    </w:p>
    <w:p w14:paraId="278BFF6B">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7865A37">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20.电子备份投标文件</w:t>
      </w:r>
    </w:p>
    <w:p w14:paraId="60881086">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电子备份投标文件是指通过“广西政府采购云电子投标客户端”在线编制生成且后缀名为“bfbs”的文件，是否接受电子备份投标文件详见“投标人须知前附表”。</w:t>
      </w:r>
    </w:p>
    <w:p w14:paraId="36CB6FDF">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21.投标文件的提交</w:t>
      </w:r>
    </w:p>
    <w:p w14:paraId="2E68989C">
      <w:pPr>
        <w:spacing w:line="440" w:lineRule="exact"/>
        <w:ind w:firstLine="420" w:firstLineChars="200"/>
        <w:rPr>
          <w:rFonts w:hint="eastAsia" w:ascii="宋体" w:hAnsi="宋体" w:cs="宋体"/>
          <w:b/>
          <w:color w:val="auto"/>
          <w:highlight w:val="none"/>
        </w:rPr>
      </w:pPr>
      <w:bookmarkStart w:id="137" w:name="_21.1投标人必须在“投标人须知中的前附表”规定的投标文件接收时间和投"/>
      <w:bookmarkEnd w:id="137"/>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提交投标文件截止时间前将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b/>
          <w:color w:val="auto"/>
          <w:szCs w:val="21"/>
          <w:highlight w:val="none"/>
        </w:rPr>
        <w:t>广西政府采购云平台</w:t>
      </w:r>
      <w:r>
        <w:rPr>
          <w:rFonts w:hint="eastAsia" w:ascii="宋体" w:hAnsi="宋体" w:cs="宋体"/>
          <w:bCs/>
          <w:color w:val="auto"/>
          <w:szCs w:val="21"/>
          <w:highlight w:val="none"/>
        </w:rPr>
        <w:t>。</w:t>
      </w:r>
    </w:p>
    <w:p w14:paraId="6DEAB5CE">
      <w:pPr>
        <w:spacing w:line="440" w:lineRule="exact"/>
        <w:ind w:firstLine="420" w:firstLineChars="200"/>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054B39C4">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22. 投标文件的补充、修改、撤回与退回</w:t>
      </w:r>
    </w:p>
    <w:p w14:paraId="4A58EB8E">
      <w:pPr>
        <w:snapToGrid w:val="0"/>
        <w:spacing w:line="440" w:lineRule="exact"/>
        <w:ind w:firstLine="420"/>
        <w:jc w:val="left"/>
        <w:rPr>
          <w:rFonts w:hint="eastAsia" w:ascii="宋体" w:hAnsi="宋体" w:cs="宋体"/>
          <w:color w:val="auto"/>
          <w:szCs w:val="21"/>
          <w:highlight w:val="none"/>
        </w:rPr>
      </w:pPr>
      <w:bookmarkStart w:id="138" w:name="_Toc254970543"/>
      <w:bookmarkStart w:id="139" w:name="_Toc254970684"/>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138"/>
    <w:bookmarkEnd w:id="139"/>
    <w:p w14:paraId="0B130999">
      <w:pPr>
        <w:pStyle w:val="77"/>
        <w:spacing w:before="0" w:line="44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C4A28B4">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61873C7C">
      <w:pPr>
        <w:pStyle w:val="5"/>
        <w:keepNext w:val="0"/>
        <w:keepLines w:val="0"/>
        <w:jc w:val="center"/>
        <w:rPr>
          <w:rFonts w:hint="eastAsia" w:ascii="宋体" w:hAnsi="宋体" w:cs="宋体"/>
          <w:color w:val="auto"/>
          <w:highlight w:val="none"/>
        </w:rPr>
      </w:pPr>
      <w:bookmarkStart w:id="140" w:name="_Toc21393"/>
      <w:bookmarkStart w:id="141" w:name="_Toc254970544"/>
      <w:bookmarkStart w:id="142" w:name="_Toc254970685"/>
      <w:bookmarkStart w:id="143" w:name="_Toc23160"/>
      <w:r>
        <w:rPr>
          <w:rFonts w:hint="eastAsia" w:ascii="宋体" w:hAnsi="宋体" w:cs="宋体"/>
          <w:color w:val="auto"/>
          <w:highlight w:val="none"/>
        </w:rPr>
        <w:t>四、开  标</w:t>
      </w:r>
      <w:bookmarkEnd w:id="140"/>
      <w:bookmarkEnd w:id="141"/>
      <w:bookmarkEnd w:id="142"/>
      <w:bookmarkEnd w:id="143"/>
    </w:p>
    <w:p w14:paraId="2F21E587">
      <w:pPr>
        <w:spacing w:line="440" w:lineRule="exact"/>
        <w:ind w:firstLine="480" w:firstLineChars="200"/>
        <w:rPr>
          <w:rFonts w:hint="eastAsia" w:ascii="宋体" w:hAnsi="宋体" w:cs="宋体"/>
          <w:b/>
          <w:color w:val="auto"/>
          <w:sz w:val="24"/>
          <w:highlight w:val="none"/>
        </w:rPr>
      </w:pPr>
      <w:bookmarkStart w:id="144" w:name="_23.开标时间和地点"/>
      <w:bookmarkEnd w:id="144"/>
      <w:r>
        <w:rPr>
          <w:rFonts w:hint="eastAsia" w:ascii="宋体" w:hAnsi="宋体" w:cs="宋体"/>
          <w:b/>
          <w:color w:val="auto"/>
          <w:sz w:val="24"/>
          <w:highlight w:val="none"/>
        </w:rPr>
        <w:t>23.开标时间和地点</w:t>
      </w:r>
    </w:p>
    <w:p w14:paraId="687A7B1A">
      <w:pPr>
        <w:spacing w:line="44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7E7CA00A">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24.开标程序</w:t>
      </w:r>
    </w:p>
    <w:p w14:paraId="731CA4A4">
      <w:pPr>
        <w:pStyle w:val="10"/>
        <w:spacing w:line="440" w:lineRule="exact"/>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412E6248">
      <w:pPr>
        <w:pStyle w:val="10"/>
        <w:spacing w:line="440" w:lineRule="exact"/>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1FE37502">
      <w:pPr>
        <w:pStyle w:val="10"/>
        <w:spacing w:line="440" w:lineRule="exact"/>
        <w:rPr>
          <w:rFonts w:hint="eastAsia" w:ascii="宋体" w:hAnsi="宋体" w:cs="宋体"/>
          <w:color w:val="auto"/>
          <w:highlight w:val="none"/>
        </w:rPr>
      </w:pPr>
      <w:r>
        <w:rPr>
          <w:rFonts w:hint="eastAsia" w:ascii="宋体" w:hAnsi="宋体" w:cs="宋体"/>
          <w:color w:val="auto"/>
          <w:highlight w:val="none"/>
        </w:rPr>
        <w:t>24.3开标程序</w:t>
      </w:r>
    </w:p>
    <w:p w14:paraId="1F3408F2">
      <w:pPr>
        <w:pStyle w:val="10"/>
        <w:spacing w:line="440" w:lineRule="exact"/>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434BFE80">
      <w:pPr>
        <w:pStyle w:val="10"/>
        <w:spacing w:line="440" w:lineRule="exact"/>
        <w:rPr>
          <w:rFonts w:hint="eastAsia" w:ascii="宋体" w:hAnsi="宋体" w:cs="宋体"/>
          <w:color w:val="auto"/>
          <w:highlight w:val="none"/>
        </w:rPr>
      </w:pPr>
      <w:r>
        <w:rPr>
          <w:rFonts w:hint="eastAsia" w:ascii="宋体" w:hAnsi="宋体" w:cs="宋体"/>
          <w:color w:val="auto"/>
          <w:highlight w:val="none"/>
        </w:rPr>
        <w:t>（2）电子唱标。投标文件解密结束，宣布的内容均在广西政府采购云平台远程开标大厅展示，具体详见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0BA31A35">
      <w:pPr>
        <w:pStyle w:val="10"/>
        <w:spacing w:line="440" w:lineRule="exact"/>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12AE3AB6">
      <w:pPr>
        <w:pStyle w:val="10"/>
        <w:spacing w:line="440" w:lineRule="exact"/>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4850D71">
      <w:pPr>
        <w:pStyle w:val="10"/>
        <w:spacing w:line="440" w:lineRule="exact"/>
        <w:rPr>
          <w:rFonts w:hint="eastAsia" w:ascii="宋体" w:hAnsi="宋体" w:cs="宋体"/>
          <w:color w:val="auto"/>
          <w:szCs w:val="21"/>
          <w:highlight w:val="none"/>
        </w:rPr>
      </w:pPr>
      <w:r>
        <w:rPr>
          <w:rFonts w:hint="eastAsia" w:ascii="宋体" w:hAnsi="宋体" w:cs="宋体"/>
          <w:color w:val="auto"/>
          <w:szCs w:val="21"/>
          <w:highlight w:val="none"/>
        </w:rPr>
        <w:t>（5）开标结束。</w:t>
      </w:r>
    </w:p>
    <w:p w14:paraId="6DADBD91">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特别说明：如遇广西政府采购云平台电子化开标或评审程序调整的，按调整后执行。</w:t>
      </w:r>
    </w:p>
    <w:p w14:paraId="04677F35">
      <w:pPr>
        <w:pStyle w:val="5"/>
        <w:keepNext w:val="0"/>
        <w:keepLines w:val="0"/>
        <w:jc w:val="center"/>
        <w:rPr>
          <w:rFonts w:hint="eastAsia" w:ascii="宋体" w:hAnsi="宋体" w:cs="宋体"/>
          <w:color w:val="auto"/>
          <w:highlight w:val="none"/>
        </w:rPr>
      </w:pPr>
      <w:bookmarkStart w:id="145" w:name="_Toc2525"/>
      <w:bookmarkStart w:id="146" w:name="_Toc6086"/>
      <w:r>
        <w:rPr>
          <w:rFonts w:hint="eastAsia" w:ascii="宋体" w:hAnsi="宋体" w:cs="宋体"/>
          <w:color w:val="auto"/>
          <w:highlight w:val="none"/>
        </w:rPr>
        <w:t>五、资格审查</w:t>
      </w:r>
      <w:bookmarkEnd w:id="145"/>
      <w:bookmarkEnd w:id="146"/>
    </w:p>
    <w:p w14:paraId="230B2A34">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25.资格审查</w:t>
      </w:r>
    </w:p>
    <w:p w14:paraId="1B7228FF">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25.1开标结束后，采购人或者采购代理机构通过电子开评标系统依据招标文件对电子投标文件进行线上资格审查。</w:t>
      </w:r>
    </w:p>
    <w:p w14:paraId="30411A0B">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25.2资格审查标准为本招标文件中载明对投标人资格要求的条件。本项目资格审查采用合格制，凡符合招标文件规定的投标人资格要求的投标人均通过资格审查。</w:t>
      </w:r>
    </w:p>
    <w:p w14:paraId="27D82D51">
      <w:pPr>
        <w:pStyle w:val="20"/>
        <w:spacing w:line="440" w:lineRule="exact"/>
        <w:ind w:firstLine="420" w:firstLineChars="200"/>
        <w:rPr>
          <w:rFonts w:hint="eastAsia" w:hAnsi="宋体" w:cs="宋体"/>
          <w:b/>
          <w:color w:val="auto"/>
          <w:highlight w:val="none"/>
        </w:rPr>
      </w:pPr>
      <w:bookmarkStart w:id="147" w:name="_25.3_投标人有下列情形之一的，资格审查不通过而导致其投标无效："/>
      <w:bookmarkEnd w:id="147"/>
      <w:r>
        <w:rPr>
          <w:rFonts w:hint="eastAsia" w:hAnsi="宋体" w:cs="宋体"/>
          <w:b/>
          <w:color w:val="auto"/>
          <w:highlight w:val="none"/>
        </w:rPr>
        <w:t>25.3 投标人有下列情形之一的，资格审查不通过，作无效投标处理：</w:t>
      </w:r>
    </w:p>
    <w:p w14:paraId="4A22C830">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（1）不具备招标文件中规定的资格要求的；</w:t>
      </w:r>
    </w:p>
    <w:p w14:paraId="6CFD8C0F">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3EB7C4FA">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7544B875">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（4）投标文件中的资格证明文件缺少任一项“投标人须知前附表”资格证明文件规定“必须提供”的文件资料的；</w:t>
      </w:r>
    </w:p>
    <w:p w14:paraId="7116E9D5">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（5）投标文件中的资格证明文件出现任一项不符合“投标人须知前附表”资格证明文件规定“必须提供”的文件资料要求或者无效的。</w:t>
      </w:r>
    </w:p>
    <w:p w14:paraId="76521462">
      <w:pPr>
        <w:pStyle w:val="20"/>
        <w:spacing w:line="440" w:lineRule="exact"/>
        <w:ind w:firstLine="420" w:firstLineChars="200"/>
        <w:rPr>
          <w:rFonts w:hint="eastAsia" w:hAnsi="宋体" w:cs="宋体"/>
          <w:b/>
          <w:color w:val="auto"/>
          <w:highlight w:val="none"/>
        </w:rPr>
      </w:pPr>
      <w:r>
        <w:rPr>
          <w:rFonts w:hint="eastAsia" w:hAnsi="宋体" w:cs="宋体"/>
          <w:b/>
          <w:color w:val="auto"/>
          <w:highlight w:val="none"/>
        </w:rPr>
        <w:t>25.4合格投标人不足3家的，不得评标。</w:t>
      </w:r>
    </w:p>
    <w:p w14:paraId="692ECC36">
      <w:pPr>
        <w:pStyle w:val="20"/>
        <w:snapToGrid w:val="0"/>
        <w:spacing w:line="360" w:lineRule="auto"/>
        <w:ind w:left="689" w:leftChars="228" w:hanging="210" w:hangingChars="100"/>
        <w:rPr>
          <w:rFonts w:hint="eastAsia" w:hAnsi="宋体" w:cs="宋体"/>
          <w:color w:val="auto"/>
          <w:highlight w:val="none"/>
        </w:rPr>
      </w:pPr>
    </w:p>
    <w:p w14:paraId="0E4D6A1E">
      <w:pPr>
        <w:pStyle w:val="5"/>
        <w:keepNext w:val="0"/>
        <w:keepLines w:val="0"/>
        <w:jc w:val="center"/>
        <w:rPr>
          <w:rFonts w:hint="eastAsia" w:ascii="宋体" w:hAnsi="宋体" w:cs="宋体"/>
          <w:color w:val="auto"/>
          <w:highlight w:val="none"/>
        </w:rPr>
      </w:pPr>
      <w:bookmarkStart w:id="148" w:name="_Toc17386"/>
      <w:bookmarkStart w:id="149" w:name="_Toc31107"/>
      <w:r>
        <w:rPr>
          <w:rFonts w:hint="eastAsia" w:ascii="宋体" w:hAnsi="宋体" w:cs="宋体"/>
          <w:color w:val="auto"/>
          <w:highlight w:val="none"/>
        </w:rPr>
        <w:t>六、评  标</w:t>
      </w:r>
      <w:bookmarkEnd w:id="148"/>
      <w:bookmarkEnd w:id="149"/>
    </w:p>
    <w:p w14:paraId="48D3C2A8">
      <w:pPr>
        <w:spacing w:line="440" w:lineRule="exact"/>
        <w:ind w:firstLine="480" w:firstLineChars="200"/>
        <w:rPr>
          <w:rFonts w:hint="eastAsia" w:ascii="宋体" w:hAnsi="宋体" w:cs="宋体"/>
          <w:b/>
          <w:color w:val="auto"/>
          <w:sz w:val="24"/>
          <w:highlight w:val="none"/>
        </w:rPr>
      </w:pPr>
      <w:bookmarkStart w:id="150" w:name="_26.组建评标委员会"/>
      <w:bookmarkEnd w:id="150"/>
      <w:r>
        <w:rPr>
          <w:rFonts w:hint="eastAsia" w:ascii="宋体" w:hAnsi="宋体" w:cs="宋体"/>
          <w:b/>
          <w:color w:val="auto"/>
          <w:sz w:val="24"/>
          <w:highlight w:val="none"/>
        </w:rPr>
        <w:t>26.组建评标委员会</w:t>
      </w:r>
    </w:p>
    <w:p w14:paraId="5E840816">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26.1评标委员会由采购人代表和评审专家组成，具体人数详见“投标人须知前附表”，其中评审专家不得少于成员总数的三分之二。</w:t>
      </w:r>
    </w:p>
    <w:p w14:paraId="17293CA1">
      <w:pPr>
        <w:pStyle w:val="20"/>
        <w:snapToGrid w:val="0"/>
        <w:spacing w:line="440" w:lineRule="exact"/>
        <w:ind w:left="2" w:leftChars="1" w:firstLine="420" w:firstLineChars="200"/>
        <w:rPr>
          <w:rFonts w:hint="eastAsia" w:hAnsi="宋体" w:cs="宋体"/>
          <w:color w:val="auto"/>
          <w:highlight w:val="none"/>
        </w:rPr>
      </w:pPr>
      <w:r>
        <w:rPr>
          <w:rFonts w:hint="eastAsia" w:hAnsi="宋体" w:cs="宋体"/>
          <w:color w:val="auto"/>
          <w:highlight w:val="none"/>
        </w:rPr>
        <w:t>26.2参加过采购项目前期咨询论证的专家，不得参加该采购项目的评审活动。</w:t>
      </w:r>
    </w:p>
    <w:p w14:paraId="075DABED">
      <w:pPr>
        <w:pStyle w:val="20"/>
        <w:snapToGrid w:val="0"/>
        <w:spacing w:line="440" w:lineRule="exact"/>
        <w:ind w:left="2" w:leftChars="1" w:firstLine="420" w:firstLineChars="200"/>
        <w:rPr>
          <w:rFonts w:hint="eastAsia" w:hAnsi="宋体" w:cs="宋体"/>
          <w:color w:val="auto"/>
          <w:highlight w:val="none"/>
        </w:rPr>
      </w:pPr>
      <w:r>
        <w:rPr>
          <w:rFonts w:hint="eastAsia" w:hAnsi="宋体" w:cs="宋体"/>
          <w:color w:val="auto"/>
          <w:highlight w:val="none"/>
        </w:rPr>
        <w:t>26.3</w:t>
      </w:r>
      <w:r>
        <w:rPr>
          <w:rFonts w:hint="eastAsia" w:hAnsi="宋体" w:cs="宋体"/>
          <w:bCs/>
          <w:color w:val="auto"/>
          <w:highlight w:val="none"/>
        </w:rPr>
        <w:t>采购代理机构应当基于广西政府采购云平台抽（选）取评审专家。</w:t>
      </w:r>
    </w:p>
    <w:p w14:paraId="751C47CC">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27.评标的依据</w:t>
      </w:r>
    </w:p>
    <w:p w14:paraId="2D119420">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评标委员会以“第四章 评标方法和评标标准”为依据对投标文件进行评审，没有规定的方法、评审因素和标准，不作为评标依据。</w:t>
      </w:r>
    </w:p>
    <w:p w14:paraId="3D50EA3F">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28.评标原则</w:t>
      </w:r>
    </w:p>
    <w:p w14:paraId="5299431A">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766D8D2">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28.2</w:t>
      </w:r>
      <w:bookmarkStart w:id="151" w:name="_28.3评标方法。本项目将按须知前附表规定的评标办法进行评标，具体评标"/>
      <w:bookmarkEnd w:id="151"/>
      <w:r>
        <w:rPr>
          <w:rFonts w:hint="eastAsia" w:hAnsi="宋体" w:cs="宋体"/>
          <w:color w:val="auto"/>
          <w:highlight w:val="none"/>
        </w:rPr>
        <w:t>评委表决。评标委员会成员对需要共同认定的事项存在争议的，应当按照少数服从多数的原则作出结论。</w:t>
      </w:r>
    </w:p>
    <w:p w14:paraId="454AF0EA">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4A38172">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28.4评标过程的监控。本项目电子评标过程实行网上留痕、全程录音、录像监控，</w:t>
      </w:r>
      <w:r>
        <w:rPr>
          <w:rFonts w:hint="eastAsia" w:hAnsi="宋体" w:cs="宋体"/>
          <w:b/>
          <w:color w:val="auto"/>
          <w:highlight w:val="none"/>
        </w:rPr>
        <w:t>投标人在评标过程中所进行的试图影响评标结果的不公正活动，可能导致其投标按无效处理。</w:t>
      </w:r>
    </w:p>
    <w:p w14:paraId="421EC98E">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29.评标方法及中标候选人推荐</w:t>
      </w:r>
    </w:p>
    <w:p w14:paraId="66F2AD46">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29.1本项目的评标方法详见“投标人须知前附表”。</w:t>
      </w:r>
    </w:p>
    <w:p w14:paraId="7482A8DF">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29.2 商务/技术要求允许负偏离的条款数详见“投标人须知前附表”。</w:t>
      </w:r>
    </w:p>
    <w:p w14:paraId="3DB3228D">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29.3 中标候选人推荐数量详见“投标人须知前附表”。</w:t>
      </w:r>
    </w:p>
    <w:p w14:paraId="6110B793">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29.4 电子交易活动的中止。采购过程中出现以下情形，导致电子交易平台无法正常运行，或者无法保证电子交易的公平、公正和安全时，采购代理机构可以中止电子交易活动：</w:t>
      </w:r>
    </w:p>
    <w:p w14:paraId="1FEC122C">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（1）电子交易平台发生故障而无法登录访问的；</w:t>
      </w:r>
    </w:p>
    <w:p w14:paraId="44C41918">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（2）电子交易平台应用或数据库出现错误，不能进行正常操作的；</w:t>
      </w:r>
    </w:p>
    <w:p w14:paraId="26C40D0C">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（3）电子交易平台发现严重安全漏洞，有潜在泄密危险的；</w:t>
      </w:r>
    </w:p>
    <w:p w14:paraId="25040A97">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（4）病毒发作导致不能进行正常操作的；</w:t>
      </w:r>
    </w:p>
    <w:p w14:paraId="18A8151C">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（5）其他无法保证电子交易的公平、公正和安全的情况。</w:t>
      </w:r>
    </w:p>
    <w:p w14:paraId="6CDCD7EE">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4BED6937">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29.5出现下列情形之一的，应予废标：</w:t>
      </w:r>
    </w:p>
    <w:p w14:paraId="120B8B77">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（1）符合专业条件的供应商或者对招标文件作实质响应的供应商不足三家的；</w:t>
      </w:r>
    </w:p>
    <w:p w14:paraId="02D3D0F6">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（2）出现影响采购公正的违法、违规行为的；</w:t>
      </w:r>
    </w:p>
    <w:p w14:paraId="3C543522">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（3）投标人的报价均超过了采购预算，采购人不能支付的；</w:t>
      </w:r>
    </w:p>
    <w:p w14:paraId="3266C93F">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（4）因重大变故，采购任务取消的。</w:t>
      </w:r>
    </w:p>
    <w:p w14:paraId="762F5D7A">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废标后，采购人应当将废标理由通知所有投标人。</w:t>
      </w:r>
    </w:p>
    <w:p w14:paraId="40F8DE12">
      <w:pPr>
        <w:pStyle w:val="20"/>
        <w:snapToGrid w:val="0"/>
        <w:spacing w:line="360" w:lineRule="auto"/>
        <w:rPr>
          <w:rFonts w:hint="eastAsia" w:hAnsi="宋体" w:cs="宋体"/>
          <w:color w:val="auto"/>
          <w:highlight w:val="none"/>
        </w:rPr>
      </w:pPr>
    </w:p>
    <w:p w14:paraId="22E5767C">
      <w:pPr>
        <w:pStyle w:val="5"/>
        <w:keepNext w:val="0"/>
        <w:keepLines w:val="0"/>
        <w:jc w:val="center"/>
        <w:rPr>
          <w:rFonts w:hint="eastAsia" w:ascii="宋体" w:hAnsi="宋体" w:cs="宋体"/>
          <w:color w:val="auto"/>
          <w:highlight w:val="none"/>
        </w:rPr>
      </w:pPr>
      <w:bookmarkStart w:id="152" w:name="_Toc254970546"/>
      <w:bookmarkStart w:id="153" w:name="_Toc254970687"/>
      <w:bookmarkStart w:id="154" w:name="_Toc12517"/>
      <w:bookmarkStart w:id="155" w:name="_Toc3006"/>
      <w:r>
        <w:rPr>
          <w:rFonts w:hint="eastAsia" w:ascii="宋体" w:hAnsi="宋体" w:cs="宋体"/>
          <w:color w:val="auto"/>
          <w:highlight w:val="none"/>
        </w:rPr>
        <w:t>七、</w:t>
      </w:r>
      <w:bookmarkEnd w:id="152"/>
      <w:bookmarkEnd w:id="153"/>
      <w:r>
        <w:rPr>
          <w:rFonts w:hint="eastAsia" w:ascii="宋体" w:hAnsi="宋体" w:cs="宋体"/>
          <w:color w:val="auto"/>
          <w:highlight w:val="none"/>
        </w:rPr>
        <w:t>中标和合同</w:t>
      </w:r>
      <w:bookmarkEnd w:id="154"/>
      <w:bookmarkEnd w:id="155"/>
    </w:p>
    <w:p w14:paraId="65D5A69C">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30 确定中标人</w:t>
      </w:r>
    </w:p>
    <w:p w14:paraId="123C7609">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8802748">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30.2采购人在收到评标报告5个工作日内未按评标报告推荐的中标候选人顺序确定中标人，又不能说明合法理由的，视同按评标报告推荐的顺序确定排名第一的中标候选人为中标人。</w:t>
      </w:r>
    </w:p>
    <w:p w14:paraId="58227D14">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31.结果公告</w:t>
      </w:r>
    </w:p>
    <w:p w14:paraId="1895151B">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1B6A1F2D">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以上信息查询记录及相关证据与招标文件一并保存。</w:t>
      </w:r>
    </w:p>
    <w:p w14:paraId="23E08329">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31.2中标供应商享受《政府采购促进中小企业发展管理办法》（财库〔2020〕46号）规定的中小企业扶持政策的，采购人、采购代理机构应当随中标结果公开中标供应商的《中小企业声明函》。</w:t>
      </w:r>
    </w:p>
    <w:p w14:paraId="2B7C1870">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32.发出中标通知书</w:t>
      </w:r>
    </w:p>
    <w:p w14:paraId="08F26AA1">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5062C81B">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33.无义务解释未中标原因</w:t>
      </w:r>
    </w:p>
    <w:p w14:paraId="63519499">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采购代理机构无义务向未中标的投标人解释未中标原因。</w:t>
      </w:r>
    </w:p>
    <w:p w14:paraId="467ABCAA">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34.合同授予标准</w:t>
      </w:r>
    </w:p>
    <w:p w14:paraId="03248708">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7A25C573">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35.履约保证金</w:t>
      </w:r>
    </w:p>
    <w:p w14:paraId="0151E7A4">
      <w:pPr>
        <w:pStyle w:val="20"/>
        <w:spacing w:line="440" w:lineRule="exact"/>
        <w:ind w:firstLine="420" w:firstLineChars="200"/>
        <w:rPr>
          <w:rFonts w:hint="eastAsia" w:hAnsi="宋体" w:cs="宋体"/>
          <w:color w:val="auto"/>
          <w:highlight w:val="none"/>
        </w:rPr>
      </w:pPr>
      <w:bookmarkStart w:id="156" w:name="_39.1中标人须于签订合同前按本须知前附表规定的金额转账或电汇到指定账"/>
      <w:bookmarkEnd w:id="156"/>
      <w:r>
        <w:rPr>
          <w:rFonts w:hint="eastAsia" w:hAnsi="宋体" w:cs="宋体"/>
          <w:color w:val="auto"/>
          <w:highlight w:val="none"/>
        </w:rPr>
        <w:t>35.1 履约保证金的金额、提交方式、缴纳期限、退付的时间和条件详见 “投标人须知前附表”。中标人未按规定提交履约保证金的，视为拒绝与采购人签订合同。</w:t>
      </w:r>
    </w:p>
    <w:p w14:paraId="08F73183">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35.2在履约保证金退还日期前，若中标人的开户名称、开户银行、账号有变动的，请以书面形式通知履约保证金收取单位，否则由此产生的后果由中标人自行承担。</w:t>
      </w:r>
    </w:p>
    <w:p w14:paraId="30C181A6">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36.签订合同</w:t>
      </w:r>
    </w:p>
    <w:p w14:paraId="2538A6DD">
      <w:pPr>
        <w:pStyle w:val="20"/>
        <w:spacing w:line="440" w:lineRule="exact"/>
        <w:ind w:firstLine="420" w:firstLineChars="200"/>
        <w:rPr>
          <w:rFonts w:hint="eastAsia" w:hAnsi="宋体" w:cs="宋体"/>
          <w:color w:val="auto"/>
          <w:highlight w:val="none"/>
        </w:rPr>
      </w:pPr>
      <w:bookmarkStart w:id="157" w:name="_40.1投标人接到中标通知书后，按须知前附表规定向采购人出示相关资格证"/>
      <w:bookmarkEnd w:id="157"/>
      <w:r>
        <w:rPr>
          <w:rFonts w:hint="eastAsia" w:hAnsi="宋体" w:cs="宋体"/>
          <w:color w:val="auto"/>
          <w:highlight w:val="none"/>
        </w:rPr>
        <w:t>36.1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5A7876AC">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线下签订纸质合同：投标人领取中标通知书后，按“投标人须知前附表”规定向采购人出示相关证明材料，经采购人核验合格后方可签订合同。</w:t>
      </w:r>
    </w:p>
    <w:p w14:paraId="0692D0C4">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36.2签订合同时间：按中标通知书规定的时间与采购人签订合同。</w:t>
      </w:r>
    </w:p>
    <w:p w14:paraId="5169AF82">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44EA1AD6">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735A88C">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42AB41DA">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36.6如签订合同并生效后，供应商无故拒绝或延期，除按照合同条款处理外，将承担相应的法律责任。</w:t>
      </w:r>
    </w:p>
    <w:p w14:paraId="7B2D52E7">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1CEEBA16">
      <w:pPr>
        <w:spacing w:line="440" w:lineRule="exact"/>
        <w:ind w:firstLine="480" w:firstLineChars="200"/>
        <w:rPr>
          <w:rFonts w:hint="eastAsia" w:ascii="宋体" w:hAnsi="宋体" w:cs="宋体"/>
          <w:b/>
          <w:color w:val="auto"/>
          <w:sz w:val="24"/>
          <w:highlight w:val="none"/>
        </w:rPr>
      </w:pPr>
      <w:bookmarkStart w:id="158" w:name="_41.政府采购合同公告"/>
      <w:bookmarkEnd w:id="158"/>
      <w:r>
        <w:rPr>
          <w:rFonts w:hint="eastAsia" w:ascii="宋体" w:hAnsi="宋体" w:cs="宋体"/>
          <w:b/>
          <w:color w:val="auto"/>
          <w:sz w:val="24"/>
          <w:highlight w:val="none"/>
        </w:rPr>
        <w:t>37.政府采购合同公告</w:t>
      </w:r>
    </w:p>
    <w:p w14:paraId="4DAECC4C">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1C5AA375">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38.询问、质疑和投诉</w:t>
      </w:r>
    </w:p>
    <w:p w14:paraId="23783A98">
      <w:pPr>
        <w:pStyle w:val="10"/>
        <w:spacing w:line="440" w:lineRule="exact"/>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7722C46A">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60DAFEB9">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（1）对可以质疑的招标文件提出质疑的，为收到招标文件之日或者招标文件公告期限届满之日；</w:t>
      </w:r>
    </w:p>
    <w:p w14:paraId="2DD0A19A">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（2）对采购过程提出质疑的，为各采购程序环节结束之日；</w:t>
      </w:r>
    </w:p>
    <w:p w14:paraId="2934D15B">
      <w:pPr>
        <w:pStyle w:val="20"/>
        <w:snapToGrid w:val="0"/>
        <w:spacing w:line="440" w:lineRule="exact"/>
        <w:ind w:firstLine="420" w:firstLineChars="200"/>
        <w:rPr>
          <w:rFonts w:hint="eastAsia" w:hAnsi="宋体" w:cs="宋体"/>
          <w:bCs/>
          <w:color w:val="auto"/>
          <w:highlight w:val="none"/>
        </w:rPr>
      </w:pPr>
      <w:r>
        <w:rPr>
          <w:rFonts w:hint="eastAsia" w:hAnsi="宋体" w:cs="宋体"/>
          <w:color w:val="auto"/>
          <w:highlight w:val="none"/>
        </w:rPr>
        <w:t>（3）对中标结果提出质疑的，为中标结果公告期限届满之日。</w:t>
      </w:r>
    </w:p>
    <w:p w14:paraId="23CD83EB">
      <w:pPr>
        <w:pStyle w:val="20"/>
        <w:spacing w:line="440" w:lineRule="exact"/>
        <w:ind w:firstLine="420" w:firstLineChars="200"/>
        <w:rPr>
          <w:rFonts w:hint="eastAsia" w:hAnsi="宋体" w:cs="宋体"/>
          <w:color w:val="auto"/>
          <w:highlight w:val="none"/>
        </w:rPr>
      </w:pPr>
      <w:bookmarkStart w:id="159" w:name="_9.2质疑、投诉应当采用书面形式，质疑函、投诉书均应明确阐述招标文件、"/>
      <w:bookmarkEnd w:id="159"/>
      <w:r>
        <w:rPr>
          <w:rFonts w:hint="eastAsia" w:hAnsi="宋体" w:cs="宋体"/>
          <w:color w:val="auto"/>
          <w:highlight w:val="none"/>
        </w:rPr>
        <w:t>38.3供应商提出质疑应当提交质疑函和必要的证明材料，针对同一采购程序环节的质疑必须在法定质疑期内一次性提出。质疑函应当包括下列内容（质疑函格式后附）：</w:t>
      </w:r>
    </w:p>
    <w:p w14:paraId="7DD055A5">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（1）供应商的姓名或者名称、地址、邮编、联系人及联系电话；</w:t>
      </w:r>
    </w:p>
    <w:p w14:paraId="69C7F00C">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（2）质疑项目的名称、编号；</w:t>
      </w:r>
    </w:p>
    <w:p w14:paraId="7A871858">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（3）具体、明确的质疑事项和与质疑事项相关的请求；</w:t>
      </w:r>
    </w:p>
    <w:p w14:paraId="3F71ADE2">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（4）事实依据；</w:t>
      </w:r>
    </w:p>
    <w:p w14:paraId="3B9A6BCF">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（5）必要的法律依据；</w:t>
      </w:r>
    </w:p>
    <w:p w14:paraId="078400F6">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（6）提出质疑的日期。</w:t>
      </w:r>
    </w:p>
    <w:p w14:paraId="0B63A689">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供应商为自然人的，应当由本人签字；供应商为法人或者其他组织的，应当由法定代表人、主要负责人，或者其委托代理人签字或者盖章，并加盖公章。</w:t>
      </w:r>
    </w:p>
    <w:p w14:paraId="0EDC3F35">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38.4采购人、采购代理机构认为供应商质疑不成立，或者成立但未对中标结果构成影响的，继续开展采购活动；认为供应商质疑成立且影响或者可能影响中标结果的，按照下列情况处理：</w:t>
      </w:r>
    </w:p>
    <w:p w14:paraId="7D4C1304">
      <w:pPr>
        <w:pStyle w:val="20"/>
        <w:snapToGrid w:val="0"/>
        <w:spacing w:line="440" w:lineRule="exact"/>
        <w:rPr>
          <w:rFonts w:hint="eastAsia" w:hAnsi="宋体" w:cs="宋体"/>
          <w:bCs/>
          <w:color w:val="auto"/>
          <w:highlight w:val="none"/>
        </w:rPr>
      </w:pPr>
      <w:r>
        <w:rPr>
          <w:rFonts w:hint="eastAsia"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6854E4A5">
      <w:pPr>
        <w:pStyle w:val="20"/>
        <w:snapToGrid w:val="0"/>
        <w:spacing w:line="440" w:lineRule="exact"/>
        <w:rPr>
          <w:rFonts w:hint="eastAsia" w:hAnsi="宋体" w:cs="宋体"/>
          <w:bCs/>
          <w:color w:val="auto"/>
          <w:highlight w:val="none"/>
        </w:rPr>
      </w:pPr>
      <w:r>
        <w:rPr>
          <w:rFonts w:hint="eastAsia"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20C52BAB">
      <w:pPr>
        <w:pStyle w:val="20"/>
        <w:snapToGrid w:val="0"/>
        <w:spacing w:line="440" w:lineRule="exact"/>
        <w:ind w:firstLine="420"/>
        <w:rPr>
          <w:rFonts w:hint="eastAsia" w:hAnsi="宋体" w:cs="宋体"/>
          <w:bCs/>
          <w:color w:val="auto"/>
          <w:highlight w:val="none"/>
        </w:rPr>
      </w:pPr>
      <w:r>
        <w:rPr>
          <w:rFonts w:hint="eastAsia" w:hAnsi="宋体" w:cs="宋体"/>
          <w:bCs/>
          <w:color w:val="auto"/>
          <w:highlight w:val="none"/>
        </w:rPr>
        <w:t>质疑答复导致中标结果改变的，采购人或者采购代理机构应当将有关情况书面报告本级财政部门。</w:t>
      </w:r>
    </w:p>
    <w:p w14:paraId="347DE15D">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2708FF92">
      <w:pPr>
        <w:pStyle w:val="5"/>
        <w:keepNext w:val="0"/>
        <w:keepLines w:val="0"/>
        <w:spacing w:before="240" w:after="240" w:line="415" w:lineRule="auto"/>
        <w:jc w:val="center"/>
        <w:rPr>
          <w:rFonts w:hint="eastAsia" w:ascii="宋体" w:hAnsi="宋体" w:cs="宋体"/>
          <w:color w:val="auto"/>
          <w:highlight w:val="none"/>
        </w:rPr>
      </w:pPr>
      <w:bookmarkStart w:id="160" w:name="_八、其他事项"/>
      <w:bookmarkEnd w:id="160"/>
      <w:bookmarkStart w:id="161" w:name="_Toc17072"/>
      <w:bookmarkStart w:id="162" w:name="_Toc24956"/>
      <w:r>
        <w:rPr>
          <w:rFonts w:hint="eastAsia" w:ascii="宋体" w:hAnsi="宋体" w:cs="宋体"/>
          <w:color w:val="auto"/>
          <w:highlight w:val="none"/>
        </w:rPr>
        <w:t>八、其他事项</w:t>
      </w:r>
      <w:bookmarkEnd w:id="161"/>
      <w:bookmarkEnd w:id="162"/>
    </w:p>
    <w:p w14:paraId="3CD3D8D9">
      <w:pPr>
        <w:spacing w:line="440" w:lineRule="exact"/>
        <w:ind w:firstLine="480" w:firstLineChars="200"/>
        <w:rPr>
          <w:rFonts w:hint="eastAsia" w:ascii="宋体" w:hAnsi="宋体" w:cs="宋体"/>
          <w:b/>
          <w:color w:val="auto"/>
          <w:sz w:val="24"/>
          <w:highlight w:val="none"/>
        </w:rPr>
      </w:pPr>
      <w:bookmarkStart w:id="163" w:name="_42.代理服务费"/>
      <w:bookmarkEnd w:id="163"/>
      <w:r>
        <w:rPr>
          <w:rFonts w:hint="eastAsia" w:ascii="宋体" w:hAnsi="宋体" w:cs="宋体"/>
          <w:b/>
          <w:color w:val="auto"/>
          <w:sz w:val="24"/>
          <w:highlight w:val="none"/>
        </w:rPr>
        <w:t>39.代理服务费</w:t>
      </w:r>
    </w:p>
    <w:p w14:paraId="02CF55E8">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39.1代理服务费收取标准参照国家发展计划委员会《招标代理服务费管理暂行办法》（计价格（2002）1980号、《国家发展改革委关于降低部分建设项目收费标准规范收费行为等有关问题的通知》（发改价格[2011]534号）收费标准（服务类）下浮20%向供应商收取，供应商为联合体的，可以由联合体中的一方或者多方共同交纳代理服务费。代理服务费缴费账户详见“投标人须知前附表”。</w:t>
      </w:r>
    </w:p>
    <w:p w14:paraId="1F9EA5F9">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代理服务费收取标准附表：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1720"/>
        <w:gridCol w:w="1749"/>
        <w:gridCol w:w="1454"/>
      </w:tblGrid>
      <w:tr w14:paraId="3B02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tcBorders>
              <w:tl2br w:val="single" w:color="auto" w:sz="4" w:space="0"/>
            </w:tcBorders>
            <w:noWrap w:val="0"/>
            <w:vAlign w:val="center"/>
          </w:tcPr>
          <w:p w14:paraId="17D832E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费率</w:t>
            </w:r>
          </w:p>
          <w:p w14:paraId="44CEE9F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009" w:type="pct"/>
            <w:noWrap w:val="0"/>
            <w:vAlign w:val="center"/>
          </w:tcPr>
          <w:p w14:paraId="250EAC64">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026" w:type="pct"/>
            <w:noWrap w:val="0"/>
            <w:vAlign w:val="center"/>
          </w:tcPr>
          <w:p w14:paraId="708EF42B">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853" w:type="pct"/>
            <w:noWrap w:val="0"/>
            <w:vAlign w:val="center"/>
          </w:tcPr>
          <w:p w14:paraId="4E296CE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64DF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615F8F6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009" w:type="pct"/>
            <w:noWrap w:val="0"/>
            <w:vAlign w:val="center"/>
          </w:tcPr>
          <w:p w14:paraId="6EFD27B5">
            <w:pPr>
              <w:spacing w:line="44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026" w:type="pct"/>
            <w:noWrap w:val="0"/>
            <w:vAlign w:val="center"/>
          </w:tcPr>
          <w:p w14:paraId="015CBFFA">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853" w:type="pct"/>
            <w:noWrap w:val="0"/>
            <w:vAlign w:val="center"/>
          </w:tcPr>
          <w:p w14:paraId="11EF594F">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1.0%</w:t>
            </w:r>
          </w:p>
        </w:tc>
      </w:tr>
      <w:tr w14:paraId="2579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747ECD4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100万元～500万元</w:t>
            </w:r>
          </w:p>
        </w:tc>
        <w:tc>
          <w:tcPr>
            <w:tcW w:w="1009" w:type="pct"/>
            <w:noWrap w:val="0"/>
            <w:vAlign w:val="center"/>
          </w:tcPr>
          <w:p w14:paraId="2CC43708">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1.1%</w:t>
            </w:r>
          </w:p>
        </w:tc>
        <w:tc>
          <w:tcPr>
            <w:tcW w:w="1026" w:type="pct"/>
            <w:noWrap w:val="0"/>
            <w:vAlign w:val="center"/>
          </w:tcPr>
          <w:p w14:paraId="7D9D1712">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853" w:type="pct"/>
            <w:noWrap w:val="0"/>
            <w:vAlign w:val="center"/>
          </w:tcPr>
          <w:p w14:paraId="35A8F84B">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0.7%</w:t>
            </w:r>
          </w:p>
        </w:tc>
      </w:tr>
      <w:tr w14:paraId="6188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263CC25B">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500万元～1000万元</w:t>
            </w:r>
          </w:p>
        </w:tc>
        <w:tc>
          <w:tcPr>
            <w:tcW w:w="1009" w:type="pct"/>
            <w:noWrap w:val="0"/>
            <w:vAlign w:val="center"/>
          </w:tcPr>
          <w:p w14:paraId="0A1BDFAE">
            <w:pPr>
              <w:spacing w:line="44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026" w:type="pct"/>
            <w:noWrap w:val="0"/>
            <w:vAlign w:val="center"/>
          </w:tcPr>
          <w:p w14:paraId="71ABC570">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853" w:type="pct"/>
            <w:noWrap w:val="0"/>
            <w:vAlign w:val="center"/>
          </w:tcPr>
          <w:p w14:paraId="6D9BF68B">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1AAF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0E9D477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1000万元～5000万元</w:t>
            </w:r>
          </w:p>
        </w:tc>
        <w:tc>
          <w:tcPr>
            <w:tcW w:w="1009" w:type="pct"/>
            <w:noWrap w:val="0"/>
            <w:vAlign w:val="center"/>
          </w:tcPr>
          <w:p w14:paraId="480CDB90">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0.5%</w:t>
            </w:r>
          </w:p>
        </w:tc>
        <w:tc>
          <w:tcPr>
            <w:tcW w:w="1026" w:type="pct"/>
            <w:noWrap w:val="0"/>
            <w:vAlign w:val="center"/>
          </w:tcPr>
          <w:p w14:paraId="7AE1E9EA">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853" w:type="pct"/>
            <w:noWrap w:val="0"/>
            <w:vAlign w:val="center"/>
          </w:tcPr>
          <w:p w14:paraId="67FA8D03">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0.35%</w:t>
            </w:r>
          </w:p>
        </w:tc>
      </w:tr>
      <w:tr w14:paraId="62C9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07854C3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009" w:type="pct"/>
            <w:noWrap w:val="0"/>
            <w:vAlign w:val="center"/>
          </w:tcPr>
          <w:p w14:paraId="601CBBD8">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026" w:type="pct"/>
            <w:noWrap w:val="0"/>
            <w:vAlign w:val="center"/>
          </w:tcPr>
          <w:p w14:paraId="1B7B8349">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853" w:type="pct"/>
            <w:noWrap w:val="0"/>
            <w:vAlign w:val="center"/>
          </w:tcPr>
          <w:p w14:paraId="6C4EF702">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7703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3978DD4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1亿元～5亿元</w:t>
            </w:r>
          </w:p>
        </w:tc>
        <w:tc>
          <w:tcPr>
            <w:tcW w:w="1009" w:type="pct"/>
            <w:noWrap w:val="0"/>
            <w:vAlign w:val="center"/>
          </w:tcPr>
          <w:p w14:paraId="67D3BA09">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szCs w:val="21"/>
                <w:highlight w:val="none"/>
              </w:rPr>
              <w:t>0.05%</w:t>
            </w:r>
          </w:p>
        </w:tc>
        <w:tc>
          <w:tcPr>
            <w:tcW w:w="1026" w:type="pct"/>
            <w:noWrap w:val="0"/>
            <w:vAlign w:val="center"/>
          </w:tcPr>
          <w:p w14:paraId="44AC6C1E">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0.05%</w:t>
            </w:r>
          </w:p>
        </w:tc>
        <w:tc>
          <w:tcPr>
            <w:tcW w:w="853" w:type="pct"/>
            <w:noWrap w:val="0"/>
            <w:vAlign w:val="center"/>
          </w:tcPr>
          <w:p w14:paraId="6F741E5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0.05%</w:t>
            </w:r>
          </w:p>
        </w:tc>
      </w:tr>
      <w:tr w14:paraId="2963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75AFC74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5亿元～10亿元</w:t>
            </w:r>
          </w:p>
        </w:tc>
        <w:tc>
          <w:tcPr>
            <w:tcW w:w="1009" w:type="pct"/>
            <w:noWrap w:val="0"/>
            <w:vAlign w:val="center"/>
          </w:tcPr>
          <w:p w14:paraId="6334DAF8">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026" w:type="pct"/>
            <w:noWrap w:val="0"/>
            <w:vAlign w:val="center"/>
          </w:tcPr>
          <w:p w14:paraId="660807B0">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0.035%</w:t>
            </w:r>
          </w:p>
        </w:tc>
        <w:tc>
          <w:tcPr>
            <w:tcW w:w="853" w:type="pct"/>
            <w:noWrap w:val="0"/>
            <w:vAlign w:val="center"/>
          </w:tcPr>
          <w:p w14:paraId="52131190">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0.035%</w:t>
            </w:r>
          </w:p>
        </w:tc>
      </w:tr>
      <w:tr w14:paraId="3299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01E321B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10亿元～50亿元</w:t>
            </w:r>
          </w:p>
        </w:tc>
        <w:tc>
          <w:tcPr>
            <w:tcW w:w="1009" w:type="pct"/>
            <w:noWrap w:val="0"/>
            <w:vAlign w:val="center"/>
          </w:tcPr>
          <w:p w14:paraId="3D5B053F">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026" w:type="pct"/>
            <w:noWrap w:val="0"/>
            <w:vAlign w:val="center"/>
          </w:tcPr>
          <w:p w14:paraId="2CA02F33">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c>
          <w:tcPr>
            <w:tcW w:w="853" w:type="pct"/>
            <w:noWrap w:val="0"/>
            <w:vAlign w:val="center"/>
          </w:tcPr>
          <w:p w14:paraId="28DF0581">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0.008%</w:t>
            </w:r>
          </w:p>
        </w:tc>
      </w:tr>
      <w:tr w14:paraId="5508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078D0F9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50亿元～100亿元</w:t>
            </w:r>
          </w:p>
        </w:tc>
        <w:tc>
          <w:tcPr>
            <w:tcW w:w="1009" w:type="pct"/>
            <w:noWrap w:val="0"/>
            <w:vAlign w:val="center"/>
          </w:tcPr>
          <w:p w14:paraId="6A7AFE09">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026" w:type="pct"/>
            <w:noWrap w:val="0"/>
            <w:vAlign w:val="center"/>
          </w:tcPr>
          <w:p w14:paraId="48B23C63">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szCs w:val="21"/>
                <w:highlight w:val="none"/>
              </w:rPr>
              <w:t>0.006%</w:t>
            </w:r>
          </w:p>
        </w:tc>
        <w:tc>
          <w:tcPr>
            <w:tcW w:w="853" w:type="pct"/>
            <w:noWrap w:val="0"/>
            <w:vAlign w:val="center"/>
          </w:tcPr>
          <w:p w14:paraId="1D9916E8">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0.006%</w:t>
            </w:r>
          </w:p>
        </w:tc>
      </w:tr>
      <w:tr w14:paraId="73A1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pct"/>
            <w:noWrap w:val="0"/>
            <w:vAlign w:val="center"/>
          </w:tcPr>
          <w:p w14:paraId="4FE0096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009" w:type="pct"/>
            <w:noWrap w:val="0"/>
            <w:vAlign w:val="center"/>
          </w:tcPr>
          <w:p w14:paraId="4A4365D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026" w:type="pct"/>
            <w:noWrap w:val="0"/>
            <w:vAlign w:val="center"/>
          </w:tcPr>
          <w:p w14:paraId="11729479">
            <w:pPr>
              <w:spacing w:line="440" w:lineRule="exact"/>
              <w:ind w:firstLine="210" w:firstLineChars="100"/>
              <w:jc w:val="center"/>
              <w:rPr>
                <w:rFonts w:hint="eastAsia" w:ascii="宋体" w:hAnsi="宋体" w:cs="宋体"/>
                <w:color w:val="auto"/>
                <w:szCs w:val="21"/>
                <w:highlight w:val="none"/>
              </w:rPr>
            </w:pPr>
            <w:r>
              <w:rPr>
                <w:rFonts w:hint="eastAsia" w:ascii="宋体" w:hAnsi="宋体" w:cs="宋体"/>
                <w:color w:val="auto"/>
                <w:szCs w:val="21"/>
                <w:highlight w:val="none"/>
              </w:rPr>
              <w:t>0.004%</w:t>
            </w:r>
          </w:p>
        </w:tc>
        <w:tc>
          <w:tcPr>
            <w:tcW w:w="853" w:type="pct"/>
            <w:noWrap w:val="0"/>
            <w:vAlign w:val="center"/>
          </w:tcPr>
          <w:p w14:paraId="6A3B6A1B">
            <w:pPr>
              <w:spacing w:line="44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73B4B66C">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4C7634CA">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0A5834F6">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5AD3272F">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613631E2">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100 万元×l.5 %＝ 1.5 万元</w:t>
      </w:r>
    </w:p>
    <w:p w14:paraId="3A794948">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（200－100）万元 ×0.8%＝0.8万元</w:t>
      </w:r>
    </w:p>
    <w:p w14:paraId="74C9B94F">
      <w:pPr>
        <w:pStyle w:val="20"/>
        <w:snapToGrid w:val="0"/>
        <w:spacing w:line="440" w:lineRule="exact"/>
        <w:ind w:firstLine="420" w:firstLineChars="200"/>
        <w:rPr>
          <w:rFonts w:hint="eastAsia" w:hAnsi="宋体" w:cs="宋体"/>
          <w:color w:val="auto"/>
          <w:highlight w:val="none"/>
        </w:rPr>
      </w:pPr>
      <w:r>
        <w:rPr>
          <w:rFonts w:hint="eastAsia" w:hAnsi="宋体" w:cs="宋体"/>
          <w:color w:val="auto"/>
          <w:highlight w:val="none"/>
        </w:rPr>
        <w:t>合计收费＝ 1.5+0.8＝ 2.3（万元）</w:t>
      </w:r>
    </w:p>
    <w:p w14:paraId="53772B3C">
      <w:pPr>
        <w:spacing w:line="44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40. 需要补充的其他内容</w:t>
      </w:r>
    </w:p>
    <w:p w14:paraId="3BD72888">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40.1本招标文件解释规则详见“投标人须知前附表”。</w:t>
      </w:r>
    </w:p>
    <w:p w14:paraId="0B615B77">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40.2 其他事项详见“投标人须知前附表”。</w:t>
      </w:r>
    </w:p>
    <w:p w14:paraId="1847E230">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98E07ED">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（1）在货物采购项目中，货物由中小企业制造，即货物由中小企业生产且使用该中小企业商号或者注册商标，不对其中涉及的工程承建商和服务的承接商作出要求；</w:t>
      </w:r>
    </w:p>
    <w:p w14:paraId="6EF3E3D2">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（2）在工程采购项目中，工程由中小企业承建，即工程施工单位为中小企业，不对其中涉及的货物的制造商和服务的承接商作出要求；</w:t>
      </w:r>
    </w:p>
    <w:p w14:paraId="420CEA68">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FD7653F">
      <w:pPr>
        <w:pStyle w:val="20"/>
        <w:spacing w:line="440" w:lineRule="exact"/>
        <w:ind w:firstLine="420" w:firstLineChars="200"/>
        <w:rPr>
          <w:rFonts w:hint="eastAsia" w:hAnsi="宋体" w:cs="宋体"/>
          <w:color w:val="auto"/>
          <w:highlight w:val="none"/>
        </w:rPr>
      </w:pPr>
      <w:r>
        <w:rPr>
          <w:rFonts w:hint="eastAsia" w:hAnsi="宋体" w:cs="宋体"/>
          <w:color w:val="auto"/>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6131FEC">
      <w:pPr>
        <w:pStyle w:val="20"/>
        <w:spacing w:line="440" w:lineRule="exact"/>
        <w:ind w:firstLine="420" w:firstLineChars="200"/>
        <w:rPr>
          <w:rFonts w:hAnsi="宋体" w:cs="宋体"/>
          <w:color w:val="auto"/>
          <w:highlight w:val="none"/>
        </w:rPr>
      </w:pPr>
      <w:r>
        <w:rPr>
          <w:rFonts w:hint="eastAsia" w:hAnsi="宋体" w:cs="宋体"/>
          <w:color w:val="auto"/>
          <w:highlight w:val="none"/>
        </w:rPr>
        <w:t>依据本招标文件规定享受扶持政策获得政府采购合同的，小微企业不得将合同分包给大中型企业，中型企业不得将合同分包给大型企业。</w:t>
      </w:r>
    </w:p>
    <w:p w14:paraId="4B4573AB">
      <w:pPr>
        <w:pStyle w:val="2"/>
        <w:spacing w:line="360" w:lineRule="auto"/>
        <w:rPr>
          <w:rFonts w:hint="eastAsia" w:ascii="宋体" w:hAnsi="宋体" w:cs="宋体"/>
          <w:color w:val="auto"/>
          <w:highlight w:val="none"/>
        </w:rPr>
      </w:pPr>
      <w:r>
        <w:rPr>
          <w:color w:val="auto"/>
          <w:highlight w:val="none"/>
        </w:rPr>
        <w:br w:type="page"/>
      </w:r>
      <w:r>
        <w:rPr>
          <w:rFonts w:hint="eastAsia" w:ascii="宋体" w:hAnsi="宋体" w:cs="宋体"/>
          <w:b/>
          <w:bCs/>
          <w:color w:val="auto"/>
          <w:sz w:val="36"/>
          <w:szCs w:val="36"/>
          <w:highlight w:val="none"/>
        </w:rPr>
        <w:t>附件1：</w:t>
      </w:r>
    </w:p>
    <w:p w14:paraId="598C9602">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广西壮族自治区政府采购项目合同验收书</w:t>
      </w:r>
    </w:p>
    <w:p w14:paraId="2906965A">
      <w:pPr>
        <w:widowControl/>
        <w:shd w:val="clear" w:color="auto" w:fill="FFFFFF"/>
        <w:spacing w:line="360" w:lineRule="auto"/>
        <w:jc w:val="center"/>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（格式）</w:t>
      </w:r>
    </w:p>
    <w:p w14:paraId="30961C48">
      <w:pPr>
        <w:keepNext w:val="0"/>
        <w:keepLines w:val="0"/>
        <w:pageBreakBefore w:val="0"/>
        <w:widowControl/>
        <w:shd w:val="clear" w:color="auto" w:fill="FFFFFF"/>
        <w:kinsoku/>
        <w:wordWrap/>
        <w:overflowPunct/>
        <w:topLinePunct w:val="0"/>
        <w:autoSpaceDE/>
        <w:autoSpaceDN/>
        <w:bidi w:val="0"/>
        <w:adjustRightInd/>
        <w:snapToGrid w:val="0"/>
        <w:spacing w:line="400" w:lineRule="exact"/>
        <w:ind w:firstLine="480"/>
        <w:jc w:val="left"/>
        <w:textAlignment w:val="auto"/>
        <w:rPr>
          <w:rFonts w:hint="eastAsia" w:ascii="宋体" w:hAnsi="宋体" w:cs="宋体"/>
          <w:color w:val="auto"/>
          <w:kern w:val="0"/>
          <w:szCs w:val="21"/>
          <w:highlight w:val="none"/>
        </w:rPr>
      </w:pPr>
      <w:r>
        <w:rPr>
          <w:rFonts w:hint="eastAsia" w:ascii="宋体" w:hAnsi="宋体" w:cs="宋体"/>
          <w:color w:val="auto"/>
          <w:kern w:val="0"/>
          <w:highlight w:val="none"/>
        </w:rPr>
        <w:t>根据政府采购项目（</w:t>
      </w:r>
      <w:r>
        <w:rPr>
          <w:rFonts w:hint="eastAsia" w:ascii="宋体" w:hAnsi="宋体" w:cs="宋体"/>
          <w:color w:val="auto"/>
          <w:kern w:val="0"/>
          <w:highlight w:val="none"/>
          <w:u w:val="single"/>
        </w:rPr>
        <w:t>采购合同编号：</w:t>
      </w:r>
      <w:r>
        <w:rPr>
          <w:rFonts w:hint="eastAsia" w:ascii="宋体" w:hAnsi="宋体" w:cs="宋体"/>
          <w:color w:val="auto"/>
          <w:kern w:val="0"/>
          <w:highlight w:val="none"/>
          <w:u w:val="single"/>
        </w:rPr>
        <w:softHyphen/>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）的约定，我单位对（</w:t>
      </w:r>
      <w:r>
        <w:rPr>
          <w:rFonts w:hint="eastAsia" w:ascii="宋体" w:hAnsi="宋体" w:cs="宋体"/>
          <w:color w:val="auto"/>
          <w:kern w:val="0"/>
          <w:highlight w:val="none"/>
          <w:u w:val="single"/>
        </w:rPr>
        <w:t xml:space="preserve"> 项目名称 </w:t>
      </w:r>
      <w:r>
        <w:rPr>
          <w:rFonts w:hint="eastAsia" w:ascii="宋体" w:hAnsi="宋体" w:cs="宋体"/>
          <w:color w:val="auto"/>
          <w:kern w:val="0"/>
          <w:highlight w:val="none"/>
        </w:rPr>
        <w:t>） 政府采购项目中标（或成交）供应商（</w:t>
      </w:r>
      <w:r>
        <w:rPr>
          <w:rFonts w:hint="eastAsia" w:ascii="宋体" w:hAnsi="宋体" w:cs="宋体"/>
          <w:color w:val="auto"/>
          <w:kern w:val="0"/>
          <w:highlight w:val="none"/>
          <w:u w:val="single"/>
        </w:rPr>
        <w:t xml:space="preserve"> 公司名称 </w:t>
      </w:r>
      <w:r>
        <w:rPr>
          <w:rFonts w:hint="eastAsia" w:ascii="宋体" w:hAnsi="宋体" w:cs="宋体"/>
          <w:color w:val="auto"/>
          <w:kern w:val="0"/>
          <w:highlight w:val="none"/>
        </w:rPr>
        <w:t>） 提供的货物（或工程、服务）进行了验收，验收情况如下：</w:t>
      </w:r>
    </w:p>
    <w:tbl>
      <w:tblPr>
        <w:tblStyle w:val="38"/>
        <w:tblW w:w="9371" w:type="dxa"/>
        <w:jc w:val="center"/>
        <w:tblLayout w:type="fixed"/>
        <w:tblCellMar>
          <w:top w:w="0" w:type="dxa"/>
          <w:left w:w="0" w:type="dxa"/>
          <w:bottom w:w="0" w:type="dxa"/>
          <w:right w:w="0" w:type="dxa"/>
        </w:tblCellMar>
      </w:tblPr>
      <w:tblGrid>
        <w:gridCol w:w="1486"/>
        <w:gridCol w:w="1766"/>
        <w:gridCol w:w="798"/>
        <w:gridCol w:w="102"/>
        <w:gridCol w:w="2002"/>
        <w:gridCol w:w="178"/>
        <w:gridCol w:w="685"/>
        <w:gridCol w:w="2354"/>
      </w:tblGrid>
      <w:tr w14:paraId="0A85E921">
        <w:trPr>
          <w:trHeight w:val="382"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6AA34D0">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3B4D9CC6">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80"/>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□自行验收 □委托验收</w:t>
            </w:r>
          </w:p>
        </w:tc>
      </w:tr>
      <w:tr w14:paraId="5D79A268">
        <w:trPr>
          <w:trHeight w:val="622" w:hRule="atLeast"/>
          <w:jc w:val="center"/>
        </w:trPr>
        <w:tc>
          <w:tcPr>
            <w:tcW w:w="1486" w:type="dxa"/>
            <w:tcBorders>
              <w:top w:val="nil"/>
              <w:left w:val="single" w:color="auto" w:sz="8" w:space="0"/>
              <w:bottom w:val="single" w:color="auto" w:sz="8" w:space="0"/>
              <w:right w:val="single" w:color="auto" w:sz="8" w:space="0"/>
            </w:tcBorders>
            <w:noWrap w:val="0"/>
            <w:vAlign w:val="center"/>
          </w:tcPr>
          <w:p w14:paraId="112201B2">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序号</w:t>
            </w:r>
          </w:p>
        </w:tc>
        <w:tc>
          <w:tcPr>
            <w:tcW w:w="1766" w:type="dxa"/>
            <w:tcBorders>
              <w:top w:val="nil"/>
              <w:left w:val="nil"/>
              <w:bottom w:val="single" w:color="auto" w:sz="8" w:space="0"/>
              <w:right w:val="single" w:color="auto" w:sz="8" w:space="0"/>
            </w:tcBorders>
            <w:noWrap w:val="0"/>
            <w:vAlign w:val="center"/>
          </w:tcPr>
          <w:p w14:paraId="6D8DBC80">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39DD921B">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货物型号规格、标准及配置等（或服务内容、标准）</w:t>
            </w:r>
          </w:p>
        </w:tc>
        <w:tc>
          <w:tcPr>
            <w:tcW w:w="863" w:type="dxa"/>
            <w:gridSpan w:val="2"/>
            <w:tcBorders>
              <w:top w:val="nil"/>
              <w:left w:val="nil"/>
              <w:bottom w:val="single" w:color="auto" w:sz="8" w:space="0"/>
              <w:right w:val="single" w:color="auto" w:sz="8" w:space="0"/>
            </w:tcBorders>
            <w:noWrap w:val="0"/>
            <w:vAlign w:val="center"/>
          </w:tcPr>
          <w:p w14:paraId="608DEF05">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数量</w:t>
            </w:r>
          </w:p>
        </w:tc>
        <w:tc>
          <w:tcPr>
            <w:tcW w:w="2354" w:type="dxa"/>
            <w:tcBorders>
              <w:top w:val="nil"/>
              <w:left w:val="nil"/>
              <w:bottom w:val="single" w:color="auto" w:sz="8" w:space="0"/>
              <w:right w:val="single" w:color="auto" w:sz="8" w:space="0"/>
            </w:tcBorders>
            <w:noWrap w:val="0"/>
            <w:vAlign w:val="center"/>
          </w:tcPr>
          <w:p w14:paraId="435EA6E8">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金 额</w:t>
            </w:r>
          </w:p>
        </w:tc>
      </w:tr>
      <w:tr w14:paraId="26FDE4BC">
        <w:trPr>
          <w:trHeight w:val="487" w:hRule="atLeast"/>
          <w:jc w:val="center"/>
        </w:trPr>
        <w:tc>
          <w:tcPr>
            <w:tcW w:w="1486" w:type="dxa"/>
            <w:tcBorders>
              <w:top w:val="nil"/>
              <w:left w:val="single" w:color="auto" w:sz="8" w:space="0"/>
              <w:bottom w:val="single" w:color="auto" w:sz="8" w:space="0"/>
              <w:right w:val="single" w:color="auto" w:sz="8" w:space="0"/>
            </w:tcBorders>
            <w:noWrap w:val="0"/>
            <w:vAlign w:val="center"/>
          </w:tcPr>
          <w:p w14:paraId="5904E84D">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1766" w:type="dxa"/>
            <w:tcBorders>
              <w:top w:val="nil"/>
              <w:left w:val="nil"/>
              <w:bottom w:val="single" w:color="auto" w:sz="8" w:space="0"/>
              <w:right w:val="single" w:color="auto" w:sz="8" w:space="0"/>
            </w:tcBorders>
            <w:noWrap w:val="0"/>
            <w:vAlign w:val="center"/>
          </w:tcPr>
          <w:p w14:paraId="1A36381D">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902" w:type="dxa"/>
            <w:gridSpan w:val="3"/>
            <w:tcBorders>
              <w:top w:val="nil"/>
              <w:left w:val="nil"/>
              <w:bottom w:val="single" w:color="auto" w:sz="8" w:space="0"/>
              <w:right w:val="single" w:color="auto" w:sz="8" w:space="0"/>
            </w:tcBorders>
            <w:noWrap w:val="0"/>
            <w:vAlign w:val="center"/>
          </w:tcPr>
          <w:p w14:paraId="1AB52471">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863" w:type="dxa"/>
            <w:gridSpan w:val="2"/>
            <w:tcBorders>
              <w:top w:val="nil"/>
              <w:left w:val="nil"/>
              <w:bottom w:val="single" w:color="auto" w:sz="8" w:space="0"/>
              <w:right w:val="single" w:color="auto" w:sz="8" w:space="0"/>
            </w:tcBorders>
            <w:noWrap w:val="0"/>
            <w:vAlign w:val="center"/>
          </w:tcPr>
          <w:p w14:paraId="36CE225A">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58A0506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21AD487E">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4BABCE0E">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5"/>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 计</w:t>
            </w:r>
          </w:p>
        </w:tc>
        <w:tc>
          <w:tcPr>
            <w:tcW w:w="863" w:type="dxa"/>
            <w:gridSpan w:val="2"/>
            <w:tcBorders>
              <w:top w:val="nil"/>
              <w:left w:val="nil"/>
              <w:bottom w:val="single" w:color="auto" w:sz="8" w:space="0"/>
              <w:right w:val="single" w:color="auto" w:sz="8" w:space="0"/>
            </w:tcBorders>
            <w:noWrap w:val="0"/>
            <w:vAlign w:val="center"/>
          </w:tcPr>
          <w:p w14:paraId="6CC411B1">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354" w:type="dxa"/>
            <w:tcBorders>
              <w:top w:val="nil"/>
              <w:left w:val="nil"/>
              <w:bottom w:val="single" w:color="auto" w:sz="8" w:space="0"/>
              <w:right w:val="single" w:color="auto" w:sz="8" w:space="0"/>
            </w:tcBorders>
            <w:noWrap w:val="0"/>
            <w:vAlign w:val="center"/>
          </w:tcPr>
          <w:p w14:paraId="5AA457F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11D89456">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5B3C6EAB">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合计大写金额： 仟 佰 拾 万 仟 佰 拾 元</w:t>
            </w:r>
          </w:p>
        </w:tc>
      </w:tr>
      <w:tr w14:paraId="26052905">
        <w:trPr>
          <w:trHeight w:val="491" w:hRule="atLeast"/>
          <w:jc w:val="center"/>
        </w:trPr>
        <w:tc>
          <w:tcPr>
            <w:tcW w:w="1486" w:type="dxa"/>
            <w:tcBorders>
              <w:top w:val="nil"/>
              <w:left w:val="single" w:color="auto" w:sz="8" w:space="0"/>
              <w:bottom w:val="single" w:color="auto" w:sz="8" w:space="0"/>
              <w:right w:val="single" w:color="auto" w:sz="8" w:space="0"/>
            </w:tcBorders>
            <w:noWrap w:val="0"/>
            <w:vAlign w:val="center"/>
          </w:tcPr>
          <w:p w14:paraId="295404BD">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2"/>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实际供货日期</w:t>
            </w:r>
          </w:p>
        </w:tc>
        <w:tc>
          <w:tcPr>
            <w:tcW w:w="2564" w:type="dxa"/>
            <w:gridSpan w:val="2"/>
            <w:tcBorders>
              <w:top w:val="nil"/>
              <w:left w:val="nil"/>
              <w:bottom w:val="single" w:color="auto" w:sz="8" w:space="0"/>
              <w:right w:val="single" w:color="auto" w:sz="8" w:space="0"/>
            </w:tcBorders>
            <w:noWrap w:val="0"/>
            <w:vAlign w:val="center"/>
          </w:tcPr>
          <w:p w14:paraId="2D74D53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56E13F6C">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ind w:firstLine="46"/>
              <w:jc w:val="center"/>
              <w:textAlignment w:val="auto"/>
              <w:rPr>
                <w:rFonts w:hint="eastAsia" w:ascii="宋体" w:hAnsi="宋体" w:cs="宋体"/>
                <w:color w:val="auto"/>
                <w:kern w:val="0"/>
                <w:highlight w:val="none"/>
              </w:rPr>
            </w:pPr>
            <w:r>
              <w:rPr>
                <w:rFonts w:hint="eastAsia" w:ascii="宋体" w:hAnsi="宋体" w:cs="宋体"/>
                <w:color w:val="auto"/>
                <w:kern w:val="0"/>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14:paraId="2DFE3A48">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1C93FBBD">
        <w:trPr>
          <w:trHeight w:val="394" w:hRule="atLeast"/>
          <w:jc w:val="center"/>
        </w:trPr>
        <w:tc>
          <w:tcPr>
            <w:tcW w:w="1486" w:type="dxa"/>
            <w:tcBorders>
              <w:top w:val="nil"/>
              <w:left w:val="single" w:color="auto" w:sz="8" w:space="0"/>
              <w:bottom w:val="single" w:color="auto" w:sz="8" w:space="0"/>
              <w:right w:val="single" w:color="auto" w:sz="8" w:space="0"/>
            </w:tcBorders>
            <w:noWrap w:val="0"/>
            <w:vAlign w:val="center"/>
          </w:tcPr>
          <w:p w14:paraId="7FC952D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564" w:type="dxa"/>
            <w:gridSpan w:val="2"/>
            <w:tcBorders>
              <w:top w:val="nil"/>
              <w:left w:val="nil"/>
              <w:bottom w:val="single" w:color="auto" w:sz="8" w:space="0"/>
              <w:right w:val="single" w:color="auto" w:sz="8" w:space="0"/>
            </w:tcBorders>
            <w:noWrap w:val="0"/>
            <w:vAlign w:val="center"/>
          </w:tcPr>
          <w:p w14:paraId="222F8ADA">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2282" w:type="dxa"/>
            <w:gridSpan w:val="3"/>
            <w:tcBorders>
              <w:top w:val="nil"/>
              <w:left w:val="nil"/>
              <w:bottom w:val="single" w:color="auto" w:sz="8" w:space="0"/>
              <w:right w:val="single" w:color="auto" w:sz="8" w:space="0"/>
            </w:tcBorders>
            <w:noWrap w:val="0"/>
            <w:vAlign w:val="center"/>
          </w:tcPr>
          <w:p w14:paraId="738A2808">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c>
          <w:tcPr>
            <w:tcW w:w="3039" w:type="dxa"/>
            <w:gridSpan w:val="2"/>
            <w:tcBorders>
              <w:top w:val="nil"/>
              <w:left w:val="nil"/>
              <w:bottom w:val="single" w:color="auto" w:sz="8" w:space="0"/>
              <w:right w:val="single" w:color="auto" w:sz="8" w:space="0"/>
            </w:tcBorders>
            <w:noWrap w:val="0"/>
            <w:vAlign w:val="center"/>
          </w:tcPr>
          <w:p w14:paraId="0503CEF2">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center"/>
              <w:textAlignment w:val="auto"/>
              <w:rPr>
                <w:rFonts w:hint="eastAsia" w:ascii="宋体" w:hAnsi="宋体" w:cs="宋体"/>
                <w:color w:val="auto"/>
                <w:kern w:val="0"/>
                <w:highlight w:val="none"/>
              </w:rPr>
            </w:pPr>
          </w:p>
        </w:tc>
      </w:tr>
      <w:tr w14:paraId="4EB94180">
        <w:trPr>
          <w:trHeight w:val="693" w:hRule="atLeast"/>
          <w:jc w:val="center"/>
        </w:trPr>
        <w:tc>
          <w:tcPr>
            <w:tcW w:w="148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241AD02">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验收具体内容</w:t>
            </w:r>
          </w:p>
        </w:tc>
        <w:tc>
          <w:tcPr>
            <w:tcW w:w="788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CDF76F5">
            <w:pPr>
              <w:keepNext w:val="0"/>
              <w:keepLines w:val="0"/>
              <w:pageBreakBefore w:val="0"/>
              <w:widowControl/>
              <w:kinsoku/>
              <w:wordWrap/>
              <w:overflowPunct/>
              <w:topLinePunct w:val="0"/>
              <w:autoSpaceDE/>
              <w:autoSpaceDN/>
              <w:bidi w:val="0"/>
              <w:adjustRightInd/>
              <w:snapToGrid w:val="0"/>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应按采购合同、采购文件、投标响应文件及验收方案等进行验收；并核对中标或者中标人在安装调试等方面是否违反合同约定或服务规范要求、提供的质量保证证明材料是否齐全、应有的配件及附件是否达到合同约定等。可附件）</w:t>
            </w:r>
          </w:p>
        </w:tc>
      </w:tr>
      <w:tr w14:paraId="48AD1658">
        <w:trPr>
          <w:trHeight w:val="927" w:hRule="atLeast"/>
          <w:jc w:val="center"/>
        </w:trPr>
        <w:tc>
          <w:tcPr>
            <w:tcW w:w="1486"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9E6BC2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验收小组意见</w:t>
            </w:r>
          </w:p>
        </w:tc>
        <w:tc>
          <w:tcPr>
            <w:tcW w:w="7885" w:type="dxa"/>
            <w:gridSpan w:val="7"/>
            <w:tcBorders>
              <w:top w:val="nil"/>
              <w:left w:val="nil"/>
              <w:bottom w:val="single" w:color="auto" w:sz="8" w:space="0"/>
              <w:right w:val="single" w:color="auto" w:sz="8" w:space="0"/>
            </w:tcBorders>
            <w:noWrap w:val="0"/>
            <w:vAlign w:val="center"/>
          </w:tcPr>
          <w:p w14:paraId="7DBB7494">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验收结论性意见：</w:t>
            </w:r>
          </w:p>
        </w:tc>
      </w:tr>
      <w:tr w14:paraId="5D481F00">
        <w:trPr>
          <w:trHeight w:val="607" w:hRule="atLeast"/>
          <w:jc w:val="center"/>
        </w:trPr>
        <w:tc>
          <w:tcPr>
            <w:tcW w:w="1486" w:type="dxa"/>
            <w:vMerge w:val="continue"/>
            <w:tcBorders>
              <w:top w:val="nil"/>
              <w:left w:val="single" w:color="auto" w:sz="8" w:space="0"/>
              <w:bottom w:val="single" w:color="auto" w:sz="8" w:space="0"/>
              <w:right w:val="single" w:color="auto" w:sz="8" w:space="0"/>
            </w:tcBorders>
            <w:noWrap w:val="0"/>
            <w:vAlign w:val="center"/>
          </w:tcPr>
          <w:p w14:paraId="380C8100">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cs="宋体"/>
                <w:color w:val="auto"/>
                <w:kern w:val="0"/>
                <w:szCs w:val="21"/>
                <w:highlight w:val="none"/>
              </w:rPr>
            </w:pPr>
          </w:p>
        </w:tc>
        <w:tc>
          <w:tcPr>
            <w:tcW w:w="7885" w:type="dxa"/>
            <w:gridSpan w:val="7"/>
            <w:tcBorders>
              <w:top w:val="nil"/>
              <w:left w:val="nil"/>
              <w:bottom w:val="single" w:color="auto" w:sz="8" w:space="0"/>
              <w:right w:val="single" w:color="auto" w:sz="8" w:space="0"/>
            </w:tcBorders>
            <w:noWrap w:val="0"/>
            <w:vAlign w:val="center"/>
          </w:tcPr>
          <w:p w14:paraId="4F4168E2">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96"/>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有异议的意见和说明理由：</w:t>
            </w:r>
          </w:p>
          <w:p w14:paraId="195B4DC7">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签字：</w:t>
            </w:r>
          </w:p>
        </w:tc>
      </w:tr>
      <w:tr w14:paraId="7CF751E4">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1EC1480">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验收小组成员签字：</w:t>
            </w:r>
          </w:p>
        </w:tc>
      </w:tr>
      <w:tr w14:paraId="5E4C1E9C">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0340F5B">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监督人员或其他相关人员签字：</w:t>
            </w:r>
          </w:p>
          <w:p w14:paraId="0D20AB8E">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或受邀机构的意见（盖章）：</w:t>
            </w:r>
          </w:p>
        </w:tc>
      </w:tr>
      <w:tr w14:paraId="4C2EE008">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474F7B1">
            <w:pPr>
              <w:keepNext w:val="0"/>
              <w:keepLines w:val="0"/>
              <w:pageBreakBefore w:val="0"/>
              <w:widowControl/>
              <w:kinsoku/>
              <w:wordWrap/>
              <w:overflowPunct/>
              <w:topLinePunct w:val="0"/>
              <w:autoSpaceDE/>
              <w:autoSpaceDN/>
              <w:bidi w:val="0"/>
              <w:adjustRightInd/>
              <w:spacing w:before="100" w:beforeAutospacing="1" w:after="100" w:afterAutospacing="1" w:line="400" w:lineRule="exact"/>
              <w:ind w:firstLine="74"/>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 xml:space="preserve">中标或者成交供应商负责人签字或盖章：      </w:t>
            </w:r>
          </w:p>
          <w:p w14:paraId="27CBF2D5">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6E1BC2C4">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采购人或受托机构的意见（盖章）：</w:t>
            </w:r>
          </w:p>
          <w:p w14:paraId="31A4D7EC">
            <w:pPr>
              <w:keepNext w:val="0"/>
              <w:keepLines w:val="0"/>
              <w:pageBreakBefore w:val="0"/>
              <w:widowControl/>
              <w:kinsoku/>
              <w:wordWrap/>
              <w:overflowPunct/>
              <w:topLinePunct w:val="0"/>
              <w:autoSpaceDE/>
              <w:autoSpaceDN/>
              <w:bidi w:val="0"/>
              <w:adjustRightInd/>
              <w:spacing w:before="100" w:beforeAutospacing="1" w:after="100" w:afterAutospacing="1" w:line="400" w:lineRule="exact"/>
              <w:jc w:val="left"/>
              <w:textAlignment w:val="auto"/>
              <w:rPr>
                <w:rFonts w:hint="eastAsia" w:ascii="宋体" w:hAnsi="宋体" w:cs="宋体"/>
                <w:color w:val="auto"/>
                <w:kern w:val="0"/>
                <w:highlight w:val="none"/>
              </w:rPr>
            </w:pPr>
            <w:r>
              <w:rPr>
                <w:rFonts w:hint="eastAsia" w:ascii="宋体" w:hAnsi="宋体" w:cs="宋体"/>
                <w:color w:val="auto"/>
                <w:kern w:val="0"/>
                <w:highlight w:val="none"/>
              </w:rPr>
              <w:t>联系电话： 年 月 日</w:t>
            </w:r>
          </w:p>
        </w:tc>
      </w:tr>
    </w:tbl>
    <w:p w14:paraId="4C9C698A">
      <w:pPr>
        <w:rPr>
          <w:rFonts w:hint="eastAsia" w:ascii="宋体" w:hAnsi="宋体" w:cs="宋体"/>
          <w:b/>
          <w:bCs/>
          <w:color w:val="auto"/>
          <w:sz w:val="28"/>
          <w:szCs w:val="36"/>
          <w:highlight w:val="none"/>
        </w:rPr>
      </w:pPr>
      <w:r>
        <w:rPr>
          <w:rFonts w:hint="eastAsia" w:ascii="宋体" w:hAnsi="宋体" w:cs="宋体"/>
          <w:b/>
          <w:bCs/>
          <w:color w:val="auto"/>
          <w:sz w:val="28"/>
          <w:szCs w:val="36"/>
          <w:highlight w:val="none"/>
        </w:rPr>
        <w:br w:type="page"/>
      </w:r>
    </w:p>
    <w:p w14:paraId="58D5C60D">
      <w:pPr>
        <w:spacing w:line="360" w:lineRule="auto"/>
        <w:jc w:val="left"/>
        <w:rPr>
          <w:rFonts w:hint="eastAsia" w:ascii="宋体" w:hAnsi="宋体" w:cs="宋体"/>
          <w:color w:val="auto"/>
          <w:sz w:val="18"/>
          <w:szCs w:val="18"/>
          <w:highlight w:val="none"/>
        </w:rPr>
      </w:pPr>
      <w:r>
        <w:rPr>
          <w:rFonts w:hint="eastAsia" w:ascii="宋体" w:hAnsi="宋体" w:cs="宋体"/>
          <w:b/>
          <w:bCs/>
          <w:color w:val="auto"/>
          <w:sz w:val="28"/>
          <w:szCs w:val="36"/>
          <w:highlight w:val="none"/>
        </w:rPr>
        <w:t>附件2：</w:t>
      </w:r>
    </w:p>
    <w:p w14:paraId="6ABFC4E9">
      <w:pPr>
        <w:widowControl/>
        <w:shd w:val="clear" w:color="auto" w:fill="FFFFFF"/>
        <w:spacing w:line="360" w:lineRule="auto"/>
        <w:jc w:val="center"/>
        <w:rPr>
          <w:rFonts w:hint="eastAsia" w:ascii="宋体" w:hAnsi="宋体" w:cs="宋体"/>
          <w:color w:val="auto"/>
          <w:kern w:val="0"/>
          <w:sz w:val="44"/>
          <w:szCs w:val="44"/>
          <w:highlight w:val="none"/>
        </w:rPr>
      </w:pPr>
      <w:r>
        <w:rPr>
          <w:rFonts w:hint="eastAsia" w:ascii="宋体" w:hAnsi="宋体" w:cs="宋体"/>
          <w:color w:val="auto"/>
          <w:kern w:val="0"/>
          <w:sz w:val="44"/>
          <w:szCs w:val="44"/>
          <w:highlight w:val="none"/>
        </w:rPr>
        <w:t>政府采购项目履约保证金退付意见书（参考）</w:t>
      </w: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6D28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trPr>
        <w:tc>
          <w:tcPr>
            <w:tcW w:w="1008" w:type="dxa"/>
            <w:vMerge w:val="restart"/>
            <w:noWrap w:val="0"/>
            <w:vAlign w:val="center"/>
          </w:tcPr>
          <w:p w14:paraId="0F9651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供</w:t>
            </w:r>
          </w:p>
          <w:p w14:paraId="3C7AA7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应</w:t>
            </w:r>
          </w:p>
          <w:p w14:paraId="0195A0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商</w:t>
            </w:r>
          </w:p>
          <w:p w14:paraId="0C0A76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申</w:t>
            </w:r>
          </w:p>
          <w:p w14:paraId="0FA1D7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请</w:t>
            </w:r>
          </w:p>
        </w:tc>
        <w:tc>
          <w:tcPr>
            <w:tcW w:w="8456" w:type="dxa"/>
            <w:noWrap w:val="0"/>
            <w:vAlign w:val="center"/>
          </w:tcPr>
          <w:p w14:paraId="2F0713D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项目编号：</w:t>
            </w:r>
          </w:p>
        </w:tc>
      </w:tr>
      <w:tr w14:paraId="663A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8" w:hRule="atLeast"/>
        </w:trPr>
        <w:tc>
          <w:tcPr>
            <w:tcW w:w="1008" w:type="dxa"/>
            <w:vMerge w:val="continue"/>
            <w:noWrap w:val="0"/>
            <w:vAlign w:val="center"/>
          </w:tcPr>
          <w:p w14:paraId="20B0C4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8456" w:type="dxa"/>
            <w:noWrap w:val="0"/>
            <w:vAlign w:val="center"/>
          </w:tcPr>
          <w:p w14:paraId="4702508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项目名称：</w:t>
            </w:r>
          </w:p>
        </w:tc>
      </w:tr>
      <w:tr w14:paraId="3369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08" w:type="dxa"/>
            <w:vMerge w:val="continue"/>
            <w:noWrap w:val="0"/>
            <w:vAlign w:val="top"/>
          </w:tcPr>
          <w:p w14:paraId="34DE7B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c>
          <w:tcPr>
            <w:tcW w:w="8456" w:type="dxa"/>
            <w:noWrap w:val="0"/>
            <w:vAlign w:val="top"/>
          </w:tcPr>
          <w:p w14:paraId="53A9827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18FA6F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w:t>
            </w:r>
          </w:p>
          <w:p w14:paraId="58F3D5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（小写）退付到达以下账户。</w:t>
            </w:r>
          </w:p>
          <w:p w14:paraId="46D1D749">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单位名称：</w:t>
            </w:r>
          </w:p>
          <w:p w14:paraId="46D56391">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开户银行：</w:t>
            </w:r>
          </w:p>
          <w:p w14:paraId="60216BBA">
            <w:pPr>
              <w:keepNext w:val="0"/>
              <w:keepLines w:val="0"/>
              <w:pageBreakBefore w:val="0"/>
              <w:widowControl w:val="0"/>
              <w:kinsoku/>
              <w:wordWrap/>
              <w:overflowPunct/>
              <w:topLinePunct w:val="0"/>
              <w:autoSpaceDE/>
              <w:autoSpaceDN/>
              <w:bidi w:val="0"/>
              <w:adjustRightInd/>
              <w:snapToGrid/>
              <w:spacing w:line="400" w:lineRule="exact"/>
              <w:ind w:firstLine="705"/>
              <w:textAlignment w:val="auto"/>
              <w:rPr>
                <w:rFonts w:hint="eastAsia" w:ascii="宋体" w:hAnsi="宋体" w:cs="宋体"/>
                <w:color w:val="auto"/>
                <w:sz w:val="24"/>
                <w:highlight w:val="none"/>
              </w:rPr>
            </w:pPr>
            <w:r>
              <w:rPr>
                <w:rFonts w:hint="eastAsia" w:ascii="宋体" w:hAnsi="宋体" w:cs="宋体"/>
                <w:color w:val="auto"/>
                <w:sz w:val="24"/>
                <w:highlight w:val="none"/>
              </w:rPr>
              <w:t>账   号：</w:t>
            </w:r>
          </w:p>
          <w:p w14:paraId="36A95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w:t>
            </w:r>
          </w:p>
          <w:p w14:paraId="574A33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15DFB9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投标人签章：</w:t>
            </w:r>
          </w:p>
          <w:p w14:paraId="6C3D3F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4C1C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6" w:hRule="atLeast"/>
        </w:trPr>
        <w:tc>
          <w:tcPr>
            <w:tcW w:w="1008" w:type="dxa"/>
            <w:noWrap w:val="0"/>
            <w:vAlign w:val="center"/>
          </w:tcPr>
          <w:p w14:paraId="7F1330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采</w:t>
            </w:r>
          </w:p>
          <w:p w14:paraId="3D98EC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购</w:t>
            </w:r>
          </w:p>
          <w:p w14:paraId="335312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人</w:t>
            </w:r>
          </w:p>
          <w:p w14:paraId="06D5F3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意</w:t>
            </w:r>
          </w:p>
          <w:p w14:paraId="688A02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见</w:t>
            </w:r>
          </w:p>
        </w:tc>
        <w:tc>
          <w:tcPr>
            <w:tcW w:w="8456" w:type="dxa"/>
            <w:noWrap w:val="0"/>
            <w:vAlign w:val="top"/>
          </w:tcPr>
          <w:p w14:paraId="0059F62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40CC42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14:paraId="33CCA0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2C772E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1CD641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7BE8BA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p w14:paraId="22BC53F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联系人及电话：                         采购人签章</w:t>
            </w:r>
          </w:p>
          <w:p w14:paraId="46F59C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6CB7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5" w:hRule="atLeast"/>
        </w:trPr>
        <w:tc>
          <w:tcPr>
            <w:tcW w:w="1008" w:type="dxa"/>
            <w:noWrap w:val="0"/>
            <w:vAlign w:val="center"/>
          </w:tcPr>
          <w:p w14:paraId="179764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备注</w:t>
            </w:r>
          </w:p>
        </w:tc>
        <w:tc>
          <w:tcPr>
            <w:tcW w:w="8456" w:type="dxa"/>
            <w:noWrap w:val="0"/>
            <w:vAlign w:val="top"/>
          </w:tcPr>
          <w:p w14:paraId="5A426D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highlight w:val="none"/>
              </w:rPr>
            </w:pPr>
          </w:p>
        </w:tc>
      </w:tr>
    </w:tbl>
    <w:p w14:paraId="7BBE948C">
      <w:pPr>
        <w:pStyle w:val="2"/>
        <w:keepNext w:val="0"/>
        <w:keepLines w:val="0"/>
        <w:pageBreakBefore w:val="0"/>
        <w:widowControl w:val="0"/>
        <w:kinsoku/>
        <w:wordWrap/>
        <w:overflowPunct/>
        <w:topLinePunct w:val="0"/>
        <w:autoSpaceDE/>
        <w:autoSpaceDN/>
        <w:bidi w:val="0"/>
        <w:adjustRightInd/>
        <w:snapToGrid/>
        <w:spacing w:line="400" w:lineRule="exact"/>
        <w:ind w:left="449" w:leftChars="114" w:hanging="210" w:hangingChars="1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注：投标人凭经采购人审批的退付意见书到保证金收取单位办理履约保证金退付事宜。</w:t>
      </w:r>
    </w:p>
    <w:p w14:paraId="1134F03A">
      <w:pPr>
        <w:pStyle w:val="3"/>
        <w:spacing w:before="0" w:after="0" w:line="360" w:lineRule="auto"/>
        <w:jc w:val="center"/>
        <w:rPr>
          <w:rFonts w:hint="eastAsia" w:ascii="宋体" w:hAnsi="宋体" w:cs="宋体"/>
          <w:color w:val="auto"/>
          <w:highlight w:val="none"/>
        </w:rPr>
      </w:pPr>
      <w:bookmarkStart w:id="164" w:name="_Toc330456896"/>
      <w:bookmarkStart w:id="165" w:name="_Toc254970548"/>
      <w:bookmarkStart w:id="166" w:name="_Toc15433"/>
      <w:bookmarkStart w:id="167" w:name="_Toc254970689"/>
      <w:bookmarkStart w:id="168" w:name="_Toc2178"/>
      <w:bookmarkStart w:id="169" w:name="_Toc27431"/>
      <w:r>
        <w:rPr>
          <w:rFonts w:hint="eastAsia" w:ascii="宋体" w:hAnsi="宋体" w:cs="宋体"/>
          <w:color w:val="auto"/>
          <w:highlight w:val="none"/>
        </w:rPr>
        <w:t>第四章  评标方法及评标标准</w:t>
      </w:r>
      <w:bookmarkEnd w:id="164"/>
      <w:bookmarkEnd w:id="165"/>
      <w:bookmarkEnd w:id="166"/>
      <w:bookmarkEnd w:id="167"/>
      <w:bookmarkEnd w:id="168"/>
      <w:bookmarkEnd w:id="169"/>
    </w:p>
    <w:p w14:paraId="5E008DCC">
      <w:pPr>
        <w:pStyle w:val="4"/>
        <w:spacing w:before="0" w:after="0" w:line="360" w:lineRule="auto"/>
        <w:jc w:val="center"/>
        <w:rPr>
          <w:rFonts w:hint="eastAsia" w:ascii="宋体" w:hAnsi="宋体" w:eastAsia="宋体" w:cs="宋体"/>
          <w:color w:val="auto"/>
          <w:highlight w:val="none"/>
        </w:rPr>
      </w:pPr>
      <w:bookmarkStart w:id="170" w:name="_Toc22273"/>
      <w:bookmarkStart w:id="171" w:name="_Toc23781"/>
      <w:r>
        <w:rPr>
          <w:rFonts w:hint="eastAsia" w:ascii="宋体" w:hAnsi="宋体" w:eastAsia="宋体" w:cs="宋体"/>
          <w:color w:val="auto"/>
          <w:highlight w:val="none"/>
        </w:rPr>
        <w:t>一、评标方法</w:t>
      </w:r>
      <w:bookmarkEnd w:id="170"/>
      <w:bookmarkEnd w:id="171"/>
    </w:p>
    <w:p w14:paraId="080B91EF">
      <w:pPr>
        <w:pStyle w:val="20"/>
        <w:pageBreakBefore w:val="0"/>
        <w:kinsoku/>
        <w:wordWrap/>
        <w:overflowPunct/>
        <w:topLinePunct w:val="0"/>
        <w:autoSpaceDE/>
        <w:autoSpaceDN/>
        <w:bidi w:val="0"/>
        <w:spacing w:line="400" w:lineRule="exact"/>
        <w:ind w:firstLine="420"/>
        <w:textAlignment w:val="auto"/>
        <w:rPr>
          <w:rFonts w:hint="eastAsia" w:hAnsi="宋体" w:cs="宋体"/>
          <w:color w:val="auto"/>
          <w:highlight w:val="none"/>
        </w:rPr>
      </w:pPr>
      <w:r>
        <w:rPr>
          <w:rFonts w:hint="eastAsia" w:hAnsi="宋体" w:cs="宋体"/>
          <w:color w:val="auto"/>
          <w:highlight w:val="none"/>
        </w:rPr>
        <w:t>综合评分法，是指投标文件满足招标文件全部实质性要求，且按照评审因素的量化指标评审得分最高的投标人为中标候选人的评标方法。</w:t>
      </w:r>
    </w:p>
    <w:p w14:paraId="5716D342">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2" w:name="_Toc29445"/>
      <w:bookmarkStart w:id="173" w:name="_Toc3353"/>
      <w:r>
        <w:rPr>
          <w:rFonts w:hint="eastAsia" w:ascii="宋体" w:hAnsi="宋体" w:eastAsia="宋体" w:cs="宋体"/>
          <w:color w:val="auto"/>
          <w:highlight w:val="none"/>
        </w:rPr>
        <w:t>二、评标程序</w:t>
      </w:r>
      <w:bookmarkEnd w:id="172"/>
      <w:bookmarkEnd w:id="173"/>
    </w:p>
    <w:p w14:paraId="63DACEF0">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1.符合性审查</w:t>
      </w:r>
    </w:p>
    <w:p w14:paraId="5E432A44">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评标委员会应当对符合资格的投标人的投标文件进行投标报价、商务、技术等实质性内容符合性审查，以确定其是否满足招标文件的实质性要求。</w:t>
      </w:r>
    </w:p>
    <w:p w14:paraId="05B76025">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2.符合性审查不通过而导致投标无效的情形</w:t>
      </w:r>
    </w:p>
    <w:p w14:paraId="7097DD03">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14:paraId="6C6E0ABC">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2.1在报价评审时，如发现下列情形之一的，将被视为投标无效：</w:t>
      </w:r>
    </w:p>
    <w:p w14:paraId="39B3FC98">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报价文件未提供“投标人须知前附表”第13条</w:t>
      </w:r>
      <w:r>
        <w:rPr>
          <w:rFonts w:hint="eastAsia" w:ascii="宋体" w:hAnsi="宋体" w:cs="宋体"/>
          <w:b/>
          <w:color w:val="auto"/>
          <w:szCs w:val="21"/>
          <w:highlight w:val="none"/>
        </w:rPr>
        <w:t>“报价文件”</w:t>
      </w:r>
      <w:r>
        <w:rPr>
          <w:rFonts w:hint="eastAsia" w:ascii="宋体" w:hAnsi="宋体" w:cs="宋体"/>
          <w:b/>
          <w:color w:val="auto"/>
          <w:spacing w:val="-6"/>
          <w:szCs w:val="21"/>
          <w:highlight w:val="none"/>
        </w:rPr>
        <w:t>规定中“必须提供”的文件资料的；</w:t>
      </w:r>
    </w:p>
    <w:p w14:paraId="3A53FBE9">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14:paraId="001A7F50">
      <w:pPr>
        <w:pStyle w:val="10"/>
        <w:pageBreakBefore w:val="0"/>
        <w:numPr>
          <w:ilvl w:val="0"/>
          <w:numId w:val="1"/>
        </w:numPr>
        <w:kinsoku/>
        <w:wordWrap/>
        <w:overflowPunct/>
        <w:topLinePunct w:val="0"/>
        <w:autoSpaceDE/>
        <w:autoSpaceDN/>
        <w:bidi w:val="0"/>
        <w:spacing w:line="400" w:lineRule="exact"/>
        <w:ind w:firstLine="422"/>
        <w:textAlignment w:val="auto"/>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各分标报价超出招标文件相应分标规定最高限价，或者超出相应分标采购预算金额的；</w:t>
      </w:r>
    </w:p>
    <w:p w14:paraId="491907D4">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2D6EFF90">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修正后的报价，投标人不确认的；</w:t>
      </w:r>
    </w:p>
    <w:p w14:paraId="3260C7DA">
      <w:pPr>
        <w:pStyle w:val="10"/>
        <w:pageBreakBefore w:val="0"/>
        <w:numPr>
          <w:ilvl w:val="0"/>
          <w:numId w:val="1"/>
        </w:numPr>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投标人属于本章第5.1条（2）项情形的。</w:t>
      </w:r>
    </w:p>
    <w:p w14:paraId="3C1546B3">
      <w:pPr>
        <w:pStyle w:val="10"/>
        <w:pageBreakBefore w:val="0"/>
        <w:numPr>
          <w:ilvl w:val="0"/>
          <w:numId w:val="1"/>
        </w:numPr>
        <w:kinsoku/>
        <w:wordWrap/>
        <w:overflowPunct/>
        <w:topLinePunct w:val="0"/>
        <w:autoSpaceDE/>
        <w:autoSpaceDN/>
        <w:bidi w:val="0"/>
        <w:spacing w:line="400" w:lineRule="exact"/>
        <w:ind w:firstLine="396" w:firstLineChars="200"/>
        <w:textAlignment w:val="auto"/>
        <w:rPr>
          <w:rFonts w:hint="eastAsia"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响应的标的数量及单位与招标文件要求实质性不一致的。</w:t>
      </w:r>
    </w:p>
    <w:p w14:paraId="0CAAD99B">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6B6EB75E">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14:paraId="0054F76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 xml:space="preserve">委托代理人未能出具有效身份证或者出具的身份证与授权委托书中的信息不符的； </w:t>
      </w:r>
    </w:p>
    <w:p w14:paraId="7086B7C6">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为无效投标保证金的或者未按照招标文件的规定提交投标保证金的；</w:t>
      </w:r>
    </w:p>
    <w:p w14:paraId="62AC793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投标文件未提供“投标人须知前附表”第13.1条规定中“必须提供”或者“委托时必须提供”的文件资料的；</w:t>
      </w:r>
    </w:p>
    <w:p w14:paraId="26256C94">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商务要求评审允许负偏离的条款数超过“投标人须知前附表”规定项数的；</w:t>
      </w:r>
    </w:p>
    <w:p w14:paraId="5BD0FA54">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14:paraId="6154A781">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14:paraId="19DC5422">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14:paraId="2E76C7CC">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14:paraId="1D24452E">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投标文件标注的项目名称或者项目编号与招标文件标注的项目名称或者项目编号不一致的；</w:t>
      </w:r>
    </w:p>
    <w:p w14:paraId="28A677A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招标文件明确不允许分包，投标文件拟分包的；</w:t>
      </w:r>
    </w:p>
    <w:p w14:paraId="5A577559">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未响应招标文件实质性要求的；</w:t>
      </w:r>
    </w:p>
    <w:p w14:paraId="0E791BD0">
      <w:pPr>
        <w:pageBreakBefore w:val="0"/>
        <w:numPr>
          <w:ilvl w:val="0"/>
          <w:numId w:val="2"/>
        </w:numPr>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14:paraId="0C5E2B9A">
      <w:pPr>
        <w:pageBreakBefore w:val="0"/>
        <w:kinsoku/>
        <w:wordWrap/>
        <w:overflowPunct/>
        <w:topLinePunct w:val="0"/>
        <w:autoSpaceDE/>
        <w:autoSpaceDN/>
        <w:bidi w:val="0"/>
        <w:spacing w:line="40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2C9911F4">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（1）技术要求评审允许负偏离的条款数超过“投标人须知前附表”规定项数的；</w:t>
      </w:r>
    </w:p>
    <w:p w14:paraId="1649D619">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（2）投标文件未提供“投标人须知前附表”第13.1条规定中“必须提供”的文件资料的；</w:t>
      </w:r>
    </w:p>
    <w:p w14:paraId="229905CA">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（3）虚假投标，或者出现其他情形而导致被评标委员会认定无效的；</w:t>
      </w:r>
    </w:p>
    <w:p w14:paraId="6E8D6A03">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w:t>
      </w:r>
      <w:bookmarkStart w:id="174" w:name="_Hlk71706244"/>
      <w:r>
        <w:rPr>
          <w:rFonts w:hint="eastAsia" w:hAnsi="宋体" w:cs="宋体"/>
          <w:b/>
          <w:color w:val="auto"/>
          <w:sz w:val="21"/>
          <w:szCs w:val="21"/>
          <w:highlight w:val="none"/>
        </w:rPr>
        <w:t>招标文件未载明允许提供备选（替代）投标方案或明确不允许提供备选（替代）投标方案时，投标人提供了备选（替代）投标方案的；</w:t>
      </w:r>
      <w:bookmarkEnd w:id="174"/>
    </w:p>
    <w:p w14:paraId="0A719DF6">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color w:val="auto"/>
          <w:highlight w:val="none"/>
        </w:rPr>
      </w:pPr>
      <w:r>
        <w:rPr>
          <w:rFonts w:hint="eastAsia" w:hAnsi="宋体" w:cs="宋体"/>
          <w:b/>
          <w:color w:val="auto"/>
          <w:sz w:val="21"/>
          <w:szCs w:val="21"/>
          <w:highlight w:val="none"/>
        </w:rPr>
        <w:t>（5）未响应招标文件实质性要求的。</w:t>
      </w:r>
    </w:p>
    <w:p w14:paraId="77829FFA">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2.4其他投标无效的情形：</w:t>
      </w:r>
    </w:p>
    <w:p w14:paraId="62E74DD7">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（1）投标文件未按招标文件要求签署或CA电子签章的；</w:t>
      </w:r>
    </w:p>
    <w:p w14:paraId="7A93B5FF">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（2）投标人提交两份或两份以上内容不同的投标文件；</w:t>
      </w:r>
    </w:p>
    <w:p w14:paraId="222F0924">
      <w:pPr>
        <w:pStyle w:val="16"/>
        <w:pageBreakBefore w:val="0"/>
        <w:kinsoku/>
        <w:wordWrap/>
        <w:overflowPunct/>
        <w:topLinePunct w:val="0"/>
        <w:autoSpaceDE/>
        <w:autoSpaceDN/>
        <w:bidi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（3）投标人在线制作投标文件时填写的报价金额与解密后“电子加密投标文件”中《开标一览表》填写的金额不一致并拒绝按招标文件要求接受调整的；</w:t>
      </w:r>
    </w:p>
    <w:p w14:paraId="24DFE152">
      <w:pPr>
        <w:pStyle w:val="16"/>
        <w:pageBreakBefore w:val="0"/>
        <w:kinsoku/>
        <w:wordWrap/>
        <w:overflowPunct/>
        <w:topLinePunct w:val="0"/>
        <w:autoSpaceDE/>
        <w:autoSpaceDN/>
        <w:bidi w:val="0"/>
        <w:snapToGrid w:val="0"/>
        <w:spacing w:line="400" w:lineRule="exact"/>
        <w:ind w:firstLine="396" w:firstLineChars="196"/>
        <w:textAlignment w:val="auto"/>
        <w:rPr>
          <w:rFonts w:hint="eastAsia" w:hAnsi="宋体" w:cs="宋体"/>
          <w:b/>
          <w:color w:val="auto"/>
          <w:sz w:val="21"/>
          <w:szCs w:val="21"/>
          <w:highlight w:val="none"/>
        </w:rPr>
      </w:pPr>
      <w:r>
        <w:rPr>
          <w:rFonts w:hint="eastAsia" w:hAnsi="宋体" w:cs="宋体"/>
          <w:b/>
          <w:color w:val="auto"/>
          <w:sz w:val="21"/>
          <w:szCs w:val="21"/>
          <w:highlight w:val="none"/>
        </w:rPr>
        <w:t>（4）法律、法规和招标文件规定的其他无效情形（或出现重大偏差）。</w:t>
      </w:r>
    </w:p>
    <w:p w14:paraId="1C13CF5B">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3.澄清补正</w:t>
      </w:r>
    </w:p>
    <w:p w14:paraId="7D482DAF">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207028FA">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515F823">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2BAB3A95">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4.投标文件修正</w:t>
      </w:r>
    </w:p>
    <w:p w14:paraId="396C40B3">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4.1投标文件报价出现前后不一致的，按照下列规定修正：</w:t>
      </w:r>
    </w:p>
    <w:p w14:paraId="321927C0">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（1）投标文件中开标一览表（报价表）内容与投标文件中相应内容不一致的，以开标一览表（报价表）为准；</w:t>
      </w:r>
    </w:p>
    <w:p w14:paraId="2F5DAC68">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（2）大写金额和小写金额不一致的，以大写金额为准；</w:t>
      </w:r>
    </w:p>
    <w:p w14:paraId="1D57DCEA">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（3）单价金额小数点或者百分比有明显错位的，以开标一览表的总价为准，并修改单价；</w:t>
      </w:r>
    </w:p>
    <w:p w14:paraId="6E9CB7D3">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（4）总价金额与按单价汇总金额不一致的，以单价金额计算结果为准。</w:t>
      </w:r>
    </w:p>
    <w:p w14:paraId="53D8D3F5">
      <w:pPr>
        <w:pStyle w:val="20"/>
        <w:pageBreakBefore w:val="0"/>
        <w:kinsoku/>
        <w:wordWrap/>
        <w:overflowPunct/>
        <w:topLinePunct w:val="0"/>
        <w:autoSpaceDE/>
        <w:autoSpaceDN/>
        <w:bidi w:val="0"/>
        <w:snapToGrid w:val="0"/>
        <w:spacing w:line="400" w:lineRule="exact"/>
        <w:ind w:firstLine="420" w:firstLineChars="200"/>
        <w:textAlignment w:val="auto"/>
        <w:rPr>
          <w:rFonts w:hint="eastAsia" w:hAnsi="宋体" w:cs="宋体"/>
          <w:color w:val="auto"/>
          <w:highlight w:val="none"/>
        </w:rPr>
      </w:pPr>
      <w:r>
        <w:rPr>
          <w:rFonts w:hint="eastAsia" w:hAnsi="宋体" w:cs="宋体"/>
          <w:color w:val="auto"/>
          <w:highlight w:val="none"/>
        </w:rPr>
        <w:t>同时出现两种以上不一致的，按照以上（1）-（4）规定的顺序修正。修正后的报价经投标人确认后产生约束力，投标人不确认的，</w:t>
      </w:r>
      <w:r>
        <w:rPr>
          <w:rFonts w:hint="eastAsia" w:hAnsi="宋体" w:cs="宋体"/>
          <w:b/>
          <w:color w:val="auto"/>
          <w:highlight w:val="none"/>
        </w:rPr>
        <w:t>其投标无效</w:t>
      </w:r>
      <w:r>
        <w:rPr>
          <w:rFonts w:hint="eastAsia" w:hAnsi="宋体" w:cs="宋体"/>
          <w:color w:val="auto"/>
          <w:highlight w:val="none"/>
        </w:rPr>
        <w:t>。</w:t>
      </w:r>
    </w:p>
    <w:p w14:paraId="4D9DC4F4">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w:t>
      </w:r>
      <w:r>
        <w:rPr>
          <w:rFonts w:hint="eastAsia" w:ascii="宋体" w:hAnsi="宋体" w:cs="宋体"/>
          <w:b/>
          <w:color w:val="auto"/>
          <w:szCs w:val="21"/>
          <w:highlight w:val="none"/>
        </w:rPr>
        <w:t>投标人的投标文件作无效投标处理</w:t>
      </w:r>
      <w:r>
        <w:rPr>
          <w:rFonts w:hint="eastAsia" w:ascii="宋体" w:hAnsi="宋体" w:cs="宋体"/>
          <w:color w:val="auto"/>
          <w:szCs w:val="21"/>
          <w:highlight w:val="none"/>
        </w:rPr>
        <w:t>。</w:t>
      </w:r>
    </w:p>
    <w:p w14:paraId="7012608F">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1DBD02B3">
      <w:pPr>
        <w:pStyle w:val="20"/>
        <w:pageBreakBefore w:val="0"/>
        <w:kinsoku/>
        <w:wordWrap/>
        <w:overflowPunct/>
        <w:topLinePunct w:val="0"/>
        <w:autoSpaceDE/>
        <w:autoSpaceDN/>
        <w:bidi w:val="0"/>
        <w:snapToGrid w:val="0"/>
        <w:spacing w:line="400" w:lineRule="exact"/>
        <w:ind w:firstLine="420"/>
        <w:textAlignment w:val="auto"/>
        <w:rPr>
          <w:rFonts w:hint="eastAsia" w:hAnsi="宋体" w:cs="宋体"/>
          <w:b/>
          <w:color w:val="auto"/>
          <w:highlight w:val="none"/>
        </w:rPr>
      </w:pPr>
      <w:r>
        <w:rPr>
          <w:rFonts w:hint="eastAsia" w:hAnsi="宋体" w:cs="宋体"/>
          <w:b/>
          <w:color w:val="auto"/>
          <w:highlight w:val="none"/>
        </w:rPr>
        <w:t>5.比较与评价</w:t>
      </w:r>
    </w:p>
    <w:p w14:paraId="49DA1E3D">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5.1采用综合评分法的</w:t>
      </w:r>
    </w:p>
    <w:p w14:paraId="53A15BE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3879C7CA">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04254AED">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b/>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Cs w:val="21"/>
          <w:highlight w:val="none"/>
        </w:rPr>
        <w:t>投标人不能证明其报价合理性的，评标委员会应当将其作为无效投标处理。</w:t>
      </w:r>
    </w:p>
    <w:p w14:paraId="28E62A50">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58F34D1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1335B810">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5DAFB059">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CA68214">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6.异常低价审查 </w:t>
      </w:r>
    </w:p>
    <w:p w14:paraId="0F6217C8">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6.1</w:t>
      </w:r>
      <w:r>
        <w:rPr>
          <w:rFonts w:hint="eastAsia" w:ascii="宋体" w:hAnsi="宋体" w:eastAsia="宋体" w:cs="宋体"/>
          <w:color w:val="auto"/>
          <w:szCs w:val="21"/>
          <w:highlight w:val="none"/>
        </w:rPr>
        <w:t>依据规定</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"http://www.ccgp.gov.cn/news/202601/t20260122_26102509.htm" \t "_blank" \o "附件链接：《财政部关于推动解决政府采购异常低价问题的通知》（财库〔2026〕2号）"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《财政部关于推动解决政府采购异常低价问题的通知》（财库〔2026〕2号）</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规定，政府采购评审中出现以下异常低价情形，评标委员会应当启动异常低价投标审查程序：</w:t>
      </w:r>
    </w:p>
    <w:p w14:paraId="1A0D1BC6">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（1）投标报价低于全部通过符合性审查供应商投标）报价平均值</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0F8BA064">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（2）投标报价低于通过符合性审查的次低报价供应商投标报价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50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％的（注：此处由采购人根据项目实际情况填写，填写范围不得低于50％，最高不得超过65％）；</w:t>
      </w:r>
    </w:p>
    <w:p w14:paraId="4FC1B5FA">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（3）投标报价低于采购项目最高限价</w:t>
      </w:r>
      <w:r>
        <w:rPr>
          <w:rFonts w:hint="eastAsia" w:ascii="宋体" w:hAnsi="宋体" w:eastAsia="宋体" w:cs="宋体"/>
          <w:color w:val="auto"/>
          <w:szCs w:val="21"/>
          <w:highlight w:val="none"/>
          <w:u w:val="single"/>
        </w:rPr>
        <w:t> </w:t>
      </w:r>
      <w:r>
        <w:rPr>
          <w:rFonts w:hint="eastAsia" w:ascii="宋体" w:hAnsi="宋体" w:cs="宋体"/>
          <w:color w:val="auto"/>
          <w:szCs w:val="21"/>
          <w:highlight w:val="none"/>
          <w:u w:val="single"/>
          <w:lang w:val="en-US" w:eastAsia="zh-CN"/>
        </w:rPr>
        <w:t>45</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％的（注：此处由采购人根据项目实际情况填写，填写范围不得低于45％，最高不得超过65％）；</w:t>
      </w:r>
    </w:p>
    <w:p w14:paraId="7DB8A11E">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（4）评标委员会基于专业判断，认为供应商报价过低，有可能影响产品质量或者不能诚信履约的其他情形。相关法律法规对供应商报价有规定的，从其规定。</w:t>
      </w:r>
    </w:p>
    <w:p w14:paraId="67340C19">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（5）相关法律法规对供应商报价有规定的，从其规定。</w:t>
      </w:r>
    </w:p>
    <w:p w14:paraId="1CA657AB">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6.2</w:t>
      </w:r>
      <w:r>
        <w:rPr>
          <w:rFonts w:hint="eastAsia" w:ascii="宋体" w:hAnsi="宋体" w:eastAsia="宋体" w:cs="宋体"/>
          <w:color w:val="auto"/>
          <w:szCs w:val="21"/>
          <w:highlight w:val="none"/>
        </w:rPr>
        <w:t>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12E7D66">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无效投标（响应）处理。</w:t>
      </w:r>
    </w:p>
    <w:p w14:paraId="54064A11">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FEFD315">
      <w:pPr>
        <w:pageBreakBefore w:val="0"/>
        <w:kinsoku/>
        <w:wordWrap/>
        <w:overflowPunct/>
        <w:topLinePunct w:val="0"/>
        <w:autoSpaceDE/>
        <w:autoSpaceDN/>
        <w:bidi w:val="0"/>
        <w:snapToGrid w:val="0"/>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记录及归档:异常低价投标审查的启动原因、审查意见和审查结果应当在评审报告中记录，并随供应商提供的相关书面说明及证明材料，以及评审委员会有关互联网浏览、查询历史一并归档。</w:t>
      </w:r>
    </w:p>
    <w:p w14:paraId="0F6E5C82">
      <w:pPr>
        <w:pageBreakBefore w:val="0"/>
        <w:kinsoku/>
        <w:wordWrap/>
        <w:overflowPunct/>
        <w:topLinePunct w:val="0"/>
        <w:autoSpaceDE/>
        <w:autoSpaceDN/>
        <w:bidi w:val="0"/>
        <w:snapToGrid w:val="0"/>
        <w:spacing w:line="400" w:lineRule="exact"/>
        <w:ind w:firstLine="420" w:firstLineChars="200"/>
        <w:textAlignment w:val="auto"/>
        <w:rPr>
          <w:rFonts w:hint="eastAsia" w:ascii="宋体" w:hAnsi="宋体" w:cs="宋体"/>
          <w:color w:val="auto"/>
          <w:szCs w:val="21"/>
          <w:highlight w:val="none"/>
        </w:rPr>
      </w:pPr>
    </w:p>
    <w:p w14:paraId="07801740">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5" w:name="_Toc5924"/>
      <w:bookmarkStart w:id="176" w:name="_Toc4705"/>
      <w:r>
        <w:rPr>
          <w:rFonts w:hint="eastAsia" w:ascii="宋体" w:hAnsi="宋体" w:eastAsia="宋体" w:cs="宋体"/>
          <w:color w:val="auto"/>
          <w:highlight w:val="none"/>
        </w:rPr>
        <w:t>三、评标标准</w:t>
      </w:r>
      <w:bookmarkEnd w:id="175"/>
      <w:bookmarkEnd w:id="176"/>
    </w:p>
    <w:p w14:paraId="3F5A4D9C">
      <w:pPr>
        <w:pageBreakBefore w:val="0"/>
        <w:widowControl/>
        <w:kinsoku/>
        <w:wordWrap/>
        <w:overflowPunct/>
        <w:topLinePunct w:val="0"/>
        <w:autoSpaceDE/>
        <w:autoSpaceDN/>
        <w:bidi w:val="0"/>
        <w:adjustRightInd w:val="0"/>
        <w:snapToGrid w:val="0"/>
        <w:spacing w:line="400" w:lineRule="exact"/>
        <w:ind w:firstLine="42"/>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一、评标原则</w:t>
      </w:r>
    </w:p>
    <w:p w14:paraId="40C6F959">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（一）评委构成：《政府采购货物和服务招标投标管理办法》第四十七条 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14:paraId="7F8C5892">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（二）</w:t>
      </w:r>
      <w:r>
        <w:rPr>
          <w:rFonts w:hint="eastAsia" w:ascii="宋体" w:hAnsi="宋体" w:cs="宋体"/>
          <w:color w:val="auto"/>
          <w:kern w:val="0"/>
          <w:szCs w:val="21"/>
          <w:highlight w:val="none"/>
        </w:rPr>
        <w:t>评标依据：</w:t>
      </w:r>
      <w:r>
        <w:rPr>
          <w:rFonts w:hint="eastAsia" w:ascii="宋体" w:hAnsi="宋体" w:cs="宋体"/>
          <w:bCs/>
          <w:color w:val="auto"/>
          <w:kern w:val="0"/>
          <w:szCs w:val="21"/>
          <w:highlight w:val="none"/>
        </w:rPr>
        <w:t>评委将以招投标文件为评标依据，对投标人的内容按百分制打分。</w:t>
      </w:r>
    </w:p>
    <w:p w14:paraId="10EC077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szCs w:val="21"/>
          <w:highlight w:val="none"/>
        </w:rPr>
      </w:pPr>
      <w:r>
        <w:rPr>
          <w:rFonts w:hint="eastAsia" w:ascii="宋体" w:hAnsi="宋体" w:cs="宋体"/>
          <w:bCs/>
          <w:color w:val="auto"/>
          <w:szCs w:val="21"/>
          <w:highlight w:val="none"/>
        </w:rPr>
        <w:t>（三）评标方式：以封闭方式进行。</w:t>
      </w:r>
    </w:p>
    <w:p w14:paraId="7EB06249">
      <w:pPr>
        <w:pageBreakBefore w:val="0"/>
        <w:kinsoku/>
        <w:wordWrap/>
        <w:overflowPunct/>
        <w:topLinePunct w:val="0"/>
        <w:autoSpaceDE/>
        <w:autoSpaceDN/>
        <w:bidi w:val="0"/>
        <w:adjustRightInd w:val="0"/>
        <w:snapToGrid w:val="0"/>
        <w:spacing w:line="400" w:lineRule="exact"/>
        <w:ind w:firstLine="42" w:firstLineChars="20"/>
        <w:textAlignment w:val="auto"/>
        <w:rPr>
          <w:rFonts w:hint="eastAsia" w:ascii="宋体" w:hAnsi="宋体" w:cs="宋体"/>
          <w:b/>
          <w:color w:val="auto"/>
          <w:szCs w:val="21"/>
          <w:highlight w:val="none"/>
        </w:rPr>
      </w:pPr>
      <w:r>
        <w:rPr>
          <w:rFonts w:hint="eastAsia" w:ascii="宋体" w:hAnsi="宋体" w:cs="宋体"/>
          <w:b/>
          <w:color w:val="auto"/>
          <w:szCs w:val="21"/>
          <w:highlight w:val="none"/>
        </w:rPr>
        <w:t>二、评标方法</w:t>
      </w:r>
    </w:p>
    <w:p w14:paraId="72722690">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（一）对进入详评的，采用百分制综合评分法。</w:t>
      </w:r>
    </w:p>
    <w:p w14:paraId="37181AA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（二）计分办法（按四舍五入取至百分位）：</w:t>
      </w:r>
    </w:p>
    <w:p w14:paraId="0831A179">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77" w:name="_Toc1515"/>
      <w:bookmarkStart w:id="178" w:name="_Toc29253"/>
      <w:bookmarkStart w:id="179" w:name="_Toc26687"/>
    </w:p>
    <w:p w14:paraId="0B30D025">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评分标准（综合评分法）</w:t>
      </w:r>
      <w:bookmarkEnd w:id="177"/>
      <w:bookmarkEnd w:id="178"/>
      <w:bookmarkEnd w:id="179"/>
    </w:p>
    <w:tbl>
      <w:tblPr>
        <w:tblStyle w:val="38"/>
        <w:tblW w:w="8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653"/>
        <w:gridCol w:w="7408"/>
      </w:tblGrid>
      <w:tr w14:paraId="33584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jc w:val="center"/>
        </w:trPr>
        <w:tc>
          <w:tcPr>
            <w:tcW w:w="846" w:type="dxa"/>
            <w:noWrap w:val="0"/>
            <w:vAlign w:val="bottom"/>
          </w:tcPr>
          <w:p w14:paraId="0792ED2E">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评标项目</w:t>
            </w:r>
          </w:p>
        </w:tc>
        <w:tc>
          <w:tcPr>
            <w:tcW w:w="653" w:type="dxa"/>
            <w:noWrap w:val="0"/>
            <w:vAlign w:val="bottom"/>
          </w:tcPr>
          <w:p w14:paraId="19FAEB6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评标分值</w:t>
            </w:r>
          </w:p>
        </w:tc>
        <w:tc>
          <w:tcPr>
            <w:tcW w:w="7408" w:type="dxa"/>
            <w:noWrap w:val="0"/>
            <w:vAlign w:val="bottom"/>
          </w:tcPr>
          <w:p w14:paraId="1330555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rPr>
              <w:t>评标方法描述</w:t>
            </w:r>
          </w:p>
        </w:tc>
      </w:tr>
      <w:tr w14:paraId="72ABE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jc w:val="center"/>
        </w:trPr>
        <w:tc>
          <w:tcPr>
            <w:tcW w:w="8907" w:type="dxa"/>
            <w:gridSpan w:val="3"/>
            <w:noWrap w:val="0"/>
            <w:vAlign w:val="center"/>
          </w:tcPr>
          <w:p w14:paraId="54FBCAF2">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（一）价格分（满分10分）</w:t>
            </w:r>
          </w:p>
        </w:tc>
      </w:tr>
      <w:tr w14:paraId="30708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6C03E159">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投标报价</w:t>
            </w:r>
          </w:p>
        </w:tc>
        <w:tc>
          <w:tcPr>
            <w:tcW w:w="653" w:type="dxa"/>
            <w:noWrap w:val="0"/>
            <w:vAlign w:val="center"/>
          </w:tcPr>
          <w:p w14:paraId="284B2F14">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10分</w:t>
            </w:r>
          </w:p>
        </w:tc>
        <w:tc>
          <w:tcPr>
            <w:tcW w:w="7408" w:type="dxa"/>
            <w:noWrap w:val="0"/>
            <w:vAlign w:val="center"/>
          </w:tcPr>
          <w:p w14:paraId="2F30E97C">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（1）评标报价为投标人的投标报价进行政策性扣除后的价格，评标报价只是作为评标时使用。最终中标人的中标金额等于投标报价。</w:t>
            </w:r>
          </w:p>
          <w:p w14:paraId="5D36FAF8">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按照《政府采购促进中小企业发展管理办法》（财库〔2020〕46号）的规定，投标人在其投标文件中提供《中小企业声明函》，且其服务为小型和微型企业承接的，按《关于进一步加大政府采购支持中小企业力度的通知》（财库〔2022〕19号）、《广西壮族自治区财政厅关于持续优化政府采购营商环境推动高质量发展的通知》（桂财采〔202</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55</w:t>
            </w:r>
            <w:r>
              <w:rPr>
                <w:rFonts w:hint="eastAsia" w:ascii="宋体" w:hAnsi="宋体" w:cs="宋体"/>
                <w:bCs/>
                <w:color w:val="auto"/>
                <w:kern w:val="0"/>
                <w:szCs w:val="21"/>
                <w:highlight w:val="none"/>
              </w:rPr>
              <w:t>号）的规定</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对其最后报价给予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w:t>
            </w:r>
            <w:r>
              <w:rPr>
                <w:rFonts w:hint="eastAsia" w:ascii="宋体" w:hAnsi="宋体" w:cs="宋体"/>
                <w:bCs/>
                <w:color w:val="auto"/>
                <w:kern w:val="0"/>
                <w:szCs w:val="21"/>
                <w:highlight w:val="none"/>
                <w:lang w:eastAsia="zh-CN"/>
              </w:rPr>
              <w:t>（范围为</w:t>
            </w:r>
            <w:r>
              <w:rPr>
                <w:rFonts w:hint="eastAsia" w:ascii="宋体" w:hAnsi="宋体" w:cs="宋体"/>
                <w:bCs/>
                <w:color w:val="auto"/>
                <w:kern w:val="0"/>
                <w:szCs w:val="21"/>
                <w:highlight w:val="none"/>
                <w:lang w:val="en-US" w:eastAsia="zh-CN"/>
              </w:rPr>
              <w:t>10-20%）</w:t>
            </w:r>
            <w:r>
              <w:rPr>
                <w:rFonts w:hint="eastAsia" w:ascii="宋体" w:hAnsi="宋体" w:cs="宋体"/>
                <w:bCs/>
                <w:color w:val="auto"/>
                <w:kern w:val="0"/>
                <w:szCs w:val="21"/>
                <w:highlight w:val="none"/>
              </w:rPr>
              <w:t>的扣除。</w:t>
            </w:r>
          </w:p>
          <w:p w14:paraId="648C5E7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6578CC52">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FB5165F">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（5）政策性扣除计算方法。</w:t>
            </w:r>
          </w:p>
          <w:p w14:paraId="529A3B30">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在服务采购项目中，服务由小微企业承接；对符合上述要求的投标人的投标报价给予</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0%的扣除，扣除后的价格为评标报价，即评标报价=投标报价×（1-</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%（范围为4%-6%）的扣除，用扣除后的价格参加评审，扣除后的价格为评标报价，即评标报价=投标报价×（1-</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%）。除上述情况外，评标报价=投标报价。</w:t>
            </w:r>
          </w:p>
          <w:p w14:paraId="10DE523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（6）满足招标文件要求且评标报价最低的评标报价为评标基准价，其价格分为满分。</w:t>
            </w:r>
          </w:p>
          <w:p w14:paraId="1B379D55">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（7）价格分计算公式：</w:t>
            </w:r>
          </w:p>
          <w:p w14:paraId="1BEE2CA9">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Cs/>
                <w:color w:val="auto"/>
                <w:kern w:val="0"/>
                <w:szCs w:val="21"/>
                <w:highlight w:val="none"/>
              </w:rPr>
              <w:t>价格分=(评标基准价／评标报价)×10分</w:t>
            </w:r>
            <w:r>
              <w:rPr>
                <w:rFonts w:hint="eastAsia" w:ascii="宋体" w:hAnsi="宋体" w:cs="宋体"/>
                <w:bCs/>
                <w:color w:val="auto"/>
                <w:kern w:val="0"/>
                <w:szCs w:val="21"/>
                <w:highlight w:val="none"/>
                <w:lang w:eastAsia="zh-CN"/>
              </w:rPr>
              <w:t>。</w:t>
            </w:r>
          </w:p>
          <w:p w14:paraId="38B81AD1">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8）异常低价说明。</w:t>
            </w:r>
          </w:p>
          <w:p w14:paraId="6AF7A62E">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cs="宋体"/>
                <w:bCs/>
                <w:color w:val="auto"/>
                <w:kern w:val="0"/>
                <w:szCs w:val="21"/>
                <w:highlight w:val="none"/>
                <w:lang w:eastAsia="zh-CN"/>
              </w:rPr>
            </w:pPr>
            <w:r>
              <w:rPr>
                <w:rFonts w:hint="eastAsia" w:ascii="宋体" w:hAnsi="宋体" w:cs="宋体"/>
                <w:b/>
                <w:bCs w:val="0"/>
                <w:color w:val="auto"/>
                <w:kern w:val="0"/>
                <w:szCs w:val="21"/>
                <w:highlight w:val="none"/>
                <w:lang w:val="en-US" w:eastAsia="zh-CN"/>
              </w:rPr>
              <w:t>投标人的报价出现《财政部关于推动解决政府采购异常低价问题的通知》（财库〔2026〕2号）规定的异常低价情形（具体详见招标文件第四章评标方法及评标标准二、评标程序6.异常低价审查），有可能影响服务质量或者不能诚信履约的，其应当在评标现场合理时间内（不少于30分钟）对报价作出解释，提供项目具体成本测算等与报价合理性相关的书面说明及必要证明材料；投标人不能提供相关说明、证明材料，或提供的材料无法证明其报价合理性的，评标委员会将其作为无效投标处理。</w:t>
            </w:r>
          </w:p>
        </w:tc>
      </w:tr>
      <w:tr w14:paraId="736C3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07" w:type="dxa"/>
            <w:gridSpan w:val="3"/>
            <w:noWrap w:val="0"/>
            <w:vAlign w:val="center"/>
          </w:tcPr>
          <w:p w14:paraId="2630ECBB">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二</w:t>
            </w:r>
            <w:r>
              <w:rPr>
                <w:rFonts w:hint="eastAsia" w:ascii="宋体" w:hAnsi="宋体" w:cs="宋体"/>
                <w:b/>
                <w:bCs w:val="0"/>
                <w:color w:val="auto"/>
                <w:kern w:val="0"/>
                <w:szCs w:val="21"/>
                <w:highlight w:val="none"/>
                <w:lang w:eastAsia="zh-CN"/>
              </w:rPr>
              <w:t>）</w:t>
            </w:r>
            <w:r>
              <w:rPr>
                <w:rFonts w:hint="eastAsia" w:ascii="宋体" w:hAnsi="宋体" w:cs="宋体"/>
                <w:b/>
                <w:bCs w:val="0"/>
                <w:color w:val="auto"/>
                <w:kern w:val="0"/>
                <w:szCs w:val="21"/>
                <w:highlight w:val="none"/>
                <w:lang w:val="en-US" w:eastAsia="zh-CN"/>
              </w:rPr>
              <w:t>技术分（满分77分）</w:t>
            </w:r>
          </w:p>
        </w:tc>
      </w:tr>
      <w:tr w14:paraId="42392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1AEF0621">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项目总体服务方案</w:t>
            </w:r>
          </w:p>
        </w:tc>
        <w:tc>
          <w:tcPr>
            <w:tcW w:w="653" w:type="dxa"/>
            <w:noWrap w:val="0"/>
            <w:vAlign w:val="center"/>
          </w:tcPr>
          <w:p w14:paraId="6F5DCF0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25分</w:t>
            </w:r>
          </w:p>
        </w:tc>
        <w:tc>
          <w:tcPr>
            <w:tcW w:w="7408" w:type="dxa"/>
            <w:noWrap w:val="0"/>
            <w:vAlign w:val="center"/>
          </w:tcPr>
          <w:p w14:paraId="02121E08">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不提供或不满足一档要求不得分。</w:t>
            </w:r>
          </w:p>
          <w:p w14:paraId="427C73AB">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一档（</w:t>
            </w:r>
            <w:r>
              <w:rPr>
                <w:rFonts w:hint="eastAsia" w:ascii="宋体" w:hAnsi="宋体" w:eastAsia="宋体" w:cs="宋体"/>
                <w:b/>
                <w:bCs w:val="0"/>
                <w:color w:val="auto"/>
                <w:kern w:val="0"/>
                <w:szCs w:val="21"/>
                <w:highlight w:val="none"/>
                <w:lang w:val="en-US" w:eastAsia="zh-CN"/>
              </w:rPr>
              <w:t>5</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：对本项目的背景、必要性理解简单，对国家法律法规和项目所在地实际情况熟悉程度缺乏了解，项目技术方案工作研究思路仅能基本满足采购需求，无已有工作基础支撑，缺乏重难点分析。</w:t>
            </w:r>
          </w:p>
          <w:p w14:paraId="584BBD19">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二档（</w:t>
            </w:r>
            <w:r>
              <w:rPr>
                <w:rFonts w:hint="eastAsia" w:ascii="宋体" w:hAnsi="宋体" w:eastAsia="宋体" w:cs="宋体"/>
                <w:b/>
                <w:bCs w:val="0"/>
                <w:color w:val="auto"/>
                <w:kern w:val="0"/>
                <w:szCs w:val="21"/>
                <w:highlight w:val="none"/>
                <w:lang w:val="en-US" w:eastAsia="zh-CN"/>
              </w:rPr>
              <w:t>10</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：对本项目的背景、必要性理解基本准确，对国家法律法规和项目所在地实际情况有一定了解，项目技术方案工作研究思路与方法、方案内容满足需求，但较为简单；已有工作基础薄弱</w:t>
            </w:r>
            <w:r>
              <w:rPr>
                <w:rFonts w:hint="eastAsia" w:ascii="宋体" w:hAnsi="宋体" w:eastAsia="宋体" w:cs="宋体"/>
                <w:b w:val="0"/>
                <w:bCs/>
                <w:color w:val="auto"/>
                <w:kern w:val="0"/>
                <w:szCs w:val="21"/>
                <w:highlight w:val="none"/>
                <w:lang w:val="en-US" w:eastAsia="zh-CN"/>
              </w:rPr>
              <w:t>，对本项目重难点分析简单</w:t>
            </w:r>
            <w:r>
              <w:rPr>
                <w:rFonts w:hint="default" w:ascii="宋体" w:hAnsi="宋体" w:eastAsia="宋体" w:cs="宋体"/>
                <w:b w:val="0"/>
                <w:bCs/>
                <w:color w:val="auto"/>
                <w:kern w:val="0"/>
                <w:szCs w:val="21"/>
                <w:highlight w:val="none"/>
                <w:lang w:val="en-US" w:eastAsia="zh-CN"/>
              </w:rPr>
              <w:t>。</w:t>
            </w:r>
          </w:p>
          <w:p w14:paraId="12F9B372">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三</w:t>
            </w:r>
            <w:r>
              <w:rPr>
                <w:rFonts w:hint="default" w:ascii="宋体" w:hAnsi="宋体" w:eastAsia="宋体" w:cs="宋体"/>
                <w:b/>
                <w:bCs w:val="0"/>
                <w:color w:val="auto"/>
                <w:kern w:val="0"/>
                <w:szCs w:val="21"/>
                <w:highlight w:val="none"/>
                <w:lang w:val="en-US" w:eastAsia="zh-CN"/>
              </w:rPr>
              <w:t>档（</w:t>
            </w:r>
            <w:r>
              <w:rPr>
                <w:rFonts w:hint="eastAsia" w:ascii="宋体" w:hAnsi="宋体" w:eastAsia="宋体" w:cs="宋体"/>
                <w:b/>
                <w:bCs w:val="0"/>
                <w:color w:val="auto"/>
                <w:kern w:val="0"/>
                <w:szCs w:val="21"/>
                <w:highlight w:val="none"/>
                <w:lang w:val="en-US" w:eastAsia="zh-CN"/>
              </w:rPr>
              <w:t>15</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对本项目的背景、必要性理解较准确，对国家法律法规和项目所在地实际情况基本了解；项目技术方案工作研究思路与方法比较简单，技术路线基本合理，提供的项目技术方案内容基本完整，符合项目采购需求；已有工作基础</w:t>
            </w:r>
            <w:r>
              <w:rPr>
                <w:rFonts w:hint="eastAsia" w:ascii="宋体" w:hAnsi="宋体" w:eastAsia="宋体" w:cs="宋体"/>
                <w:b w:val="0"/>
                <w:bCs/>
                <w:color w:val="auto"/>
                <w:kern w:val="0"/>
                <w:szCs w:val="21"/>
                <w:highlight w:val="none"/>
                <w:lang w:val="en-US" w:eastAsia="zh-CN"/>
              </w:rPr>
              <w:t>比</w:t>
            </w:r>
            <w:r>
              <w:rPr>
                <w:rFonts w:hint="default" w:ascii="宋体" w:hAnsi="宋体" w:eastAsia="宋体" w:cs="宋体"/>
                <w:b w:val="0"/>
                <w:bCs/>
                <w:color w:val="auto"/>
                <w:kern w:val="0"/>
                <w:szCs w:val="21"/>
                <w:highlight w:val="none"/>
                <w:lang w:val="en-US" w:eastAsia="zh-CN"/>
              </w:rPr>
              <w:t>较简单</w:t>
            </w:r>
            <w:r>
              <w:rPr>
                <w:rFonts w:hint="eastAsia" w:ascii="宋体" w:hAnsi="宋体" w:eastAsia="宋体" w:cs="宋体"/>
                <w:b w:val="0"/>
                <w:bCs/>
                <w:color w:val="auto"/>
                <w:kern w:val="0"/>
                <w:szCs w:val="21"/>
                <w:highlight w:val="none"/>
                <w:lang w:val="en-US" w:eastAsia="zh-CN"/>
              </w:rPr>
              <w:t>，对本项目重难点分析基本准确</w:t>
            </w:r>
            <w:r>
              <w:rPr>
                <w:rFonts w:hint="default" w:ascii="宋体" w:hAnsi="宋体" w:eastAsia="宋体" w:cs="宋体"/>
                <w:b w:val="0"/>
                <w:bCs/>
                <w:color w:val="auto"/>
                <w:kern w:val="0"/>
                <w:szCs w:val="21"/>
                <w:highlight w:val="none"/>
                <w:lang w:val="en-US" w:eastAsia="zh-CN"/>
              </w:rPr>
              <w:t>。</w:t>
            </w:r>
          </w:p>
          <w:p w14:paraId="0FE31C2D">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四</w:t>
            </w:r>
            <w:r>
              <w:rPr>
                <w:rFonts w:hint="default" w:ascii="宋体" w:hAnsi="宋体" w:eastAsia="宋体" w:cs="宋体"/>
                <w:b/>
                <w:bCs w:val="0"/>
                <w:color w:val="auto"/>
                <w:kern w:val="0"/>
                <w:szCs w:val="21"/>
                <w:highlight w:val="none"/>
                <w:lang w:val="en-US" w:eastAsia="zh-CN"/>
              </w:rPr>
              <w:t>档（</w:t>
            </w:r>
            <w:r>
              <w:rPr>
                <w:rFonts w:hint="eastAsia" w:ascii="宋体" w:hAnsi="宋体" w:eastAsia="宋体" w:cs="宋体"/>
                <w:b/>
                <w:bCs w:val="0"/>
                <w:color w:val="auto"/>
                <w:kern w:val="0"/>
                <w:szCs w:val="21"/>
                <w:highlight w:val="none"/>
                <w:lang w:val="en-US" w:eastAsia="zh-CN"/>
              </w:rPr>
              <w:t>20</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对本项目的背景、必要性理解准确，对国家法律法规和项目所在地实际情况比较熟悉，理解比较到位；项目技术方案工作研究思路与方法较详细，技术路线较合理；方案总体比较具体合理，项目技术方案内容完整；已有工作基础较为详尽，并能够简单总结已有工作基础经验</w:t>
            </w:r>
            <w:r>
              <w:rPr>
                <w:rFonts w:hint="eastAsia" w:ascii="宋体" w:hAnsi="宋体" w:eastAsia="宋体" w:cs="宋体"/>
                <w:b w:val="0"/>
                <w:bCs/>
                <w:color w:val="auto"/>
                <w:kern w:val="0"/>
                <w:szCs w:val="21"/>
                <w:highlight w:val="none"/>
                <w:lang w:val="en-US" w:eastAsia="zh-CN"/>
              </w:rPr>
              <w:t>，对本项目重难点分析较为准确。</w:t>
            </w:r>
          </w:p>
          <w:p w14:paraId="6122B1E9">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五</w:t>
            </w:r>
            <w:r>
              <w:rPr>
                <w:rFonts w:hint="default" w:ascii="宋体" w:hAnsi="宋体" w:eastAsia="宋体" w:cs="宋体"/>
                <w:b/>
                <w:bCs w:val="0"/>
                <w:color w:val="auto"/>
                <w:kern w:val="0"/>
                <w:szCs w:val="21"/>
                <w:highlight w:val="none"/>
                <w:lang w:val="en-US" w:eastAsia="zh-CN"/>
              </w:rPr>
              <w:t>档（</w:t>
            </w:r>
            <w:r>
              <w:rPr>
                <w:rFonts w:hint="eastAsia" w:ascii="宋体" w:hAnsi="宋体" w:eastAsia="宋体" w:cs="宋体"/>
                <w:b/>
                <w:bCs w:val="0"/>
                <w:color w:val="auto"/>
                <w:kern w:val="0"/>
                <w:szCs w:val="21"/>
                <w:highlight w:val="none"/>
                <w:lang w:val="en-US" w:eastAsia="zh-CN"/>
              </w:rPr>
              <w:t>25</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：对本项目背景、必要性理解深入透彻且完整，对国家法律法规理解到位，非常熟悉项目所在地实际情况，且阐述符合实际现状；项目技术方案工作研究思路与方法详细全面，技术路线科学合理</w:t>
            </w:r>
            <w:r>
              <w:rPr>
                <w:rFonts w:hint="eastAsia" w:ascii="宋体" w:hAnsi="宋体" w:eastAsia="宋体" w:cs="宋体"/>
                <w:b w:val="0"/>
                <w:bCs/>
                <w:color w:val="auto"/>
                <w:kern w:val="0"/>
                <w:szCs w:val="21"/>
                <w:highlight w:val="none"/>
                <w:lang w:val="en-US" w:eastAsia="zh-CN"/>
              </w:rPr>
              <w:t>，且针对本项目的实施提供能提供合理化建议</w:t>
            </w:r>
            <w:r>
              <w:rPr>
                <w:rFonts w:hint="default" w:ascii="宋体" w:hAnsi="宋体" w:eastAsia="宋体" w:cs="宋体"/>
                <w:b w:val="0"/>
                <w:bCs/>
                <w:color w:val="auto"/>
                <w:kern w:val="0"/>
                <w:szCs w:val="21"/>
                <w:highlight w:val="none"/>
                <w:lang w:val="en-US" w:eastAsia="zh-CN"/>
              </w:rPr>
              <w:t>；已有工作基础契合项目实际需要，对已有工作</w:t>
            </w:r>
            <w:r>
              <w:rPr>
                <w:rFonts w:hint="eastAsia" w:ascii="宋体" w:hAnsi="宋体" w:eastAsia="宋体" w:cs="宋体"/>
                <w:b w:val="0"/>
                <w:bCs/>
                <w:color w:val="auto"/>
                <w:kern w:val="0"/>
                <w:szCs w:val="21"/>
                <w:highlight w:val="none"/>
                <w:lang w:val="en-US" w:eastAsia="zh-CN"/>
              </w:rPr>
              <w:t>基础</w:t>
            </w:r>
            <w:r>
              <w:rPr>
                <w:rFonts w:hint="default" w:ascii="宋体" w:hAnsi="宋体" w:eastAsia="宋体" w:cs="宋体"/>
                <w:b w:val="0"/>
                <w:bCs/>
                <w:color w:val="auto"/>
                <w:kern w:val="0"/>
                <w:szCs w:val="21"/>
                <w:highlight w:val="none"/>
                <w:lang w:val="en-US" w:eastAsia="zh-CN"/>
              </w:rPr>
              <w:t>、经验有深入的分析总结</w:t>
            </w:r>
            <w:r>
              <w:rPr>
                <w:rFonts w:hint="eastAsia" w:ascii="宋体" w:hAnsi="宋体" w:eastAsia="宋体" w:cs="宋体"/>
                <w:b w:val="0"/>
                <w:bCs/>
                <w:color w:val="auto"/>
                <w:kern w:val="0"/>
                <w:szCs w:val="21"/>
                <w:highlight w:val="none"/>
                <w:lang w:val="en-US" w:eastAsia="zh-CN"/>
              </w:rPr>
              <w:t>，对本项目重难点分析深入透彻且完整</w:t>
            </w:r>
            <w:r>
              <w:rPr>
                <w:rFonts w:hint="default" w:ascii="宋体" w:hAnsi="宋体" w:eastAsia="宋体" w:cs="宋体"/>
                <w:b w:val="0"/>
                <w:bCs/>
                <w:color w:val="auto"/>
                <w:kern w:val="0"/>
                <w:szCs w:val="21"/>
                <w:highlight w:val="none"/>
                <w:lang w:val="en-US" w:eastAsia="zh-CN"/>
              </w:rPr>
              <w:t>。</w:t>
            </w:r>
          </w:p>
        </w:tc>
      </w:tr>
      <w:tr w14:paraId="5ED31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63A3516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质量控制方案分</w:t>
            </w:r>
          </w:p>
        </w:tc>
        <w:tc>
          <w:tcPr>
            <w:tcW w:w="653" w:type="dxa"/>
            <w:noWrap w:val="0"/>
            <w:vAlign w:val="center"/>
          </w:tcPr>
          <w:p w14:paraId="7965187A">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15</w:t>
            </w:r>
          </w:p>
        </w:tc>
        <w:tc>
          <w:tcPr>
            <w:tcW w:w="7408" w:type="dxa"/>
            <w:noWrap w:val="0"/>
            <w:vAlign w:val="center"/>
          </w:tcPr>
          <w:p w14:paraId="4B3F2C83">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不提供或不满足一档要求不得分。</w:t>
            </w:r>
          </w:p>
          <w:p w14:paraId="1E8BF854">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评标委员会根据投标人提供的项目进度、质量控制方案独立评审打分。</w:t>
            </w:r>
          </w:p>
          <w:p w14:paraId="66765BC2">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一档（</w:t>
            </w:r>
            <w:r>
              <w:rPr>
                <w:rFonts w:hint="eastAsia" w:ascii="宋体" w:hAnsi="宋体" w:eastAsia="宋体" w:cs="宋体"/>
                <w:b/>
                <w:bCs w:val="0"/>
                <w:color w:val="auto"/>
                <w:kern w:val="0"/>
                <w:szCs w:val="21"/>
                <w:highlight w:val="none"/>
                <w:lang w:val="en-US" w:eastAsia="zh-CN"/>
              </w:rPr>
              <w:t>5</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：提供了质量控制方案，质量控制措施简单，能够基本保障项目实施过程中的质量和时效。</w:t>
            </w:r>
          </w:p>
          <w:p w14:paraId="5DB4FE4B">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二档（</w:t>
            </w:r>
            <w:r>
              <w:rPr>
                <w:rFonts w:hint="eastAsia" w:ascii="宋体" w:hAnsi="宋体" w:eastAsia="宋体" w:cs="宋体"/>
                <w:b/>
                <w:bCs w:val="0"/>
                <w:color w:val="auto"/>
                <w:kern w:val="0"/>
                <w:szCs w:val="21"/>
                <w:highlight w:val="none"/>
                <w:lang w:val="en-US" w:eastAsia="zh-CN"/>
              </w:rPr>
              <w:t>10</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：提供了质量控制方案，质量控制措施较简单，有简单的质控体系，能够保障项目实施过程中的质量和时效。</w:t>
            </w:r>
          </w:p>
          <w:p w14:paraId="536416D1">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三档（1</w:t>
            </w:r>
            <w:r>
              <w:rPr>
                <w:rFonts w:hint="eastAsia" w:ascii="宋体" w:hAnsi="宋体" w:eastAsia="宋体" w:cs="宋体"/>
                <w:b/>
                <w:bCs w:val="0"/>
                <w:color w:val="auto"/>
                <w:kern w:val="0"/>
                <w:szCs w:val="21"/>
                <w:highlight w:val="none"/>
                <w:lang w:val="en-US" w:eastAsia="zh-CN"/>
              </w:rPr>
              <w:t>5</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：提供了质量控制方案，质量控制措施等内容详细具体，质控体系完整，有明确可行的实时质量反馈和纠错机制，有助于提升服务质量和时效。</w:t>
            </w:r>
          </w:p>
        </w:tc>
      </w:tr>
      <w:tr w14:paraId="382D3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jc w:val="center"/>
        </w:trPr>
        <w:tc>
          <w:tcPr>
            <w:tcW w:w="846" w:type="dxa"/>
            <w:noWrap w:val="0"/>
            <w:vAlign w:val="center"/>
          </w:tcPr>
          <w:p w14:paraId="26FAEE33">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设备</w:t>
            </w:r>
            <w:r>
              <w:rPr>
                <w:rFonts w:hint="eastAsia" w:ascii="宋体" w:hAnsi="宋体" w:eastAsia="宋体" w:cs="宋体"/>
                <w:b/>
                <w:bCs w:val="0"/>
                <w:color w:val="auto"/>
                <w:kern w:val="0"/>
                <w:szCs w:val="21"/>
                <w:highlight w:val="none"/>
                <w:lang w:val="en-US" w:eastAsia="zh-CN"/>
              </w:rPr>
              <w:t>保障</w:t>
            </w:r>
            <w:r>
              <w:rPr>
                <w:rFonts w:hint="default" w:ascii="宋体" w:hAnsi="宋体" w:eastAsia="宋体" w:cs="宋体"/>
                <w:b/>
                <w:bCs w:val="0"/>
                <w:color w:val="auto"/>
                <w:kern w:val="0"/>
                <w:szCs w:val="21"/>
                <w:highlight w:val="none"/>
                <w:lang w:val="en-US" w:eastAsia="zh-CN"/>
              </w:rPr>
              <w:t>分</w:t>
            </w:r>
          </w:p>
        </w:tc>
        <w:tc>
          <w:tcPr>
            <w:tcW w:w="653" w:type="dxa"/>
            <w:noWrap w:val="0"/>
            <w:vAlign w:val="center"/>
          </w:tcPr>
          <w:p w14:paraId="7DBC43F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5分</w:t>
            </w:r>
          </w:p>
        </w:tc>
        <w:tc>
          <w:tcPr>
            <w:tcW w:w="7408" w:type="dxa"/>
            <w:noWrap w:val="0"/>
            <w:vAlign w:val="center"/>
          </w:tcPr>
          <w:p w14:paraId="744E35F5">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拟投入本采购项目的投标人在满足服务需求设备：电感耦合等离子体质谱（ICP-MS）、原子吸收分光光度计、原子荧光分光光度计各1台外，还拥有更多满足指标分析的仪器设备，根据投标人拟投入本项目的设备的情况进行打分：</w:t>
            </w:r>
          </w:p>
          <w:p w14:paraId="70F5A462">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电感耦合等离子体质谱（ICP-MS）、原子吸收分光光度计、原子荧光分光光度计，每增加1台加1分，满分5分。</w:t>
            </w:r>
          </w:p>
          <w:p w14:paraId="433AF7C7">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注：</w:t>
            </w:r>
            <w:r>
              <w:rPr>
                <w:rFonts w:hint="default" w:ascii="宋体" w:hAnsi="宋体" w:eastAsia="宋体" w:cs="宋体"/>
                <w:b w:val="0"/>
                <w:bCs/>
                <w:color w:val="auto"/>
                <w:kern w:val="0"/>
                <w:szCs w:val="21"/>
                <w:highlight w:val="none"/>
                <w:lang w:val="en-US" w:eastAsia="zh-CN"/>
              </w:rPr>
              <w:t>需</w:t>
            </w:r>
            <w:r>
              <w:rPr>
                <w:rFonts w:hint="eastAsia" w:ascii="宋体" w:hAnsi="宋体" w:eastAsia="宋体" w:cs="宋体"/>
                <w:b w:val="0"/>
                <w:bCs/>
                <w:color w:val="auto"/>
                <w:kern w:val="0"/>
                <w:szCs w:val="21"/>
                <w:highlight w:val="none"/>
                <w:lang w:val="en-US" w:eastAsia="zh-CN"/>
              </w:rPr>
              <w:t>提供</w:t>
            </w:r>
            <w:r>
              <w:rPr>
                <w:rFonts w:hint="default" w:ascii="宋体" w:hAnsi="宋体" w:eastAsia="宋体" w:cs="宋体"/>
                <w:b w:val="0"/>
                <w:bCs/>
                <w:color w:val="auto"/>
                <w:kern w:val="0"/>
                <w:szCs w:val="21"/>
                <w:highlight w:val="none"/>
                <w:lang w:val="en-US" w:eastAsia="zh-CN"/>
              </w:rPr>
              <w:t>有效证明（属于供应商自有，租用不予计算），即提供仪器设备列表、设备的彩色照片、采购发票（发票抬头为投标人名字）和有效期限内的检定证书（校准证书）复印件等，并加盖公章，否则将其作为无效投标处理</w:t>
            </w:r>
            <w:r>
              <w:rPr>
                <w:rFonts w:hint="eastAsia" w:ascii="宋体" w:hAnsi="宋体" w:eastAsia="宋体" w:cs="宋体"/>
                <w:b w:val="0"/>
                <w:bCs/>
                <w:color w:val="auto"/>
                <w:kern w:val="0"/>
                <w:szCs w:val="21"/>
                <w:highlight w:val="none"/>
                <w:lang w:val="en-US" w:eastAsia="zh-CN"/>
              </w:rPr>
              <w:t>。</w:t>
            </w:r>
          </w:p>
        </w:tc>
      </w:tr>
      <w:tr w14:paraId="408EC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2" w:hRule="atLeast"/>
          <w:jc w:val="center"/>
        </w:trPr>
        <w:tc>
          <w:tcPr>
            <w:tcW w:w="846" w:type="dxa"/>
            <w:noWrap w:val="0"/>
            <w:vAlign w:val="center"/>
          </w:tcPr>
          <w:p w14:paraId="09B4B04D">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售后服务</w:t>
            </w:r>
          </w:p>
        </w:tc>
        <w:tc>
          <w:tcPr>
            <w:tcW w:w="653" w:type="dxa"/>
            <w:noWrap w:val="0"/>
            <w:vAlign w:val="center"/>
          </w:tcPr>
          <w:p w14:paraId="44E56031">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6分</w:t>
            </w:r>
          </w:p>
        </w:tc>
        <w:tc>
          <w:tcPr>
            <w:tcW w:w="7408" w:type="dxa"/>
            <w:noWrap w:val="0"/>
            <w:vAlign w:val="center"/>
          </w:tcPr>
          <w:p w14:paraId="5A12FF7F">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不提供或不满足一档要求不得分。</w:t>
            </w:r>
          </w:p>
          <w:p w14:paraId="2A9AD731">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 xml:space="preserve">根据投标人的项目售后服务（包括但不限于服务标准、人员调配、响应时间、技术支持等内容）进行评分（满分6 分）： </w:t>
            </w:r>
          </w:p>
          <w:p w14:paraId="62C45375">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一档（2 分）</w:t>
            </w:r>
            <w:r>
              <w:rPr>
                <w:rFonts w:hint="default" w:ascii="宋体" w:hAnsi="宋体" w:eastAsia="宋体" w:cs="宋体"/>
                <w:b w:val="0"/>
                <w:bCs/>
                <w:color w:val="auto"/>
                <w:kern w:val="0"/>
                <w:szCs w:val="21"/>
                <w:highlight w:val="none"/>
                <w:lang w:val="en-US" w:eastAsia="zh-CN"/>
              </w:rPr>
              <w:t>：售后服务方案内容不完整，未针对服务标准、人员调配、响应时间、技术支持等进行承诺表述，缺乏指导性。</w:t>
            </w:r>
          </w:p>
          <w:p w14:paraId="4A56F205">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二档（4 分）</w:t>
            </w:r>
            <w:r>
              <w:rPr>
                <w:rFonts w:hint="default" w:ascii="宋体" w:hAnsi="宋体" w:eastAsia="宋体" w:cs="宋体"/>
                <w:b w:val="0"/>
                <w:bCs/>
                <w:color w:val="auto"/>
                <w:kern w:val="0"/>
                <w:szCs w:val="21"/>
                <w:highlight w:val="none"/>
                <w:lang w:val="en-US" w:eastAsia="zh-CN"/>
              </w:rPr>
              <w:t xml:space="preserve">：售后服务方案内容较完整，针对服务标准、人员调配、响应时间、技术支持等进行承诺表述，有一定操作性。 </w:t>
            </w:r>
          </w:p>
          <w:p w14:paraId="43C96A73">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三档（6 分）</w:t>
            </w:r>
            <w:r>
              <w:rPr>
                <w:rFonts w:hint="default" w:ascii="宋体" w:hAnsi="宋体" w:eastAsia="宋体" w:cs="宋体"/>
                <w:b w:val="0"/>
                <w:bCs/>
                <w:color w:val="auto"/>
                <w:kern w:val="0"/>
                <w:szCs w:val="21"/>
                <w:highlight w:val="none"/>
                <w:lang w:val="en-US" w:eastAsia="zh-CN"/>
              </w:rPr>
              <w:t>：售后服务方案内容完整，针对服务标准、人员调配、响应时间、技术支持、招标人后续需求等提出明确的承诺表述，操作性强。</w:t>
            </w:r>
          </w:p>
        </w:tc>
      </w:tr>
      <w:tr w14:paraId="0BCDE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09D284F6">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技术水平能力分</w:t>
            </w:r>
          </w:p>
        </w:tc>
        <w:tc>
          <w:tcPr>
            <w:tcW w:w="653" w:type="dxa"/>
            <w:noWrap w:val="0"/>
            <w:vAlign w:val="center"/>
          </w:tcPr>
          <w:p w14:paraId="7DB8C2E0">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6分</w:t>
            </w:r>
          </w:p>
        </w:tc>
        <w:tc>
          <w:tcPr>
            <w:tcW w:w="7408" w:type="dxa"/>
            <w:noWrap w:val="0"/>
            <w:vAlign w:val="center"/>
          </w:tcPr>
          <w:p w14:paraId="7C8B0B1A">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val="0"/>
                <w:bCs/>
                <w:color w:val="auto"/>
                <w:kern w:val="0"/>
                <w:szCs w:val="21"/>
                <w:highlight w:val="none"/>
                <w:lang w:val="en-US" w:eastAsia="zh-CN"/>
              </w:rPr>
              <w:t>不提供或不满足一档要求不得分。</w:t>
            </w:r>
          </w:p>
          <w:p w14:paraId="3A25D01C">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一档（</w:t>
            </w:r>
            <w:r>
              <w:rPr>
                <w:rFonts w:hint="eastAsia" w:ascii="宋体" w:hAnsi="宋体" w:eastAsia="宋体" w:cs="宋体"/>
                <w:b/>
                <w:bCs w:val="0"/>
                <w:color w:val="auto"/>
                <w:kern w:val="0"/>
                <w:szCs w:val="21"/>
                <w:highlight w:val="none"/>
                <w:lang w:val="en-US" w:eastAsia="zh-CN"/>
              </w:rPr>
              <w:t>3</w:t>
            </w:r>
            <w:r>
              <w:rPr>
                <w:rFonts w:hint="default" w:ascii="宋体" w:hAnsi="宋体" w:eastAsia="宋体" w:cs="宋体"/>
                <w:b/>
                <w:bCs w:val="0"/>
                <w:color w:val="auto"/>
                <w:kern w:val="0"/>
                <w:szCs w:val="21"/>
                <w:highlight w:val="none"/>
                <w:lang w:val="en-US" w:eastAsia="zh-CN"/>
              </w:rPr>
              <w:t>分）</w:t>
            </w:r>
            <w:r>
              <w:rPr>
                <w:rFonts w:hint="eastAsia" w:ascii="宋体" w:hAnsi="宋体" w:eastAsia="宋体" w:cs="宋体"/>
                <w:b/>
                <w:bCs w:val="0"/>
                <w:color w:val="auto"/>
                <w:kern w:val="0"/>
                <w:szCs w:val="21"/>
                <w:highlight w:val="none"/>
                <w:lang w:val="en-US" w:eastAsia="zh-CN"/>
              </w:rPr>
              <w:t>：</w:t>
            </w:r>
            <w:r>
              <w:rPr>
                <w:rFonts w:hint="default" w:ascii="宋体" w:hAnsi="宋体" w:eastAsia="宋体" w:cs="宋体"/>
                <w:b w:val="0"/>
                <w:bCs/>
                <w:color w:val="auto"/>
                <w:kern w:val="0"/>
                <w:szCs w:val="21"/>
                <w:highlight w:val="none"/>
                <w:lang w:val="en-US" w:eastAsia="zh-CN"/>
              </w:rPr>
              <w:t>项目负责人具有职称专业为环境类、化学类等相关专业正高级职称且具备硕士研究生学历。</w:t>
            </w:r>
          </w:p>
          <w:p w14:paraId="2FF46E74">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二档（</w:t>
            </w:r>
            <w:r>
              <w:rPr>
                <w:rFonts w:hint="eastAsia" w:ascii="宋体" w:hAnsi="宋体" w:eastAsia="宋体" w:cs="宋体"/>
                <w:b/>
                <w:bCs w:val="0"/>
                <w:color w:val="auto"/>
                <w:kern w:val="0"/>
                <w:szCs w:val="21"/>
                <w:highlight w:val="none"/>
                <w:lang w:val="en-US" w:eastAsia="zh-CN"/>
              </w:rPr>
              <w:t>6</w:t>
            </w:r>
            <w:r>
              <w:rPr>
                <w:rFonts w:hint="default" w:ascii="宋体" w:hAnsi="宋体" w:eastAsia="宋体" w:cs="宋体"/>
                <w:b/>
                <w:bCs w:val="0"/>
                <w:color w:val="auto"/>
                <w:kern w:val="0"/>
                <w:szCs w:val="21"/>
                <w:highlight w:val="none"/>
                <w:lang w:val="en-US" w:eastAsia="zh-CN"/>
              </w:rPr>
              <w:t>分）</w:t>
            </w:r>
            <w:r>
              <w:rPr>
                <w:rFonts w:hint="eastAsia" w:ascii="宋体" w:hAnsi="宋体" w:eastAsia="宋体" w:cs="宋体"/>
                <w:b/>
                <w:bCs w:val="0"/>
                <w:color w:val="auto"/>
                <w:kern w:val="0"/>
                <w:szCs w:val="21"/>
                <w:highlight w:val="none"/>
                <w:lang w:val="en-US" w:eastAsia="zh-CN"/>
              </w:rPr>
              <w:t>：</w:t>
            </w:r>
            <w:r>
              <w:rPr>
                <w:rFonts w:hint="default" w:ascii="宋体" w:hAnsi="宋体" w:eastAsia="宋体" w:cs="宋体"/>
                <w:b w:val="0"/>
                <w:bCs/>
                <w:color w:val="auto"/>
                <w:kern w:val="0"/>
                <w:szCs w:val="21"/>
                <w:highlight w:val="none"/>
                <w:lang w:val="en-US" w:eastAsia="zh-CN"/>
              </w:rPr>
              <w:t>项目负责人具有职称专业为环境类、化学类等相关专业正高级职称且具备博士研究生学历。</w:t>
            </w:r>
          </w:p>
          <w:p w14:paraId="0BB8801C">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default" w:ascii="宋体" w:hAnsi="宋体" w:eastAsia="宋体" w:cs="宋体"/>
                <w:b w:val="0"/>
                <w:bCs/>
                <w:color w:val="auto"/>
                <w:kern w:val="0"/>
                <w:szCs w:val="21"/>
                <w:highlight w:val="none"/>
                <w:lang w:val="en-US" w:eastAsia="zh-CN"/>
              </w:rPr>
              <w:t>注：拟投入本项目的项目负责人须是投标人正式员工（非退休），提供项目负责人相关学历或学位证书、职称证书复印件和劳动合同复印件或在职在编人员证明或事业单位编制证书复印件证明</w:t>
            </w:r>
            <w:r>
              <w:rPr>
                <w:rFonts w:hint="eastAsia" w:ascii="宋体" w:hAnsi="宋体" w:eastAsia="宋体" w:cs="宋体"/>
                <w:b w:val="0"/>
                <w:bCs/>
                <w:color w:val="auto"/>
                <w:kern w:val="0"/>
                <w:szCs w:val="21"/>
                <w:highlight w:val="none"/>
                <w:lang w:val="en-US" w:eastAsia="zh-CN"/>
              </w:rPr>
              <w:t>等相关证明材料</w:t>
            </w:r>
            <w:r>
              <w:rPr>
                <w:rFonts w:hint="default" w:ascii="宋体" w:hAnsi="宋体" w:eastAsia="宋体" w:cs="宋体"/>
                <w:b w:val="0"/>
                <w:bCs/>
                <w:color w:val="auto"/>
                <w:kern w:val="0"/>
                <w:szCs w:val="21"/>
                <w:highlight w:val="none"/>
                <w:lang w:val="en-US" w:eastAsia="zh-CN"/>
              </w:rPr>
              <w:t>，否则不计分。</w:t>
            </w:r>
          </w:p>
        </w:tc>
      </w:tr>
      <w:tr w14:paraId="3971C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7" w:hRule="atLeast"/>
          <w:jc w:val="center"/>
        </w:trPr>
        <w:tc>
          <w:tcPr>
            <w:tcW w:w="846" w:type="dxa"/>
            <w:noWrap w:val="0"/>
            <w:vAlign w:val="center"/>
          </w:tcPr>
          <w:p w14:paraId="342DA9BC">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投入本项目工作人员情况</w:t>
            </w:r>
          </w:p>
        </w:tc>
        <w:tc>
          <w:tcPr>
            <w:tcW w:w="653" w:type="dxa"/>
            <w:noWrap w:val="0"/>
            <w:vAlign w:val="center"/>
          </w:tcPr>
          <w:p w14:paraId="574D8C4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20分</w:t>
            </w:r>
          </w:p>
        </w:tc>
        <w:tc>
          <w:tcPr>
            <w:tcW w:w="7408" w:type="dxa"/>
            <w:noWrap w:val="0"/>
            <w:vAlign w:val="center"/>
          </w:tcPr>
          <w:p w14:paraId="779B04D0">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val="0"/>
                <w:bCs/>
                <w:color w:val="auto"/>
                <w:kern w:val="0"/>
                <w:szCs w:val="21"/>
                <w:highlight w:val="none"/>
                <w:lang w:val="en-US" w:eastAsia="zh-CN"/>
              </w:rPr>
              <w:t>不提供或不满足一档要求不得分。</w:t>
            </w:r>
          </w:p>
          <w:p w14:paraId="6B3B2AA5">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一档（</w:t>
            </w:r>
            <w:r>
              <w:rPr>
                <w:rFonts w:hint="eastAsia" w:ascii="宋体" w:hAnsi="宋体" w:eastAsia="宋体" w:cs="宋体"/>
                <w:b/>
                <w:bCs w:val="0"/>
                <w:color w:val="auto"/>
                <w:kern w:val="0"/>
                <w:szCs w:val="21"/>
                <w:highlight w:val="none"/>
                <w:lang w:val="en-US" w:eastAsia="zh-CN"/>
              </w:rPr>
              <w:t>5</w:t>
            </w:r>
            <w:r>
              <w:rPr>
                <w:rFonts w:hint="default" w:ascii="宋体" w:hAnsi="宋体" w:eastAsia="宋体" w:cs="宋体"/>
                <w:b/>
                <w:bCs w:val="0"/>
                <w:color w:val="auto"/>
                <w:kern w:val="0"/>
                <w:szCs w:val="21"/>
                <w:highlight w:val="none"/>
                <w:lang w:val="en-US" w:eastAsia="zh-CN"/>
              </w:rPr>
              <w:t xml:space="preserve"> 分）</w:t>
            </w:r>
            <w:r>
              <w:rPr>
                <w:rFonts w:hint="default" w:ascii="宋体" w:hAnsi="宋体" w:eastAsia="宋体" w:cs="宋体"/>
                <w:b w:val="0"/>
                <w:bCs/>
                <w:color w:val="auto"/>
                <w:kern w:val="0"/>
                <w:szCs w:val="21"/>
                <w:highlight w:val="none"/>
                <w:lang w:val="en-US" w:eastAsia="zh-CN"/>
              </w:rPr>
              <w:t>：明确投入到本项目的技术人员不少于 22 人，其中拟投入人员中具有</w:t>
            </w:r>
            <w:r>
              <w:rPr>
                <w:rFonts w:hint="eastAsia" w:ascii="宋体" w:hAnsi="宋体" w:eastAsia="宋体" w:cs="宋体"/>
                <w:b w:val="0"/>
                <w:bCs/>
                <w:color w:val="auto"/>
                <w:kern w:val="0"/>
                <w:szCs w:val="21"/>
                <w:highlight w:val="none"/>
                <w:lang w:val="en-US" w:eastAsia="zh-CN"/>
              </w:rPr>
              <w:t>副</w:t>
            </w:r>
            <w:r>
              <w:rPr>
                <w:rFonts w:hint="default" w:ascii="宋体" w:hAnsi="宋体" w:eastAsia="宋体" w:cs="宋体"/>
                <w:b w:val="0"/>
                <w:bCs/>
                <w:color w:val="auto"/>
                <w:kern w:val="0"/>
                <w:szCs w:val="21"/>
                <w:highlight w:val="none"/>
                <w:lang w:val="en-US" w:eastAsia="zh-CN"/>
              </w:rPr>
              <w:t xml:space="preserve">高级职称不少于 6 人，职称专业为环境类、化学类相关专业。 </w:t>
            </w:r>
          </w:p>
          <w:p w14:paraId="532E3139">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二档（</w:t>
            </w:r>
            <w:r>
              <w:rPr>
                <w:rFonts w:hint="eastAsia" w:ascii="宋体" w:hAnsi="宋体" w:eastAsia="宋体" w:cs="宋体"/>
                <w:b/>
                <w:bCs w:val="0"/>
                <w:color w:val="auto"/>
                <w:kern w:val="0"/>
                <w:szCs w:val="21"/>
                <w:highlight w:val="none"/>
                <w:lang w:val="en-US" w:eastAsia="zh-CN"/>
              </w:rPr>
              <w:t>10</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：明确投入到本项目的技术人员不少于 28 人，其中拟投入人员中具有</w:t>
            </w:r>
            <w:r>
              <w:rPr>
                <w:rFonts w:hint="eastAsia" w:ascii="宋体" w:hAnsi="宋体" w:eastAsia="宋体" w:cs="宋体"/>
                <w:b w:val="0"/>
                <w:bCs/>
                <w:color w:val="auto"/>
                <w:kern w:val="0"/>
                <w:szCs w:val="21"/>
                <w:highlight w:val="none"/>
                <w:lang w:val="en-US" w:eastAsia="zh-CN"/>
              </w:rPr>
              <w:t>副</w:t>
            </w:r>
            <w:r>
              <w:rPr>
                <w:rFonts w:hint="default" w:ascii="宋体" w:hAnsi="宋体" w:eastAsia="宋体" w:cs="宋体"/>
                <w:b w:val="0"/>
                <w:bCs/>
                <w:color w:val="auto"/>
                <w:kern w:val="0"/>
                <w:szCs w:val="21"/>
                <w:highlight w:val="none"/>
                <w:lang w:val="en-US" w:eastAsia="zh-CN"/>
              </w:rPr>
              <w:t xml:space="preserve">高级职称不少于 10 人，正高级职称不少于 4 人，职称专业为环境类、化学类相关专业。 </w:t>
            </w:r>
          </w:p>
          <w:p w14:paraId="4161D5A2">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三档（1</w:t>
            </w:r>
            <w:r>
              <w:rPr>
                <w:rFonts w:hint="eastAsia" w:ascii="宋体" w:hAnsi="宋体" w:eastAsia="宋体" w:cs="宋体"/>
                <w:b/>
                <w:bCs w:val="0"/>
                <w:color w:val="auto"/>
                <w:kern w:val="0"/>
                <w:szCs w:val="21"/>
                <w:highlight w:val="none"/>
                <w:lang w:val="en-US" w:eastAsia="zh-CN"/>
              </w:rPr>
              <w:t>5</w:t>
            </w:r>
            <w:r>
              <w:rPr>
                <w:rFonts w:hint="default" w:ascii="宋体" w:hAnsi="宋体" w:eastAsia="宋体" w:cs="宋体"/>
                <w:b/>
                <w:bCs w:val="0"/>
                <w:color w:val="auto"/>
                <w:kern w:val="0"/>
                <w:szCs w:val="21"/>
                <w:highlight w:val="none"/>
                <w:lang w:val="en-US" w:eastAsia="zh-CN"/>
              </w:rPr>
              <w:t xml:space="preserve"> 分）</w:t>
            </w:r>
            <w:r>
              <w:rPr>
                <w:rFonts w:hint="default" w:ascii="宋体" w:hAnsi="宋体" w:eastAsia="宋体" w:cs="宋体"/>
                <w:b w:val="0"/>
                <w:bCs/>
                <w:color w:val="auto"/>
                <w:kern w:val="0"/>
                <w:szCs w:val="21"/>
                <w:highlight w:val="none"/>
                <w:lang w:val="en-US" w:eastAsia="zh-CN"/>
              </w:rPr>
              <w:t>：明确投入到本项目的技术人员不少于 34人，其中拟投入人员中具有</w:t>
            </w:r>
            <w:r>
              <w:rPr>
                <w:rFonts w:hint="eastAsia" w:ascii="宋体" w:hAnsi="宋体" w:eastAsia="宋体" w:cs="宋体"/>
                <w:b w:val="0"/>
                <w:bCs/>
                <w:color w:val="auto"/>
                <w:kern w:val="0"/>
                <w:szCs w:val="21"/>
                <w:highlight w:val="none"/>
                <w:lang w:val="en-US" w:eastAsia="zh-CN"/>
              </w:rPr>
              <w:t>副</w:t>
            </w:r>
            <w:r>
              <w:rPr>
                <w:rFonts w:hint="default" w:ascii="宋体" w:hAnsi="宋体" w:eastAsia="宋体" w:cs="宋体"/>
                <w:b w:val="0"/>
                <w:bCs/>
                <w:color w:val="auto"/>
                <w:kern w:val="0"/>
                <w:szCs w:val="21"/>
                <w:highlight w:val="none"/>
                <w:lang w:val="en-US" w:eastAsia="zh-CN"/>
              </w:rPr>
              <w:t xml:space="preserve">高级职称不少于 </w:t>
            </w:r>
            <w:r>
              <w:rPr>
                <w:rFonts w:hint="eastAsia" w:ascii="宋体" w:hAnsi="宋体" w:eastAsia="宋体" w:cs="宋体"/>
                <w:b w:val="0"/>
                <w:bCs/>
                <w:color w:val="auto"/>
                <w:kern w:val="0"/>
                <w:szCs w:val="21"/>
                <w:highlight w:val="none"/>
                <w:lang w:val="en-US" w:eastAsia="zh-CN"/>
              </w:rPr>
              <w:t>16</w:t>
            </w:r>
            <w:r>
              <w:rPr>
                <w:rFonts w:hint="default" w:ascii="宋体" w:hAnsi="宋体" w:eastAsia="宋体" w:cs="宋体"/>
                <w:b w:val="0"/>
                <w:bCs/>
                <w:color w:val="auto"/>
                <w:kern w:val="0"/>
                <w:szCs w:val="21"/>
                <w:highlight w:val="none"/>
                <w:lang w:val="en-US" w:eastAsia="zh-CN"/>
              </w:rPr>
              <w:t xml:space="preserve"> 人，正高级职称不少于 6 人，职称专业为环境类、化学类相关专业。</w:t>
            </w:r>
          </w:p>
          <w:p w14:paraId="21A14AB9">
            <w:pPr>
              <w:pageBreakBefore w:val="0"/>
              <w:widowControl/>
              <w:kinsoku/>
              <w:wordWrap/>
              <w:overflowPunct/>
              <w:topLinePunct w:val="0"/>
              <w:autoSpaceDE/>
              <w:autoSpaceDN/>
              <w:bidi w:val="0"/>
              <w:adjustRightInd w:val="0"/>
              <w:snapToGrid w:val="0"/>
              <w:spacing w:line="400" w:lineRule="exact"/>
              <w:jc w:val="both"/>
              <w:textAlignment w:val="auto"/>
              <w:rPr>
                <w:rFonts w:hint="default" w:ascii="宋体" w:hAnsi="宋体" w:eastAsia="宋体" w:cs="宋体"/>
                <w:b w:val="0"/>
                <w:bCs/>
                <w:color w:val="auto"/>
                <w:kern w:val="0"/>
                <w:szCs w:val="21"/>
                <w:highlight w:val="none"/>
                <w:lang w:val="en-US" w:eastAsia="zh-CN"/>
              </w:rPr>
            </w:pPr>
            <w:r>
              <w:rPr>
                <w:rFonts w:hint="default" w:ascii="宋体" w:hAnsi="宋体" w:eastAsia="宋体" w:cs="宋体"/>
                <w:b/>
                <w:bCs w:val="0"/>
                <w:color w:val="auto"/>
                <w:kern w:val="0"/>
                <w:szCs w:val="21"/>
                <w:highlight w:val="none"/>
                <w:lang w:val="en-US" w:eastAsia="zh-CN"/>
              </w:rPr>
              <w:t>四档（</w:t>
            </w:r>
            <w:r>
              <w:rPr>
                <w:rFonts w:hint="eastAsia" w:ascii="宋体" w:hAnsi="宋体" w:eastAsia="宋体" w:cs="宋体"/>
                <w:b/>
                <w:bCs w:val="0"/>
                <w:color w:val="auto"/>
                <w:kern w:val="0"/>
                <w:szCs w:val="21"/>
                <w:highlight w:val="none"/>
                <w:lang w:val="en-US" w:eastAsia="zh-CN"/>
              </w:rPr>
              <w:t>20</w:t>
            </w:r>
            <w:r>
              <w:rPr>
                <w:rFonts w:hint="default" w:ascii="宋体" w:hAnsi="宋体" w:eastAsia="宋体" w:cs="宋体"/>
                <w:b/>
                <w:bCs w:val="0"/>
                <w:color w:val="auto"/>
                <w:kern w:val="0"/>
                <w:szCs w:val="21"/>
                <w:highlight w:val="none"/>
                <w:lang w:val="en-US" w:eastAsia="zh-CN"/>
              </w:rPr>
              <w:t>分）</w:t>
            </w:r>
            <w:r>
              <w:rPr>
                <w:rFonts w:hint="default" w:ascii="宋体" w:hAnsi="宋体" w:eastAsia="宋体" w:cs="宋体"/>
                <w:b w:val="0"/>
                <w:bCs/>
                <w:color w:val="auto"/>
                <w:kern w:val="0"/>
                <w:szCs w:val="21"/>
                <w:highlight w:val="none"/>
                <w:lang w:val="en-US" w:eastAsia="zh-CN"/>
              </w:rPr>
              <w:t>：明确投入到本项目的技术人员不少于 40 人，其中拟投入人员中具有</w:t>
            </w:r>
            <w:r>
              <w:rPr>
                <w:rFonts w:hint="eastAsia" w:ascii="宋体" w:hAnsi="宋体" w:eastAsia="宋体" w:cs="宋体"/>
                <w:b w:val="0"/>
                <w:bCs/>
                <w:color w:val="auto"/>
                <w:kern w:val="0"/>
                <w:szCs w:val="21"/>
                <w:highlight w:val="none"/>
                <w:lang w:val="en-US" w:eastAsia="zh-CN"/>
              </w:rPr>
              <w:t>副</w:t>
            </w:r>
            <w:r>
              <w:rPr>
                <w:rFonts w:hint="default" w:ascii="宋体" w:hAnsi="宋体" w:eastAsia="宋体" w:cs="宋体"/>
                <w:b w:val="0"/>
                <w:bCs/>
                <w:color w:val="auto"/>
                <w:kern w:val="0"/>
                <w:szCs w:val="21"/>
                <w:highlight w:val="none"/>
                <w:lang w:val="en-US" w:eastAsia="zh-CN"/>
              </w:rPr>
              <w:t xml:space="preserve">高级职称不少于 </w:t>
            </w:r>
            <w:r>
              <w:rPr>
                <w:rFonts w:hint="eastAsia" w:ascii="宋体" w:hAnsi="宋体" w:eastAsia="宋体" w:cs="宋体"/>
                <w:b w:val="0"/>
                <w:bCs/>
                <w:color w:val="auto"/>
                <w:kern w:val="0"/>
                <w:szCs w:val="21"/>
                <w:highlight w:val="none"/>
                <w:lang w:val="en-US" w:eastAsia="zh-CN"/>
              </w:rPr>
              <w:t>22</w:t>
            </w:r>
            <w:r>
              <w:rPr>
                <w:rFonts w:hint="default" w:ascii="宋体" w:hAnsi="宋体" w:eastAsia="宋体" w:cs="宋体"/>
                <w:b w:val="0"/>
                <w:bCs/>
                <w:color w:val="auto"/>
                <w:kern w:val="0"/>
                <w:szCs w:val="21"/>
                <w:highlight w:val="none"/>
                <w:lang w:val="en-US" w:eastAsia="zh-CN"/>
              </w:rPr>
              <w:t xml:space="preserve"> 人，正高级职称不少于 8 人，职称专业为环境类、化学类相关专业。</w:t>
            </w:r>
          </w:p>
          <w:p w14:paraId="63334FCD">
            <w:pPr>
              <w:pageBreakBefore w:val="0"/>
              <w:widowControl/>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b w:val="0"/>
                <w:bCs/>
                <w:color w:val="auto"/>
                <w:kern w:val="0"/>
                <w:szCs w:val="21"/>
                <w:highlight w:val="none"/>
                <w:lang w:val="en-US" w:eastAsia="zh-CN"/>
              </w:rPr>
            </w:pPr>
            <w:r>
              <w:rPr>
                <w:rFonts w:hint="default" w:ascii="宋体" w:hAnsi="宋体" w:eastAsia="宋体" w:cs="宋体"/>
                <w:b w:val="0"/>
                <w:bCs/>
                <w:color w:val="auto"/>
                <w:kern w:val="0"/>
                <w:szCs w:val="21"/>
                <w:highlight w:val="none"/>
                <w:lang w:val="en-US" w:eastAsia="zh-CN"/>
              </w:rPr>
              <w:t>注：提供团队人员名单，表格格式自拟（明确分工且均为本单位在职人员），拟投入本项目的以上人员是投标人在职在岗正式员工（非退休</w:t>
            </w:r>
            <w:r>
              <w:rPr>
                <w:rFonts w:hint="eastAsia" w:ascii="宋体" w:hAnsi="宋体" w:eastAsia="宋体" w:cs="宋体"/>
                <w:b w:val="0"/>
                <w:bCs/>
                <w:color w:val="auto"/>
                <w:kern w:val="0"/>
                <w:szCs w:val="21"/>
                <w:highlight w:val="none"/>
                <w:lang w:val="en-US" w:eastAsia="zh-CN"/>
              </w:rPr>
              <w:t>，不含项目负责人</w:t>
            </w:r>
            <w:r>
              <w:rPr>
                <w:rFonts w:hint="default" w:ascii="宋体" w:hAnsi="宋体" w:eastAsia="宋体" w:cs="宋体"/>
                <w:b w:val="0"/>
                <w:bCs/>
                <w:color w:val="auto"/>
                <w:kern w:val="0"/>
                <w:szCs w:val="21"/>
                <w:highlight w:val="none"/>
                <w:lang w:val="en-US" w:eastAsia="zh-CN"/>
              </w:rPr>
              <w:t>），投标文件需提供人员职称证书证明材料复印件，劳动合同复印件或在职在编人员证明或事业单位编制证书复印件</w:t>
            </w:r>
            <w:r>
              <w:rPr>
                <w:rFonts w:hint="eastAsia" w:ascii="宋体" w:hAnsi="宋体" w:eastAsia="宋体" w:cs="宋体"/>
                <w:b w:val="0"/>
                <w:bCs/>
                <w:color w:val="auto"/>
                <w:kern w:val="0"/>
                <w:szCs w:val="21"/>
                <w:highlight w:val="none"/>
                <w:lang w:val="en-US" w:eastAsia="zh-CN"/>
              </w:rPr>
              <w:t>等相关证明材料</w:t>
            </w:r>
            <w:r>
              <w:rPr>
                <w:rFonts w:hint="default" w:ascii="宋体" w:hAnsi="宋体" w:eastAsia="宋体" w:cs="宋体"/>
                <w:b w:val="0"/>
                <w:bCs/>
                <w:color w:val="auto"/>
                <w:kern w:val="0"/>
                <w:szCs w:val="21"/>
                <w:highlight w:val="none"/>
                <w:lang w:val="en-US" w:eastAsia="zh-CN"/>
              </w:rPr>
              <w:t>，否则不计分。</w:t>
            </w:r>
          </w:p>
        </w:tc>
      </w:tr>
      <w:tr w14:paraId="190FE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07" w:type="dxa"/>
            <w:gridSpan w:val="3"/>
            <w:noWrap w:val="0"/>
            <w:vAlign w:val="center"/>
          </w:tcPr>
          <w:p w14:paraId="635E3ACD">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（三）商务分（满分13分）</w:t>
            </w:r>
          </w:p>
        </w:tc>
      </w:tr>
      <w:tr w14:paraId="18301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760CD5A5">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bookmarkStart w:id="180" w:name="_Toc9520"/>
            <w:r>
              <w:rPr>
                <w:rFonts w:hint="eastAsia" w:ascii="宋体" w:hAnsi="宋体" w:cs="宋体"/>
                <w:b/>
                <w:bCs w:val="0"/>
                <w:color w:val="auto"/>
                <w:kern w:val="0"/>
                <w:szCs w:val="21"/>
                <w:highlight w:val="none"/>
                <w:lang w:val="en-US" w:eastAsia="zh-CN"/>
              </w:rPr>
              <w:t>信誉分</w:t>
            </w:r>
          </w:p>
        </w:tc>
        <w:tc>
          <w:tcPr>
            <w:tcW w:w="653" w:type="dxa"/>
            <w:noWrap w:val="0"/>
            <w:vAlign w:val="center"/>
          </w:tcPr>
          <w:p w14:paraId="6C8B0167">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3分</w:t>
            </w:r>
          </w:p>
        </w:tc>
        <w:tc>
          <w:tcPr>
            <w:tcW w:w="7408" w:type="dxa"/>
            <w:noWrap w:val="0"/>
            <w:vAlign w:val="center"/>
          </w:tcPr>
          <w:p w14:paraId="6C46CCBD">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rPr>
              <w:t>投标人自2021年1月1日起</w:t>
            </w:r>
            <w:r>
              <w:rPr>
                <w:rFonts w:hint="eastAsia" w:ascii="宋体" w:hAnsi="宋体" w:eastAsia="宋体" w:cs="宋体"/>
                <w:bCs/>
                <w:color w:val="auto"/>
                <w:kern w:val="0"/>
                <w:szCs w:val="21"/>
                <w:highlight w:val="none"/>
                <w:lang w:eastAsia="zh-CN"/>
              </w:rPr>
              <w:t>参与</w:t>
            </w:r>
            <w:r>
              <w:rPr>
                <w:rFonts w:hint="eastAsia" w:ascii="宋体" w:hAnsi="宋体" w:eastAsia="宋体" w:cs="宋体"/>
                <w:bCs/>
                <w:color w:val="auto"/>
                <w:kern w:val="0"/>
                <w:szCs w:val="21"/>
                <w:highlight w:val="none"/>
              </w:rPr>
              <w:t>编制生态环境相关标准、技术指南、技术要求或方案的，每项得1分，本项满分</w:t>
            </w:r>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分。【必须提供相关标准正式发布稿（以发布日期为准）</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rPr>
              <w:t>技术指南、技术要求、方案正式发布稿（以发布日期为准）及委托合同或委托单位出具的证明材料等相关证明文件复印件并加盖公章，否则不得分。】</w:t>
            </w:r>
          </w:p>
        </w:tc>
      </w:tr>
      <w:tr w14:paraId="6463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46" w:type="dxa"/>
            <w:noWrap w:val="0"/>
            <w:vAlign w:val="center"/>
          </w:tcPr>
          <w:p w14:paraId="5F3089EA">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cs="宋体"/>
                <w:b/>
                <w:bCs w:val="0"/>
                <w:color w:val="auto"/>
                <w:kern w:val="0"/>
                <w:szCs w:val="21"/>
                <w:highlight w:val="none"/>
                <w:lang w:val="en-US" w:eastAsia="zh-CN"/>
              </w:rPr>
            </w:pPr>
            <w:r>
              <w:rPr>
                <w:rFonts w:hint="eastAsia" w:ascii="宋体" w:hAnsi="宋体" w:cs="宋体"/>
                <w:b/>
                <w:bCs w:val="0"/>
                <w:color w:val="auto"/>
                <w:kern w:val="0"/>
                <w:szCs w:val="21"/>
                <w:highlight w:val="none"/>
                <w:lang w:val="en-US" w:eastAsia="zh-CN"/>
              </w:rPr>
              <w:t>业绩分</w:t>
            </w:r>
          </w:p>
        </w:tc>
        <w:tc>
          <w:tcPr>
            <w:tcW w:w="653" w:type="dxa"/>
            <w:noWrap w:val="0"/>
            <w:vAlign w:val="center"/>
          </w:tcPr>
          <w:p w14:paraId="04B34272">
            <w:pPr>
              <w:pageBreakBefore w:val="0"/>
              <w:widowControl/>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val="0"/>
                <w:color w:val="auto"/>
                <w:kern w:val="0"/>
                <w:szCs w:val="21"/>
                <w:highlight w:val="none"/>
                <w:lang w:val="en-US" w:eastAsia="zh-CN"/>
              </w:rPr>
            </w:pPr>
            <w:r>
              <w:rPr>
                <w:rFonts w:hint="eastAsia" w:ascii="宋体" w:hAnsi="宋体" w:eastAsia="宋体" w:cs="宋体"/>
                <w:b/>
                <w:bCs w:val="0"/>
                <w:color w:val="auto"/>
                <w:kern w:val="0"/>
                <w:szCs w:val="21"/>
                <w:highlight w:val="none"/>
                <w:lang w:val="en-US" w:eastAsia="zh-CN"/>
              </w:rPr>
              <w:t>10分</w:t>
            </w:r>
          </w:p>
        </w:tc>
        <w:tc>
          <w:tcPr>
            <w:tcW w:w="7408" w:type="dxa"/>
            <w:noWrap w:val="0"/>
            <w:vAlign w:val="center"/>
          </w:tcPr>
          <w:p w14:paraId="51CE8916">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default" w:ascii="宋体" w:hAnsi="宋体" w:eastAsia="宋体" w:cs="宋体"/>
                <w:bCs/>
                <w:color w:val="auto"/>
                <w:kern w:val="0"/>
                <w:szCs w:val="21"/>
                <w:highlight w:val="none"/>
                <w:lang w:val="en-US" w:eastAsia="zh-CN"/>
              </w:rPr>
            </w:pPr>
            <w:r>
              <w:rPr>
                <w:rFonts w:hint="default" w:ascii="宋体" w:hAnsi="宋体" w:eastAsia="宋体" w:cs="宋体"/>
                <w:bCs/>
                <w:color w:val="auto"/>
                <w:kern w:val="0"/>
                <w:szCs w:val="21"/>
                <w:highlight w:val="none"/>
                <w:lang w:val="en-US" w:eastAsia="zh-CN"/>
              </w:rPr>
              <w:t>投标人提供 2021 年 1 月 1 日以来开展过同类（涉重金属（锑/铊/镉等）调查、环境污染成因排查等）项目业绩的，每个业绩得 1分，本项满分 10 分。</w:t>
            </w:r>
          </w:p>
          <w:p w14:paraId="1205AD4B">
            <w:pPr>
              <w:pageBreakBefore w:val="0"/>
              <w:widowControl/>
              <w:kinsoku/>
              <w:wordWrap/>
              <w:overflowPunct/>
              <w:topLinePunct w:val="0"/>
              <w:autoSpaceDE/>
              <w:autoSpaceDN/>
              <w:bidi w:val="0"/>
              <w:adjustRightInd w:val="0"/>
              <w:snapToGrid w:val="0"/>
              <w:spacing w:line="400" w:lineRule="exact"/>
              <w:ind w:firstLine="378" w:firstLineChars="180"/>
              <w:textAlignment w:val="auto"/>
              <w:rPr>
                <w:rFonts w:hint="eastAsia" w:ascii="宋体" w:hAnsi="宋体" w:eastAsia="宋体" w:cs="宋体"/>
                <w:bCs/>
                <w:color w:val="auto"/>
                <w:kern w:val="0"/>
                <w:szCs w:val="21"/>
                <w:highlight w:val="none"/>
                <w:lang w:val="en-US" w:eastAsia="zh-CN"/>
              </w:rPr>
            </w:pPr>
            <w:r>
              <w:rPr>
                <w:rFonts w:hint="default" w:ascii="宋体" w:hAnsi="宋体" w:eastAsia="宋体" w:cs="宋体"/>
                <w:bCs/>
                <w:color w:val="auto"/>
                <w:kern w:val="0"/>
                <w:szCs w:val="21"/>
                <w:highlight w:val="none"/>
                <w:lang w:val="en-US" w:eastAsia="zh-CN"/>
              </w:rPr>
              <w:t>注：提供签订合同首页（含项目名称）、签字盖章所在页</w:t>
            </w:r>
            <w:r>
              <w:rPr>
                <w:rFonts w:hint="eastAsia" w:ascii="宋体" w:hAnsi="宋体" w:eastAsia="宋体" w:cs="宋体"/>
                <w:bCs/>
                <w:color w:val="auto"/>
                <w:kern w:val="0"/>
                <w:szCs w:val="21"/>
                <w:highlight w:val="none"/>
                <w:lang w:val="en-US" w:eastAsia="zh-CN"/>
              </w:rPr>
              <w:t>原件扫描件</w:t>
            </w:r>
            <w:r>
              <w:rPr>
                <w:rFonts w:hint="default" w:ascii="宋体" w:hAnsi="宋体" w:eastAsia="宋体" w:cs="宋体"/>
                <w:bCs/>
                <w:color w:val="auto"/>
                <w:kern w:val="0"/>
                <w:szCs w:val="21"/>
                <w:highlight w:val="none"/>
                <w:lang w:val="en-US" w:eastAsia="zh-CN"/>
              </w:rPr>
              <w:t>或中标（成交）通知书或项目下达文件等证明材料</w:t>
            </w:r>
            <w:r>
              <w:rPr>
                <w:rFonts w:hint="eastAsia" w:ascii="宋体" w:hAnsi="宋体" w:eastAsia="宋体" w:cs="宋体"/>
                <w:bCs/>
                <w:color w:val="auto"/>
                <w:kern w:val="0"/>
                <w:szCs w:val="21"/>
                <w:highlight w:val="none"/>
                <w:lang w:val="en-US" w:eastAsia="zh-CN"/>
              </w:rPr>
              <w:t>原件</w:t>
            </w:r>
            <w:r>
              <w:rPr>
                <w:rFonts w:hint="default" w:ascii="宋体" w:hAnsi="宋体" w:eastAsia="宋体" w:cs="宋体"/>
                <w:bCs/>
                <w:color w:val="auto"/>
                <w:kern w:val="0"/>
                <w:szCs w:val="21"/>
                <w:highlight w:val="none"/>
              </w:rPr>
              <w:t>扫描件并加盖公章</w:t>
            </w:r>
            <w:r>
              <w:rPr>
                <w:rFonts w:hint="default" w:ascii="宋体" w:hAnsi="宋体" w:eastAsia="宋体" w:cs="宋体"/>
                <w:bCs/>
                <w:color w:val="auto"/>
                <w:kern w:val="0"/>
                <w:szCs w:val="21"/>
                <w:highlight w:val="none"/>
                <w:lang w:val="en-US" w:eastAsia="zh-CN"/>
              </w:rPr>
              <w:t>，否则不计分。</w:t>
            </w:r>
            <w:r>
              <w:rPr>
                <w:rFonts w:hint="eastAsia" w:ascii="宋体" w:hAnsi="宋体" w:eastAsia="宋体" w:cs="宋体"/>
                <w:bCs/>
                <w:color w:val="auto"/>
                <w:kern w:val="0"/>
                <w:szCs w:val="21"/>
                <w:highlight w:val="none"/>
                <w:lang w:val="en-US" w:eastAsia="zh-CN"/>
              </w:rPr>
              <w:t xml:space="preserve"> </w:t>
            </w:r>
          </w:p>
        </w:tc>
      </w:tr>
      <w:tr w14:paraId="290C3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07" w:type="dxa"/>
            <w:gridSpan w:val="3"/>
            <w:noWrap w:val="0"/>
            <w:vAlign w:val="center"/>
          </w:tcPr>
          <w:p w14:paraId="571BE45D">
            <w:pPr>
              <w:pageBreakBefore w:val="0"/>
              <w:widowControl/>
              <w:kinsoku/>
              <w:wordWrap/>
              <w:overflowPunct/>
              <w:topLinePunct w:val="0"/>
              <w:autoSpaceDE/>
              <w:autoSpaceDN/>
              <w:bidi w:val="0"/>
              <w:adjustRightInd w:val="0"/>
              <w:snapToGrid w:val="0"/>
              <w:spacing w:line="400" w:lineRule="exact"/>
              <w:textAlignment w:val="auto"/>
              <w:rPr>
                <w:rFonts w:hint="eastAsia" w:ascii="宋体" w:hAnsi="宋体" w:cs="宋体"/>
                <w:b/>
                <w:bCs w:val="0"/>
                <w:color w:val="auto"/>
                <w:kern w:val="0"/>
                <w:szCs w:val="21"/>
                <w:highlight w:val="none"/>
              </w:rPr>
            </w:pPr>
            <w:r>
              <w:rPr>
                <w:rFonts w:hint="eastAsia" w:ascii="宋体" w:hAnsi="宋体" w:cs="宋体"/>
                <w:b/>
                <w:bCs w:val="0"/>
                <w:color w:val="auto"/>
                <w:kern w:val="0"/>
                <w:szCs w:val="21"/>
                <w:highlight w:val="none"/>
                <w:lang w:val="en-US" w:eastAsia="zh-CN"/>
              </w:rPr>
              <w:t>总得分=（一）+（二）+</w:t>
            </w:r>
            <w:bookmarkEnd w:id="180"/>
            <w:r>
              <w:rPr>
                <w:rFonts w:hint="eastAsia" w:ascii="宋体" w:hAnsi="宋体" w:cs="宋体"/>
                <w:b/>
                <w:bCs w:val="0"/>
                <w:color w:val="auto"/>
                <w:kern w:val="0"/>
                <w:szCs w:val="21"/>
                <w:highlight w:val="none"/>
                <w:lang w:val="en-US" w:eastAsia="zh-CN"/>
              </w:rPr>
              <w:t>（三）</w:t>
            </w:r>
          </w:p>
        </w:tc>
      </w:tr>
    </w:tbl>
    <w:p w14:paraId="092D768D">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bookmarkStart w:id="181" w:name="_Toc13030"/>
      <w:bookmarkStart w:id="182" w:name="_Toc4130"/>
    </w:p>
    <w:p w14:paraId="46C8DD6C">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p>
    <w:p w14:paraId="3B07EC93">
      <w:pPr>
        <w:rPr>
          <w:rFonts w:hint="eastAsia" w:ascii="宋体" w:hAnsi="宋体" w:eastAsia="宋体" w:cs="宋体"/>
          <w:color w:val="auto"/>
          <w:highlight w:val="none"/>
        </w:rPr>
      </w:pPr>
    </w:p>
    <w:p w14:paraId="29F68707">
      <w:pPr>
        <w:pStyle w:val="2"/>
        <w:rPr>
          <w:rFonts w:hint="eastAsia" w:ascii="宋体" w:hAnsi="宋体" w:eastAsia="宋体" w:cs="宋体"/>
          <w:color w:val="auto"/>
          <w:highlight w:val="none"/>
        </w:rPr>
      </w:pPr>
    </w:p>
    <w:p w14:paraId="283C5960">
      <w:pPr>
        <w:pStyle w:val="2"/>
        <w:rPr>
          <w:rFonts w:hint="eastAsia" w:ascii="宋体" w:hAnsi="宋体" w:eastAsia="宋体" w:cs="宋体"/>
          <w:color w:val="auto"/>
          <w:highlight w:val="none"/>
        </w:rPr>
      </w:pPr>
    </w:p>
    <w:p w14:paraId="11F34871">
      <w:pPr>
        <w:pStyle w:val="4"/>
        <w:pageBreakBefore w:val="0"/>
        <w:kinsoku/>
        <w:wordWrap/>
        <w:overflowPunct/>
        <w:topLinePunct w:val="0"/>
        <w:autoSpaceDE/>
        <w:autoSpaceDN/>
        <w:bidi w:val="0"/>
        <w:spacing w:before="0" w:after="0"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四、中标候选人推荐原则</w:t>
      </w:r>
      <w:bookmarkEnd w:id="181"/>
      <w:bookmarkEnd w:id="182"/>
    </w:p>
    <w:p w14:paraId="088EDA20">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1.评标委员会根据原始评标记录和评标结果编写评标报告，并通过电子交易平台向采购人、采购代理机构提交。</w:t>
      </w:r>
    </w:p>
    <w:p w14:paraId="159B476F">
      <w:pPr>
        <w:pStyle w:val="20"/>
        <w:pageBreakBefore w:val="0"/>
        <w:kinsoku/>
        <w:wordWrap/>
        <w:overflowPunct/>
        <w:topLinePunct w:val="0"/>
        <w:autoSpaceDE/>
        <w:autoSpaceDN/>
        <w:bidi w:val="0"/>
        <w:spacing w:line="400" w:lineRule="exact"/>
        <w:ind w:firstLine="420" w:firstLineChars="200"/>
        <w:contextualSpacing/>
        <w:textAlignment w:val="auto"/>
        <w:rPr>
          <w:rFonts w:hint="eastAsia" w:hAnsi="宋体" w:cs="宋体"/>
          <w:color w:val="auto"/>
          <w:highlight w:val="none"/>
        </w:rPr>
      </w:pPr>
      <w:r>
        <w:rPr>
          <w:rFonts w:hint="eastAsia" w:hAnsi="宋体" w:cs="宋体"/>
          <w:color w:val="auto"/>
          <w:highlight w:val="none"/>
        </w:rPr>
        <w:t>2.评标委员会将根据总得分由高到低排列次序并推荐中标候选人。得分相同的，以投标报价由低到高顺序排列。得分相同且投标报价相同的并列，投标文件满足招标文件全部实质性要求，且按照评审因素的量化指标评审【详见投标人须知前附表30.1条】得分最高的投标人为排名第一的中标候选人。</w:t>
      </w:r>
    </w:p>
    <w:p w14:paraId="051F13D3">
      <w:pPr>
        <w:pStyle w:val="20"/>
        <w:spacing w:line="440" w:lineRule="exact"/>
        <w:ind w:firstLine="420" w:firstLineChars="200"/>
        <w:contextualSpacing/>
        <w:rPr>
          <w:rFonts w:hint="eastAsia" w:hAnsi="宋体" w:cs="宋体"/>
          <w:b/>
          <w:color w:val="auto"/>
          <w:sz w:val="24"/>
          <w:highlight w:val="none"/>
        </w:rPr>
      </w:pPr>
      <w:r>
        <w:rPr>
          <w:rFonts w:hint="eastAsia" w:hAnsi="宋体" w:cs="宋体"/>
          <w:color w:val="auto"/>
          <w:highlight w:val="none"/>
        </w:rPr>
        <w:br w:type="page"/>
      </w:r>
    </w:p>
    <w:p w14:paraId="1650D649">
      <w:pPr>
        <w:pStyle w:val="3"/>
        <w:jc w:val="center"/>
        <w:rPr>
          <w:rFonts w:hint="eastAsia" w:ascii="宋体" w:hAnsi="宋体" w:cs="宋体"/>
          <w:color w:val="auto"/>
          <w:highlight w:val="none"/>
        </w:rPr>
      </w:pPr>
      <w:bookmarkStart w:id="183" w:name="_Toc5182"/>
      <w:bookmarkStart w:id="184" w:name="_Toc22428"/>
      <w:bookmarkStart w:id="185" w:name="_Toc25693"/>
      <w:r>
        <w:rPr>
          <w:rFonts w:hint="eastAsia" w:ascii="宋体" w:hAnsi="宋体" w:cs="宋体"/>
          <w:color w:val="auto"/>
          <w:highlight w:val="none"/>
        </w:rPr>
        <w:t>第五章  拟签订的合同文本</w:t>
      </w:r>
      <w:bookmarkEnd w:id="183"/>
      <w:bookmarkEnd w:id="184"/>
      <w:bookmarkEnd w:id="185"/>
    </w:p>
    <w:p w14:paraId="121F0810">
      <w:pPr>
        <w:spacing w:line="400" w:lineRule="exact"/>
        <w:jc w:val="center"/>
        <w:rPr>
          <w:rFonts w:hint="eastAsia" w:ascii="宋体" w:hAnsi="宋体" w:eastAsia="宋体" w:cs="宋体"/>
          <w:b/>
          <w:bCs/>
          <w:color w:val="auto"/>
          <w:sz w:val="24"/>
          <w:szCs w:val="24"/>
          <w:highlight w:val="none"/>
        </w:rPr>
      </w:pPr>
    </w:p>
    <w:p w14:paraId="0D4FEFFD">
      <w:pPr>
        <w:spacing w:line="40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广西壮族自治区政府采购项目合同</w:t>
      </w:r>
    </w:p>
    <w:p w14:paraId="2B5700F8">
      <w:pPr>
        <w:spacing w:line="400" w:lineRule="exact"/>
        <w:jc w:val="center"/>
        <w:rPr>
          <w:rFonts w:hint="eastAsia" w:ascii="宋体" w:hAnsi="宋体" w:eastAsia="宋体" w:cs="宋体"/>
          <w:b/>
          <w:bCs/>
          <w:color w:val="auto"/>
          <w:sz w:val="24"/>
          <w:szCs w:val="24"/>
          <w:highlight w:val="none"/>
        </w:rPr>
      </w:pPr>
    </w:p>
    <w:p w14:paraId="318FFFBE">
      <w:pPr>
        <w:spacing w:line="400" w:lineRule="exact"/>
        <w:ind w:firstLine="1908" w:firstLineChars="794"/>
        <w:rPr>
          <w:rFonts w:hint="eastAsia" w:ascii="宋体" w:hAnsi="宋体" w:eastAsia="宋体" w:cs="宋体"/>
          <w:b/>
          <w:bCs/>
          <w:color w:val="auto"/>
          <w:sz w:val="24"/>
          <w:szCs w:val="24"/>
          <w:highlight w:val="none"/>
        </w:rPr>
      </w:pPr>
    </w:p>
    <w:p w14:paraId="50EB8C5F">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val="en-US" w:eastAsia="zh-CN"/>
        </w:rPr>
        <w:t xml:space="preserve">        </w:t>
      </w:r>
    </w:p>
    <w:p w14:paraId="1084BF8A">
      <w:pPr>
        <w:tabs>
          <w:tab w:val="left" w:pos="7200"/>
        </w:tabs>
        <w:spacing w:line="400" w:lineRule="exact"/>
        <w:ind w:left="1839" w:leftChars="304" w:hanging="1201" w:hangingChars="500"/>
        <w:rPr>
          <w:rFonts w:hint="eastAsia" w:ascii="宋体" w:hAnsi="宋体" w:eastAsia="宋体" w:cs="宋体"/>
          <w:b/>
          <w:bCs w:val="0"/>
          <w:color w:val="auto"/>
          <w:sz w:val="24"/>
          <w:szCs w:val="24"/>
          <w:highlight w:val="none"/>
          <w:lang w:val="en-US" w:eastAsia="zh-CN"/>
        </w:rPr>
      </w:pPr>
    </w:p>
    <w:p w14:paraId="269C777D">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943402656"/>
        </w:rPr>
        <w:t>项目名称</w:t>
      </w:r>
      <w:r>
        <w:rPr>
          <w:rFonts w:hint="eastAsia" w:ascii="宋体" w:hAnsi="宋体" w:eastAsia="宋体" w:cs="宋体"/>
          <w:b/>
          <w:bCs w:val="0"/>
          <w:color w:val="auto"/>
          <w:spacing w:val="2"/>
          <w:kern w:val="0"/>
          <w:sz w:val="24"/>
          <w:szCs w:val="24"/>
          <w:highlight w:val="none"/>
          <w:u w:val="none"/>
          <w:fitText w:val="1260" w:id="943402656"/>
        </w:rPr>
        <w:t>：</w:t>
      </w:r>
      <w:r>
        <w:rPr>
          <w:rFonts w:hint="eastAsia" w:ascii="宋体" w:hAnsi="宋体" w:cs="宋体"/>
          <w:b/>
          <w:bCs w:val="0"/>
          <w:color w:val="auto"/>
          <w:sz w:val="24"/>
          <w:szCs w:val="24"/>
          <w:highlight w:val="none"/>
          <w:u w:val="single"/>
          <w:lang w:val="en-US" w:eastAsia="zh-CN"/>
        </w:rPr>
        <w:t xml:space="preserve">                      </w:t>
      </w:r>
    </w:p>
    <w:p w14:paraId="5E0C2CB4">
      <w:pPr>
        <w:spacing w:line="400" w:lineRule="exact"/>
        <w:ind w:left="1896" w:leftChars="903" w:firstLine="0" w:firstLineChars="0"/>
        <w:rPr>
          <w:rFonts w:hint="eastAsia" w:ascii="宋体" w:hAnsi="宋体" w:eastAsia="宋体" w:cs="宋体"/>
          <w:b/>
          <w:bCs w:val="0"/>
          <w:color w:val="auto"/>
          <w:sz w:val="24"/>
          <w:szCs w:val="24"/>
          <w:highlight w:val="none"/>
        </w:rPr>
      </w:pPr>
    </w:p>
    <w:p w14:paraId="580629DD">
      <w:pPr>
        <w:pStyle w:val="25"/>
        <w:rPr>
          <w:rFonts w:hint="eastAsia"/>
          <w:color w:val="auto"/>
          <w:sz w:val="24"/>
          <w:szCs w:val="24"/>
          <w:highlight w:val="none"/>
        </w:rPr>
      </w:pPr>
    </w:p>
    <w:p w14:paraId="1DE60D14">
      <w:pPr>
        <w:spacing w:line="400" w:lineRule="exact"/>
        <w:ind w:left="1896" w:leftChars="903" w:firstLine="0" w:firstLineChars="0"/>
        <w:rPr>
          <w:rFonts w:hint="eastAsia" w:ascii="宋体" w:hAnsi="宋体" w:cs="宋体"/>
          <w:b/>
          <w:bCs w:val="0"/>
          <w:color w:val="auto"/>
          <w:sz w:val="24"/>
          <w:szCs w:val="24"/>
          <w:highlight w:val="none"/>
          <w:u w:val="single"/>
          <w:lang w:val="en-US" w:eastAsia="zh-CN"/>
        </w:rPr>
      </w:pPr>
      <w:r>
        <w:rPr>
          <w:rFonts w:hint="eastAsia" w:ascii="宋体" w:hAnsi="宋体" w:eastAsia="宋体" w:cs="宋体"/>
          <w:b/>
          <w:bCs w:val="0"/>
          <w:color w:val="auto"/>
          <w:spacing w:val="7"/>
          <w:kern w:val="0"/>
          <w:sz w:val="24"/>
          <w:szCs w:val="24"/>
          <w:highlight w:val="none"/>
          <w:fitText w:val="1260" w:id="2109236552"/>
        </w:rPr>
        <w:t>计划编号</w:t>
      </w:r>
      <w:r>
        <w:rPr>
          <w:rFonts w:hint="eastAsia" w:ascii="宋体" w:hAnsi="宋体" w:eastAsia="宋体" w:cs="宋体"/>
          <w:b/>
          <w:bCs w:val="0"/>
          <w:color w:val="auto"/>
          <w:spacing w:val="2"/>
          <w:kern w:val="0"/>
          <w:sz w:val="24"/>
          <w:szCs w:val="24"/>
          <w:highlight w:val="none"/>
          <w:fitText w:val="1260" w:id="2109236552"/>
        </w:rPr>
        <w:t>：</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 xml:space="preserve">                     </w:t>
      </w:r>
    </w:p>
    <w:p w14:paraId="2B31DDEA">
      <w:pPr>
        <w:pStyle w:val="25"/>
        <w:rPr>
          <w:rFonts w:hint="default"/>
          <w:color w:val="auto"/>
          <w:highlight w:val="none"/>
          <w:lang w:val="en-US" w:eastAsia="zh-CN"/>
        </w:rPr>
      </w:pPr>
    </w:p>
    <w:p w14:paraId="2505B495">
      <w:pPr>
        <w:pStyle w:val="25"/>
        <w:rPr>
          <w:rFonts w:hint="default"/>
          <w:color w:val="auto"/>
          <w:sz w:val="24"/>
          <w:szCs w:val="24"/>
          <w:highlight w:val="none"/>
          <w:lang w:val="en-US" w:eastAsia="zh-CN"/>
        </w:rPr>
      </w:pPr>
    </w:p>
    <w:p w14:paraId="21D2A708">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r>
        <w:rPr>
          <w:rFonts w:hint="eastAsia" w:ascii="宋体" w:hAnsi="宋体" w:eastAsia="宋体" w:cs="宋体"/>
          <w:b/>
          <w:bCs w:val="0"/>
          <w:color w:val="auto"/>
          <w:spacing w:val="50"/>
          <w:kern w:val="0"/>
          <w:sz w:val="24"/>
          <w:szCs w:val="24"/>
          <w:highlight w:val="none"/>
          <w:fitText w:val="1260" w:id="1723538960"/>
        </w:rPr>
        <w:t>采购人</w:t>
      </w:r>
      <w:r>
        <w:rPr>
          <w:rFonts w:hint="eastAsia" w:ascii="宋体" w:hAnsi="宋体" w:eastAsia="宋体" w:cs="宋体"/>
          <w:b/>
          <w:bCs w:val="0"/>
          <w:color w:val="auto"/>
          <w:spacing w:val="0"/>
          <w:kern w:val="0"/>
          <w:sz w:val="24"/>
          <w:szCs w:val="24"/>
          <w:highlight w:val="none"/>
          <w:fitText w:val="1260" w:id="1723538960"/>
        </w:rPr>
        <w:t>：</w:t>
      </w:r>
      <w:r>
        <w:rPr>
          <w:rFonts w:hint="eastAsia" w:ascii="宋体" w:hAnsi="宋体" w:eastAsia="宋体" w:cs="宋体"/>
          <w:b/>
          <w:bCs w:val="0"/>
          <w:color w:val="auto"/>
          <w:sz w:val="24"/>
          <w:szCs w:val="24"/>
          <w:highlight w:val="none"/>
          <w:u w:val="single"/>
          <w:lang w:val="en-US" w:eastAsia="zh-CN"/>
        </w:rPr>
        <w:t xml:space="preserve"> 广西壮族自治区生态环境厅</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p>
    <w:p w14:paraId="7D171219">
      <w:pPr>
        <w:tabs>
          <w:tab w:val="left" w:pos="7200"/>
        </w:tabs>
        <w:spacing w:line="400" w:lineRule="exact"/>
        <w:ind w:left="1896" w:leftChars="903" w:firstLine="0" w:firstLineChars="0"/>
        <w:rPr>
          <w:rFonts w:hint="eastAsia" w:ascii="宋体" w:hAnsi="宋体" w:eastAsia="宋体" w:cs="宋体"/>
          <w:b/>
          <w:bCs w:val="0"/>
          <w:color w:val="auto"/>
          <w:sz w:val="24"/>
          <w:szCs w:val="24"/>
          <w:highlight w:val="none"/>
          <w:u w:val="single"/>
          <w:lang w:val="en-US" w:eastAsia="zh-CN"/>
        </w:rPr>
      </w:pPr>
    </w:p>
    <w:p w14:paraId="5E85F782">
      <w:pPr>
        <w:pStyle w:val="25"/>
        <w:rPr>
          <w:rFonts w:hint="eastAsia"/>
          <w:color w:val="auto"/>
          <w:sz w:val="24"/>
          <w:szCs w:val="24"/>
          <w:highlight w:val="none"/>
          <w:lang w:val="en-US" w:eastAsia="zh-CN"/>
        </w:rPr>
      </w:pPr>
    </w:p>
    <w:p w14:paraId="5C62F840">
      <w:pPr>
        <w:tabs>
          <w:tab w:val="left" w:pos="7200"/>
        </w:tabs>
        <w:spacing w:line="400" w:lineRule="exact"/>
        <w:ind w:left="1896" w:leftChars="903" w:firstLine="0" w:firstLineChars="0"/>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pacing w:val="1"/>
          <w:w w:val="87"/>
          <w:kern w:val="0"/>
          <w:sz w:val="24"/>
          <w:szCs w:val="24"/>
          <w:highlight w:val="none"/>
          <w:fitText w:val="1260" w:id="1823153045"/>
        </w:rPr>
        <w:t>中标供应商</w:t>
      </w:r>
      <w:r>
        <w:rPr>
          <w:rFonts w:hint="eastAsia" w:ascii="宋体" w:hAnsi="宋体" w:eastAsia="宋体" w:cs="宋体"/>
          <w:b/>
          <w:bCs w:val="0"/>
          <w:color w:val="auto"/>
          <w:spacing w:val="0"/>
          <w:w w:val="87"/>
          <w:kern w:val="0"/>
          <w:sz w:val="24"/>
          <w:szCs w:val="24"/>
          <w:highlight w:val="none"/>
          <w:fitText w:val="1260" w:id="1823153045"/>
        </w:rPr>
        <w:t>：</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rPr>
        <w:t xml:space="preserve"> </w:t>
      </w:r>
      <w:r>
        <w:rPr>
          <w:rFonts w:hint="eastAsia" w:ascii="宋体" w:hAnsi="宋体" w:cs="宋体"/>
          <w:b/>
          <w:bCs w:val="0"/>
          <w:color w:val="auto"/>
          <w:sz w:val="24"/>
          <w:szCs w:val="24"/>
          <w:highlight w:val="none"/>
          <w:u w:val="single"/>
          <w:lang w:val="en-US" w:eastAsia="zh-CN"/>
        </w:rPr>
        <w:t xml:space="preserve">                    </w:t>
      </w:r>
    </w:p>
    <w:p w14:paraId="76B9688D">
      <w:pPr>
        <w:tabs>
          <w:tab w:val="left" w:pos="7380"/>
        </w:tabs>
        <w:spacing w:line="400" w:lineRule="exact"/>
        <w:rPr>
          <w:rFonts w:hint="eastAsia" w:ascii="宋体" w:hAnsi="宋体" w:eastAsia="宋体" w:cs="宋体"/>
          <w:b/>
          <w:bCs/>
          <w:color w:val="auto"/>
          <w:sz w:val="24"/>
          <w:szCs w:val="24"/>
          <w:highlight w:val="none"/>
        </w:rPr>
      </w:pPr>
    </w:p>
    <w:p w14:paraId="19E91C80">
      <w:pPr>
        <w:spacing w:line="400" w:lineRule="exact"/>
        <w:ind w:firstLine="960" w:firstLineChars="400"/>
        <w:rPr>
          <w:rFonts w:hint="eastAsia" w:ascii="宋体" w:hAnsi="宋体" w:eastAsia="宋体" w:cs="宋体"/>
          <w:color w:val="auto"/>
          <w:sz w:val="24"/>
          <w:szCs w:val="24"/>
          <w:highlight w:val="none"/>
        </w:rPr>
      </w:pPr>
    </w:p>
    <w:p w14:paraId="000EAF75">
      <w:pPr>
        <w:spacing w:line="400" w:lineRule="exact"/>
        <w:ind w:firstLine="2160" w:firstLineChars="900"/>
        <w:rPr>
          <w:rFonts w:hint="eastAsia" w:ascii="宋体" w:hAnsi="宋体" w:eastAsia="宋体" w:cs="宋体"/>
          <w:color w:val="auto"/>
          <w:sz w:val="24"/>
          <w:szCs w:val="24"/>
          <w:highlight w:val="none"/>
        </w:rPr>
      </w:pPr>
    </w:p>
    <w:p w14:paraId="09DA7383">
      <w:pPr>
        <w:spacing w:line="400" w:lineRule="exact"/>
        <w:ind w:firstLine="2160" w:firstLineChars="900"/>
        <w:rPr>
          <w:rFonts w:hint="eastAsia" w:ascii="宋体" w:hAnsi="宋体" w:eastAsia="宋体" w:cs="宋体"/>
          <w:color w:val="auto"/>
          <w:sz w:val="24"/>
          <w:szCs w:val="24"/>
          <w:highlight w:val="none"/>
        </w:rPr>
      </w:pPr>
    </w:p>
    <w:p w14:paraId="24026630">
      <w:pPr>
        <w:spacing w:line="400" w:lineRule="exact"/>
        <w:ind w:firstLine="2160" w:firstLineChars="900"/>
        <w:rPr>
          <w:rFonts w:hint="eastAsia" w:ascii="宋体" w:hAnsi="宋体" w:eastAsia="宋体" w:cs="宋体"/>
          <w:color w:val="auto"/>
          <w:sz w:val="24"/>
          <w:szCs w:val="24"/>
          <w:highlight w:val="none"/>
        </w:rPr>
      </w:pPr>
    </w:p>
    <w:p w14:paraId="4EE0EDC6">
      <w:pPr>
        <w:spacing w:line="400" w:lineRule="exact"/>
        <w:ind w:firstLine="2160" w:firstLineChars="900"/>
        <w:rPr>
          <w:rFonts w:hint="eastAsia" w:ascii="宋体" w:hAnsi="宋体" w:eastAsia="宋体" w:cs="宋体"/>
          <w:color w:val="auto"/>
          <w:sz w:val="24"/>
          <w:szCs w:val="24"/>
          <w:highlight w:val="none"/>
        </w:rPr>
      </w:pPr>
    </w:p>
    <w:p w14:paraId="633DE67A">
      <w:pPr>
        <w:spacing w:line="400" w:lineRule="exact"/>
        <w:ind w:firstLine="2160" w:firstLineChars="900"/>
        <w:rPr>
          <w:rFonts w:hint="eastAsia" w:ascii="宋体" w:hAnsi="宋体" w:eastAsia="宋体" w:cs="宋体"/>
          <w:color w:val="auto"/>
          <w:sz w:val="24"/>
          <w:szCs w:val="24"/>
          <w:highlight w:val="none"/>
        </w:rPr>
      </w:pPr>
    </w:p>
    <w:p w14:paraId="15489C96">
      <w:pPr>
        <w:spacing w:line="400" w:lineRule="exact"/>
        <w:ind w:firstLine="2160" w:firstLineChars="900"/>
        <w:rPr>
          <w:rFonts w:hint="eastAsia" w:ascii="宋体" w:hAnsi="宋体" w:eastAsia="宋体" w:cs="宋体"/>
          <w:color w:val="auto"/>
          <w:sz w:val="24"/>
          <w:szCs w:val="24"/>
          <w:highlight w:val="none"/>
        </w:rPr>
      </w:pPr>
    </w:p>
    <w:p w14:paraId="6B039D33">
      <w:pPr>
        <w:spacing w:line="400" w:lineRule="exact"/>
        <w:ind w:firstLine="2160" w:firstLineChars="9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C4E3743">
      <w:pPr>
        <w:spacing w:line="400" w:lineRule="exact"/>
        <w:ind w:firstLine="2160" w:firstLineChars="900"/>
        <w:rPr>
          <w:rFonts w:hint="eastAsia" w:ascii="宋体" w:hAnsi="宋体" w:eastAsia="宋体" w:cs="宋体"/>
          <w:bCs/>
          <w:color w:val="auto"/>
          <w:sz w:val="24"/>
          <w:szCs w:val="24"/>
          <w:highlight w:val="none"/>
        </w:rPr>
      </w:pPr>
    </w:p>
    <w:p w14:paraId="21725106">
      <w:pPr>
        <w:spacing w:line="400" w:lineRule="exact"/>
        <w:ind w:firstLine="2160" w:firstLineChars="9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合同编号：</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lang w:val="en-US" w:eastAsia="zh-CN"/>
        </w:rPr>
        <w:t xml:space="preserve">                </w:t>
      </w:r>
    </w:p>
    <w:p w14:paraId="63020BA9">
      <w:pPr>
        <w:spacing w:line="400" w:lineRule="exact"/>
        <w:jc w:val="center"/>
        <w:rPr>
          <w:rFonts w:hint="eastAsia" w:ascii="宋体" w:hAnsi="宋体" w:eastAsia="宋体" w:cs="宋体"/>
          <w:color w:val="auto"/>
          <w:kern w:val="0"/>
          <w:sz w:val="24"/>
          <w:szCs w:val="24"/>
          <w:highlight w:val="none"/>
        </w:rPr>
      </w:pPr>
    </w:p>
    <w:p w14:paraId="10EE1568">
      <w:pPr>
        <w:rPr>
          <w:rFonts w:hint="eastAsia" w:ascii="宋体" w:hAnsi="宋体" w:eastAsia="宋体" w:cs="宋体"/>
          <w:color w:val="auto"/>
          <w:kern w:val="0"/>
          <w:sz w:val="24"/>
          <w:szCs w:val="24"/>
          <w:highlight w:val="none"/>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5F1A2763">
      <w:pPr>
        <w:pStyle w:val="25"/>
        <w:rPr>
          <w:rFonts w:hint="eastAsia"/>
          <w:color w:val="auto"/>
          <w:highlight w:val="none"/>
        </w:rPr>
      </w:pPr>
    </w:p>
    <w:p w14:paraId="6B26577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_GBK" w:hAnsi="方正小标宋_GBK" w:eastAsia="方正小标宋_GBK" w:cs="方正小标宋_GBK"/>
          <w:color w:val="auto"/>
          <w:kern w:val="0"/>
          <w:sz w:val="28"/>
          <w:szCs w:val="28"/>
          <w:highlight w:val="none"/>
        </w:rPr>
      </w:pPr>
      <w:r>
        <w:rPr>
          <w:rFonts w:hint="eastAsia" w:ascii="方正小标宋_GBK" w:hAnsi="方正小标宋_GBK" w:eastAsia="方正小标宋_GBK" w:cs="方正小标宋_GBK"/>
          <w:color w:val="auto"/>
          <w:kern w:val="0"/>
          <w:sz w:val="28"/>
          <w:szCs w:val="28"/>
          <w:highlight w:val="none"/>
        </w:rPr>
        <w:t>政府采购技术服务合同</w:t>
      </w:r>
    </w:p>
    <w:p w14:paraId="2ACA14D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4"/>
          <w:szCs w:val="24"/>
          <w:highlight w:val="none"/>
        </w:rPr>
      </w:pPr>
    </w:p>
    <w:p w14:paraId="7AC4675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color w:val="auto"/>
          <w:kern w:val="0"/>
          <w:sz w:val="24"/>
          <w:szCs w:val="24"/>
          <w:highlight w:val="none"/>
        </w:rPr>
        <w:t>采购计划号：</w:t>
      </w:r>
      <w:r>
        <w:rPr>
          <w:rFonts w:hint="eastAsia" w:ascii="宋体" w:hAnsi="宋体" w:cs="宋体"/>
          <w:b w:val="0"/>
          <w:bCs/>
          <w:color w:val="auto"/>
          <w:sz w:val="24"/>
          <w:szCs w:val="24"/>
          <w:highlight w:val="none"/>
          <w:u w:val="single"/>
          <w:lang w:val="en-US" w:eastAsia="zh-CN"/>
        </w:rPr>
        <w:t xml:space="preserve">                      </w:t>
      </w:r>
    </w:p>
    <w:p w14:paraId="3FD52E12">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b w:val="0"/>
          <w:bCs/>
          <w:color w:val="auto"/>
          <w:kern w:val="0"/>
          <w:sz w:val="24"/>
          <w:szCs w:val="24"/>
          <w:highlight w:val="none"/>
        </w:rPr>
        <w:t>项目名称：</w:t>
      </w:r>
      <w:r>
        <w:rPr>
          <w:rFonts w:hint="eastAsia" w:ascii="宋体" w:hAnsi="宋体" w:cs="宋体"/>
          <w:b w:val="0"/>
          <w:bCs/>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5A53CD28">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b/>
          <w:color w:val="auto"/>
          <w:sz w:val="24"/>
          <w:szCs w:val="24"/>
          <w:highlight w:val="none"/>
          <w:u w:val="single"/>
        </w:rPr>
      </w:pPr>
      <w:r>
        <w:rPr>
          <w:rFonts w:hint="eastAsia" w:ascii="宋体" w:hAnsi="宋体" w:eastAsia="宋体" w:cs="宋体"/>
          <w:color w:val="auto"/>
          <w:kern w:val="0"/>
          <w:sz w:val="24"/>
          <w:szCs w:val="24"/>
          <w:highlight w:val="none"/>
        </w:rPr>
        <w:t>项目编号：</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2541E7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签订地点：</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p>
    <w:p w14:paraId="777F58D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签订时间：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月</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48619BF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甲方（采购人）：</w:t>
      </w:r>
      <w:r>
        <w:rPr>
          <w:rFonts w:hint="eastAsia" w:ascii="宋体" w:hAnsi="宋体" w:eastAsia="宋体" w:cs="宋体"/>
          <w:color w:val="auto"/>
          <w:kern w:val="0"/>
          <w:sz w:val="24"/>
          <w:szCs w:val="24"/>
          <w:highlight w:val="none"/>
          <w:u w:val="single"/>
        </w:rPr>
        <w:t xml:space="preserve">广西壮族自治区生态环境厅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AD1537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住所地：</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p>
    <w:p w14:paraId="56C70B0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37A58D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通讯地址：</w:t>
      </w:r>
      <w:r>
        <w:rPr>
          <w:rFonts w:hint="eastAsia" w:ascii="宋体" w:hAnsi="宋体" w:eastAsia="宋体" w:cs="宋体"/>
          <w:color w:val="auto"/>
          <w:kern w:val="0"/>
          <w:sz w:val="24"/>
          <w:szCs w:val="24"/>
          <w:highlight w:val="none"/>
          <w:u w:val="single"/>
        </w:rPr>
        <w:t xml:space="preserve">广西南宁市青秀区佛子岭路16号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25BA0E1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电子邮箱：</w:t>
      </w:r>
      <w:r>
        <w:rPr>
          <w:rFonts w:hint="eastAsia" w:ascii="宋体" w:hAnsi="宋体" w:eastAsia="宋体" w:cs="宋体"/>
          <w:color w:val="auto"/>
          <w:kern w:val="0"/>
          <w:sz w:val="24"/>
          <w:szCs w:val="24"/>
          <w:highlight w:val="none"/>
          <w:u w:val="single"/>
        </w:rPr>
        <w:t xml:space="preserve">cgb@sthjt.gxzf.gov.cn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u w:val="single"/>
        </w:rPr>
        <w:t xml:space="preserve">  </w:t>
      </w:r>
    </w:p>
    <w:p w14:paraId="67887F3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color w:val="auto"/>
          <w:kern w:val="0"/>
          <w:sz w:val="24"/>
          <w:szCs w:val="24"/>
          <w:highlight w:val="none"/>
        </w:rPr>
        <w:t>乙方（牵头人）：</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p>
    <w:p w14:paraId="67DE587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住所地：</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747E94B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u w:val="single"/>
        </w:rPr>
      </w:pPr>
      <w:r>
        <w:rPr>
          <w:rFonts w:hint="eastAsia" w:ascii="宋体" w:hAnsi="宋体" w:eastAsia="宋体" w:cs="宋体"/>
          <w:bCs/>
          <w:color w:val="auto"/>
          <w:kern w:val="0"/>
          <w:sz w:val="24"/>
          <w:szCs w:val="24"/>
          <w:highlight w:val="none"/>
        </w:rPr>
        <w:t>法定代表人：</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7C5504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通讯地址：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74CE4CC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联系电话：</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p>
    <w:p w14:paraId="705E253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电子邮箱：</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w:t>
      </w:r>
    </w:p>
    <w:p w14:paraId="150FB0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_GB2312" w:hAnsi="楷体" w:eastAsia="仿宋_GB2312"/>
          <w:color w:val="auto"/>
          <w:sz w:val="24"/>
          <w:szCs w:val="24"/>
          <w:highlight w:val="none"/>
        </w:rPr>
      </w:pPr>
    </w:p>
    <w:p w14:paraId="3CA1B3CA">
      <w:pPr>
        <w:pStyle w:val="5"/>
        <w:bidi w:val="0"/>
        <w:jc w:val="center"/>
        <w:rPr>
          <w:rFonts w:hint="eastAsia"/>
          <w:color w:val="auto"/>
          <w:highlight w:val="none"/>
          <w:lang w:val="en-US" w:eastAsia="zh-CN"/>
        </w:rPr>
        <w:sectPr>
          <w:footerReference r:id="rId10" w:type="first"/>
          <w:footerReference r:id="rId9" w:type="default"/>
          <w:pgSz w:w="11906" w:h="16838"/>
          <w:pgMar w:top="1440" w:right="1757" w:bottom="1440" w:left="1803" w:header="850" w:footer="850" w:gutter="0"/>
          <w:pgNumType w:fmt="decimal"/>
          <w:cols w:space="720" w:num="1"/>
          <w:docGrid w:linePitch="312" w:charSpace="0"/>
        </w:sectPr>
      </w:pPr>
    </w:p>
    <w:p w14:paraId="36DAB256">
      <w:pPr>
        <w:pStyle w:val="5"/>
        <w:bidi w:val="0"/>
        <w:jc w:val="center"/>
        <w:rPr>
          <w:rFonts w:hint="eastAsia"/>
          <w:color w:val="auto"/>
          <w:highlight w:val="none"/>
          <w:lang w:val="en-US" w:eastAsia="zh-CN"/>
        </w:rPr>
      </w:pPr>
      <w:r>
        <w:rPr>
          <w:rFonts w:hint="eastAsia"/>
          <w:color w:val="auto"/>
          <w:highlight w:val="none"/>
          <w:lang w:val="en-US" w:eastAsia="zh-CN"/>
        </w:rPr>
        <w:t>合同正文</w:t>
      </w:r>
    </w:p>
    <w:p w14:paraId="285A3064">
      <w:pPr>
        <w:rPr>
          <w:rFonts w:hint="eastAsia"/>
          <w:color w:val="auto"/>
          <w:highlight w:val="none"/>
          <w:lang w:val="en-US" w:eastAsia="zh-CN"/>
        </w:rPr>
      </w:pPr>
    </w:p>
    <w:p w14:paraId="64081EA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根据《中华人民共和国政府采购法》《中华人民共和国民法典》等法律、法规规定，按照招标文件（采购文件）规定条款和投标文件及承诺，采购人（甲方）与中标人（乙方）双方签订本合同。</w:t>
      </w:r>
    </w:p>
    <w:p w14:paraId="13B20CD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第一条　合同标的</w:t>
      </w:r>
    </w:p>
    <w:p w14:paraId="1ED947D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1.服务一览表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569"/>
        <w:gridCol w:w="2027"/>
        <w:gridCol w:w="911"/>
        <w:gridCol w:w="737"/>
        <w:gridCol w:w="1353"/>
        <w:gridCol w:w="1361"/>
      </w:tblGrid>
      <w:tr w14:paraId="3A04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53BA206D">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序号</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15B87DD8">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名称</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0A4DB69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服务内容</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17D8B32E">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数量</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591C1AE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单位</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3F20BBE5">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单  价</w:t>
            </w:r>
          </w:p>
          <w:p w14:paraId="2546F2AD">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c>
          <w:tcPr>
            <w:tcW w:w="795" w:type="pct"/>
            <w:tcBorders>
              <w:top w:val="single" w:color="auto" w:sz="4" w:space="0"/>
              <w:left w:val="single" w:color="auto" w:sz="4" w:space="0"/>
              <w:bottom w:val="single" w:color="auto" w:sz="4" w:space="0"/>
              <w:right w:val="single" w:color="auto" w:sz="4" w:space="0"/>
            </w:tcBorders>
            <w:noWrap w:val="0"/>
            <w:vAlign w:val="center"/>
          </w:tcPr>
          <w:p w14:paraId="5B5F69A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总  价</w:t>
            </w:r>
          </w:p>
          <w:p w14:paraId="42074C9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（元）</w:t>
            </w:r>
          </w:p>
        </w:tc>
      </w:tr>
      <w:tr w14:paraId="605A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325" w:type="pct"/>
            <w:tcBorders>
              <w:top w:val="single" w:color="auto" w:sz="4" w:space="0"/>
              <w:left w:val="single" w:color="auto" w:sz="4" w:space="0"/>
              <w:bottom w:val="single" w:color="auto" w:sz="4" w:space="0"/>
              <w:right w:val="single" w:color="auto" w:sz="4" w:space="0"/>
            </w:tcBorders>
            <w:noWrap w:val="0"/>
            <w:vAlign w:val="center"/>
          </w:tcPr>
          <w:p w14:paraId="4336A596">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622FDC78">
            <w:pPr>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17988B74">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535" w:type="pct"/>
            <w:tcBorders>
              <w:top w:val="single" w:color="auto" w:sz="4" w:space="0"/>
              <w:left w:val="single" w:color="auto" w:sz="4" w:space="0"/>
              <w:bottom w:val="single" w:color="auto" w:sz="4" w:space="0"/>
              <w:right w:val="single" w:color="auto" w:sz="4" w:space="0"/>
            </w:tcBorders>
            <w:noWrap w:val="0"/>
            <w:vAlign w:val="center"/>
          </w:tcPr>
          <w:p w14:paraId="5F2B02E6">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22AFE007">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0EA675AD">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c>
          <w:tcPr>
            <w:tcW w:w="795" w:type="pct"/>
            <w:tcBorders>
              <w:top w:val="single" w:color="auto" w:sz="4" w:space="0"/>
              <w:left w:val="single" w:color="auto" w:sz="4" w:space="0"/>
              <w:bottom w:val="single" w:color="auto" w:sz="4" w:space="0"/>
              <w:right w:val="single" w:color="auto" w:sz="4" w:space="0"/>
            </w:tcBorders>
            <w:noWrap w:val="0"/>
            <w:vAlign w:val="center"/>
          </w:tcPr>
          <w:p w14:paraId="42971E22">
            <w:pPr>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firstLine="0" w:firstLineChars="0"/>
              <w:jc w:val="both"/>
              <w:textAlignment w:val="auto"/>
              <w:rPr>
                <w:rFonts w:hint="eastAsia" w:ascii="宋体" w:hAnsi="宋体" w:eastAsia="宋体" w:cs="宋体"/>
                <w:color w:val="auto"/>
                <w:sz w:val="21"/>
                <w:szCs w:val="21"/>
                <w:highlight w:val="none"/>
                <w:u w:val="none"/>
                <w:lang w:val="en-US" w:eastAsia="zh-CN"/>
              </w:rPr>
            </w:pPr>
          </w:p>
        </w:tc>
      </w:tr>
      <w:tr w14:paraId="0778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1"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B3D8432">
            <w:pPr>
              <w:keepNext w:val="0"/>
              <w:keepLines w:val="0"/>
              <w:pageBreakBefore w:val="0"/>
              <w:widowControl w:val="0"/>
              <w:kinsoku/>
              <w:wordWrap/>
              <w:overflowPunct/>
              <w:topLinePunct w:val="0"/>
              <w:autoSpaceDE/>
              <w:autoSpaceDN/>
              <w:bidi w:val="0"/>
              <w:adjustRightInd/>
              <w:snapToGrid/>
              <w:spacing w:beforeLines="0" w:afterLines="0" w:line="400" w:lineRule="exact"/>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合同合计金额（人民币，大写）：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tc>
      </w:tr>
    </w:tbl>
    <w:p w14:paraId="281D10E1">
      <w:pPr>
        <w:keepNext w:val="0"/>
        <w:keepLines w:val="0"/>
        <w:pageBreakBefore w:val="0"/>
        <w:widowControl w:val="0"/>
        <w:kinsoku/>
        <w:wordWrap/>
        <w:overflowPunct/>
        <w:topLinePunct w:val="0"/>
        <w:autoSpaceDE/>
        <w:autoSpaceDN/>
        <w:bidi w:val="0"/>
        <w:adjustRightInd/>
        <w:snapToGrid/>
        <w:spacing w:before="0"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2.合同合计金额包括但不限于满足本次招标全部采购需求所应提供的服务，以及伴随的货物和工程（如有）的价格，包括但不限于服务、货物、工程的成本、运输（含保险）、安装（如有）、调试、检验、技术服务、培训、税费、版权使用费（如有）等所有费用。</w:t>
      </w:r>
    </w:p>
    <w:p w14:paraId="23EB17E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第二条　质量保证</w:t>
      </w:r>
    </w:p>
    <w:p w14:paraId="0423F5DB">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 乙方应建立和完善履行合同的内部质量保证体系，并提供相关内部规章制度给甲方，以便甲方进行监督检查；</w:t>
      </w:r>
    </w:p>
    <w:p w14:paraId="05F0AF7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 乙方应保证履行合同的人员数量和素质、软件和硬件设备的配置、场地、环境和设施等满足全面履行合同的要求，并应接受甲方的监督检查。</w:t>
      </w:r>
    </w:p>
    <w:p w14:paraId="17840B0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所提供的服务、服务质量及服务内容必须与合同、招标文件、投标文件及承诺相一致。有国家强制性标准的，还必须符合国家强制性标准的规定；没有国家强制性标准但有其他标准的，必须符合其他标准的规定。</w:t>
      </w:r>
    </w:p>
    <w:p w14:paraId="3CA9B58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第三条　权利保证</w:t>
      </w:r>
    </w:p>
    <w:p w14:paraId="6DEDA08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1.甲方有权随时向乙方了解服务进度和对服务资金使用情况进行监督、检查，并要求乙方提供相关资料。</w:t>
      </w:r>
    </w:p>
    <w:p w14:paraId="58E08D4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14:paraId="2655083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3.乙方应保证所提供服务在使用时不会侵犯任何第三方的专利权、商标权、工业设计权等知识产权及其他合法权利，且所有权、处分权等没有受到任何限制。</w:t>
      </w:r>
    </w:p>
    <w:p w14:paraId="79BE6BD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没有甲方事先书面同意，乙方不得将由甲方提供的有关合同或者任何合同条文、规格、计划、图纸、样品或者资料提供给与履行本合同无关的任何其他人。即使向履行合同有关的人员提供，也应注意保密并限于履行合同的必需范围。乙方的保密义务持续有效，不因为本合同履行终止、解除或者无效而解除。</w:t>
      </w:r>
    </w:p>
    <w:p w14:paraId="4EFFBEB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乙方保证所交付的服务成果的所有权完全属于乙方且无任何抵押、质押、查封等产权瑕疵。如乙方所交付服务成果有产权瑕疵的，视为乙方违约。但在已经全部支付完合同款后才发现有产权瑕疵的，乙方除了支付违约金，还应负担甲方由此产生的一切损失。</w:t>
      </w:r>
    </w:p>
    <w:p w14:paraId="1095872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第四条　交付和验收</w:t>
      </w:r>
    </w:p>
    <w:p w14:paraId="1C09EFF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1.服务时间</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签订合同之日起至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止</w:t>
      </w:r>
      <w:r>
        <w:rPr>
          <w:rFonts w:hint="eastAsia" w:ascii="宋体" w:hAnsi="宋体" w:eastAsia="宋体" w:cs="宋体"/>
          <w:color w:val="auto"/>
          <w:sz w:val="21"/>
          <w:szCs w:val="21"/>
          <w:highlight w:val="none"/>
          <w:u w:val="none"/>
        </w:rPr>
        <w:t>。</w:t>
      </w:r>
    </w:p>
    <w:p w14:paraId="5A385F2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eastAsia="宋体" w:cs="宋体"/>
          <w:color w:val="auto"/>
          <w:sz w:val="21"/>
          <w:szCs w:val="21"/>
          <w:highlight w:val="none"/>
          <w:u w:val="single"/>
          <w:lang w:eastAsia="zh-CN"/>
        </w:rPr>
        <w:t>甲方</w:t>
      </w:r>
      <w:r>
        <w:rPr>
          <w:rFonts w:hint="eastAsia" w:ascii="宋体" w:hAnsi="宋体" w:eastAsia="宋体" w:cs="宋体"/>
          <w:color w:val="auto"/>
          <w:sz w:val="21"/>
          <w:szCs w:val="21"/>
          <w:highlight w:val="none"/>
          <w:u w:val="single"/>
        </w:rPr>
        <w:t>指定地点</w:t>
      </w:r>
      <w:r>
        <w:rPr>
          <w:rFonts w:hint="eastAsia" w:ascii="宋体" w:hAnsi="宋体" w:eastAsia="宋体" w:cs="宋体"/>
          <w:color w:val="auto"/>
          <w:sz w:val="21"/>
          <w:szCs w:val="21"/>
          <w:highlight w:val="none"/>
        </w:rPr>
        <w:t>。</w:t>
      </w:r>
    </w:p>
    <w:p w14:paraId="0DF132C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3.乙方应按合同、招标文件、投标文件及承诺向甲方提供相应的服务，并提供服务质量和服务内容的相关技术资料。</w:t>
      </w:r>
    </w:p>
    <w:p w14:paraId="31E93E3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4.乙方提供不符合合同、招标文件、投标文件规定的服务成果，甲方有权拒绝接受。</w:t>
      </w:r>
    </w:p>
    <w:p w14:paraId="5385037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5.乙方在完成服务前应对服务作出全面检查和对验收文件进行整理，并列出清单，作为甲方服务验收的技术依据，清单应随提交的服务成果交给甲方。</w:t>
      </w:r>
    </w:p>
    <w:p w14:paraId="58BFCFC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6.乙方完成服务后应及时书面通知甲方进行验收，甲方应在收到通知后七个工作日内进行验收，逾期不开始验收的，乙方可视同验收合格。</w:t>
      </w:r>
    </w:p>
    <w:p w14:paraId="7848E02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乙双方应按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14:paraId="58BFAD8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甲方在初步验收或者最终验收过程中发现乙方提供的服务、服务质量或服务内容不满足合同、招标文件、投标文件规定的，可暂缓向乙方付款，直到乙方及时完善并提交相应的服务成果且经甲方验收合格后，方可办理付款。</w:t>
      </w:r>
    </w:p>
    <w:p w14:paraId="0BECCB3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甲方验收时发现乙方提供的服务、服务质量或服务内容不满足合同、招标文件、投标文件规定并以书面形式提出异议的，乙方应自收到甲方书面异议后五个工作日内予以解决，否则甲方有权不出具验收合格单。乙方因解决异议问题而造成逾期的，按乙方逾期交付处理。</w:t>
      </w:r>
    </w:p>
    <w:p w14:paraId="65F99397">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第五条　售后服务、服务质量保证期及培训</w:t>
      </w:r>
    </w:p>
    <w:p w14:paraId="3311456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1.乙方应按照国家有关法律法规、合同、招标文件、投标文件所附的《服务承诺》要求为甲方提供相应的服务。</w:t>
      </w:r>
    </w:p>
    <w:p w14:paraId="79A0A26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2.乙方提供服务的质量保证期按交付服务成果验收合格并签署验收合格单之日起计算，为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日，在质量保证期内因服务成果本身的技术问题，乙方应对服务出现的问题负责处理解决，并承担一切费用。</w:t>
      </w:r>
    </w:p>
    <w:p w14:paraId="3712CF8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3.在质量保证期内发生技术服务问题，乙方应在接到甲方通知后24小时内到达甲方现场，在甲方指定的期限内解决问题。</w:t>
      </w:r>
    </w:p>
    <w:p w14:paraId="74F461B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4.乙方负责甲方有关人员的培训。</w:t>
      </w:r>
    </w:p>
    <w:p w14:paraId="794D135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培训时间：</w:t>
      </w:r>
      <w:r>
        <w:rPr>
          <w:rFonts w:hint="eastAsia" w:ascii="宋体" w:hAnsi="宋体" w:eastAsia="宋体" w:cs="宋体"/>
          <w:color w:val="auto"/>
          <w:sz w:val="21"/>
          <w:szCs w:val="21"/>
          <w:highlight w:val="none"/>
          <w:u w:val="single"/>
        </w:rPr>
        <w:t>甲方另行指定时间。</w:t>
      </w:r>
    </w:p>
    <w:p w14:paraId="0DBC69B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培训地点：</w:t>
      </w:r>
      <w:r>
        <w:rPr>
          <w:rFonts w:hint="eastAsia" w:ascii="宋体" w:hAnsi="宋体" w:eastAsia="宋体" w:cs="宋体"/>
          <w:color w:val="auto"/>
          <w:sz w:val="21"/>
          <w:szCs w:val="21"/>
          <w:highlight w:val="none"/>
          <w:u w:val="single"/>
        </w:rPr>
        <w:t>广西区内（甲方指定地点）。</w:t>
      </w:r>
    </w:p>
    <w:p w14:paraId="09CFE96F">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第六条　付款方式</w:t>
      </w:r>
    </w:p>
    <w:p w14:paraId="04DD70F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1.资金性质：</w:t>
      </w:r>
      <w:r>
        <w:rPr>
          <w:rFonts w:hint="eastAsia" w:ascii="宋体" w:hAnsi="宋体" w:eastAsia="宋体" w:cs="宋体"/>
          <w:color w:val="auto"/>
          <w:sz w:val="21"/>
          <w:szCs w:val="21"/>
          <w:highlight w:val="none"/>
          <w:u w:val="single"/>
        </w:rPr>
        <w:t>财政资金</w:t>
      </w:r>
      <w:r>
        <w:rPr>
          <w:rFonts w:hint="eastAsia" w:ascii="宋体" w:hAnsi="宋体" w:eastAsia="宋体" w:cs="宋体"/>
          <w:color w:val="auto"/>
          <w:sz w:val="21"/>
          <w:szCs w:val="21"/>
          <w:highlight w:val="none"/>
        </w:rPr>
        <w:t>。</w:t>
      </w:r>
    </w:p>
    <w:p w14:paraId="04C40BC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2.付款方式</w:t>
      </w:r>
    </w:p>
    <w:p w14:paraId="618A12F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本合同总金额为人民币</w:t>
      </w:r>
      <w:r>
        <w:rPr>
          <w:rFonts w:hint="eastAsia" w:ascii="宋体" w:hAnsi="宋体" w:eastAsia="宋体" w:cs="宋体"/>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single"/>
        </w:rPr>
        <w:t>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rPr>
        <w:t>甲乙双方同意按以下方式支付合同合计金额：</w:t>
      </w:r>
    </w:p>
    <w:p w14:paraId="0D6A14D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（1）自合同签订之日起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5E17EE5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（2）乙方按照采购需求完成</w:t>
      </w:r>
      <w:r>
        <w:rPr>
          <w:rFonts w:hint="eastAsia" w:ascii="宋体" w:hAnsi="宋体" w:eastAsia="宋体" w:cs="宋体"/>
          <w:color w:val="auto"/>
          <w:sz w:val="21"/>
          <w:szCs w:val="21"/>
          <w:highlight w:val="none"/>
          <w:lang w:val="en-US" w:eastAsia="zh-CN"/>
        </w:rPr>
        <w:t>437</w:t>
      </w:r>
      <w:r>
        <w:rPr>
          <w:rFonts w:hint="eastAsia" w:ascii="宋体" w:hAnsi="宋体" w:eastAsia="宋体" w:cs="宋体"/>
          <w:color w:val="auto"/>
          <w:sz w:val="21"/>
          <w:szCs w:val="21"/>
          <w:highlight w:val="none"/>
        </w:rPr>
        <w:t>家涉锑铊企业的基础信息调查工作，提交</w:t>
      </w:r>
      <w:r>
        <w:rPr>
          <w:rFonts w:hint="eastAsia" w:ascii="宋体" w:hAnsi="宋体" w:eastAsia="宋体" w:cs="宋体"/>
          <w:color w:val="auto"/>
          <w:sz w:val="21"/>
          <w:szCs w:val="21"/>
          <w:highlight w:val="none"/>
          <w:lang w:val="en-US" w:eastAsia="zh-CN"/>
        </w:rPr>
        <w:t>437</w:t>
      </w:r>
      <w:r>
        <w:rPr>
          <w:rFonts w:hint="eastAsia" w:ascii="宋体" w:hAnsi="宋体" w:eastAsia="宋体" w:cs="宋体"/>
          <w:color w:val="auto"/>
          <w:sz w:val="21"/>
          <w:szCs w:val="21"/>
          <w:highlight w:val="none"/>
        </w:rPr>
        <w:t>家涉锑铊企业标准化台账材料，并经甲方确认合格后，甲方于10个工作日内向乙方支付合同合计金额</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%的合同款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w:t>
      </w:r>
      <w:r>
        <w:rPr>
          <w:rFonts w:hint="eastAsia" w:ascii="宋体" w:hAnsi="宋体" w:eastAsia="宋体" w:cs="宋体"/>
          <w:color w:val="auto"/>
          <w:sz w:val="21"/>
          <w:szCs w:val="21"/>
          <w:highlight w:val="none"/>
          <w:u w:val="none"/>
          <w:lang w:eastAsia="zh-CN"/>
        </w:rPr>
        <w:t>；</w:t>
      </w:r>
    </w:p>
    <w:p w14:paraId="306DCC3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（3）乙方完成所有服务并按照采购需求提交项目成果，经甲方验收合格后，甲方于10个工作日内支付剩余合同合计金额</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%的合同款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元整(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元)；</w:t>
      </w:r>
    </w:p>
    <w:p w14:paraId="619BC45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（4）质量不符合要求的、任务量达不到的应在甲方规定的时间内进行整改直至符合合同要求，无法整改的或超出整改时限的，则按照工作量扣减相应费用。</w:t>
      </w:r>
    </w:p>
    <w:p w14:paraId="1E8DF4C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乙方为联合体的，应在合同签订前向甲方提交加盖所有成员公章的《联合体收款账户确认函》，明确其内部款项分配约定（即统一支付至牵头人账户或按比例分别支付至各成员账户）、收款账户信息等。甲方按该确认函的约定完成支付后，即视为已完全履行了对乙方（联合体）的付款义务。因联合体内部款项分配产生的任何纠纷，由联合体各方自行解决，与甲方无关。</w:t>
      </w:r>
    </w:p>
    <w:p w14:paraId="3C94620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3.乙方指定以下账户为接受本合同价款的账户，并对其指定的下列账户信息真实性、安全性、准确性负责。</w:t>
      </w:r>
    </w:p>
    <w:p w14:paraId="61D043A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账户名称：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7E86FFC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开户银行：</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4537496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银行账号：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3142978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7699FBD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lang w:val="en-US" w:eastAsia="zh-CN"/>
        </w:rPr>
        <w:t>。</w:t>
      </w:r>
    </w:p>
    <w:p w14:paraId="01BEEC4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如乙方上述账户信息发生变更，乙方应提前向甲方发送书面通知，未能提前书面通知而产生的不利后果由乙方自行承担。</w:t>
      </w:r>
    </w:p>
    <w:p w14:paraId="63047D5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方在支付每笔款项前，乙方应当提供可供政府审计并且符合税务规定的正式发票，否则甲方有权拒付相应款项直至乙方能提供符合规定的发票为止，因乙方提供不符合甲方要求的发票导致付款逾期，甲方不构成违约，相应的付款期限自甲方收到乙方符合要求发票重新计算。</w:t>
      </w:r>
    </w:p>
    <w:p w14:paraId="5946BC5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第七条　履约保证金</w:t>
      </w:r>
    </w:p>
    <w:p w14:paraId="5351EFD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1.乙方须在签订合同后</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个工作日内缴纳履约保证金。</w:t>
      </w:r>
    </w:p>
    <w:p w14:paraId="12FE714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2.乙方提供的履约保证金金额为：</w:t>
      </w:r>
      <w:r>
        <w:rPr>
          <w:rFonts w:hint="eastAsia" w:ascii="宋体" w:hAnsi="宋体" w:eastAsia="宋体" w:cs="宋体"/>
          <w:bCs/>
          <w:color w:val="auto"/>
          <w:sz w:val="21"/>
          <w:szCs w:val="21"/>
          <w:highlight w:val="none"/>
        </w:rPr>
        <w:t>履约保证金金额为</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总金额</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rPr>
        <w:t>即</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lang w:val="en-US" w:eastAsia="zh-CN"/>
        </w:rPr>
        <w:t xml:space="preserve"> 2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元。</w:t>
      </w:r>
    </w:p>
    <w:p w14:paraId="45CB662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r>
        <w:rPr>
          <w:rFonts w:hint="eastAsia" w:ascii="宋体" w:hAnsi="宋体" w:eastAsia="宋体" w:cs="宋体"/>
          <w:i w:val="0"/>
          <w:iCs w:val="0"/>
          <w:color w:val="auto"/>
          <w:sz w:val="21"/>
          <w:szCs w:val="21"/>
          <w:highlight w:val="none"/>
          <w:u w:val="single"/>
        </w:rPr>
        <w:t>广西壮族自治区生态环境厅</w:t>
      </w:r>
    </w:p>
    <w:p w14:paraId="771B31A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工行南宁银杉支行</w:t>
      </w:r>
      <w:r>
        <w:rPr>
          <w:rFonts w:hint="eastAsia" w:ascii="宋体" w:hAnsi="宋体" w:eastAsia="宋体" w:cs="宋体"/>
          <w:color w:val="auto"/>
          <w:sz w:val="21"/>
          <w:szCs w:val="21"/>
          <w:highlight w:val="none"/>
          <w:u w:val="single"/>
          <w:lang w:val="en-US" w:eastAsia="zh-CN"/>
        </w:rPr>
        <w:t xml:space="preserve">        </w:t>
      </w:r>
    </w:p>
    <w:p w14:paraId="7F60891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7C551F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3.履约保证金递交方式：支票、汇票、本票或者金融机构出具的保函等非现金方式</w:t>
      </w:r>
      <w:r>
        <w:rPr>
          <w:rFonts w:hint="eastAsia" w:ascii="宋体" w:hAnsi="宋体" w:eastAsia="宋体" w:cs="宋体"/>
          <w:color w:val="auto"/>
          <w:sz w:val="21"/>
          <w:szCs w:val="21"/>
          <w:highlight w:val="none"/>
          <w:u w:val="none"/>
          <w:lang w:eastAsia="zh-CN"/>
        </w:rPr>
        <w:t>，转账时请备注“项目名称（可简写）+履约保证金”</w:t>
      </w:r>
      <w:r>
        <w:rPr>
          <w:rFonts w:hint="eastAsia" w:ascii="宋体" w:hAnsi="宋体" w:eastAsia="宋体" w:cs="宋体"/>
          <w:color w:val="auto"/>
          <w:sz w:val="21"/>
          <w:szCs w:val="21"/>
          <w:highlight w:val="none"/>
        </w:rPr>
        <w:t>。</w:t>
      </w:r>
    </w:p>
    <w:p w14:paraId="16A6DB8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4.履约保证金退付方式、时间及条件：由乙方向甲方提供《广西壮族自治区政府采购项目合同验收书》</w:t>
      </w:r>
      <w:r>
        <w:rPr>
          <w:rFonts w:hint="eastAsia" w:ascii="宋体" w:hAnsi="宋体" w:cs="宋体"/>
          <w:color w:val="auto"/>
          <w:sz w:val="21"/>
          <w:szCs w:val="21"/>
          <w:lang w:eastAsia="zh-CN"/>
        </w:rPr>
        <w:t>、履约保证金退付函和乙方履约保证金支付凭证</w:t>
      </w:r>
      <w:r>
        <w:rPr>
          <w:rFonts w:hint="eastAsia" w:ascii="宋体" w:hAnsi="宋体" w:eastAsia="宋体" w:cs="宋体"/>
          <w:color w:val="auto"/>
          <w:sz w:val="21"/>
          <w:szCs w:val="21"/>
          <w:highlight w:val="none"/>
        </w:rPr>
        <w:t>，甲方在收到合格材料后五个工作日内办理退还手续（不计利息）。</w:t>
      </w:r>
    </w:p>
    <w:p w14:paraId="2C95D76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第八条　税费</w:t>
      </w:r>
    </w:p>
    <w:p w14:paraId="0B10ADE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合同执行中相关的一切税费均由乙方负担。</w:t>
      </w:r>
    </w:p>
    <w:p w14:paraId="35D42E56">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第九条　违约责任</w:t>
      </w:r>
    </w:p>
    <w:p w14:paraId="05C5F0D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没有按照合同、招标文件、投标文件规定的时间或期限提供服务的，每逾期一日，应按合同合计金额的3‰向甲方支付逾期提供服务的违约金；逾期超过十日的，甲方有权单方解除合同，并要求乙方退还已收取的款项，同时乙方应按照合同合计金额的10%向甲方支付违约金并承担因此给甲方造成的经济损失。</w:t>
      </w:r>
    </w:p>
    <w:p w14:paraId="2653EC6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所提供的服务、服务质量、服务内容等不符合合同、招标文件、投标文件规定的要求的，应按甲方的要求，在甲方指定的期限内予以更换或改进，未在甲方指定的期限内更换或改进的，按乙方逾期提供服务承担违约责任。</w:t>
      </w:r>
    </w:p>
    <w:p w14:paraId="6921D90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提供的服务如侵犯了第三方合法权益而引发的任何纠纷或者诉讼，均由乙方负责交涉并承担全部责任。如甲方为解决纠纷矛盾先期支付了费用的，乙方应当自收到甲方要求偿还费用的函之日起五日内向甲方偿还完毕，逾期未偿还，乙方承担应向甲方支付合同合计金额20％的违约金并赔偿甲方经济损失。</w:t>
      </w:r>
    </w:p>
    <w:p w14:paraId="2634EB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4.乙方因履行合同所发生的其他违约行为，每违约一次，应按合同合计金额的5%向甲方支付违约金，并赔偿甲方因此所造成全部损失。</w:t>
      </w:r>
    </w:p>
    <w:p w14:paraId="2D6B8EB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5.乙方支付的违约金不足以弥补甲方损失的，应承担赔偿责任，甲方有权继续向乙方追偿。乙方应支付给甲方的任何款项，甲方有权从任何应支付未支付给乙方的款项中直接抵扣。</w:t>
      </w:r>
    </w:p>
    <w:p w14:paraId="16154F8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6.本合同所称的甲方经济损失或者甲方损失，包括甲方遭受的全部直接经济损失及为此支出的合理费用（包括但不限于为此支出的调查费、诉讼费、保全费、保全保险费、垫付资金占用费、律师费、差旅费等）。</w:t>
      </w:r>
    </w:p>
    <w:p w14:paraId="7E6D9C3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7.甲方延期付款的，每天向乙方偿付延期款额3‰的违约金，但违约金累计不得超过延期款额的5%。</w:t>
      </w:r>
    </w:p>
    <w:p w14:paraId="1BEE704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第十条　知识产权归属</w:t>
      </w:r>
    </w:p>
    <w:p w14:paraId="1CB36C8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乙方保证，甲乙双方在本合同执行中形成的任何成果或知识产权的所有权，归甲方所有，而且乙方应当完成甲方知识产权所有权确认所必需的全部行为、证书和文件等，并提供相应的支持和协助。</w:t>
      </w:r>
    </w:p>
    <w:p w14:paraId="01A61C72">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第十一条　保密条款</w:t>
      </w:r>
    </w:p>
    <w:p w14:paraId="12A49E0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1.甲乙双方都负有保守对方的单位机密或商业秘密的义务，保密范围包括但不限于技术情报、数据资料及其他公开后对对方造成影响或损失的秘密。</w:t>
      </w:r>
    </w:p>
    <w:p w14:paraId="5489C199">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2.任何一方违反保密条款，给对方造成损失，应按对方的实际损失承担赔偿责任。</w:t>
      </w:r>
    </w:p>
    <w:p w14:paraId="77AAA66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3.本条款不因合同的变更、解除和终止而失效。</w:t>
      </w:r>
    </w:p>
    <w:p w14:paraId="1AF28F3A">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第十二条　不可抗力事件处理</w:t>
      </w:r>
    </w:p>
    <w:p w14:paraId="1381C43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1.在合同有效期内，任何一方因不可抗力事件导致不能履行合同，则合同履行期可延长，其延长期与不可抗力影响期相同。</w:t>
      </w:r>
    </w:p>
    <w:p w14:paraId="27B506B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2.不可抗力事件发生后，应立即通知对方，并寄送有关权威机构出具的证明。</w:t>
      </w:r>
    </w:p>
    <w:p w14:paraId="2D484F1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3.不可抗力事件延续一百二十天以上，双方应通过友好协商，确定是否继续履行合同。</w:t>
      </w:r>
    </w:p>
    <w:p w14:paraId="76EA3AF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4.合同履行过程中，因接受政府行政指令而无法履行的，接受政府行政指令的一方可以免除责任。</w:t>
      </w:r>
    </w:p>
    <w:p w14:paraId="3236A6D5">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第十三条　合同争议解决</w:t>
      </w:r>
    </w:p>
    <w:p w14:paraId="5D349F2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1.因服务质量问题发生争议的，甲方应提交具有相应资质的机构进行鉴定。服务符合标准的，鉴定费由甲方承担；服务不符合标准的，鉴定费由乙方承担。</w:t>
      </w:r>
    </w:p>
    <w:p w14:paraId="118AF7C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2.因履行本合同引起的或者与本合同有关的争议，甲乙双方应首先通过友好协商解决，如果协商不能解决，可向甲方所在地有管辖权人民法院提起诉讼。</w:t>
      </w:r>
    </w:p>
    <w:p w14:paraId="5FB0C538">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第十四条　合同生效及其他</w:t>
      </w:r>
    </w:p>
    <w:p w14:paraId="70A0A24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1.合同经甲乙双方法定代表人或者授权代表签字并加盖单位公章后生效。</w:t>
      </w:r>
    </w:p>
    <w:p w14:paraId="1D48D19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2.合同执行中涉及采购资金和采购内容修改或者补充的，须经政府采购监管部门审批，并签书面补充协议报政府采购监管部门备案，方可作为主合同不可分割的一部分。</w:t>
      </w:r>
    </w:p>
    <w:p w14:paraId="5270446F">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3.合同未尽事宜，遵照《中华人民共和国民法典》等相关法律、法规规定有关条文执行。</w:t>
      </w:r>
    </w:p>
    <w:p w14:paraId="14814D25">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第十五条　合同的变更、终止与转让</w:t>
      </w:r>
    </w:p>
    <w:p w14:paraId="7F39C733">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1.除《中华人民共和国政府采购法》第五十条规定的情形外，本合同一经签订，甲乙双方不得擅自变更、中止或者终止。</w:t>
      </w:r>
    </w:p>
    <w:p w14:paraId="2093B4A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2.未经甲方书面同意，乙方不得擅自转让其应履行的合同义务。</w:t>
      </w:r>
    </w:p>
    <w:p w14:paraId="305DA5F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第十六条　本合同与下列文件一起构成合同文件</w:t>
      </w:r>
    </w:p>
    <w:p w14:paraId="5A66F76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1.保密协议；</w:t>
      </w:r>
    </w:p>
    <w:p w14:paraId="66C6121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2.中标通知书；</w:t>
      </w:r>
    </w:p>
    <w:p w14:paraId="7F4C9345">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竞标报价</w:t>
      </w:r>
      <w:r>
        <w:rPr>
          <w:rFonts w:hint="eastAsia" w:ascii="宋体" w:hAnsi="宋体" w:eastAsia="宋体" w:cs="宋体"/>
          <w:color w:val="auto"/>
          <w:sz w:val="21"/>
          <w:szCs w:val="21"/>
          <w:highlight w:val="none"/>
        </w:rPr>
        <w:t>表；</w:t>
      </w:r>
    </w:p>
    <w:p w14:paraId="2753A08C">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4.采购需求；</w:t>
      </w:r>
    </w:p>
    <w:p w14:paraId="51D5D1A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.商务条款偏离表和服务需求偏离表；</w:t>
      </w:r>
    </w:p>
    <w:p w14:paraId="3C11CAF8">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.投标文件中的其他相关文件。</w:t>
      </w:r>
    </w:p>
    <w:p w14:paraId="2BF7D97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上述合同文件互相补充和解释。如果合同文件之间存在矛盾或者不一致之处，以本合同、上述文件的排列顺序在先者为准。</w:t>
      </w:r>
    </w:p>
    <w:p w14:paraId="4059A719">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第十七条　其他约定事项</w:t>
      </w:r>
    </w:p>
    <w:p w14:paraId="26267C62">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1.本合同所有附件及相关文件均为本合同的有效组成部分，与本合同具有同等法律效力。若合同附件与本合同存在不一致的，则以本合同为准。</w:t>
      </w:r>
    </w:p>
    <w:p w14:paraId="2B972CC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2.在履行本合同过程中，所有经甲乙双方签署确认的文件（包括会议纪要、补充协议、往来信函、电子邮件等）即成为本合同的有效组成部分。</w:t>
      </w:r>
    </w:p>
    <w:p w14:paraId="4F0E4F93">
      <w:pPr>
        <w:pStyle w:val="94"/>
        <w:keepNext w:val="0"/>
        <w:keepLines w:val="0"/>
        <w:pageBreakBefore w:val="0"/>
        <w:kinsoku/>
        <w:wordWrap/>
        <w:overflowPunct/>
        <w:topLinePunct w:val="0"/>
        <w:autoSpaceDE/>
        <w:autoSpaceDN/>
        <w:bidi w:val="0"/>
        <w:adjustRightInd/>
        <w:snapToGrid/>
        <w:spacing w:beforeLines="0" w:afterLines="0" w:line="400" w:lineRule="exact"/>
        <w:ind w:left="0" w:leftChars="0" w:firstLine="404"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3.合同履行期间所有产生费用，包括评审费，劳务费等，由乙方负责，甲方不承担任何费用。</w:t>
      </w:r>
    </w:p>
    <w:p w14:paraId="06880A31">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4.甲乙双方确认，以下为各方真实有效通讯地址：</w:t>
      </w:r>
    </w:p>
    <w:p w14:paraId="2250CCC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b w:val="0"/>
          <w:bCs/>
          <w:color w:val="auto"/>
          <w:sz w:val="21"/>
          <w:szCs w:val="21"/>
          <w:highlight w:val="none"/>
          <w:u w:val="single"/>
        </w:rPr>
        <w:t>广西壮族自治区生态环境厅</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37110178">
      <w:pPr>
        <w:keepNext w:val="0"/>
        <w:keepLines w:val="0"/>
        <w:pageBreakBefore w:val="0"/>
        <w:widowControl/>
        <w:suppressLineNumbers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kern w:val="0"/>
          <w:sz w:val="21"/>
          <w:szCs w:val="21"/>
          <w:highlight w:val="none"/>
          <w:u w:val="single"/>
          <w:lang w:val="en-US" w:eastAsia="zh-CN" w:bidi="ar"/>
        </w:rPr>
        <w:t>广西南宁市青秀区佛子岭路 16 号</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 xml:space="preserve">， </w:t>
      </w:r>
    </w:p>
    <w:p w14:paraId="6C68C28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62AF75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u w:val="none"/>
          <w:lang w:val="en-US"/>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3B5C18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bidi="ar"/>
        </w:rPr>
        <w:t>。</w:t>
      </w:r>
    </w:p>
    <w:p w14:paraId="289E288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乙方：</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0854654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地址：</w:t>
      </w:r>
      <w:r>
        <w:rPr>
          <w:rFonts w:hint="eastAsia" w:ascii="宋体" w:hAnsi="宋体" w:eastAsia="宋体" w:cs="宋体"/>
          <w:color w:val="auto"/>
          <w:sz w:val="21"/>
          <w:szCs w:val="21"/>
          <w:highlight w:val="none"/>
          <w:u w:val="single"/>
          <w:lang w:val="en-US" w:eastAsia="zh-CN"/>
        </w:rPr>
        <w:t>　                 　</w:t>
      </w:r>
      <w:r>
        <w:rPr>
          <w:rFonts w:hint="eastAsia" w:ascii="宋体" w:hAnsi="宋体" w:eastAsia="宋体" w:cs="宋体"/>
          <w:color w:val="auto"/>
          <w:sz w:val="21"/>
          <w:szCs w:val="21"/>
          <w:highlight w:val="none"/>
          <w:u w:val="none"/>
          <w:lang w:val="en-US" w:eastAsia="zh-CN"/>
        </w:rPr>
        <w:t>，</w:t>
      </w:r>
    </w:p>
    <w:p w14:paraId="3F07B59A">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收件人：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494E98FD">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联系电话：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49E27AC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电子邮箱：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14:paraId="57B488C0">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2D31976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5.本合同一式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柒</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份，具有同等法律效力，政府采购监管部门、采购代理机构各</w:t>
      </w:r>
      <w:r>
        <w:rPr>
          <w:rFonts w:hint="eastAsia" w:ascii="宋体" w:hAnsi="宋体" w:eastAsia="宋体" w:cs="宋体"/>
          <w:color w:val="auto"/>
          <w:sz w:val="21"/>
          <w:szCs w:val="21"/>
          <w:highlight w:val="none"/>
          <w:u w:val="single"/>
        </w:rPr>
        <w:t>壹</w:t>
      </w:r>
      <w:r>
        <w:rPr>
          <w:rFonts w:hint="eastAsia" w:ascii="宋体" w:hAnsi="宋体" w:eastAsia="宋体" w:cs="宋体"/>
          <w:color w:val="auto"/>
          <w:sz w:val="21"/>
          <w:szCs w:val="21"/>
          <w:highlight w:val="none"/>
        </w:rPr>
        <w:t>份，甲方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叁</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份，乙方</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份。</w:t>
      </w:r>
    </w:p>
    <w:p w14:paraId="68CF8944">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本条款不因合同的变更、解除和终止而失效。</w:t>
      </w:r>
    </w:p>
    <w:p w14:paraId="6AE8730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both"/>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第十八条　合同附件</w:t>
      </w:r>
    </w:p>
    <w:p w14:paraId="100CEE6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附件一：保密协议</w:t>
      </w:r>
    </w:p>
    <w:p w14:paraId="1777092B">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附件二：采购需求</w:t>
      </w:r>
    </w:p>
    <w:p w14:paraId="013ADCC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附件三：</w:t>
      </w:r>
      <w:r>
        <w:rPr>
          <w:rFonts w:hint="eastAsia" w:ascii="宋体" w:hAnsi="宋体" w:eastAsia="宋体" w:cs="宋体"/>
          <w:color w:val="auto"/>
          <w:sz w:val="21"/>
          <w:szCs w:val="21"/>
          <w:highlight w:val="none"/>
          <w:lang w:eastAsia="zh-CN"/>
        </w:rPr>
        <w:t>竞标报价表</w:t>
      </w:r>
    </w:p>
    <w:p w14:paraId="326D8A0E">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附件四：开标一览表</w:t>
      </w:r>
    </w:p>
    <w:p w14:paraId="30D14F5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：服务要求偏离表</w:t>
      </w:r>
    </w:p>
    <w:p w14:paraId="35A4BE07">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：中标通知书</w:t>
      </w:r>
    </w:p>
    <w:p w14:paraId="21522BF6">
      <w:pPr>
        <w:keepNext w:val="0"/>
        <w:keepLines w:val="0"/>
        <w:pageBreakBefore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附件七：</w:t>
      </w:r>
      <w:r>
        <w:rPr>
          <w:rFonts w:hint="eastAsia" w:ascii="宋体" w:hAnsi="宋体" w:eastAsia="宋体" w:cs="宋体"/>
          <w:color w:val="auto"/>
          <w:sz w:val="21"/>
          <w:szCs w:val="21"/>
          <w:highlight w:val="none"/>
          <w:lang w:val="en-US" w:eastAsia="zh-CN"/>
        </w:rPr>
        <w:t xml:space="preserve">中小企业声明函（如有）   </w:t>
      </w:r>
    </w:p>
    <w:p w14:paraId="1F5BC773">
      <w:pPr>
        <w:keepNext w:val="0"/>
        <w:keepLines w:val="0"/>
        <w:pageBreakBefore w:val="0"/>
        <w:kinsoku/>
        <w:wordWrap/>
        <w:overflowPunct/>
        <w:topLinePunct w:val="0"/>
        <w:autoSpaceDE/>
        <w:autoSpaceDN/>
        <w:bidi w:val="0"/>
        <w:adjustRightInd/>
        <w:snapToGrid/>
        <w:spacing w:beforeLines="0" w:afterLines="0" w:line="400" w:lineRule="exact"/>
        <w:textAlignment w:val="auto"/>
        <w:rPr>
          <w:rFonts w:hint="eastAsia" w:ascii="宋体" w:hAnsi="宋体" w:eastAsia="宋体" w:cs="宋体"/>
          <w:color w:val="auto"/>
          <w:sz w:val="21"/>
          <w:szCs w:val="21"/>
          <w:highlight w:val="none"/>
        </w:rPr>
      </w:pPr>
    </w:p>
    <w:tbl>
      <w:tblPr>
        <w:tblStyle w:val="38"/>
        <w:tblW w:w="0" w:type="auto"/>
        <w:tblInd w:w="122" w:type="dxa"/>
        <w:tblLayout w:type="fixed"/>
        <w:tblCellMar>
          <w:top w:w="0" w:type="dxa"/>
          <w:left w:w="108" w:type="dxa"/>
          <w:bottom w:w="0" w:type="dxa"/>
          <w:right w:w="108" w:type="dxa"/>
        </w:tblCellMar>
      </w:tblPr>
      <w:tblGrid>
        <w:gridCol w:w="4165"/>
        <w:gridCol w:w="4105"/>
      </w:tblGrid>
      <w:tr w14:paraId="7D30EF00">
        <w:trPr>
          <w:trHeight w:val="981" w:hRule="atLeast"/>
        </w:trPr>
        <w:tc>
          <w:tcPr>
            <w:tcW w:w="4165" w:type="dxa"/>
            <w:noWrap w:val="0"/>
            <w:vAlign w:val="top"/>
          </w:tcPr>
          <w:p w14:paraId="3E526B9F">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105" w:type="dxa"/>
            <w:noWrap w:val="0"/>
            <w:vAlign w:val="top"/>
          </w:tcPr>
          <w:p w14:paraId="6DAFB12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4EFFFA0A">
        <w:trPr>
          <w:trHeight w:val="1050" w:hRule="atLeast"/>
        </w:trPr>
        <w:tc>
          <w:tcPr>
            <w:tcW w:w="4165" w:type="dxa"/>
            <w:noWrap w:val="0"/>
            <w:vAlign w:val="top"/>
          </w:tcPr>
          <w:p w14:paraId="6C8B08D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278945A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07188577">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105" w:type="dxa"/>
            <w:noWrap w:val="0"/>
            <w:vAlign w:val="top"/>
          </w:tcPr>
          <w:p w14:paraId="2E5BB4E4">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5672559F">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7635E7AA">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1ED19493">
        <w:trPr>
          <w:trHeight w:val="921" w:hRule="atLeast"/>
        </w:trPr>
        <w:tc>
          <w:tcPr>
            <w:tcW w:w="4165" w:type="dxa"/>
            <w:noWrap w:val="0"/>
            <w:vAlign w:val="top"/>
          </w:tcPr>
          <w:p w14:paraId="324AD51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105" w:type="dxa"/>
            <w:noWrap w:val="0"/>
            <w:vAlign w:val="top"/>
          </w:tcPr>
          <w:p w14:paraId="2BA2D5E0">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115F047E">
      <w:pPr>
        <w:pageBreakBefore w:val="0"/>
        <w:kinsoku/>
        <w:wordWrap/>
        <w:overflowPunct/>
        <w:topLinePunct w:val="0"/>
        <w:autoSpaceDE/>
        <w:autoSpaceDN/>
        <w:bidi w:val="0"/>
        <w:spacing w:beforeLines="0" w:afterLines="0" w:line="400" w:lineRule="exact"/>
        <w:textAlignment w:val="auto"/>
        <w:rPr>
          <w:rFonts w:hint="eastAsia" w:ascii="宋体" w:hAnsi="宋体" w:eastAsia="宋体" w:cs="宋体"/>
          <w:b/>
          <w:bCs/>
          <w:color w:val="auto"/>
          <w:sz w:val="21"/>
          <w:szCs w:val="21"/>
          <w:highlight w:val="none"/>
        </w:rPr>
      </w:pPr>
      <w:bookmarkStart w:id="186" w:name="_Toc1070"/>
      <w:bookmarkStart w:id="187" w:name="_Toc13132"/>
      <w:r>
        <w:rPr>
          <w:rFonts w:hint="eastAsia" w:ascii="宋体" w:hAnsi="宋体" w:eastAsia="宋体" w:cs="宋体"/>
          <w:b/>
          <w:bCs/>
          <w:color w:val="auto"/>
          <w:sz w:val="21"/>
          <w:szCs w:val="21"/>
          <w:highlight w:val="none"/>
        </w:rPr>
        <w:br w:type="page"/>
      </w:r>
      <w:r>
        <w:rPr>
          <w:rFonts w:hint="eastAsia" w:ascii="宋体" w:hAnsi="宋体" w:eastAsia="宋体" w:cs="宋体"/>
          <w:b/>
          <w:bCs/>
          <w:color w:val="auto"/>
          <w:sz w:val="21"/>
          <w:szCs w:val="21"/>
          <w:highlight w:val="none"/>
        </w:rPr>
        <w:t>附件一：保密协议</w:t>
      </w:r>
      <w:bookmarkEnd w:id="186"/>
      <w:bookmarkEnd w:id="187"/>
    </w:p>
    <w:p w14:paraId="09C1A9EE">
      <w:pPr>
        <w:pStyle w:val="4"/>
        <w:pageBreakBefore w:val="0"/>
        <w:kinsoku/>
        <w:wordWrap/>
        <w:overflowPunct/>
        <w:topLinePunct w:val="0"/>
        <w:autoSpaceDE/>
        <w:autoSpaceDN/>
        <w:bidi w:val="0"/>
        <w:spacing w:line="400" w:lineRule="exact"/>
        <w:jc w:val="center"/>
        <w:textAlignment w:val="auto"/>
        <w:rPr>
          <w:rFonts w:hint="eastAsia"/>
          <w:color w:val="auto"/>
          <w:highlight w:val="none"/>
        </w:rPr>
      </w:pPr>
      <w:bookmarkStart w:id="188" w:name="_Toc132707357"/>
      <w:bookmarkStart w:id="189" w:name="_Toc19167"/>
      <w:r>
        <w:rPr>
          <w:rFonts w:hint="eastAsia"/>
          <w:color w:val="auto"/>
          <w:highlight w:val="none"/>
        </w:rPr>
        <w:t>保密协议</w:t>
      </w:r>
      <w:bookmarkEnd w:id="188"/>
      <w:bookmarkEnd w:id="189"/>
    </w:p>
    <w:p w14:paraId="3996C242">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20F333D7">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甲方：广西壮族自治区生态环境厅</w:t>
      </w:r>
    </w:p>
    <w:p w14:paraId="0D7E551B">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负责人：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地址：广西南宁市青秀区佛子岭路16号</w:t>
      </w:r>
    </w:p>
    <w:p w14:paraId="5283E05C">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    乙方：</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p>
    <w:p w14:paraId="7EB25664">
      <w:pPr>
        <w:pageBreakBefore w:val="0"/>
        <w:kinsoku/>
        <w:wordWrap/>
        <w:overflowPunct/>
        <w:topLinePunct w:val="0"/>
        <w:autoSpaceDE/>
        <w:autoSpaceDN/>
        <w:bidi w:val="0"/>
        <w:adjustRightInd w:val="0"/>
        <w:snapToGrid w:val="0"/>
        <w:spacing w:beforeLines="0" w:afterLines="0"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p>
    <w:p w14:paraId="7DD53676">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 xml:space="preserve">  </w:t>
      </w:r>
    </w:p>
    <w:p w14:paraId="39EA0423">
      <w:pPr>
        <w:pageBreakBefore w:val="0"/>
        <w:kinsoku/>
        <w:wordWrap/>
        <w:overflowPunct/>
        <w:topLinePunct w:val="0"/>
        <w:autoSpaceDE/>
        <w:autoSpaceDN/>
        <w:bidi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鉴于本协议甲乙双方就双方签订的编号为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等开展业务/合作；在开展业务/合作的过程中，预计甲方将为上述之目的向乙方披露甲方的专有信息且此等信息均被视为保密信息；因此，双方在此达成如下保密协议：</w:t>
      </w:r>
    </w:p>
    <w:p w14:paraId="75D5A199">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sz w:val="21"/>
          <w:szCs w:val="21"/>
          <w:highlight w:val="none"/>
          <w:lang w:eastAsia="zh-CN"/>
        </w:rPr>
      </w:pPr>
      <w:bookmarkStart w:id="190" w:name="_Toc1584680693"/>
      <w:bookmarkStart w:id="191" w:name="_Toc132707358"/>
      <w:bookmarkStart w:id="192" w:name="_Toc22190"/>
      <w:r>
        <w:rPr>
          <w:rFonts w:hint="eastAsia" w:ascii="宋体" w:hAnsi="宋体" w:eastAsia="宋体" w:cs="宋体"/>
          <w:b/>
          <w:color w:val="auto"/>
          <w:sz w:val="21"/>
          <w:szCs w:val="21"/>
          <w:highlight w:val="none"/>
          <w:lang w:eastAsia="zh-CN"/>
        </w:rPr>
        <w:t>一、本协议保密信息的界定</w:t>
      </w:r>
      <w:bookmarkEnd w:id="190"/>
      <w:bookmarkEnd w:id="191"/>
      <w:bookmarkEnd w:id="192"/>
    </w:p>
    <w:p w14:paraId="784E3059">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3" w:name="_Toc132707359"/>
      <w:bookmarkStart w:id="194" w:name="_Toc1710318546"/>
      <w:bookmarkStart w:id="195" w:name="_Toc8357"/>
      <w:r>
        <w:rPr>
          <w:rFonts w:hint="eastAsia" w:ascii="宋体" w:hAnsi="宋体" w:eastAsia="宋体" w:cs="宋体"/>
          <w:color w:val="auto"/>
          <w:sz w:val="21"/>
          <w:szCs w:val="21"/>
          <w:highlight w:val="none"/>
          <w:lang w:eastAsia="zh-CN"/>
        </w:rPr>
        <w:t>（一）为本协议之目的，“保密信息”是指为实现前述业务/合作目的,甲方向乙方提供或披露的任何甲方不欲公开的机密信息，或者任何其它非公开或专有的信息、数据、设想或概念、标准，和/或其中的任何知识产权，无论该等信息或数据的载体形式、也不论披露是在本协议生效之前或之后。</w:t>
      </w:r>
      <w:r>
        <w:rPr>
          <w:rFonts w:hint="eastAsia" w:ascii="宋体" w:hAnsi="宋体" w:eastAsia="宋体" w:cs="宋体"/>
          <w:color w:val="auto"/>
          <w:kern w:val="2"/>
          <w:sz w:val="21"/>
          <w:szCs w:val="21"/>
          <w:highlight w:val="none"/>
          <w:lang w:eastAsia="zh-CN"/>
        </w:rPr>
        <w:t>本协议所指保密信息包括但不限于以下内容：</w:t>
      </w:r>
      <w:bookmarkEnd w:id="193"/>
      <w:bookmarkEnd w:id="194"/>
      <w:bookmarkEnd w:id="195"/>
    </w:p>
    <w:p w14:paraId="41ABCABD">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6" w:name="_Toc13086"/>
      <w:bookmarkStart w:id="197" w:name="_Toc1676583173"/>
      <w:bookmarkStart w:id="198" w:name="_Toc132707360"/>
      <w:r>
        <w:rPr>
          <w:rFonts w:hint="eastAsia" w:ascii="宋体" w:hAnsi="宋体" w:eastAsia="宋体" w:cs="宋体"/>
          <w:b/>
          <w:bCs/>
          <w:color w:val="auto"/>
          <w:kern w:val="2"/>
          <w:sz w:val="21"/>
          <w:szCs w:val="21"/>
          <w:highlight w:val="none"/>
          <w:lang w:eastAsia="zh-CN"/>
        </w:rPr>
        <w:t>技术信息</w:t>
      </w:r>
      <w:r>
        <w:rPr>
          <w:rFonts w:hint="eastAsia" w:ascii="宋体" w:hAnsi="宋体" w:eastAsia="宋体" w:cs="宋体"/>
          <w:color w:val="auto"/>
          <w:kern w:val="2"/>
          <w:sz w:val="21"/>
          <w:szCs w:val="21"/>
          <w:highlight w:val="none"/>
          <w:lang w:eastAsia="zh-CN"/>
        </w:rPr>
        <w:t>：包括甲方专有的技术方案、网络组织、系统及应用软件、数据库、未公开的具有国内先进水平以上的科技成果、技术文档、商务合同、招标方案、评标结果、涉及商业秘密的业务函电等。</w:t>
      </w:r>
      <w:bookmarkEnd w:id="196"/>
      <w:bookmarkEnd w:id="197"/>
      <w:bookmarkEnd w:id="198"/>
    </w:p>
    <w:p w14:paraId="115B5CDE">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199" w:name="_Toc1177140318"/>
      <w:bookmarkStart w:id="200" w:name="_Toc132707361"/>
      <w:bookmarkStart w:id="201" w:name="_Toc17544"/>
      <w:r>
        <w:rPr>
          <w:rFonts w:hint="eastAsia" w:ascii="宋体" w:hAnsi="宋体" w:eastAsia="宋体" w:cs="宋体"/>
          <w:b/>
          <w:bCs/>
          <w:color w:val="auto"/>
          <w:kern w:val="2"/>
          <w:sz w:val="21"/>
          <w:szCs w:val="21"/>
          <w:highlight w:val="none"/>
          <w:lang w:eastAsia="zh-CN"/>
        </w:rPr>
        <w:t>经营信息：</w:t>
      </w:r>
      <w:r>
        <w:rPr>
          <w:rFonts w:hint="eastAsia" w:ascii="宋体" w:hAnsi="宋体" w:eastAsia="宋体" w:cs="宋体"/>
          <w:color w:val="auto"/>
          <w:kern w:val="2"/>
          <w:sz w:val="21"/>
          <w:szCs w:val="21"/>
          <w:highlight w:val="none"/>
          <w:lang w:eastAsia="zh-CN"/>
        </w:rPr>
        <w:t>包括甲方发展战略规划、投资计划及年度计划；甲方策略、资料、重大活动计划及安排、暂不公开或不公开的对接单位、合作伙伴相关信息；甲方重要会议内容及记录、以及管理相关文件。</w:t>
      </w:r>
      <w:bookmarkEnd w:id="199"/>
      <w:bookmarkEnd w:id="200"/>
      <w:bookmarkEnd w:id="201"/>
    </w:p>
    <w:p w14:paraId="658849A3">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2" w:name="_Toc2119817172"/>
      <w:bookmarkStart w:id="203" w:name="_Toc132707362"/>
      <w:bookmarkStart w:id="204" w:name="_Toc10231"/>
      <w:r>
        <w:rPr>
          <w:rFonts w:hint="eastAsia" w:ascii="宋体" w:hAnsi="宋体" w:eastAsia="宋体" w:cs="宋体"/>
          <w:b/>
          <w:bCs/>
          <w:color w:val="auto"/>
          <w:kern w:val="2"/>
          <w:sz w:val="21"/>
          <w:szCs w:val="21"/>
          <w:highlight w:val="none"/>
          <w:lang w:eastAsia="zh-CN"/>
        </w:rPr>
        <w:t>其他：</w:t>
      </w:r>
      <w:r>
        <w:rPr>
          <w:rFonts w:hint="eastAsia" w:ascii="宋体" w:hAnsi="宋体" w:eastAsia="宋体" w:cs="宋体"/>
          <w:color w:val="auto"/>
          <w:kern w:val="2"/>
          <w:sz w:val="21"/>
          <w:szCs w:val="21"/>
          <w:highlight w:val="none"/>
          <w:lang w:eastAsia="zh-CN"/>
        </w:rPr>
        <w:t>针对</w:t>
      </w:r>
      <w:r>
        <w:rPr>
          <w:rFonts w:hint="eastAsia" w:ascii="宋体" w:hAnsi="宋体" w:eastAsia="宋体" w:cs="宋体"/>
          <w:color w:val="auto"/>
          <w:sz w:val="21"/>
          <w:szCs w:val="21"/>
          <w:highlight w:val="none"/>
          <w:lang w:eastAsia="zh-CN"/>
        </w:rPr>
        <w:t>业务/合作</w:t>
      </w:r>
      <w:r>
        <w:rPr>
          <w:rFonts w:hint="eastAsia" w:ascii="宋体" w:hAnsi="宋体" w:eastAsia="宋体" w:cs="宋体"/>
          <w:color w:val="auto"/>
          <w:kern w:val="2"/>
          <w:sz w:val="21"/>
          <w:szCs w:val="21"/>
          <w:highlight w:val="none"/>
          <w:lang w:eastAsia="zh-CN"/>
        </w:rPr>
        <w:t>需要，甲方向乙方提供的所有相关资料和数据。</w:t>
      </w:r>
      <w:bookmarkEnd w:id="202"/>
      <w:bookmarkEnd w:id="203"/>
      <w:bookmarkEnd w:id="204"/>
    </w:p>
    <w:p w14:paraId="0BD7F697">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（二）上述保密信息的披露，包括但不限于以数据、文字、录音及记载上述内容的文档、光盘、软件、图书等有形介质体现，也可通过口头等视听方式传递。</w:t>
      </w:r>
    </w:p>
    <w:p w14:paraId="374161DB">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05" w:name="_Toc8214"/>
      <w:bookmarkStart w:id="206" w:name="_Toc1121355855"/>
      <w:bookmarkStart w:id="207" w:name="_Toc132707363"/>
      <w:r>
        <w:rPr>
          <w:rFonts w:hint="eastAsia" w:ascii="宋体" w:hAnsi="宋体" w:eastAsia="宋体" w:cs="宋体"/>
          <w:b/>
          <w:color w:val="auto"/>
          <w:kern w:val="2"/>
          <w:sz w:val="21"/>
          <w:szCs w:val="21"/>
          <w:highlight w:val="none"/>
          <w:lang w:eastAsia="zh-CN"/>
        </w:rPr>
        <w:t>二、以下信息不属于本协议所定义的保密信息，不受本协议的约束：</w:t>
      </w:r>
      <w:bookmarkEnd w:id="205"/>
      <w:bookmarkEnd w:id="206"/>
      <w:bookmarkEnd w:id="207"/>
    </w:p>
    <w:p w14:paraId="3ADD9BDB">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08" w:name="_Toc1638646153"/>
      <w:bookmarkStart w:id="209" w:name="_Toc132707364"/>
      <w:bookmarkStart w:id="210" w:name="_Toc21538"/>
      <w:r>
        <w:rPr>
          <w:rFonts w:hint="eastAsia" w:ascii="宋体" w:hAnsi="宋体" w:eastAsia="宋体" w:cs="宋体"/>
          <w:color w:val="auto"/>
          <w:kern w:val="2"/>
          <w:sz w:val="21"/>
          <w:szCs w:val="21"/>
          <w:highlight w:val="none"/>
          <w:lang w:eastAsia="zh-CN"/>
        </w:rPr>
        <w:t>（一）乙方能够证明已处于公开状态或并不违反本协议即可获得的任何信息；</w:t>
      </w:r>
      <w:bookmarkEnd w:id="208"/>
      <w:bookmarkEnd w:id="209"/>
      <w:bookmarkEnd w:id="210"/>
    </w:p>
    <w:p w14:paraId="387E4F55">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bookmarkStart w:id="211" w:name="_Toc132707365"/>
      <w:bookmarkStart w:id="212" w:name="_Toc6067"/>
      <w:bookmarkStart w:id="213" w:name="_Toc1676986016"/>
      <w:r>
        <w:rPr>
          <w:rFonts w:hint="eastAsia" w:ascii="宋体" w:hAnsi="宋体" w:eastAsia="宋体" w:cs="宋体"/>
          <w:color w:val="auto"/>
          <w:sz w:val="21"/>
          <w:szCs w:val="21"/>
          <w:highlight w:val="none"/>
          <w:lang w:eastAsia="zh-CN"/>
        </w:rPr>
        <w:t>（二）书面记录能够证明从甲方收到前乙方已经掌握的信息；</w:t>
      </w:r>
      <w:bookmarkEnd w:id="211"/>
      <w:bookmarkEnd w:id="212"/>
      <w:bookmarkEnd w:id="213"/>
    </w:p>
    <w:p w14:paraId="6D63BAA3">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14" w:name="_Toc1259475693"/>
      <w:bookmarkStart w:id="215" w:name="_Toc20237"/>
      <w:bookmarkStart w:id="216" w:name="_Toc132707366"/>
      <w:r>
        <w:rPr>
          <w:rFonts w:hint="eastAsia" w:ascii="宋体" w:hAnsi="宋体" w:eastAsia="宋体" w:cs="宋体"/>
          <w:color w:val="auto"/>
          <w:kern w:val="2"/>
          <w:sz w:val="21"/>
          <w:szCs w:val="21"/>
          <w:highlight w:val="none"/>
          <w:lang w:eastAsia="zh-CN"/>
        </w:rPr>
        <w:t>（三）经甲方书面同意披露或许可使用的信息。</w:t>
      </w:r>
      <w:bookmarkEnd w:id="214"/>
      <w:bookmarkEnd w:id="215"/>
      <w:bookmarkEnd w:id="216"/>
    </w:p>
    <w:p w14:paraId="09F36DB1">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17" w:name="_Toc1364483399"/>
      <w:bookmarkStart w:id="218" w:name="_Toc132707367"/>
      <w:bookmarkStart w:id="219" w:name="_Toc32588"/>
      <w:r>
        <w:rPr>
          <w:rFonts w:hint="eastAsia" w:ascii="宋体" w:hAnsi="宋体" w:eastAsia="宋体" w:cs="宋体"/>
          <w:b/>
          <w:color w:val="auto"/>
          <w:kern w:val="2"/>
          <w:sz w:val="21"/>
          <w:szCs w:val="21"/>
          <w:highlight w:val="none"/>
          <w:lang w:eastAsia="zh-CN"/>
        </w:rPr>
        <w:t>三、保密义务及具体要求</w:t>
      </w:r>
      <w:bookmarkEnd w:id="217"/>
      <w:bookmarkEnd w:id="218"/>
      <w:bookmarkEnd w:id="219"/>
    </w:p>
    <w:p w14:paraId="36AF6CE7">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0" w:name="_Toc132707368"/>
      <w:bookmarkStart w:id="221" w:name="_Toc1861507462"/>
      <w:bookmarkStart w:id="222" w:name="_Toc5726"/>
      <w:r>
        <w:rPr>
          <w:rFonts w:hint="eastAsia" w:ascii="宋体" w:hAnsi="宋体" w:eastAsia="宋体" w:cs="宋体"/>
          <w:color w:val="auto"/>
          <w:kern w:val="2"/>
          <w:sz w:val="21"/>
          <w:szCs w:val="21"/>
          <w:highlight w:val="none"/>
          <w:lang w:eastAsia="zh-CN"/>
        </w:rPr>
        <w:t>（一）乙方应以对待自己同等重要的保密文件一样的谨慎态度对待甲方提供的保密信息，乙方应要求其获悉保密信息的所有人员采取必要的措施对收到的保密信息进行存档和保密，避免任何其他第三方及乙方的无关人员以任何方式获得此保密信息；</w:t>
      </w:r>
      <w:bookmarkEnd w:id="220"/>
      <w:bookmarkEnd w:id="221"/>
      <w:bookmarkEnd w:id="222"/>
    </w:p>
    <w:p w14:paraId="2B19E5CD">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3" w:name="_Toc32822840"/>
      <w:bookmarkStart w:id="224" w:name="_Toc6568"/>
      <w:bookmarkStart w:id="225" w:name="_Toc132707369"/>
      <w:r>
        <w:rPr>
          <w:rFonts w:hint="eastAsia" w:ascii="宋体" w:hAnsi="宋体" w:eastAsia="宋体" w:cs="宋体"/>
          <w:color w:val="auto"/>
          <w:kern w:val="2"/>
          <w:sz w:val="21"/>
          <w:szCs w:val="21"/>
          <w:highlight w:val="none"/>
          <w:lang w:eastAsia="zh-CN"/>
        </w:rPr>
        <w:t>（二）乙方保证该保密信息仅用于与业务/合作有关的用途。未经甲方书面同意，乙方不得将保密信息用于业务/合作以外的任何用途、不得对保密信息进行复制、或利用保密信息进行新的研究或开发；</w:t>
      </w:r>
      <w:bookmarkEnd w:id="223"/>
      <w:bookmarkEnd w:id="224"/>
      <w:bookmarkEnd w:id="225"/>
    </w:p>
    <w:p w14:paraId="372E65DE">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6" w:name="_Toc13939"/>
      <w:bookmarkStart w:id="227" w:name="_Toc132707370"/>
      <w:bookmarkStart w:id="228" w:name="_Toc1692559735"/>
      <w:r>
        <w:rPr>
          <w:rFonts w:hint="eastAsia" w:ascii="宋体" w:hAnsi="宋体" w:eastAsia="宋体" w:cs="宋体"/>
          <w:color w:val="auto"/>
          <w:kern w:val="2"/>
          <w:sz w:val="21"/>
          <w:szCs w:val="21"/>
          <w:highlight w:val="none"/>
          <w:lang w:eastAsia="zh-CN"/>
        </w:rPr>
        <w:t>（三）乙方保证仅为与甲方业务/合作的目的向乙方确有知悉必要的雇员、董事、顾问和/或咨询人员披露保密信息，且对保密信息的披露及利用符合甲方的利益。在乙方上述人员知悉该保密信息前，应向其说明保密信息的保密性及其应承担的义务，保证上述人员同意接收本协议条款的约束，并对上述人员的保密行为进行有效的监督管理。因前述人员违背上述承诺，向第三方披露保密信息，或依据该等保密信息向第三方做出任何建议，都被视为乙方违反本协议，乙方应承担全部责任，且乙方应采取有效措施防止泄密进一步扩大，并及时告知甲方；</w:t>
      </w:r>
      <w:bookmarkEnd w:id="226"/>
      <w:bookmarkEnd w:id="227"/>
      <w:bookmarkEnd w:id="228"/>
    </w:p>
    <w:p w14:paraId="41A8852D">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29" w:name="_Toc11143"/>
      <w:bookmarkStart w:id="230" w:name="_Toc915692807"/>
      <w:bookmarkStart w:id="231" w:name="_Toc132707371"/>
      <w:r>
        <w:rPr>
          <w:rFonts w:hint="eastAsia" w:ascii="宋体" w:hAnsi="宋体" w:eastAsia="宋体" w:cs="宋体"/>
          <w:color w:val="auto"/>
          <w:kern w:val="2"/>
          <w:sz w:val="21"/>
          <w:szCs w:val="21"/>
          <w:highlight w:val="none"/>
          <w:lang w:eastAsia="zh-CN"/>
        </w:rPr>
        <w:t>（四）甲方的保密信息的部分或个别要素虽被披露成为公知信息，但该信息的其它部分或整体尚未成为公知信息的，乙方仍应按本协议约定对未公开部分的信息履行保密义务；</w:t>
      </w:r>
      <w:bookmarkEnd w:id="229"/>
      <w:bookmarkEnd w:id="230"/>
      <w:bookmarkEnd w:id="231"/>
    </w:p>
    <w:p w14:paraId="5FC4EB74">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2" w:name="_Toc27551"/>
      <w:bookmarkStart w:id="233" w:name="_Toc132707372"/>
      <w:bookmarkStart w:id="234" w:name="_Toc1707662881"/>
      <w:r>
        <w:rPr>
          <w:rFonts w:hint="eastAsia" w:ascii="宋体" w:hAnsi="宋体" w:eastAsia="宋体" w:cs="宋体"/>
          <w:color w:val="auto"/>
          <w:kern w:val="2"/>
          <w:sz w:val="21"/>
          <w:szCs w:val="21"/>
          <w:highlight w:val="none"/>
          <w:lang w:eastAsia="zh-CN"/>
        </w:rPr>
        <w:t>（五）对于本协议签署前、签署过程及履行等过程中，乙方所接触到的甲方及甲方关联单位的保密信息，乙方应依据本协议约定履行保密义务。</w:t>
      </w:r>
      <w:bookmarkEnd w:id="232"/>
      <w:bookmarkEnd w:id="233"/>
      <w:bookmarkEnd w:id="234"/>
    </w:p>
    <w:p w14:paraId="2DCAAD11">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35" w:name="_Toc1925938929"/>
      <w:bookmarkStart w:id="236" w:name="_Toc2129"/>
      <w:bookmarkStart w:id="237" w:name="_Toc132707373"/>
      <w:r>
        <w:rPr>
          <w:rFonts w:hint="eastAsia" w:ascii="宋体" w:hAnsi="宋体" w:eastAsia="宋体" w:cs="宋体"/>
          <w:bCs/>
          <w:color w:val="auto"/>
          <w:kern w:val="2"/>
          <w:sz w:val="21"/>
          <w:szCs w:val="21"/>
          <w:highlight w:val="none"/>
          <w:lang w:eastAsia="zh-CN"/>
        </w:rPr>
        <w:t>（六）</w:t>
      </w:r>
      <w:r>
        <w:rPr>
          <w:rFonts w:hint="eastAsia" w:ascii="宋体" w:hAnsi="宋体" w:eastAsia="宋体" w:cs="宋体"/>
          <w:color w:val="auto"/>
          <w:kern w:val="2"/>
          <w:sz w:val="21"/>
          <w:szCs w:val="21"/>
          <w:highlight w:val="none"/>
          <w:lang w:eastAsia="zh-CN"/>
        </w:rPr>
        <w:t>甲方如发现乙方存在涉及保密信息保护措施缺失、数据滥用、严重泄露等问题，甲方有权按照本协议相关条款进行处理，并且对于已产生的实际损失和不良影响，由乙方全责承担。</w:t>
      </w:r>
      <w:bookmarkEnd w:id="235"/>
      <w:bookmarkEnd w:id="236"/>
      <w:bookmarkEnd w:id="237"/>
    </w:p>
    <w:p w14:paraId="3CF7EB51">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5" w:firstLineChars="202"/>
        <w:jc w:val="both"/>
        <w:textAlignment w:val="auto"/>
        <w:outlineLvl w:val="9"/>
        <w:rPr>
          <w:rFonts w:hint="eastAsia" w:ascii="宋体" w:hAnsi="宋体" w:eastAsia="宋体" w:cs="宋体"/>
          <w:b/>
          <w:color w:val="auto"/>
          <w:kern w:val="2"/>
          <w:sz w:val="21"/>
          <w:szCs w:val="21"/>
          <w:highlight w:val="none"/>
          <w:lang w:eastAsia="zh-CN"/>
        </w:rPr>
      </w:pPr>
      <w:bookmarkStart w:id="238" w:name="_Toc1127185982"/>
      <w:bookmarkStart w:id="239" w:name="_Toc10877"/>
      <w:bookmarkStart w:id="240" w:name="_Toc132707374"/>
      <w:r>
        <w:rPr>
          <w:rFonts w:hint="eastAsia" w:ascii="宋体" w:hAnsi="宋体" w:eastAsia="宋体" w:cs="宋体"/>
          <w:b/>
          <w:color w:val="auto"/>
          <w:kern w:val="2"/>
          <w:sz w:val="21"/>
          <w:szCs w:val="21"/>
          <w:highlight w:val="none"/>
          <w:lang w:eastAsia="zh-CN"/>
        </w:rPr>
        <w:t>四、保密期限</w:t>
      </w:r>
      <w:bookmarkEnd w:id="238"/>
      <w:bookmarkEnd w:id="239"/>
      <w:bookmarkEnd w:id="240"/>
    </w:p>
    <w:p w14:paraId="7C98607F">
      <w:pPr>
        <w:pStyle w:val="126"/>
        <w:pageBreakBefore w:val="0"/>
        <w:tabs>
          <w:tab w:val="left" w:pos="0"/>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1" w:name="_Toc28068"/>
      <w:bookmarkStart w:id="242" w:name="_Toc1266928463"/>
      <w:bookmarkStart w:id="243" w:name="_Toc132707375"/>
      <w:r>
        <w:rPr>
          <w:rFonts w:hint="eastAsia" w:ascii="宋体" w:hAnsi="宋体" w:eastAsia="宋体" w:cs="宋体"/>
          <w:color w:val="auto"/>
          <w:kern w:val="2"/>
          <w:sz w:val="21"/>
          <w:szCs w:val="21"/>
          <w:highlight w:val="none"/>
          <w:lang w:eastAsia="zh-CN"/>
        </w:rPr>
        <w:t>（一）乙方保密的义务长期有效。无论双方业务/合作协议是否成立、届满、终止或被取代，乙方的保密义务应持续有效，直到甲方以书面形式明确说明解除乙方此项义务，或事实上不会因违反保密义务而给甲方造成任何形式的损害时为止；</w:t>
      </w:r>
      <w:bookmarkEnd w:id="241"/>
      <w:bookmarkEnd w:id="242"/>
      <w:bookmarkEnd w:id="243"/>
    </w:p>
    <w:p w14:paraId="270DF682">
      <w:pPr>
        <w:pStyle w:val="126"/>
        <w:pageBreakBefore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color w:val="auto"/>
          <w:kern w:val="2"/>
          <w:sz w:val="21"/>
          <w:szCs w:val="21"/>
          <w:highlight w:val="none"/>
          <w:lang w:eastAsia="zh-CN"/>
        </w:rPr>
      </w:pPr>
      <w:bookmarkStart w:id="244" w:name="_Toc914130467"/>
      <w:bookmarkStart w:id="245" w:name="_Toc12255"/>
      <w:bookmarkStart w:id="246" w:name="_Toc132707376"/>
      <w:r>
        <w:rPr>
          <w:rFonts w:hint="eastAsia" w:ascii="宋体" w:hAnsi="宋体" w:eastAsia="宋体" w:cs="宋体"/>
          <w:color w:val="auto"/>
          <w:kern w:val="2"/>
          <w:sz w:val="21"/>
          <w:szCs w:val="21"/>
          <w:highlight w:val="none"/>
          <w:lang w:eastAsia="zh-CN"/>
        </w:rPr>
        <w:t>（二）双方业务/合作终止后，乙方应及时将承载保密信息的介质原件及复制件全部返还甲方，或对复制件进行彻底销毁，或按甲方要求的其他形式处理。最迟不得超过甲方发出交还或处理通知之日起三十日。</w:t>
      </w:r>
      <w:bookmarkEnd w:id="244"/>
      <w:bookmarkEnd w:id="245"/>
      <w:bookmarkEnd w:id="246"/>
    </w:p>
    <w:p w14:paraId="6785BF4C">
      <w:pPr>
        <w:pStyle w:val="126"/>
        <w:pageBreakBefore w:val="0"/>
        <w:widowControl w:val="0"/>
        <w:tabs>
          <w:tab w:val="left" w:pos="709"/>
        </w:tabs>
        <w:kinsoku/>
        <w:wordWrap/>
        <w:overflowPunct/>
        <w:topLinePunct w:val="0"/>
        <w:autoSpaceDE/>
        <w:autoSpaceDN/>
        <w:bidi w:val="0"/>
        <w:adjustRightInd w:val="0"/>
        <w:snapToGrid w:val="0"/>
        <w:spacing w:beforeLines="0" w:after="0" w:afterLines="0" w:line="400" w:lineRule="exact"/>
        <w:ind w:firstLine="420" w:firstLineChars="200"/>
        <w:jc w:val="both"/>
        <w:textAlignment w:val="auto"/>
        <w:outlineLvl w:val="9"/>
        <w:rPr>
          <w:rFonts w:hint="eastAsia" w:ascii="宋体" w:hAnsi="宋体" w:eastAsia="宋体" w:cs="宋体"/>
          <w:b/>
          <w:color w:val="auto"/>
          <w:kern w:val="2"/>
          <w:sz w:val="21"/>
          <w:szCs w:val="21"/>
          <w:highlight w:val="none"/>
          <w:lang w:eastAsia="zh-CN"/>
        </w:rPr>
      </w:pPr>
      <w:bookmarkStart w:id="247" w:name="_Toc512442950"/>
      <w:bookmarkStart w:id="248" w:name="_Toc132707377"/>
      <w:bookmarkStart w:id="249" w:name="_Toc27660"/>
      <w:r>
        <w:rPr>
          <w:rFonts w:hint="eastAsia" w:ascii="宋体" w:hAnsi="宋体" w:eastAsia="宋体" w:cs="宋体"/>
          <w:b/>
          <w:color w:val="auto"/>
          <w:kern w:val="2"/>
          <w:sz w:val="21"/>
          <w:szCs w:val="21"/>
          <w:highlight w:val="none"/>
          <w:lang w:eastAsia="zh-CN"/>
        </w:rPr>
        <w:t>五、违约责任</w:t>
      </w:r>
      <w:bookmarkEnd w:id="247"/>
      <w:bookmarkEnd w:id="248"/>
      <w:bookmarkEnd w:id="249"/>
    </w:p>
    <w:p w14:paraId="6FD77BA7">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（一）如乙方有违反本协议的情形，无论故意与过失，应当立即停止侵害，并在第一时间采取一切必要措施防止保密信息的扩散，尽最大可能消除影响；</w:t>
      </w:r>
    </w:p>
    <w:p w14:paraId="7C093FB7">
      <w:pPr>
        <w:pageBreakBefore w:val="0"/>
        <w:widowControl/>
        <w:kinsoku/>
        <w:wordWrap/>
        <w:overflowPunct/>
        <w:topLinePunct w:val="0"/>
        <w:autoSpaceDE/>
        <w:autoSpaceDN/>
        <w:bidi w:val="0"/>
        <w:adjustRightInd w:val="0"/>
        <w:snapToGrid w:val="0"/>
        <w:spacing w:beforeLines="0" w:afterLines="0" w:line="400" w:lineRule="exact"/>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（二）乙方未履行或未完全履行本协议项下的条款均构成违约，乙方应赔偿因此而给甲方造成的一切损失，包括但不限于甲方因调查违约行为、仲裁、诉讼、聘请律师、保全等而支付的合理费用和开支。</w:t>
      </w:r>
    </w:p>
    <w:p w14:paraId="23D059AF">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六、其他</w:t>
      </w:r>
    </w:p>
    <w:p w14:paraId="7617558D">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（一）本协议适用中华人民共和国法律法规的规定，凡因本协议引起的或与本协议有关的任何争议，双方可通过协商解决。协商不成则将争议提交甲方所在地有管辖权的人民法院通过诉讼方式解决。</w:t>
      </w:r>
    </w:p>
    <w:p w14:paraId="1FBDCEEE">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作过程中，甲方披露的保密信息的权属可能归属于甲方的关联公司，乙方同意该等信息的保密按本协议约定履行。本协议所指甲方关联公司为：甲方在签订本协议时或将来直接或间接控制该方、或由该方控制、或与该方共同受他方控制的任何实体。</w:t>
      </w:r>
    </w:p>
    <w:p w14:paraId="07FD94A4">
      <w:pPr>
        <w:pageBreakBefore w:val="0"/>
        <w:kinsoku/>
        <w:wordWrap/>
        <w:overflowPunct/>
        <w:topLinePunct w:val="0"/>
        <w:autoSpaceDE/>
        <w:autoSpaceDN/>
        <w:bidi w:val="0"/>
        <w:adjustRightInd w:val="0"/>
        <w:snapToGrid w:val="0"/>
        <w:spacing w:beforeLines="0" w:afterLines="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（三）本协议之条款非经双方签署书面文件不得加以修改、放弃。</w:t>
      </w:r>
    </w:p>
    <w:p w14:paraId="6CEC70EC">
      <w:pPr>
        <w:rPr>
          <w:rFonts w:hint="eastAsia" w:ascii="宋体" w:hAnsi="宋体" w:eastAsia="宋体" w:cs="宋体"/>
          <w:color w:val="auto"/>
          <w:sz w:val="21"/>
          <w:szCs w:val="21"/>
          <w:highlight w:val="none"/>
        </w:rPr>
      </w:pPr>
    </w:p>
    <w:p w14:paraId="7C12F692">
      <w:pPr>
        <w:pStyle w:val="45"/>
        <w:rPr>
          <w:rFonts w:hint="eastAsia"/>
          <w:color w:val="auto"/>
          <w:highlight w:val="none"/>
        </w:rPr>
      </w:pPr>
    </w:p>
    <w:tbl>
      <w:tblPr>
        <w:tblStyle w:val="38"/>
        <w:tblW w:w="0" w:type="auto"/>
        <w:tblInd w:w="122" w:type="dxa"/>
        <w:tblLayout w:type="fixed"/>
        <w:tblCellMar>
          <w:top w:w="0" w:type="dxa"/>
          <w:left w:w="108" w:type="dxa"/>
          <w:bottom w:w="0" w:type="dxa"/>
          <w:right w:w="108" w:type="dxa"/>
        </w:tblCellMar>
      </w:tblPr>
      <w:tblGrid>
        <w:gridCol w:w="4070"/>
        <w:gridCol w:w="4213"/>
      </w:tblGrid>
      <w:tr w14:paraId="65C4BAA7">
        <w:trPr>
          <w:trHeight w:val="981" w:hRule="atLeast"/>
        </w:trPr>
        <w:tc>
          <w:tcPr>
            <w:tcW w:w="4070" w:type="dxa"/>
            <w:noWrap w:val="0"/>
            <w:vAlign w:val="top"/>
          </w:tcPr>
          <w:p w14:paraId="62EC8EE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甲方：广西壮族自治区生态环境厅</w:t>
            </w:r>
          </w:p>
        </w:tc>
        <w:tc>
          <w:tcPr>
            <w:tcW w:w="4213" w:type="dxa"/>
            <w:noWrap w:val="0"/>
            <w:vAlign w:val="top"/>
          </w:tcPr>
          <w:p w14:paraId="0E90B868">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乙方：</w:t>
            </w:r>
            <w:r>
              <w:rPr>
                <w:rFonts w:hint="eastAsia" w:ascii="宋体" w:hAnsi="宋体" w:eastAsia="宋体" w:cs="宋体"/>
                <w:b/>
                <w:bCs/>
                <w:color w:val="auto"/>
                <w:sz w:val="21"/>
                <w:szCs w:val="21"/>
                <w:highlight w:val="none"/>
                <w:lang w:val="en-US" w:eastAsia="zh-CN"/>
              </w:rPr>
              <w:t xml:space="preserve"> </w:t>
            </w:r>
          </w:p>
        </w:tc>
      </w:tr>
      <w:tr w14:paraId="5A269D63">
        <w:trPr>
          <w:trHeight w:val="1050" w:hRule="atLeast"/>
        </w:trPr>
        <w:tc>
          <w:tcPr>
            <w:tcW w:w="4070" w:type="dxa"/>
            <w:noWrap w:val="0"/>
            <w:vAlign w:val="top"/>
          </w:tcPr>
          <w:p w14:paraId="211882A5">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129A63AD">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p w14:paraId="7824C31C">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p>
        </w:tc>
        <w:tc>
          <w:tcPr>
            <w:tcW w:w="4213" w:type="dxa"/>
            <w:noWrap w:val="0"/>
            <w:vAlign w:val="top"/>
          </w:tcPr>
          <w:p w14:paraId="7E9A9073">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法定代表人（负责人）</w:t>
            </w:r>
            <w:r>
              <w:rPr>
                <w:rFonts w:hint="eastAsia" w:ascii="宋体" w:hAnsi="宋体" w:eastAsia="宋体" w:cs="宋体"/>
                <w:b/>
                <w:bCs/>
                <w:color w:val="auto"/>
                <w:sz w:val="21"/>
                <w:szCs w:val="21"/>
                <w:highlight w:val="none"/>
                <w:lang w:eastAsia="zh-CN"/>
              </w:rPr>
              <w:t>或授权代表</w:t>
            </w:r>
            <w:r>
              <w:rPr>
                <w:rFonts w:hint="eastAsia" w:ascii="宋体" w:hAnsi="宋体" w:eastAsia="宋体" w:cs="宋体"/>
                <w:b/>
                <w:bCs/>
                <w:color w:val="auto"/>
                <w:sz w:val="21"/>
                <w:szCs w:val="21"/>
                <w:highlight w:val="none"/>
              </w:rPr>
              <w:t>：</w:t>
            </w:r>
          </w:p>
          <w:p w14:paraId="773B49D2">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p w14:paraId="7C73B5A0">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b/>
                <w:bCs/>
                <w:color w:val="auto"/>
                <w:sz w:val="21"/>
                <w:szCs w:val="21"/>
                <w:highlight w:val="none"/>
                <w:lang w:val="en-US" w:eastAsia="zh-CN"/>
              </w:rPr>
            </w:pPr>
          </w:p>
        </w:tc>
      </w:tr>
      <w:tr w14:paraId="1C0507E5">
        <w:trPr>
          <w:trHeight w:val="601" w:hRule="atLeast"/>
        </w:trPr>
        <w:tc>
          <w:tcPr>
            <w:tcW w:w="4070" w:type="dxa"/>
            <w:noWrap w:val="0"/>
            <w:vAlign w:val="top"/>
          </w:tcPr>
          <w:p w14:paraId="1F885CE4">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c>
          <w:tcPr>
            <w:tcW w:w="4213" w:type="dxa"/>
            <w:noWrap w:val="0"/>
            <w:vAlign w:val="top"/>
          </w:tcPr>
          <w:p w14:paraId="32CA94C4">
            <w:pPr>
              <w:pStyle w:val="25"/>
              <w:pageBreakBefore w:val="0"/>
              <w:kinsoku/>
              <w:wordWrap/>
              <w:overflowPunct/>
              <w:topLinePunct w:val="0"/>
              <w:autoSpaceDE/>
              <w:autoSpaceDN/>
              <w:bidi w:val="0"/>
              <w:spacing w:beforeLines="0" w:afterLines="0" w:line="40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年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月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日</w:t>
            </w:r>
          </w:p>
        </w:tc>
      </w:tr>
    </w:tbl>
    <w:p w14:paraId="19220519">
      <w:pPr>
        <w:spacing w:beforeLines="0" w:afterLines="0" w:line="360" w:lineRule="auto"/>
        <w:rPr>
          <w:rFonts w:hint="eastAsia" w:ascii="宋体" w:hAnsi="宋体" w:eastAsia="宋体" w:cs="宋体"/>
          <w:color w:val="auto"/>
          <w:sz w:val="21"/>
          <w:szCs w:val="21"/>
          <w:highlight w:val="none"/>
        </w:rPr>
      </w:pPr>
    </w:p>
    <w:p w14:paraId="16FCCD54">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jc w:val="both"/>
        <w:textAlignment w:val="auto"/>
        <w:rPr>
          <w:rFonts w:hint="eastAsia" w:ascii="宋体" w:hAnsi="宋体" w:eastAsia="宋体" w:cs="宋体"/>
          <w:b/>
          <w:bCs/>
          <w:color w:val="auto"/>
          <w:sz w:val="21"/>
          <w:szCs w:val="21"/>
          <w:highlight w:val="none"/>
        </w:rPr>
      </w:pPr>
    </w:p>
    <w:p w14:paraId="2C601F0B">
      <w:pPr>
        <w:pStyle w:val="45"/>
        <w:spacing w:beforeLines="0" w:after="0" w:afterLines="0" w:line="600" w:lineRule="exact"/>
        <w:rPr>
          <w:rFonts w:hint="eastAsia" w:ascii="仿宋" w:hAnsi="仿宋" w:eastAsia="仿宋" w:cs="仿宋"/>
          <w:b/>
          <w:bCs/>
          <w:color w:val="auto"/>
          <w:sz w:val="32"/>
          <w:szCs w:val="32"/>
          <w:highlight w:val="none"/>
        </w:rPr>
      </w:pPr>
    </w:p>
    <w:p w14:paraId="46AB7BD7">
      <w:pPr>
        <w:snapToGrid w:val="0"/>
        <w:spacing w:line="360" w:lineRule="auto"/>
        <w:jc w:val="center"/>
        <w:rPr>
          <w:rFonts w:hint="eastAsia" w:ascii="宋体" w:hAnsi="宋体" w:cs="宋体"/>
          <w:bCs/>
          <w:color w:val="auto"/>
          <w:sz w:val="32"/>
          <w:szCs w:val="32"/>
          <w:highlight w:val="none"/>
        </w:rPr>
      </w:pPr>
      <w:r>
        <w:rPr>
          <w:rFonts w:hint="eastAsia" w:ascii="宋体" w:hAnsi="宋体" w:cs="宋体"/>
          <w:b/>
          <w:color w:val="auto"/>
          <w:szCs w:val="21"/>
          <w:highlight w:val="none"/>
        </w:rPr>
        <w:br w:type="page"/>
      </w:r>
    </w:p>
    <w:p w14:paraId="54D182BD">
      <w:pPr>
        <w:pStyle w:val="3"/>
        <w:jc w:val="center"/>
        <w:rPr>
          <w:rFonts w:hint="eastAsia" w:ascii="宋体" w:hAnsi="宋体" w:cs="宋体"/>
          <w:color w:val="auto"/>
          <w:highlight w:val="none"/>
        </w:rPr>
      </w:pPr>
      <w:bookmarkStart w:id="250" w:name="_Toc20718"/>
      <w:bookmarkStart w:id="251" w:name="_Toc25427"/>
      <w:bookmarkStart w:id="252" w:name="_Toc30294"/>
      <w:r>
        <w:rPr>
          <w:rFonts w:hint="eastAsia" w:ascii="宋体" w:hAnsi="宋体" w:cs="宋体"/>
          <w:color w:val="auto"/>
          <w:highlight w:val="none"/>
        </w:rPr>
        <w:t>第六章　投标文件格式</w:t>
      </w:r>
      <w:bookmarkEnd w:id="250"/>
      <w:bookmarkEnd w:id="251"/>
      <w:bookmarkEnd w:id="252"/>
    </w:p>
    <w:p w14:paraId="345A7A18">
      <w:pPr>
        <w:snapToGrid w:val="0"/>
        <w:spacing w:before="50" w:after="50"/>
        <w:rPr>
          <w:rFonts w:hint="eastAsia" w:ascii="宋体" w:hAnsi="宋体" w:cs="宋体"/>
          <w:color w:val="auto"/>
          <w:sz w:val="32"/>
          <w:szCs w:val="20"/>
          <w:highlight w:val="none"/>
        </w:rPr>
      </w:pPr>
    </w:p>
    <w:p w14:paraId="00FD9B67">
      <w:pPr>
        <w:snapToGrid w:val="0"/>
        <w:spacing w:before="50" w:after="50"/>
        <w:rPr>
          <w:rFonts w:hint="eastAsia" w:ascii="宋体" w:hAnsi="宋体" w:cs="宋体"/>
          <w:color w:val="auto"/>
          <w:sz w:val="32"/>
          <w:szCs w:val="20"/>
          <w:highlight w:val="none"/>
        </w:rPr>
      </w:pPr>
    </w:p>
    <w:p w14:paraId="5B2A40F8">
      <w:pPr>
        <w:snapToGrid w:val="0"/>
        <w:spacing w:before="50" w:after="50"/>
        <w:rPr>
          <w:rFonts w:hint="eastAsia" w:ascii="宋体" w:hAnsi="宋体" w:cs="宋体"/>
          <w:color w:val="auto"/>
          <w:sz w:val="32"/>
          <w:szCs w:val="20"/>
          <w:highlight w:val="none"/>
        </w:rPr>
      </w:pPr>
    </w:p>
    <w:p w14:paraId="5C4AB3E7">
      <w:pPr>
        <w:snapToGrid w:val="0"/>
        <w:spacing w:before="50" w:after="50"/>
        <w:rPr>
          <w:rFonts w:hint="eastAsia" w:ascii="宋体" w:hAnsi="宋体" w:cs="宋体"/>
          <w:color w:val="auto"/>
          <w:sz w:val="32"/>
          <w:szCs w:val="20"/>
          <w:highlight w:val="none"/>
        </w:rPr>
      </w:pPr>
    </w:p>
    <w:p w14:paraId="6A62D07C">
      <w:pPr>
        <w:snapToGrid w:val="0"/>
        <w:spacing w:before="50" w:after="50"/>
        <w:rPr>
          <w:rFonts w:hint="eastAsia" w:ascii="宋体" w:hAnsi="宋体" w:cs="宋体"/>
          <w:color w:val="auto"/>
          <w:sz w:val="32"/>
          <w:szCs w:val="20"/>
          <w:highlight w:val="none"/>
        </w:rPr>
      </w:pPr>
    </w:p>
    <w:p w14:paraId="6875B6E3">
      <w:pPr>
        <w:snapToGrid w:val="0"/>
        <w:spacing w:before="50" w:after="50"/>
        <w:rPr>
          <w:rFonts w:hint="eastAsia" w:ascii="宋体" w:hAnsi="宋体" w:cs="宋体"/>
          <w:color w:val="auto"/>
          <w:sz w:val="32"/>
          <w:szCs w:val="20"/>
          <w:highlight w:val="none"/>
        </w:rPr>
      </w:pPr>
    </w:p>
    <w:p w14:paraId="6F051059">
      <w:pPr>
        <w:snapToGrid w:val="0"/>
        <w:spacing w:before="50" w:after="50"/>
        <w:rPr>
          <w:rFonts w:hint="eastAsia" w:ascii="宋体" w:hAnsi="宋体" w:cs="宋体"/>
          <w:color w:val="auto"/>
          <w:sz w:val="32"/>
          <w:szCs w:val="20"/>
          <w:highlight w:val="none"/>
        </w:rPr>
      </w:pPr>
    </w:p>
    <w:p w14:paraId="78584C1E">
      <w:pPr>
        <w:snapToGrid w:val="0"/>
        <w:spacing w:before="50" w:after="50"/>
        <w:rPr>
          <w:rFonts w:hint="eastAsia" w:ascii="宋体" w:hAnsi="宋体" w:cs="宋体"/>
          <w:color w:val="auto"/>
          <w:sz w:val="32"/>
          <w:szCs w:val="20"/>
          <w:highlight w:val="none"/>
        </w:rPr>
      </w:pPr>
    </w:p>
    <w:p w14:paraId="23163ACB">
      <w:pPr>
        <w:outlineLvl w:val="1"/>
        <w:rPr>
          <w:rFonts w:hint="eastAsia" w:ascii="宋体" w:hAnsi="宋体" w:cs="宋体"/>
          <w:b/>
          <w:color w:val="auto"/>
          <w:sz w:val="28"/>
          <w:szCs w:val="28"/>
          <w:highlight w:val="none"/>
        </w:rPr>
      </w:pPr>
      <w:r>
        <w:rPr>
          <w:rFonts w:hint="eastAsia" w:ascii="宋体" w:hAnsi="宋体" w:cs="宋体"/>
          <w:color w:val="auto"/>
          <w:sz w:val="32"/>
          <w:szCs w:val="20"/>
          <w:highlight w:val="none"/>
        </w:rPr>
        <w:br w:type="page"/>
      </w:r>
      <w:bookmarkStart w:id="253" w:name="_Toc2369"/>
      <w:bookmarkStart w:id="254" w:name="_Toc7400"/>
      <w:bookmarkStart w:id="255" w:name="_Toc19686836"/>
      <w:bookmarkStart w:id="256" w:name="_Toc254970557"/>
      <w:bookmarkStart w:id="257" w:name="_Toc254970698"/>
      <w:r>
        <w:rPr>
          <w:rFonts w:hint="eastAsia" w:ascii="宋体" w:hAnsi="宋体" w:cs="宋体"/>
          <w:b/>
          <w:color w:val="auto"/>
          <w:sz w:val="28"/>
          <w:szCs w:val="28"/>
          <w:highlight w:val="none"/>
        </w:rPr>
        <w:t>一、报价文件格式</w:t>
      </w:r>
      <w:bookmarkEnd w:id="253"/>
      <w:bookmarkEnd w:id="254"/>
      <w:bookmarkEnd w:id="255"/>
    </w:p>
    <w:p w14:paraId="08BA0CF0">
      <w:pPr>
        <w:snapToGrid w:val="0"/>
        <w:spacing w:before="120" w:beforeLines="50" w:after="50" w:line="360" w:lineRule="auto"/>
        <w:ind w:left="142"/>
        <w:jc w:val="left"/>
        <w:rPr>
          <w:rFonts w:hint="eastAsia" w:ascii="宋体" w:hAnsi="宋体" w:cs="宋体"/>
          <w:color w:val="auto"/>
          <w:sz w:val="24"/>
          <w:szCs w:val="20"/>
          <w:highlight w:val="none"/>
        </w:rPr>
      </w:pPr>
      <w:r>
        <w:rPr>
          <w:rFonts w:hint="eastAsia" w:ascii="宋体" w:hAnsi="宋体" w:cs="宋体"/>
          <w:b/>
          <w:color w:val="auto"/>
          <w:sz w:val="24"/>
          <w:highlight w:val="none"/>
        </w:rPr>
        <w:t xml:space="preserve">1. 报价文件封面格式： </w:t>
      </w:r>
    </w:p>
    <w:p w14:paraId="5274ADD4">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5655345C">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1CEB81A5">
      <w:pPr>
        <w:snapToGrid w:val="0"/>
        <w:spacing w:before="120" w:beforeLines="50" w:after="50" w:line="400" w:lineRule="exact"/>
        <w:jc w:val="center"/>
        <w:rPr>
          <w:rFonts w:hint="eastAsia" w:ascii="宋体" w:hAnsi="宋体" w:cs="宋体"/>
          <w:bCs/>
          <w:color w:val="auto"/>
          <w:sz w:val="24"/>
          <w:szCs w:val="20"/>
          <w:highlight w:val="none"/>
        </w:rPr>
      </w:pPr>
    </w:p>
    <w:p w14:paraId="7BC24B44">
      <w:pPr>
        <w:snapToGrid w:val="0"/>
        <w:spacing w:before="120" w:beforeLines="50" w:after="50"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报价文件</w:t>
      </w:r>
    </w:p>
    <w:p w14:paraId="5A2573F4">
      <w:pPr>
        <w:snapToGrid w:val="0"/>
        <w:spacing w:before="120" w:beforeLines="50" w:after="50" w:line="400" w:lineRule="exact"/>
        <w:rPr>
          <w:rFonts w:hint="eastAsia" w:ascii="宋体" w:hAnsi="宋体" w:cs="宋体"/>
          <w:bCs/>
          <w:color w:val="auto"/>
          <w:sz w:val="24"/>
          <w:szCs w:val="20"/>
          <w:highlight w:val="none"/>
        </w:rPr>
      </w:pPr>
    </w:p>
    <w:p w14:paraId="04FCAB25">
      <w:pPr>
        <w:snapToGrid w:val="0"/>
        <w:spacing w:before="120" w:beforeLines="50" w:after="50" w:line="400" w:lineRule="exact"/>
        <w:rPr>
          <w:rFonts w:hint="eastAsia" w:ascii="宋体" w:hAnsi="宋体" w:cs="宋体"/>
          <w:bCs/>
          <w:color w:val="auto"/>
          <w:sz w:val="24"/>
          <w:szCs w:val="20"/>
          <w:highlight w:val="none"/>
        </w:rPr>
      </w:pPr>
    </w:p>
    <w:p w14:paraId="70DA7CBC">
      <w:pPr>
        <w:snapToGrid w:val="0"/>
        <w:spacing w:before="120" w:beforeLines="50" w:after="50" w:line="400" w:lineRule="exact"/>
        <w:rPr>
          <w:rFonts w:hint="eastAsia" w:ascii="宋体" w:hAnsi="宋体" w:cs="宋体"/>
          <w:bCs/>
          <w:color w:val="auto"/>
          <w:sz w:val="24"/>
          <w:szCs w:val="20"/>
          <w:highlight w:val="none"/>
        </w:rPr>
      </w:pPr>
    </w:p>
    <w:p w14:paraId="2CC2BE0F">
      <w:pPr>
        <w:snapToGrid w:val="0"/>
        <w:spacing w:before="120" w:beforeLines="50" w:after="50" w:line="400" w:lineRule="exact"/>
        <w:rPr>
          <w:rFonts w:hint="eastAsia" w:ascii="宋体" w:hAnsi="宋体" w:cs="宋体"/>
          <w:bCs/>
          <w:color w:val="auto"/>
          <w:sz w:val="24"/>
          <w:szCs w:val="20"/>
          <w:highlight w:val="none"/>
        </w:rPr>
      </w:pPr>
    </w:p>
    <w:p w14:paraId="3323911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61B42D69">
      <w:pPr>
        <w:snapToGrid w:val="0"/>
        <w:spacing w:before="120" w:beforeLines="50" w:after="50" w:line="400" w:lineRule="exact"/>
        <w:ind w:firstLine="360" w:firstLineChars="150"/>
        <w:rPr>
          <w:rFonts w:hint="eastAsia" w:ascii="宋体" w:hAnsi="宋体" w:cs="宋体"/>
          <w:bCs/>
          <w:color w:val="auto"/>
          <w:sz w:val="24"/>
          <w:highlight w:val="none"/>
        </w:rPr>
      </w:pPr>
    </w:p>
    <w:p w14:paraId="79A39DF8">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20608079">
      <w:pPr>
        <w:snapToGrid w:val="0"/>
        <w:spacing w:before="120" w:beforeLines="50" w:after="50" w:line="400" w:lineRule="exact"/>
        <w:ind w:firstLine="360" w:firstLineChars="150"/>
        <w:rPr>
          <w:rFonts w:hint="eastAsia" w:ascii="宋体" w:hAnsi="宋体" w:cs="宋体"/>
          <w:bCs/>
          <w:color w:val="auto"/>
          <w:sz w:val="24"/>
          <w:highlight w:val="none"/>
        </w:rPr>
      </w:pPr>
    </w:p>
    <w:p w14:paraId="2EADFFC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525522F2">
      <w:pPr>
        <w:snapToGrid w:val="0"/>
        <w:spacing w:before="120" w:beforeLines="50" w:after="50" w:line="400" w:lineRule="exact"/>
        <w:ind w:firstLine="360" w:firstLineChars="150"/>
        <w:rPr>
          <w:rFonts w:hint="eastAsia" w:ascii="宋体" w:hAnsi="宋体" w:cs="宋体"/>
          <w:bCs/>
          <w:color w:val="auto"/>
          <w:sz w:val="24"/>
          <w:highlight w:val="none"/>
        </w:rPr>
      </w:pPr>
    </w:p>
    <w:p w14:paraId="760190DA">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3F2602F5">
      <w:pPr>
        <w:snapToGrid w:val="0"/>
        <w:spacing w:before="120" w:beforeLines="50" w:after="50" w:line="400" w:lineRule="exact"/>
        <w:ind w:firstLine="360" w:firstLineChars="150"/>
        <w:rPr>
          <w:rFonts w:hint="eastAsia" w:ascii="宋体" w:hAnsi="宋体" w:cs="宋体"/>
          <w:bCs/>
          <w:color w:val="auto"/>
          <w:sz w:val="24"/>
          <w:highlight w:val="none"/>
        </w:rPr>
      </w:pPr>
    </w:p>
    <w:p w14:paraId="0E0BDA9C">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2632FB52">
      <w:pPr>
        <w:pStyle w:val="10"/>
        <w:snapToGrid w:val="0"/>
        <w:spacing w:before="50" w:after="50" w:line="400" w:lineRule="exact"/>
        <w:ind w:firstLine="960" w:firstLineChars="400"/>
        <w:rPr>
          <w:rFonts w:hint="eastAsia" w:ascii="宋体" w:hAnsi="宋体" w:cs="宋体"/>
          <w:bCs/>
          <w:color w:val="auto"/>
          <w:sz w:val="24"/>
          <w:szCs w:val="24"/>
          <w:highlight w:val="none"/>
        </w:rPr>
      </w:pPr>
    </w:p>
    <w:p w14:paraId="1501C63C">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261A17CC">
      <w:pPr>
        <w:snapToGrid w:val="0"/>
        <w:spacing w:before="120" w:beforeLines="50" w:after="50" w:line="360" w:lineRule="auto"/>
        <w:jc w:val="left"/>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5690CFF8">
      <w:pPr>
        <w:snapToGrid w:val="0"/>
        <w:spacing w:before="50" w:after="120" w:afterLines="50" w:line="360" w:lineRule="auto"/>
        <w:jc w:val="left"/>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58E3A393">
      <w:pPr>
        <w:snapToGrid w:val="0"/>
        <w:spacing w:before="120" w:beforeLines="50" w:after="50"/>
        <w:rPr>
          <w:rFonts w:hint="eastAsia" w:ascii="宋体" w:hAnsi="宋体" w:cs="宋体"/>
          <w:b/>
          <w:color w:val="auto"/>
          <w:sz w:val="24"/>
          <w:highlight w:val="none"/>
        </w:rPr>
      </w:pPr>
    </w:p>
    <w:p w14:paraId="4C7BE117">
      <w:pPr>
        <w:snapToGrid w:val="0"/>
        <w:spacing w:before="120" w:beforeLines="50" w:after="50"/>
        <w:rPr>
          <w:rFonts w:hint="eastAsia" w:ascii="宋体" w:hAnsi="宋体" w:cs="宋体"/>
          <w:b/>
          <w:color w:val="auto"/>
          <w:sz w:val="24"/>
          <w:highlight w:val="none"/>
        </w:rPr>
      </w:pPr>
    </w:p>
    <w:p w14:paraId="107AF1BC">
      <w:pPr>
        <w:snapToGrid w:val="0"/>
        <w:spacing w:before="120" w:beforeLines="50" w:after="50"/>
        <w:rPr>
          <w:rFonts w:hint="eastAsia" w:ascii="宋体" w:hAnsi="宋体" w:cs="宋体"/>
          <w:b/>
          <w:color w:val="auto"/>
          <w:sz w:val="24"/>
          <w:highlight w:val="none"/>
        </w:rPr>
      </w:pPr>
    </w:p>
    <w:p w14:paraId="3623DC60">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投标函格式：</w:t>
      </w:r>
    </w:p>
    <w:p w14:paraId="04499A3C">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 标 函</w:t>
      </w:r>
    </w:p>
    <w:p w14:paraId="243A66F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p>
    <w:p w14:paraId="04E95292">
      <w:pPr>
        <w:snapToGrid w:val="0"/>
        <w:spacing w:line="360" w:lineRule="auto"/>
        <w:ind w:firstLine="480"/>
        <w:rPr>
          <w:rFonts w:hint="eastAsia"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）的招标文件，签字代表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（姓名）经正式授权并代表投标人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（投标人名称）提交投标文件。</w:t>
      </w:r>
    </w:p>
    <w:p w14:paraId="63932E9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据此函，我方宣布同意如下：</w:t>
      </w:r>
    </w:p>
    <w:p w14:paraId="5EF1E88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F0258B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2.我方在投标之前已经完全理解并接受招标文件的各项规定和要求，对招标文件的合理性、合法性不再有异议。</w:t>
      </w:r>
    </w:p>
    <w:p w14:paraId="6A75695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3.本投标有效期自投标截止之日起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20415B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4.如中标，本投标文件至本项目合同履行完毕止均保持有效，我方将按“招标文件”及政府采购法律、法规的规定履行合同责任和义务。</w:t>
      </w:r>
    </w:p>
    <w:p w14:paraId="7DC88F5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5.我方同意按照贵方要求提供与投标有关的一切数据或者资料。</w:t>
      </w:r>
    </w:p>
    <w:p w14:paraId="5AAF05F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6.我方向贵方提交的所有投标文件、资料都是准确的和真实的。</w:t>
      </w:r>
    </w:p>
    <w:p w14:paraId="6E9DFF0B">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4CE037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73F8C2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6248A25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151A1BBD">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9.与本项目有关的一切正式往来信函请寄：</w:t>
      </w:r>
    </w:p>
    <w:p w14:paraId="098D5A81">
      <w:pPr>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p>
    <w:p w14:paraId="7DEEA617">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p>
    <w:p w14:paraId="07A7CBAE">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12770FC8">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2AAAB17">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3473E46A">
      <w:pPr>
        <w:snapToGrid w:val="0"/>
        <w:spacing w:line="360" w:lineRule="exact"/>
        <w:ind w:firstLine="3045" w:firstLineChars="1450"/>
        <w:jc w:val="left"/>
        <w:rPr>
          <w:rFonts w:hint="eastAsia" w:ascii="宋体" w:hAnsi="宋体" w:cs="宋体"/>
          <w:color w:val="auto"/>
          <w:szCs w:val="21"/>
          <w:highlight w:val="none"/>
        </w:rPr>
      </w:pPr>
    </w:p>
    <w:p w14:paraId="3DEFEE6D">
      <w:pPr>
        <w:snapToGrid w:val="0"/>
        <w:spacing w:line="360" w:lineRule="exact"/>
        <w:ind w:firstLine="3045" w:firstLineChars="1450"/>
        <w:jc w:val="left"/>
        <w:rPr>
          <w:rFonts w:hint="eastAsia" w:ascii="宋体" w:hAnsi="宋体" w:cs="宋体"/>
          <w:color w:val="auto"/>
          <w:szCs w:val="21"/>
          <w:highlight w:val="none"/>
        </w:rPr>
      </w:pPr>
      <w:r>
        <w:rPr>
          <w:rFonts w:hint="eastAsia" w:ascii="宋体" w:hAnsi="宋体" w:cs="宋体"/>
          <w:color w:val="auto"/>
          <w:szCs w:val="21"/>
          <w:highlight w:val="none"/>
        </w:rPr>
        <w:t>法定代表人或者委托代理人（签字或者电子签名）：</w:t>
      </w:r>
      <w:r>
        <w:rPr>
          <w:rFonts w:hint="eastAsia" w:ascii="宋体" w:hAnsi="宋体" w:cs="宋体"/>
          <w:color w:val="auto"/>
          <w:szCs w:val="21"/>
          <w:highlight w:val="none"/>
          <w:u w:val="single"/>
        </w:rPr>
        <w:t xml:space="preserve">          </w:t>
      </w:r>
    </w:p>
    <w:p w14:paraId="011548E3">
      <w:pPr>
        <w:pStyle w:val="20"/>
        <w:snapToGrid w:val="0"/>
        <w:spacing w:before="295" w:after="295" w:line="360" w:lineRule="exact"/>
        <w:jc w:val="center"/>
        <w:rPr>
          <w:rFonts w:hint="eastAsia" w:hAnsi="宋体" w:cs="宋体"/>
          <w:color w:val="auto"/>
          <w:highlight w:val="none"/>
          <w:u w:val="single"/>
        </w:rPr>
      </w:pPr>
      <w:r>
        <w:rPr>
          <w:rFonts w:hint="eastAsia" w:hAnsi="宋体" w:cs="宋体"/>
          <w:color w:val="auto"/>
          <w:highlight w:val="none"/>
        </w:rPr>
        <w:t xml:space="preserve">                                     投标人名称（电子签章）：</w:t>
      </w:r>
      <w:r>
        <w:rPr>
          <w:rFonts w:hint="eastAsia" w:hAnsi="宋体" w:cs="宋体"/>
          <w:color w:val="auto"/>
          <w:highlight w:val="none"/>
          <w:u w:val="single"/>
        </w:rPr>
        <w:t xml:space="preserve">          </w:t>
      </w:r>
    </w:p>
    <w:p w14:paraId="08B25DCF">
      <w:pPr>
        <w:pStyle w:val="20"/>
        <w:snapToGrid w:val="0"/>
        <w:spacing w:before="295" w:after="295" w:line="360" w:lineRule="exact"/>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0A0A882">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24"/>
          <w:highlight w:val="none"/>
        </w:rPr>
        <w:t>4.开标一览表（服务类格式）</w:t>
      </w:r>
    </w:p>
    <w:p w14:paraId="5DD25ACA">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开标一览表</w:t>
      </w:r>
    </w:p>
    <w:p w14:paraId="79F9D8A8">
      <w:pPr>
        <w:snapToGrid w:val="0"/>
        <w:spacing w:before="50" w:after="50" w:line="440" w:lineRule="exact"/>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分标：</w:t>
      </w:r>
      <w:r>
        <w:rPr>
          <w:rFonts w:hint="eastAsia" w:ascii="宋体" w:hAnsi="宋体" w:cs="宋体"/>
          <w:color w:val="auto"/>
          <w:szCs w:val="21"/>
          <w:highlight w:val="none"/>
          <w:u w:val="single"/>
        </w:rPr>
        <w:t xml:space="preserve">           </w:t>
      </w:r>
    </w:p>
    <w:p w14:paraId="64BC96FF">
      <w:pPr>
        <w:snapToGrid w:val="0"/>
        <w:spacing w:before="50" w:after="50" w:line="440" w:lineRule="exact"/>
        <w:rPr>
          <w:rFonts w:hint="eastAsia" w:ascii="宋体" w:hAnsi="宋体" w:cs="宋体"/>
          <w:color w:val="auto"/>
          <w:szCs w:val="21"/>
          <w:highlight w:val="none"/>
          <w:u w:val="singl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tbl>
      <w:tblPr>
        <w:tblStyle w:val="38"/>
        <w:tblW w:w="91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2078"/>
        <w:gridCol w:w="993"/>
        <w:gridCol w:w="992"/>
        <w:gridCol w:w="2835"/>
        <w:gridCol w:w="1150"/>
      </w:tblGrid>
      <w:tr w14:paraId="4E41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6" w:hRule="atLeast"/>
          <w:jc w:val="center"/>
        </w:trPr>
        <w:tc>
          <w:tcPr>
            <w:tcW w:w="1084" w:type="dxa"/>
            <w:tcBorders>
              <w:top w:val="single" w:color="000000" w:sz="2" w:space="0"/>
              <w:left w:val="single" w:color="000000" w:sz="2" w:space="0"/>
              <w:bottom w:val="single" w:color="000000" w:sz="2" w:space="0"/>
              <w:right w:val="single" w:color="000000" w:sz="2" w:space="0"/>
            </w:tcBorders>
            <w:noWrap w:val="0"/>
            <w:vAlign w:val="top"/>
          </w:tcPr>
          <w:p w14:paraId="2F111BC9">
            <w:pPr>
              <w:pStyle w:val="124"/>
              <w:spacing w:before="210" w:line="440" w:lineRule="exact"/>
              <w:jc w:val="center"/>
              <w:rPr>
                <w:rFonts w:hint="eastAsia"/>
                <w:color w:val="auto"/>
                <w:highlight w:val="none"/>
              </w:rPr>
            </w:pPr>
            <w:r>
              <w:rPr>
                <w:rFonts w:hint="eastAsia"/>
                <w:color w:val="auto"/>
                <w:spacing w:val="1"/>
                <w:highlight w:val="none"/>
              </w:rPr>
              <w:t>序号</w:t>
            </w:r>
          </w:p>
        </w:tc>
        <w:tc>
          <w:tcPr>
            <w:tcW w:w="2078" w:type="dxa"/>
            <w:tcBorders>
              <w:top w:val="single" w:color="000000" w:sz="2" w:space="0"/>
              <w:left w:val="single" w:color="000000" w:sz="2" w:space="0"/>
              <w:bottom w:val="single" w:color="000000" w:sz="2" w:space="0"/>
              <w:right w:val="single" w:color="000000" w:sz="2" w:space="0"/>
            </w:tcBorders>
            <w:noWrap w:val="0"/>
            <w:vAlign w:val="top"/>
          </w:tcPr>
          <w:p w14:paraId="7D426872">
            <w:pPr>
              <w:pStyle w:val="124"/>
              <w:spacing w:before="210" w:line="440" w:lineRule="exact"/>
              <w:jc w:val="center"/>
              <w:rPr>
                <w:rFonts w:hint="eastAsia"/>
                <w:color w:val="auto"/>
                <w:spacing w:val="1"/>
                <w:highlight w:val="none"/>
              </w:rPr>
            </w:pPr>
            <w:r>
              <w:rPr>
                <w:rFonts w:hint="eastAsia"/>
                <w:color w:val="auto"/>
                <w:spacing w:val="1"/>
                <w:highlight w:val="none"/>
              </w:rPr>
              <w:t>标的名称</w:t>
            </w:r>
          </w:p>
        </w:tc>
        <w:tc>
          <w:tcPr>
            <w:tcW w:w="993" w:type="dxa"/>
            <w:tcBorders>
              <w:top w:val="single" w:color="000000" w:sz="2" w:space="0"/>
              <w:left w:val="single" w:color="000000" w:sz="2" w:space="0"/>
              <w:bottom w:val="single" w:color="000000" w:sz="2" w:space="0"/>
              <w:right w:val="single" w:color="000000" w:sz="2" w:space="0"/>
            </w:tcBorders>
            <w:noWrap w:val="0"/>
            <w:vAlign w:val="top"/>
          </w:tcPr>
          <w:p w14:paraId="40474547">
            <w:pPr>
              <w:pStyle w:val="124"/>
              <w:spacing w:before="210" w:line="440" w:lineRule="exact"/>
              <w:jc w:val="center"/>
              <w:rPr>
                <w:rFonts w:hint="eastAsia"/>
                <w:color w:val="auto"/>
                <w:spacing w:val="1"/>
                <w:highlight w:val="none"/>
              </w:rPr>
            </w:pPr>
            <w:r>
              <w:rPr>
                <w:rFonts w:hint="eastAsia"/>
                <w:color w:val="auto"/>
                <w:spacing w:val="1"/>
                <w:highlight w:val="none"/>
              </w:rPr>
              <w:t>数量</w:t>
            </w:r>
          </w:p>
        </w:tc>
        <w:tc>
          <w:tcPr>
            <w:tcW w:w="992" w:type="dxa"/>
            <w:tcBorders>
              <w:top w:val="single" w:color="000000" w:sz="2" w:space="0"/>
              <w:left w:val="single" w:color="000000" w:sz="2" w:space="0"/>
              <w:bottom w:val="single" w:color="000000" w:sz="2" w:space="0"/>
              <w:right w:val="single" w:color="000000" w:sz="2" w:space="0"/>
            </w:tcBorders>
            <w:noWrap w:val="0"/>
            <w:vAlign w:val="top"/>
          </w:tcPr>
          <w:p w14:paraId="47C316CE">
            <w:pPr>
              <w:pStyle w:val="124"/>
              <w:spacing w:before="210" w:line="440" w:lineRule="exact"/>
              <w:jc w:val="center"/>
              <w:rPr>
                <w:rFonts w:hint="eastAsia"/>
                <w:color w:val="auto"/>
                <w:spacing w:val="1"/>
                <w:highlight w:val="none"/>
              </w:rPr>
            </w:pPr>
            <w:r>
              <w:rPr>
                <w:rFonts w:hint="eastAsia"/>
                <w:color w:val="auto"/>
                <w:spacing w:val="1"/>
                <w:highlight w:val="none"/>
              </w:rPr>
              <w:t>单位</w:t>
            </w:r>
          </w:p>
        </w:tc>
        <w:tc>
          <w:tcPr>
            <w:tcW w:w="2835" w:type="dxa"/>
            <w:tcBorders>
              <w:top w:val="single" w:color="000000" w:sz="2" w:space="0"/>
              <w:left w:val="single" w:color="000000" w:sz="2" w:space="0"/>
              <w:bottom w:val="single" w:color="000000" w:sz="2" w:space="0"/>
              <w:right w:val="single" w:color="000000" w:sz="2" w:space="0"/>
            </w:tcBorders>
            <w:noWrap w:val="0"/>
            <w:vAlign w:val="top"/>
          </w:tcPr>
          <w:p w14:paraId="5D2F051A">
            <w:pPr>
              <w:pStyle w:val="124"/>
              <w:spacing w:before="210" w:line="440" w:lineRule="exact"/>
              <w:jc w:val="center"/>
              <w:rPr>
                <w:rFonts w:hint="eastAsia"/>
                <w:color w:val="auto"/>
                <w:spacing w:val="1"/>
                <w:highlight w:val="none"/>
              </w:rPr>
            </w:pPr>
            <w:r>
              <w:rPr>
                <w:rFonts w:hint="eastAsia"/>
                <w:color w:val="auto"/>
                <w:sz w:val="24"/>
                <w:highlight w:val="none"/>
              </w:rPr>
              <w:t>投标总报价（元）</w:t>
            </w:r>
            <w:r>
              <w:rPr>
                <w:rFonts w:hint="eastAsia"/>
                <w:color w:val="auto"/>
                <w:spacing w:val="1"/>
                <w:highlight w:val="none"/>
              </w:rPr>
              <w:t xml:space="preserve"> </w:t>
            </w:r>
          </w:p>
        </w:tc>
        <w:tc>
          <w:tcPr>
            <w:tcW w:w="1150" w:type="dxa"/>
            <w:tcBorders>
              <w:top w:val="single" w:color="000000" w:sz="2" w:space="0"/>
              <w:left w:val="single" w:color="000000" w:sz="2" w:space="0"/>
              <w:bottom w:val="single" w:color="000000" w:sz="2" w:space="0"/>
              <w:right w:val="single" w:color="000000" w:sz="2" w:space="0"/>
            </w:tcBorders>
            <w:noWrap w:val="0"/>
            <w:vAlign w:val="top"/>
          </w:tcPr>
          <w:p w14:paraId="0F8AAE97">
            <w:pPr>
              <w:pStyle w:val="124"/>
              <w:spacing w:before="210" w:line="440" w:lineRule="exact"/>
              <w:jc w:val="center"/>
              <w:rPr>
                <w:rFonts w:hint="eastAsia"/>
                <w:color w:val="auto"/>
                <w:spacing w:val="1"/>
                <w:highlight w:val="none"/>
              </w:rPr>
            </w:pPr>
            <w:r>
              <w:rPr>
                <w:rFonts w:hint="eastAsia"/>
                <w:color w:val="auto"/>
                <w:spacing w:val="1"/>
                <w:highlight w:val="none"/>
              </w:rPr>
              <w:t>备注</w:t>
            </w:r>
          </w:p>
        </w:tc>
      </w:tr>
      <w:tr w14:paraId="31F10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51" w:hRule="atLeast"/>
          <w:jc w:val="center"/>
        </w:trPr>
        <w:tc>
          <w:tcPr>
            <w:tcW w:w="1084" w:type="dxa"/>
            <w:tcBorders>
              <w:top w:val="single" w:color="000000" w:sz="2" w:space="0"/>
              <w:left w:val="single" w:color="000000" w:sz="2" w:space="0"/>
              <w:bottom w:val="single" w:color="000000" w:sz="2" w:space="0"/>
              <w:right w:val="single" w:color="000000" w:sz="2" w:space="0"/>
            </w:tcBorders>
            <w:noWrap w:val="0"/>
            <w:vAlign w:val="center"/>
          </w:tcPr>
          <w:p w14:paraId="2DB94FF2">
            <w:pPr>
              <w:kinsoku w:val="0"/>
              <w:autoSpaceDE w:val="0"/>
              <w:autoSpaceDN w:val="0"/>
              <w:adjustRightInd w:val="0"/>
              <w:snapToGrid w:val="0"/>
              <w:spacing w:before="60" w:line="440" w:lineRule="exact"/>
              <w:ind w:left="288"/>
              <w:textAlignment w:val="baseline"/>
              <w:rPr>
                <w:rFonts w:hint="eastAsia" w:ascii="宋体" w:hAnsi="宋体" w:cs="宋体"/>
                <w:color w:val="auto"/>
                <w:szCs w:val="21"/>
                <w:highlight w:val="none"/>
              </w:rPr>
            </w:pPr>
          </w:p>
        </w:tc>
        <w:tc>
          <w:tcPr>
            <w:tcW w:w="2078" w:type="dxa"/>
            <w:tcBorders>
              <w:top w:val="single" w:color="000000" w:sz="2" w:space="0"/>
              <w:left w:val="single" w:color="000000" w:sz="2" w:space="0"/>
              <w:bottom w:val="single" w:color="000000" w:sz="2" w:space="0"/>
              <w:right w:val="single" w:color="000000" w:sz="2" w:space="0"/>
            </w:tcBorders>
            <w:noWrap w:val="0"/>
            <w:vAlign w:val="center"/>
          </w:tcPr>
          <w:p w14:paraId="517FC169">
            <w:pPr>
              <w:pStyle w:val="124"/>
              <w:spacing w:before="107" w:line="440" w:lineRule="exact"/>
              <w:ind w:left="205" w:right="195"/>
              <w:jc w:val="center"/>
              <w:rPr>
                <w:rFonts w:hint="eastAsia"/>
                <w:color w:val="auto"/>
                <w:highlight w:val="none"/>
              </w:rPr>
            </w:pPr>
          </w:p>
        </w:tc>
        <w:tc>
          <w:tcPr>
            <w:tcW w:w="993" w:type="dxa"/>
            <w:tcBorders>
              <w:top w:val="single" w:color="000000" w:sz="2" w:space="0"/>
              <w:left w:val="single" w:color="000000" w:sz="2" w:space="0"/>
              <w:bottom w:val="single" w:color="000000" w:sz="2" w:space="0"/>
              <w:right w:val="single" w:color="000000" w:sz="2" w:space="0"/>
            </w:tcBorders>
            <w:noWrap w:val="0"/>
            <w:vAlign w:val="center"/>
          </w:tcPr>
          <w:p w14:paraId="73512F97">
            <w:pPr>
              <w:kinsoku w:val="0"/>
              <w:autoSpaceDE w:val="0"/>
              <w:autoSpaceDN w:val="0"/>
              <w:adjustRightInd w:val="0"/>
              <w:snapToGrid w:val="0"/>
              <w:spacing w:before="60" w:line="440" w:lineRule="exact"/>
              <w:ind w:left="452"/>
              <w:textAlignment w:val="baseline"/>
              <w:rPr>
                <w:rFonts w:hint="eastAsia" w:ascii="宋体" w:hAnsi="宋体" w:cs="宋体"/>
                <w:color w:val="auto"/>
                <w:szCs w:val="21"/>
                <w:highlight w:val="none"/>
              </w:rPr>
            </w:pPr>
          </w:p>
        </w:tc>
        <w:tc>
          <w:tcPr>
            <w:tcW w:w="992" w:type="dxa"/>
            <w:tcBorders>
              <w:top w:val="single" w:color="000000" w:sz="2" w:space="0"/>
              <w:left w:val="single" w:color="000000" w:sz="2" w:space="0"/>
              <w:bottom w:val="single" w:color="000000" w:sz="2" w:space="0"/>
              <w:right w:val="single" w:color="000000" w:sz="2" w:space="0"/>
            </w:tcBorders>
            <w:noWrap w:val="0"/>
            <w:vAlign w:val="center"/>
          </w:tcPr>
          <w:p w14:paraId="5EC14019">
            <w:pPr>
              <w:pStyle w:val="124"/>
              <w:spacing w:before="68" w:line="440" w:lineRule="exact"/>
              <w:jc w:val="center"/>
              <w:rPr>
                <w:rFonts w:hint="eastAsia"/>
                <w:color w:val="auto"/>
                <w:highlight w:val="none"/>
              </w:rPr>
            </w:pPr>
          </w:p>
        </w:tc>
        <w:tc>
          <w:tcPr>
            <w:tcW w:w="2835" w:type="dxa"/>
            <w:tcBorders>
              <w:top w:val="single" w:color="000000" w:sz="2" w:space="0"/>
              <w:left w:val="single" w:color="000000" w:sz="2" w:space="0"/>
              <w:bottom w:val="single" w:color="000000" w:sz="2" w:space="0"/>
              <w:right w:val="single" w:color="000000" w:sz="2" w:space="0"/>
            </w:tcBorders>
            <w:noWrap w:val="0"/>
            <w:vAlign w:val="center"/>
          </w:tcPr>
          <w:p w14:paraId="525DD191">
            <w:pPr>
              <w:kinsoku w:val="0"/>
              <w:autoSpaceDE w:val="0"/>
              <w:autoSpaceDN w:val="0"/>
              <w:adjustRightInd w:val="0"/>
              <w:snapToGrid w:val="0"/>
              <w:spacing w:line="440" w:lineRule="exact"/>
              <w:jc w:val="center"/>
              <w:textAlignment w:val="baseline"/>
              <w:rPr>
                <w:rFonts w:hint="eastAsia" w:ascii="宋体" w:hAnsi="宋体" w:cs="宋体"/>
                <w:color w:val="auto"/>
                <w:szCs w:val="21"/>
                <w:highlight w:val="none"/>
              </w:rPr>
            </w:pPr>
          </w:p>
        </w:tc>
        <w:tc>
          <w:tcPr>
            <w:tcW w:w="1150" w:type="dxa"/>
            <w:tcBorders>
              <w:top w:val="single" w:color="000000" w:sz="2" w:space="0"/>
              <w:left w:val="single" w:color="000000" w:sz="2" w:space="0"/>
              <w:bottom w:val="single" w:color="000000" w:sz="2" w:space="0"/>
              <w:right w:val="single" w:color="000000" w:sz="2" w:space="0"/>
            </w:tcBorders>
            <w:noWrap w:val="0"/>
            <w:vAlign w:val="center"/>
          </w:tcPr>
          <w:p w14:paraId="4F2B3745">
            <w:pPr>
              <w:kinsoku w:val="0"/>
              <w:autoSpaceDE w:val="0"/>
              <w:autoSpaceDN w:val="0"/>
              <w:adjustRightInd w:val="0"/>
              <w:snapToGrid w:val="0"/>
              <w:spacing w:line="440" w:lineRule="exact"/>
              <w:jc w:val="center"/>
              <w:textAlignment w:val="baseline"/>
              <w:rPr>
                <w:rFonts w:hint="eastAsia" w:ascii="宋体" w:hAnsi="宋体" w:cs="宋体"/>
                <w:color w:val="auto"/>
                <w:szCs w:val="21"/>
                <w:highlight w:val="none"/>
              </w:rPr>
            </w:pPr>
          </w:p>
        </w:tc>
      </w:tr>
      <w:tr w14:paraId="66ED1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5" w:hRule="atLeast"/>
          <w:jc w:val="center"/>
        </w:trPr>
        <w:tc>
          <w:tcPr>
            <w:tcW w:w="9132" w:type="dxa"/>
            <w:gridSpan w:val="6"/>
            <w:tcBorders>
              <w:top w:val="single" w:color="000000" w:sz="2" w:space="0"/>
              <w:left w:val="single" w:color="000000" w:sz="2" w:space="0"/>
              <w:right w:val="single" w:color="000000" w:sz="2" w:space="0"/>
            </w:tcBorders>
            <w:noWrap w:val="0"/>
            <w:vAlign w:val="top"/>
          </w:tcPr>
          <w:p w14:paraId="48845E92">
            <w:pPr>
              <w:snapToGrid w:val="0"/>
              <w:spacing w:before="50" w:after="50"/>
              <w:ind w:firstLine="601" w:firstLineChars="250"/>
              <w:rPr>
                <w:rFonts w:hint="eastAsia" w:ascii="宋体" w:hAnsi="宋体" w:cs="宋体"/>
                <w:b/>
                <w:bCs/>
                <w:color w:val="auto"/>
                <w:sz w:val="24"/>
                <w:highlight w:val="none"/>
              </w:rPr>
            </w:pPr>
            <w:r>
              <w:rPr>
                <w:rFonts w:hint="eastAsia" w:ascii="宋体" w:hAnsi="宋体" w:cs="宋体"/>
                <w:b/>
                <w:color w:val="auto"/>
                <w:sz w:val="24"/>
                <w:highlight w:val="none"/>
              </w:rPr>
              <w:t>投标总报价：</w:t>
            </w:r>
            <w:r>
              <w:rPr>
                <w:rFonts w:hint="eastAsia" w:ascii="宋体" w:hAnsi="宋体" w:cs="宋体"/>
                <w:b/>
                <w:bCs/>
                <w:color w:val="auto"/>
                <w:sz w:val="24"/>
                <w:highlight w:val="none"/>
              </w:rPr>
              <w:t xml:space="preserve">（大写）人民币 </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w:t>
            </w:r>
          </w:p>
          <w:p w14:paraId="6B27C260">
            <w:pPr>
              <w:pStyle w:val="124"/>
              <w:spacing w:before="161"/>
              <w:ind w:left="117" w:firstLine="480" w:firstLineChars="200"/>
              <w:jc w:val="both"/>
              <w:rPr>
                <w:rFonts w:hint="eastAsia"/>
                <w:color w:val="auto"/>
                <w:highlight w:val="none"/>
              </w:rPr>
            </w:pPr>
            <w:r>
              <w:rPr>
                <w:rFonts w:hint="eastAsia"/>
                <w:b/>
                <w:color w:val="auto"/>
                <w:sz w:val="24"/>
                <w:szCs w:val="24"/>
                <w:highlight w:val="none"/>
              </w:rPr>
              <w:t>服务期限：</w:t>
            </w:r>
            <w:r>
              <w:rPr>
                <w:rFonts w:hint="eastAsia"/>
                <w:b/>
                <w:color w:val="auto"/>
                <w:sz w:val="24"/>
                <w:szCs w:val="24"/>
                <w:highlight w:val="none"/>
                <w:u w:val="single"/>
              </w:rPr>
              <w:t xml:space="preserve">                            </w:t>
            </w:r>
          </w:p>
        </w:tc>
      </w:tr>
    </w:tbl>
    <w:p w14:paraId="15BF56C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注： </w:t>
      </w:r>
    </w:p>
    <w:p w14:paraId="06906C38">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1.投标人的开标一览表必须加盖投标人电子签章并由法定代表人或者委托代理人签字或者电子签名，</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31112EAD">
      <w:pPr>
        <w:snapToGrid w:val="0"/>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报价一经涂改，应在涂改处加盖投标人公章或者加盖电子签章或者由法定代表人或者委托代理人签字（或者电子签名）</w:t>
      </w:r>
      <w:r>
        <w:rPr>
          <w:rFonts w:hint="eastAsia" w:ascii="宋体" w:hAnsi="宋体" w:cs="宋体"/>
          <w:b/>
          <w:color w:val="auto"/>
          <w:szCs w:val="21"/>
          <w:highlight w:val="none"/>
        </w:rPr>
        <w:t>，否则其投标作无效标处理。</w:t>
      </w:r>
    </w:p>
    <w:p w14:paraId="457E2D09">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3.如为联合体投标，“投标人名称”处必须列明联合体各方名称，并标注联合体牵头人名称，</w:t>
      </w:r>
      <w:r>
        <w:rPr>
          <w:rFonts w:hint="eastAsia" w:ascii="宋体" w:hAnsi="宋体" w:cs="宋体"/>
          <w:b/>
          <w:color w:val="auto"/>
          <w:szCs w:val="21"/>
          <w:highlight w:val="none"/>
        </w:rPr>
        <w:t>否则其投标作无效标处理。</w:t>
      </w:r>
    </w:p>
    <w:p w14:paraId="65331FD2">
      <w:pPr>
        <w:snapToGrid w:val="0"/>
        <w:spacing w:line="360" w:lineRule="auto"/>
        <w:ind w:firstLine="396" w:firstLineChars="200"/>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4.如为联合体投标，盖章处须加盖联合体牵头人电子签章，</w:t>
      </w:r>
      <w:r>
        <w:rPr>
          <w:rFonts w:hint="eastAsia" w:ascii="宋体" w:hAnsi="宋体" w:cs="宋体"/>
          <w:b/>
          <w:color w:val="auto"/>
          <w:spacing w:val="-6"/>
          <w:szCs w:val="21"/>
          <w:highlight w:val="none"/>
        </w:rPr>
        <w:t>否则其投标作无效标处理。</w:t>
      </w:r>
    </w:p>
    <w:p w14:paraId="09F824D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5.如有多分标，按分标分别提供开标一览表，</w:t>
      </w:r>
      <w:r>
        <w:rPr>
          <w:rFonts w:hint="eastAsia" w:ascii="宋体" w:hAnsi="宋体" w:cs="宋体"/>
          <w:b/>
          <w:color w:val="auto"/>
          <w:szCs w:val="21"/>
          <w:highlight w:val="none"/>
        </w:rPr>
        <w:t>否则投标无效。</w:t>
      </w:r>
    </w:p>
    <w:p w14:paraId="46459129">
      <w:pPr>
        <w:snapToGrid w:val="0"/>
        <w:spacing w:line="360" w:lineRule="auto"/>
        <w:ind w:left="-2" w:leftChars="-1" w:right="-817" w:rightChars="-389"/>
        <w:rPr>
          <w:rFonts w:hint="eastAsia" w:ascii="宋体" w:hAnsi="宋体" w:cs="宋体"/>
          <w:color w:val="auto"/>
          <w:szCs w:val="21"/>
          <w:highlight w:val="none"/>
        </w:rPr>
      </w:pPr>
    </w:p>
    <w:p w14:paraId="28AEC2D0">
      <w:pPr>
        <w:snapToGrid w:val="0"/>
        <w:spacing w:line="360" w:lineRule="auto"/>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法定代表人或者委托代理人（签字或者电子签名）： </w:t>
      </w:r>
    </w:p>
    <w:p w14:paraId="0CC8CD49">
      <w:pPr>
        <w:snapToGrid w:val="0"/>
        <w:spacing w:line="360" w:lineRule="auto"/>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516959D8">
      <w:pPr>
        <w:snapToGrid w:val="0"/>
        <w:spacing w:line="360" w:lineRule="auto"/>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4C9656C3">
      <w:pPr>
        <w:rPr>
          <w:rFonts w:hint="eastAsia" w:ascii="宋体" w:hAnsi="宋体" w:cs="宋体"/>
          <w:color w:val="auto"/>
          <w:highlight w:val="none"/>
        </w:rPr>
      </w:pPr>
      <w:r>
        <w:rPr>
          <w:rFonts w:hint="eastAsia" w:ascii="宋体" w:hAnsi="宋体" w:cs="宋体"/>
          <w:b/>
          <w:bCs/>
          <w:color w:val="auto"/>
          <w:sz w:val="24"/>
          <w:highlight w:val="none"/>
        </w:rPr>
        <w:br w:type="page"/>
      </w:r>
      <w:bookmarkStart w:id="258" w:name="_Toc19686837"/>
      <w:r>
        <w:rPr>
          <w:rFonts w:hint="eastAsia" w:ascii="宋体" w:hAnsi="宋体" w:cs="宋体"/>
          <w:b/>
          <w:color w:val="auto"/>
          <w:sz w:val="24"/>
          <w:highlight w:val="none"/>
        </w:rPr>
        <w:t>3.中小企业声明函格式</w:t>
      </w:r>
    </w:p>
    <w:p w14:paraId="0FF87D91">
      <w:pPr>
        <w:rPr>
          <w:rFonts w:hint="eastAsia" w:ascii="宋体" w:hAnsi="宋体" w:cs="宋体"/>
          <w:color w:val="auto"/>
          <w:highlight w:val="none"/>
        </w:rPr>
      </w:pPr>
    </w:p>
    <w:p w14:paraId="544E8320">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中小企业声明函（服务）</w:t>
      </w:r>
    </w:p>
    <w:p w14:paraId="6801A863">
      <w:pPr>
        <w:spacing w:before="2" w:line="500" w:lineRule="exact"/>
        <w:rPr>
          <w:rFonts w:hint="eastAsia" w:ascii="宋体" w:hAnsi="宋体" w:cs="宋体"/>
          <w:b/>
          <w:bCs/>
          <w:color w:val="auto"/>
          <w:szCs w:val="21"/>
          <w:highlight w:val="none"/>
        </w:rPr>
      </w:pPr>
    </w:p>
    <w:p w14:paraId="74C3A83F">
      <w:pPr>
        <w:pStyle w:val="2"/>
        <w:spacing w:line="360" w:lineRule="auto"/>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采购活动，服务全部由符合政策要求的中小企业承接。相关企业（含联合体中的中小企业、签订分包意向协议的中小企业）的具体情况如下：</w:t>
      </w:r>
    </w:p>
    <w:p w14:paraId="3DD75627">
      <w:pPr>
        <w:tabs>
          <w:tab w:val="left" w:pos="1384"/>
          <w:tab w:val="left" w:pos="4562"/>
          <w:tab w:val="left" w:pos="6803"/>
        </w:tabs>
        <w:spacing w:before="13" w:line="360" w:lineRule="auto"/>
        <w:ind w:right="142" w:firstLine="600" w:firstLineChars="286"/>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40AA3F55">
      <w:pPr>
        <w:pStyle w:val="2"/>
        <w:spacing w:before="34" w:line="360" w:lineRule="auto"/>
        <w:ind w:left="765" w:right="142" w:hanging="5"/>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62D33304">
      <w:pPr>
        <w:pStyle w:val="2"/>
        <w:spacing w:before="34" w:line="360" w:lineRule="auto"/>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4E182004">
      <w:pPr>
        <w:pStyle w:val="2"/>
        <w:spacing w:before="34" w:line="360" w:lineRule="auto"/>
        <w:ind w:right="142"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42AA4734">
      <w:pPr>
        <w:pStyle w:val="2"/>
        <w:spacing w:before="56" w:line="360" w:lineRule="auto"/>
        <w:ind w:left="3960" w:right="1808"/>
        <w:rPr>
          <w:rFonts w:hint="eastAsia" w:ascii="宋体" w:hAnsi="宋体" w:cs="宋体"/>
          <w:color w:val="auto"/>
          <w:szCs w:val="21"/>
          <w:highlight w:val="none"/>
        </w:rPr>
      </w:pPr>
      <w:r>
        <w:rPr>
          <w:rFonts w:hint="eastAsia" w:ascii="宋体" w:hAnsi="宋体" w:cs="宋体"/>
          <w:color w:val="auto"/>
          <w:kern w:val="24"/>
          <w:szCs w:val="21"/>
          <w:highlight w:val="none"/>
        </w:rPr>
        <w:t>企业名称（电子签章）：</w:t>
      </w:r>
      <w:r>
        <w:rPr>
          <w:rFonts w:hint="eastAsia" w:ascii="宋体" w:hAnsi="宋体" w:cs="宋体"/>
          <w:color w:val="auto"/>
          <w:szCs w:val="21"/>
          <w:highlight w:val="none"/>
        </w:rPr>
        <w:t xml:space="preserve"> </w:t>
      </w:r>
    </w:p>
    <w:p w14:paraId="3B8B54FF">
      <w:pPr>
        <w:pStyle w:val="2"/>
        <w:spacing w:before="56" w:line="360" w:lineRule="auto"/>
        <w:ind w:left="3960" w:right="1808"/>
        <w:rPr>
          <w:rFonts w:hint="eastAsia" w:ascii="宋体" w:hAnsi="宋体" w:cs="宋体"/>
          <w:color w:val="auto"/>
          <w:szCs w:val="21"/>
          <w:highlight w:val="none"/>
        </w:rPr>
      </w:pPr>
      <w:r>
        <w:rPr>
          <w:rFonts w:hint="eastAsia" w:ascii="宋体" w:hAnsi="宋体" w:cs="宋体"/>
          <w:color w:val="auto"/>
          <w:szCs w:val="21"/>
          <w:highlight w:val="none"/>
        </w:rPr>
        <w:t>日 期：</w:t>
      </w:r>
    </w:p>
    <w:p w14:paraId="43628371">
      <w:pPr>
        <w:spacing w:line="360" w:lineRule="auto"/>
        <w:rPr>
          <w:rFonts w:hint="eastAsia" w:ascii="宋体" w:hAnsi="宋体" w:cs="宋体"/>
          <w:color w:val="auto"/>
          <w:szCs w:val="21"/>
          <w:highlight w:val="none"/>
        </w:rPr>
      </w:pPr>
      <w:r>
        <w:rPr>
          <w:rFonts w:hint="eastAsia" w:ascii="宋体" w:hAnsi="宋体" w:cs="宋体"/>
          <w:color w:val="auto"/>
          <w:spacing w:val="6"/>
          <w:szCs w:val="21"/>
          <w:highlight w:val="none"/>
        </w:rPr>
        <w:t xml:space="preserve"> </w:t>
      </w:r>
    </w:p>
    <w:p w14:paraId="5F505CFC">
      <w:pPr>
        <w:spacing w:line="360" w:lineRule="auto"/>
        <w:rPr>
          <w:rFonts w:hint="eastAsia" w:ascii="宋体" w:hAnsi="宋体" w:cs="宋体"/>
          <w:b/>
          <w:color w:val="auto"/>
          <w:sz w:val="24"/>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hint="eastAsia" w:ascii="宋体" w:hAnsi="宋体" w:cs="宋体"/>
          <w:color w:val="auto"/>
          <w:highlight w:val="none"/>
        </w:rPr>
        <w:br w:type="page"/>
      </w:r>
      <w:r>
        <w:rPr>
          <w:rFonts w:hint="eastAsia" w:ascii="宋体" w:hAnsi="宋体" w:cs="宋体"/>
          <w:color w:val="auto"/>
          <w:highlight w:val="none"/>
        </w:rPr>
        <w:t>4</w:t>
      </w:r>
      <w:r>
        <w:rPr>
          <w:rFonts w:hint="eastAsia" w:ascii="宋体" w:hAnsi="宋体" w:cs="宋体"/>
          <w:b/>
          <w:color w:val="auto"/>
          <w:sz w:val="24"/>
          <w:highlight w:val="none"/>
        </w:rPr>
        <w:t>.残疾人福利性单位声明函格式</w:t>
      </w:r>
    </w:p>
    <w:p w14:paraId="36AB200D">
      <w:pPr>
        <w:spacing w:line="588" w:lineRule="exact"/>
        <w:jc w:val="center"/>
        <w:rPr>
          <w:rFonts w:hint="eastAsia" w:ascii="宋体" w:hAnsi="宋体" w:cs="宋体"/>
          <w:b/>
          <w:color w:val="auto"/>
          <w:spacing w:val="6"/>
          <w:sz w:val="32"/>
          <w:szCs w:val="32"/>
          <w:highlight w:val="none"/>
        </w:rPr>
      </w:pPr>
    </w:p>
    <w:p w14:paraId="4CF7A439">
      <w:pPr>
        <w:spacing w:line="588" w:lineRule="exact"/>
        <w:jc w:val="center"/>
        <w:rPr>
          <w:rFonts w:hint="eastAsia" w:ascii="宋体" w:hAnsi="宋体" w:cs="宋体"/>
          <w:b/>
          <w:bCs/>
          <w:color w:val="auto"/>
          <w:spacing w:val="6"/>
          <w:sz w:val="30"/>
          <w:szCs w:val="30"/>
          <w:highlight w:val="none"/>
        </w:rPr>
      </w:pPr>
      <w:r>
        <w:rPr>
          <w:rFonts w:hint="eastAsia" w:ascii="宋体" w:hAnsi="宋体" w:cs="宋体"/>
          <w:b/>
          <w:bCs/>
          <w:color w:val="auto"/>
          <w:spacing w:val="6"/>
          <w:sz w:val="30"/>
          <w:szCs w:val="30"/>
          <w:highlight w:val="none"/>
        </w:rPr>
        <w:t>残疾人福利性单位声明函</w:t>
      </w:r>
    </w:p>
    <w:p w14:paraId="1FBE83C4">
      <w:pPr>
        <w:spacing w:line="588" w:lineRule="exact"/>
        <w:rPr>
          <w:rFonts w:hint="eastAsia" w:ascii="宋体" w:hAnsi="宋体" w:cs="宋体"/>
          <w:b/>
          <w:color w:val="auto"/>
          <w:spacing w:val="6"/>
          <w:sz w:val="30"/>
          <w:szCs w:val="30"/>
          <w:highlight w:val="none"/>
        </w:rPr>
      </w:pPr>
    </w:p>
    <w:p w14:paraId="4EA48E78">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 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Cs w:val="21"/>
          <w:highlight w:val="none"/>
        </w:rPr>
        <w:t>疾人福利性单位制造的货物（不包括使用非残疾人福利性单位注册商标的货物）。</w:t>
      </w:r>
    </w:p>
    <w:p w14:paraId="3CB287BE">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4C6D1D10">
      <w:pPr>
        <w:spacing w:line="360" w:lineRule="auto"/>
        <w:ind w:firstLine="444" w:firstLineChars="200"/>
        <w:rPr>
          <w:rFonts w:hint="eastAsia" w:ascii="宋体" w:hAnsi="宋体" w:cs="宋体"/>
          <w:color w:val="auto"/>
          <w:spacing w:val="6"/>
          <w:szCs w:val="21"/>
          <w:highlight w:val="none"/>
        </w:rPr>
      </w:pPr>
    </w:p>
    <w:p w14:paraId="7710A7C1">
      <w:pPr>
        <w:spacing w:line="360" w:lineRule="auto"/>
        <w:ind w:firstLine="444" w:firstLineChars="200"/>
        <w:rPr>
          <w:rFonts w:hint="eastAsia" w:ascii="宋体" w:hAnsi="宋体" w:cs="宋体"/>
          <w:color w:val="auto"/>
          <w:spacing w:val="6"/>
          <w:szCs w:val="21"/>
          <w:highlight w:val="none"/>
        </w:rPr>
      </w:pPr>
    </w:p>
    <w:p w14:paraId="491B7534">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单位名称（电子签章）：</w:t>
      </w:r>
    </w:p>
    <w:p w14:paraId="09175878">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3D4801F5">
      <w:pPr>
        <w:spacing w:line="360" w:lineRule="auto"/>
        <w:rPr>
          <w:rFonts w:hint="eastAsia" w:ascii="宋体" w:hAnsi="宋体" w:cs="宋体"/>
          <w:color w:val="auto"/>
          <w:szCs w:val="21"/>
          <w:highlight w:val="none"/>
        </w:rPr>
      </w:pPr>
    </w:p>
    <w:p w14:paraId="3175F35B">
      <w:pPr>
        <w:spacing w:line="360" w:lineRule="auto"/>
        <w:rPr>
          <w:rFonts w:hint="eastAsia" w:ascii="宋体" w:hAnsi="宋体" w:cs="宋体"/>
          <w:color w:val="auto"/>
          <w:szCs w:val="21"/>
          <w:highlight w:val="none"/>
        </w:rPr>
      </w:pPr>
    </w:p>
    <w:p w14:paraId="3CEEB839">
      <w:pPr>
        <w:spacing w:line="360" w:lineRule="auto"/>
        <w:rPr>
          <w:rFonts w:hint="eastAsia" w:ascii="宋体" w:hAnsi="宋体" w:cs="宋体"/>
          <w:color w:val="auto"/>
          <w:szCs w:val="21"/>
          <w:highlight w:val="none"/>
        </w:rPr>
      </w:pPr>
    </w:p>
    <w:p w14:paraId="687C3A6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7CAE2CE">
      <w:pPr>
        <w:ind w:firstLine="3990" w:firstLineChars="1900"/>
        <w:rPr>
          <w:rFonts w:hint="eastAsia" w:ascii="宋体" w:hAnsi="宋体" w:cs="宋体"/>
          <w:color w:val="auto"/>
          <w:szCs w:val="21"/>
          <w:highlight w:val="none"/>
        </w:rPr>
      </w:pPr>
    </w:p>
    <w:p w14:paraId="587CD046">
      <w:pPr>
        <w:spacing w:line="360" w:lineRule="auto"/>
        <w:rPr>
          <w:rFonts w:hint="eastAsia"/>
          <w:color w:val="auto"/>
          <w:szCs w:val="21"/>
          <w:highlight w:val="none"/>
        </w:rPr>
      </w:pPr>
    </w:p>
    <w:p w14:paraId="3E32EEFF">
      <w:pPr>
        <w:rPr>
          <w:rFonts w:hint="eastAsia"/>
          <w:color w:val="auto"/>
          <w:szCs w:val="21"/>
          <w:highlight w:val="none"/>
        </w:rPr>
      </w:pPr>
    </w:p>
    <w:p w14:paraId="049374FE">
      <w:pPr>
        <w:spacing w:line="360" w:lineRule="auto"/>
        <w:rPr>
          <w:rFonts w:hint="eastAsia"/>
          <w:color w:val="auto"/>
          <w:highlight w:val="none"/>
        </w:rPr>
      </w:pPr>
    </w:p>
    <w:p w14:paraId="63D1343A">
      <w:pPr>
        <w:spacing w:line="360" w:lineRule="auto"/>
        <w:rPr>
          <w:rFonts w:hint="eastAsia"/>
          <w:color w:val="auto"/>
          <w:highlight w:val="none"/>
        </w:rPr>
      </w:pPr>
    </w:p>
    <w:p w14:paraId="0C43737E">
      <w:pPr>
        <w:rPr>
          <w:rFonts w:hint="eastAsia" w:ascii="宋体" w:hAnsi="宋体" w:cs="宋体"/>
          <w:color w:val="auto"/>
          <w:sz w:val="24"/>
          <w:highlight w:val="none"/>
        </w:rPr>
      </w:pPr>
    </w:p>
    <w:p w14:paraId="2F735117">
      <w:pPr>
        <w:pStyle w:val="4"/>
        <w:rPr>
          <w:rFonts w:hint="eastAsia"/>
          <w:color w:val="auto"/>
          <w:highlight w:val="none"/>
        </w:rPr>
      </w:pPr>
      <w:r>
        <w:rPr>
          <w:rFonts w:hint="eastAsia"/>
          <w:color w:val="auto"/>
          <w:highlight w:val="none"/>
        </w:rPr>
        <w:br w:type="page"/>
      </w:r>
      <w:bookmarkStart w:id="259" w:name="_Toc23452"/>
      <w:bookmarkStart w:id="260" w:name="_Toc560"/>
      <w:r>
        <w:rPr>
          <w:rFonts w:hint="eastAsia"/>
          <w:color w:val="auto"/>
          <w:highlight w:val="none"/>
        </w:rPr>
        <w:t>二、资格证明文件格式</w:t>
      </w:r>
      <w:bookmarkEnd w:id="256"/>
      <w:bookmarkEnd w:id="257"/>
      <w:bookmarkEnd w:id="258"/>
      <w:bookmarkEnd w:id="259"/>
      <w:bookmarkEnd w:id="260"/>
    </w:p>
    <w:p w14:paraId="1118F444">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1.资格证明文件封面格式： </w:t>
      </w:r>
    </w:p>
    <w:p w14:paraId="63C7A285">
      <w:pPr>
        <w:snapToGrid w:val="0"/>
        <w:spacing w:before="120" w:beforeLines="50" w:after="50"/>
        <w:jc w:val="center"/>
        <w:rPr>
          <w:rFonts w:hint="eastAsia" w:ascii="宋体" w:hAnsi="宋体" w:cs="宋体"/>
          <w:bCs/>
          <w:color w:val="auto"/>
          <w:sz w:val="48"/>
          <w:szCs w:val="48"/>
          <w:highlight w:val="none"/>
        </w:rPr>
      </w:pPr>
    </w:p>
    <w:p w14:paraId="1820C2E5">
      <w:pPr>
        <w:snapToGrid w:val="0"/>
        <w:spacing w:before="120" w:beforeLines="50" w:after="50"/>
        <w:jc w:val="center"/>
        <w:rPr>
          <w:rFonts w:hint="eastAsia" w:ascii="宋体" w:hAnsi="宋体" w:cs="宋体"/>
          <w:bCs/>
          <w:color w:val="auto"/>
          <w:sz w:val="48"/>
          <w:szCs w:val="48"/>
          <w:highlight w:val="none"/>
        </w:rPr>
      </w:pPr>
    </w:p>
    <w:p w14:paraId="09825DFC">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7321C3E5">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0CCCC820">
      <w:pPr>
        <w:snapToGrid w:val="0"/>
        <w:spacing w:before="120"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7F4B866D">
      <w:pPr>
        <w:snapToGrid w:val="0"/>
        <w:spacing w:before="120" w:beforeLines="50" w:after="50"/>
        <w:rPr>
          <w:rFonts w:hint="eastAsia" w:ascii="宋体" w:hAnsi="宋体" w:cs="宋体"/>
          <w:bCs/>
          <w:color w:val="auto"/>
          <w:sz w:val="24"/>
          <w:szCs w:val="20"/>
          <w:highlight w:val="none"/>
        </w:rPr>
      </w:pPr>
    </w:p>
    <w:p w14:paraId="1323BC9B">
      <w:pPr>
        <w:snapToGrid w:val="0"/>
        <w:spacing w:before="120" w:beforeLines="50" w:after="50"/>
        <w:rPr>
          <w:rFonts w:hint="eastAsia" w:ascii="宋体" w:hAnsi="宋体" w:cs="宋体"/>
          <w:bCs/>
          <w:color w:val="auto"/>
          <w:sz w:val="24"/>
          <w:szCs w:val="20"/>
          <w:highlight w:val="none"/>
        </w:rPr>
      </w:pPr>
    </w:p>
    <w:p w14:paraId="5E26D7C1">
      <w:pPr>
        <w:snapToGrid w:val="0"/>
        <w:spacing w:before="120" w:beforeLines="50" w:after="50"/>
        <w:rPr>
          <w:rFonts w:hint="eastAsia" w:ascii="宋体" w:hAnsi="宋体" w:cs="宋体"/>
          <w:bCs/>
          <w:color w:val="auto"/>
          <w:sz w:val="24"/>
          <w:szCs w:val="20"/>
          <w:highlight w:val="none"/>
        </w:rPr>
      </w:pPr>
    </w:p>
    <w:p w14:paraId="51320583">
      <w:pPr>
        <w:snapToGrid w:val="0"/>
        <w:spacing w:before="120" w:beforeLines="50" w:after="50"/>
        <w:rPr>
          <w:rFonts w:hint="eastAsia" w:ascii="宋体" w:hAnsi="宋体" w:cs="宋体"/>
          <w:bCs/>
          <w:color w:val="auto"/>
          <w:sz w:val="24"/>
          <w:szCs w:val="20"/>
          <w:highlight w:val="none"/>
        </w:rPr>
      </w:pPr>
    </w:p>
    <w:p w14:paraId="76168372">
      <w:pPr>
        <w:snapToGrid w:val="0"/>
        <w:spacing w:before="120" w:beforeLines="50" w:after="50"/>
        <w:rPr>
          <w:rFonts w:hint="eastAsia" w:ascii="宋体" w:hAnsi="宋体" w:cs="宋体"/>
          <w:bCs/>
          <w:color w:val="auto"/>
          <w:sz w:val="24"/>
          <w:szCs w:val="20"/>
          <w:highlight w:val="none"/>
        </w:rPr>
      </w:pPr>
    </w:p>
    <w:p w14:paraId="2B21084A">
      <w:pPr>
        <w:snapToGrid w:val="0"/>
        <w:spacing w:before="120" w:beforeLines="50" w:after="50"/>
        <w:rPr>
          <w:rFonts w:hint="eastAsia" w:ascii="宋体" w:hAnsi="宋体" w:cs="宋体"/>
          <w:bCs/>
          <w:color w:val="auto"/>
          <w:sz w:val="24"/>
          <w:szCs w:val="20"/>
          <w:highlight w:val="none"/>
        </w:rPr>
      </w:pPr>
    </w:p>
    <w:p w14:paraId="0C6BCDD3">
      <w:pPr>
        <w:snapToGrid w:val="0"/>
        <w:spacing w:before="120" w:beforeLines="50" w:after="50"/>
        <w:rPr>
          <w:rFonts w:hint="eastAsia" w:ascii="宋体" w:hAnsi="宋体" w:cs="宋体"/>
          <w:bCs/>
          <w:color w:val="auto"/>
          <w:sz w:val="24"/>
          <w:szCs w:val="20"/>
          <w:highlight w:val="none"/>
        </w:rPr>
      </w:pPr>
    </w:p>
    <w:p w14:paraId="0075658E">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1D36365B">
      <w:pPr>
        <w:snapToGrid w:val="0"/>
        <w:spacing w:before="120" w:beforeLines="50" w:after="50"/>
        <w:ind w:firstLine="540" w:firstLineChars="225"/>
        <w:rPr>
          <w:rFonts w:hint="eastAsia" w:ascii="宋体" w:hAnsi="宋体" w:cs="宋体"/>
          <w:bCs/>
          <w:color w:val="auto"/>
          <w:sz w:val="24"/>
          <w:szCs w:val="20"/>
          <w:highlight w:val="none"/>
        </w:rPr>
      </w:pPr>
    </w:p>
    <w:p w14:paraId="4ACC5A9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3E9BADAA">
      <w:pPr>
        <w:snapToGrid w:val="0"/>
        <w:spacing w:before="120" w:beforeLines="50" w:after="50"/>
        <w:ind w:firstLine="540" w:firstLineChars="225"/>
        <w:rPr>
          <w:rFonts w:hint="eastAsia" w:ascii="宋体" w:hAnsi="宋体" w:cs="宋体"/>
          <w:bCs/>
          <w:color w:val="auto"/>
          <w:sz w:val="24"/>
          <w:szCs w:val="20"/>
          <w:highlight w:val="none"/>
        </w:rPr>
      </w:pPr>
    </w:p>
    <w:p w14:paraId="3486EADC">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45EACBA3">
      <w:pPr>
        <w:pStyle w:val="10"/>
        <w:snapToGrid w:val="0"/>
        <w:spacing w:before="50" w:after="50"/>
        <w:ind w:firstLine="540" w:firstLineChars="225"/>
        <w:rPr>
          <w:rFonts w:hint="eastAsia" w:ascii="宋体" w:hAnsi="宋体" w:cs="宋体"/>
          <w:bCs/>
          <w:color w:val="auto"/>
          <w:sz w:val="24"/>
          <w:szCs w:val="24"/>
          <w:highlight w:val="none"/>
        </w:rPr>
      </w:pPr>
    </w:p>
    <w:p w14:paraId="08356018">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02CA54AF">
      <w:pPr>
        <w:pStyle w:val="10"/>
        <w:snapToGrid w:val="0"/>
        <w:spacing w:before="50" w:after="50"/>
        <w:ind w:firstLine="540" w:firstLineChars="225"/>
        <w:rPr>
          <w:rFonts w:hint="eastAsia" w:ascii="宋体" w:hAnsi="宋体" w:cs="宋体"/>
          <w:bCs/>
          <w:color w:val="auto"/>
          <w:sz w:val="24"/>
          <w:szCs w:val="24"/>
          <w:highlight w:val="none"/>
        </w:rPr>
      </w:pPr>
    </w:p>
    <w:p w14:paraId="25BA02E4">
      <w:pPr>
        <w:pStyle w:val="10"/>
        <w:snapToGrid w:val="0"/>
        <w:spacing w:before="50" w:after="50"/>
        <w:ind w:firstLine="960" w:firstLineChars="400"/>
        <w:rPr>
          <w:rFonts w:hint="eastAsia" w:ascii="宋体" w:hAnsi="宋体" w:cs="宋体"/>
          <w:bCs/>
          <w:color w:val="auto"/>
          <w:sz w:val="24"/>
          <w:szCs w:val="24"/>
          <w:highlight w:val="none"/>
        </w:rPr>
      </w:pPr>
    </w:p>
    <w:p w14:paraId="6D1F3CEF">
      <w:pPr>
        <w:snapToGrid w:val="0"/>
        <w:spacing w:before="120"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14:paraId="7DAFDE6C">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2AECFA22">
      <w:pPr>
        <w:snapToGrid w:val="0"/>
        <w:spacing w:before="120" w:beforeLines="50" w:after="50"/>
        <w:rPr>
          <w:rFonts w:hint="eastAsia" w:ascii="宋体" w:hAnsi="宋体" w:cs="宋体"/>
          <w:color w:val="auto"/>
          <w:sz w:val="24"/>
          <w:szCs w:val="20"/>
          <w:highlight w:val="none"/>
        </w:rPr>
      </w:pPr>
    </w:p>
    <w:p w14:paraId="69A39C93">
      <w:pPr>
        <w:snapToGrid w:val="0"/>
        <w:spacing w:before="120" w:beforeLines="50" w:after="50" w:line="360" w:lineRule="auto"/>
        <w:ind w:firstLine="120" w:firstLineChars="50"/>
        <w:jc w:val="left"/>
        <w:rPr>
          <w:rFonts w:hint="eastAsia"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2.资格证明文件目录</w:t>
      </w:r>
    </w:p>
    <w:p w14:paraId="6AD83FAF">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6A6507A6">
      <w:pPr>
        <w:snapToGrid w:val="0"/>
        <w:spacing w:before="50" w:after="120" w:afterLines="50"/>
        <w:jc w:val="left"/>
        <w:rPr>
          <w:rFonts w:hint="eastAsia" w:ascii="宋体" w:hAnsi="宋体" w:cs="宋体"/>
          <w:color w:val="auto"/>
          <w:sz w:val="24"/>
          <w:highlight w:val="none"/>
        </w:rPr>
      </w:pPr>
    </w:p>
    <w:p w14:paraId="4A53550E">
      <w:pPr>
        <w:snapToGrid w:val="0"/>
        <w:spacing w:before="50" w:after="120" w:afterLines="50"/>
        <w:jc w:val="left"/>
        <w:rPr>
          <w:rFonts w:hint="eastAsia" w:ascii="宋体" w:hAnsi="宋体" w:cs="宋体"/>
          <w:color w:val="auto"/>
          <w:sz w:val="24"/>
          <w:highlight w:val="none"/>
        </w:rPr>
      </w:pPr>
    </w:p>
    <w:p w14:paraId="559DE25E">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w:t>
      </w:r>
      <w:r>
        <w:rPr>
          <w:rFonts w:hint="eastAsia" w:ascii="宋体" w:hAnsi="宋体" w:cs="宋体"/>
          <w:b/>
          <w:color w:val="auto"/>
          <w:sz w:val="28"/>
          <w:szCs w:val="28"/>
          <w:highlight w:val="none"/>
        </w:rPr>
        <w:t>投标人直接控股、管理关系信息表</w:t>
      </w:r>
    </w:p>
    <w:p w14:paraId="2EBF9A49">
      <w:pPr>
        <w:snapToGrid w:val="0"/>
        <w:spacing w:before="50" w:after="120" w:afterLines="50"/>
        <w:jc w:val="center"/>
        <w:rPr>
          <w:rFonts w:hint="eastAsia" w:ascii="宋体" w:hAnsi="宋体" w:cs="宋体"/>
          <w:b/>
          <w:color w:val="auto"/>
          <w:sz w:val="28"/>
          <w:szCs w:val="28"/>
          <w:highlight w:val="none"/>
        </w:rPr>
      </w:pPr>
    </w:p>
    <w:p w14:paraId="0FB7E59E">
      <w:pPr>
        <w:snapToGrid w:val="0"/>
        <w:spacing w:before="120" w:beforeLines="50" w:after="50"/>
        <w:ind w:left="420"/>
        <w:jc w:val="center"/>
        <w:rPr>
          <w:rFonts w:hint="eastAsia" w:ascii="宋体" w:hAnsi="宋体" w:cs="宋体"/>
          <w:bCs/>
          <w:color w:val="auto"/>
          <w:spacing w:val="-17"/>
          <w:sz w:val="44"/>
          <w:szCs w:val="44"/>
          <w:highlight w:val="none"/>
        </w:rPr>
      </w:pPr>
      <w:r>
        <w:rPr>
          <w:rFonts w:hint="eastAsia" w:ascii="宋体" w:hAnsi="宋体" w:cs="宋体"/>
          <w:bCs/>
          <w:color w:val="auto"/>
          <w:spacing w:val="-17"/>
          <w:sz w:val="44"/>
          <w:szCs w:val="44"/>
          <w:highlight w:val="none"/>
        </w:rPr>
        <w:t>供应商直接控股、管理关系信息表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051"/>
        <w:gridCol w:w="802"/>
        <w:gridCol w:w="1482"/>
        <w:gridCol w:w="4396"/>
      </w:tblGrid>
      <w:tr w14:paraId="24B2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2" w:hRule="atLeast"/>
        </w:trPr>
        <w:tc>
          <w:tcPr>
            <w:tcW w:w="2419" w:type="pct"/>
            <w:gridSpan w:val="4"/>
            <w:shd w:val="clear" w:color="auto" w:fill="F2DBDB"/>
            <w:noWrap w:val="0"/>
            <w:vAlign w:val="center"/>
          </w:tcPr>
          <w:p w14:paraId="265D58AF">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投标人直接控股股东信息表</w:t>
            </w:r>
          </w:p>
        </w:tc>
        <w:tc>
          <w:tcPr>
            <w:tcW w:w="2580" w:type="pct"/>
            <w:shd w:val="clear" w:color="auto" w:fill="F2DBDB"/>
            <w:noWrap w:val="0"/>
            <w:vAlign w:val="center"/>
          </w:tcPr>
          <w:p w14:paraId="55E89A56">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7C31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center"/>
          </w:tcPr>
          <w:p w14:paraId="3A00ED61">
            <w:pPr>
              <w:spacing w:line="4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617" w:type="pct"/>
            <w:noWrap w:val="0"/>
            <w:vAlign w:val="center"/>
          </w:tcPr>
          <w:p w14:paraId="04292327">
            <w:pPr>
              <w:spacing w:line="4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471" w:type="pct"/>
            <w:noWrap w:val="0"/>
            <w:vAlign w:val="center"/>
          </w:tcPr>
          <w:p w14:paraId="4C1215FD">
            <w:pPr>
              <w:spacing w:line="4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869" w:type="pct"/>
            <w:noWrap w:val="0"/>
            <w:vAlign w:val="center"/>
          </w:tcPr>
          <w:p w14:paraId="1A43517D">
            <w:pPr>
              <w:spacing w:line="4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2580" w:type="pct"/>
            <w:vMerge w:val="restart"/>
            <w:noWrap w:val="0"/>
            <w:vAlign w:val="center"/>
          </w:tcPr>
          <w:p w14:paraId="228FF5AE">
            <w:pPr>
              <w:snapToGrid w:val="0"/>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71E3EC9">
            <w:pPr>
              <w:snapToGrid w:val="0"/>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6FE44B1A">
            <w:pPr>
              <w:snapToGrid w:val="0"/>
              <w:spacing w:line="440" w:lineRule="exact"/>
              <w:jc w:val="left"/>
              <w:rPr>
                <w:rFonts w:hint="eastAsia" w:ascii="宋体" w:hAnsi="宋体" w:cs="宋体"/>
                <w:b/>
                <w:bCs/>
                <w:color w:val="auto"/>
                <w:kern w:val="0"/>
                <w:szCs w:val="21"/>
                <w:highlight w:val="none"/>
              </w:rPr>
            </w:pPr>
            <w:r>
              <w:rPr>
                <w:rFonts w:hint="eastAsia" w:ascii="宋体" w:hAnsi="宋体" w:cs="宋体"/>
                <w:color w:val="auto"/>
                <w:szCs w:val="21"/>
                <w:highlight w:val="none"/>
              </w:rPr>
              <w:t>3.供应商不存在直接控股股东的，则填“无”。</w:t>
            </w:r>
          </w:p>
        </w:tc>
      </w:tr>
      <w:tr w14:paraId="0D8A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top"/>
          </w:tcPr>
          <w:p w14:paraId="1D67E7E9">
            <w:pPr>
              <w:snapToGrid w:val="0"/>
              <w:spacing w:before="120" w:beforeLines="50" w:after="50" w:line="44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1</w:t>
            </w:r>
          </w:p>
        </w:tc>
        <w:tc>
          <w:tcPr>
            <w:tcW w:w="617" w:type="pct"/>
            <w:noWrap w:val="0"/>
            <w:vAlign w:val="top"/>
          </w:tcPr>
          <w:p w14:paraId="39076899">
            <w:pPr>
              <w:snapToGrid w:val="0"/>
              <w:spacing w:before="120" w:beforeLines="50" w:after="50" w:line="440" w:lineRule="exact"/>
              <w:jc w:val="left"/>
              <w:rPr>
                <w:rFonts w:hint="eastAsia" w:ascii="宋体" w:hAnsi="宋体" w:cs="宋体"/>
                <w:b/>
                <w:color w:val="auto"/>
                <w:szCs w:val="21"/>
                <w:highlight w:val="none"/>
              </w:rPr>
            </w:pPr>
          </w:p>
        </w:tc>
        <w:tc>
          <w:tcPr>
            <w:tcW w:w="471" w:type="pct"/>
            <w:noWrap w:val="0"/>
            <w:vAlign w:val="top"/>
          </w:tcPr>
          <w:p w14:paraId="7C5389D5">
            <w:pPr>
              <w:snapToGrid w:val="0"/>
              <w:spacing w:before="120" w:beforeLines="50" w:after="50" w:line="440" w:lineRule="exact"/>
              <w:jc w:val="left"/>
              <w:rPr>
                <w:rFonts w:hint="eastAsia" w:ascii="宋体" w:hAnsi="宋体" w:cs="宋体"/>
                <w:b/>
                <w:color w:val="auto"/>
                <w:szCs w:val="21"/>
                <w:highlight w:val="none"/>
              </w:rPr>
            </w:pPr>
          </w:p>
        </w:tc>
        <w:tc>
          <w:tcPr>
            <w:tcW w:w="869" w:type="pct"/>
            <w:noWrap w:val="0"/>
            <w:vAlign w:val="top"/>
          </w:tcPr>
          <w:p w14:paraId="4B57CEE2">
            <w:pPr>
              <w:snapToGrid w:val="0"/>
              <w:spacing w:before="120" w:beforeLines="50" w:after="50" w:line="440" w:lineRule="exact"/>
              <w:jc w:val="left"/>
              <w:rPr>
                <w:rFonts w:hint="eastAsia" w:ascii="宋体" w:hAnsi="宋体" w:cs="宋体"/>
                <w:b/>
                <w:color w:val="auto"/>
                <w:szCs w:val="21"/>
                <w:highlight w:val="none"/>
              </w:rPr>
            </w:pPr>
          </w:p>
        </w:tc>
        <w:tc>
          <w:tcPr>
            <w:tcW w:w="2580" w:type="pct"/>
            <w:vMerge w:val="continue"/>
            <w:noWrap w:val="0"/>
            <w:vAlign w:val="top"/>
          </w:tcPr>
          <w:p w14:paraId="2614C505">
            <w:pPr>
              <w:snapToGrid w:val="0"/>
              <w:spacing w:line="440" w:lineRule="exact"/>
              <w:jc w:val="left"/>
              <w:rPr>
                <w:rFonts w:hint="eastAsia" w:ascii="宋体" w:hAnsi="宋体" w:cs="宋体"/>
                <w:color w:val="auto"/>
                <w:szCs w:val="21"/>
                <w:highlight w:val="none"/>
              </w:rPr>
            </w:pPr>
          </w:p>
        </w:tc>
      </w:tr>
      <w:tr w14:paraId="6E6A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top"/>
          </w:tcPr>
          <w:p w14:paraId="1C3A56F1">
            <w:pPr>
              <w:snapToGrid w:val="0"/>
              <w:spacing w:before="120" w:beforeLines="50" w:after="50" w:line="44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2</w:t>
            </w:r>
          </w:p>
        </w:tc>
        <w:tc>
          <w:tcPr>
            <w:tcW w:w="617" w:type="pct"/>
            <w:noWrap w:val="0"/>
            <w:vAlign w:val="top"/>
          </w:tcPr>
          <w:p w14:paraId="7CC3A87C">
            <w:pPr>
              <w:snapToGrid w:val="0"/>
              <w:spacing w:before="120" w:beforeLines="50" w:after="50" w:line="440" w:lineRule="exact"/>
              <w:jc w:val="left"/>
              <w:rPr>
                <w:rFonts w:hint="eastAsia" w:ascii="宋体" w:hAnsi="宋体" w:cs="宋体"/>
                <w:b/>
                <w:color w:val="auto"/>
                <w:szCs w:val="21"/>
                <w:highlight w:val="none"/>
              </w:rPr>
            </w:pPr>
          </w:p>
        </w:tc>
        <w:tc>
          <w:tcPr>
            <w:tcW w:w="471" w:type="pct"/>
            <w:noWrap w:val="0"/>
            <w:vAlign w:val="top"/>
          </w:tcPr>
          <w:p w14:paraId="046906D1">
            <w:pPr>
              <w:snapToGrid w:val="0"/>
              <w:spacing w:before="120" w:beforeLines="50" w:after="50" w:line="440" w:lineRule="exact"/>
              <w:jc w:val="left"/>
              <w:rPr>
                <w:rFonts w:hint="eastAsia" w:ascii="宋体" w:hAnsi="宋体" w:cs="宋体"/>
                <w:b/>
                <w:color w:val="auto"/>
                <w:szCs w:val="21"/>
                <w:highlight w:val="none"/>
              </w:rPr>
            </w:pPr>
          </w:p>
        </w:tc>
        <w:tc>
          <w:tcPr>
            <w:tcW w:w="869" w:type="pct"/>
            <w:noWrap w:val="0"/>
            <w:vAlign w:val="top"/>
          </w:tcPr>
          <w:p w14:paraId="4B983315">
            <w:pPr>
              <w:snapToGrid w:val="0"/>
              <w:spacing w:before="120" w:beforeLines="50" w:after="50" w:line="440" w:lineRule="exact"/>
              <w:jc w:val="left"/>
              <w:rPr>
                <w:rFonts w:hint="eastAsia" w:ascii="宋体" w:hAnsi="宋体" w:cs="宋体"/>
                <w:b/>
                <w:color w:val="auto"/>
                <w:szCs w:val="21"/>
                <w:highlight w:val="none"/>
              </w:rPr>
            </w:pPr>
          </w:p>
        </w:tc>
        <w:tc>
          <w:tcPr>
            <w:tcW w:w="2580" w:type="pct"/>
            <w:vMerge w:val="continue"/>
            <w:noWrap w:val="0"/>
            <w:vAlign w:val="top"/>
          </w:tcPr>
          <w:p w14:paraId="120B85E5">
            <w:pPr>
              <w:snapToGrid w:val="0"/>
              <w:spacing w:before="120" w:beforeLines="50" w:after="50" w:line="440" w:lineRule="exact"/>
              <w:jc w:val="left"/>
              <w:rPr>
                <w:rFonts w:hint="eastAsia" w:ascii="宋体" w:hAnsi="宋体" w:cs="宋体"/>
                <w:b/>
                <w:color w:val="auto"/>
                <w:szCs w:val="21"/>
                <w:highlight w:val="none"/>
              </w:rPr>
            </w:pPr>
          </w:p>
        </w:tc>
      </w:tr>
      <w:tr w14:paraId="5DB5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tcBorders>
              <w:bottom w:val="single" w:color="auto" w:sz="4" w:space="0"/>
            </w:tcBorders>
            <w:noWrap w:val="0"/>
            <w:vAlign w:val="top"/>
          </w:tcPr>
          <w:p w14:paraId="76AAB6E2">
            <w:pPr>
              <w:snapToGrid w:val="0"/>
              <w:spacing w:before="120" w:beforeLines="50" w:after="50" w:line="440" w:lineRule="exact"/>
              <w:jc w:val="left"/>
              <w:rPr>
                <w:rFonts w:hint="eastAsia" w:ascii="宋体" w:hAnsi="宋体" w:cs="宋体"/>
                <w:b/>
                <w:color w:val="auto"/>
                <w:szCs w:val="21"/>
                <w:highlight w:val="none"/>
              </w:rPr>
            </w:pPr>
            <w:r>
              <w:rPr>
                <w:rFonts w:hint="eastAsia" w:ascii="宋体" w:hAnsi="宋体" w:cs="宋体"/>
                <w:color w:val="auto"/>
                <w:kern w:val="0"/>
                <w:szCs w:val="21"/>
                <w:highlight w:val="none"/>
              </w:rPr>
              <w:t>……</w:t>
            </w:r>
          </w:p>
        </w:tc>
        <w:tc>
          <w:tcPr>
            <w:tcW w:w="617" w:type="pct"/>
            <w:tcBorders>
              <w:bottom w:val="single" w:color="auto" w:sz="4" w:space="0"/>
            </w:tcBorders>
            <w:noWrap w:val="0"/>
            <w:vAlign w:val="top"/>
          </w:tcPr>
          <w:p w14:paraId="3D4B3012">
            <w:pPr>
              <w:snapToGrid w:val="0"/>
              <w:spacing w:before="120" w:beforeLines="50" w:after="50" w:line="440" w:lineRule="exact"/>
              <w:jc w:val="left"/>
              <w:rPr>
                <w:rFonts w:hint="eastAsia" w:ascii="宋体" w:hAnsi="宋体" w:cs="宋体"/>
                <w:b/>
                <w:color w:val="auto"/>
                <w:szCs w:val="21"/>
                <w:highlight w:val="none"/>
              </w:rPr>
            </w:pPr>
          </w:p>
        </w:tc>
        <w:tc>
          <w:tcPr>
            <w:tcW w:w="471" w:type="pct"/>
            <w:tcBorders>
              <w:bottom w:val="single" w:color="auto" w:sz="4" w:space="0"/>
            </w:tcBorders>
            <w:noWrap w:val="0"/>
            <w:vAlign w:val="top"/>
          </w:tcPr>
          <w:p w14:paraId="1FB8C895">
            <w:pPr>
              <w:snapToGrid w:val="0"/>
              <w:spacing w:before="120" w:beforeLines="50" w:after="50" w:line="440" w:lineRule="exact"/>
              <w:jc w:val="left"/>
              <w:rPr>
                <w:rFonts w:hint="eastAsia" w:ascii="宋体" w:hAnsi="宋体" w:cs="宋体"/>
                <w:b/>
                <w:color w:val="auto"/>
                <w:szCs w:val="21"/>
                <w:highlight w:val="none"/>
              </w:rPr>
            </w:pPr>
          </w:p>
        </w:tc>
        <w:tc>
          <w:tcPr>
            <w:tcW w:w="869" w:type="pct"/>
            <w:tcBorders>
              <w:bottom w:val="single" w:color="auto" w:sz="4" w:space="0"/>
            </w:tcBorders>
            <w:noWrap w:val="0"/>
            <w:vAlign w:val="top"/>
          </w:tcPr>
          <w:p w14:paraId="12F045BD">
            <w:pPr>
              <w:snapToGrid w:val="0"/>
              <w:spacing w:before="120" w:beforeLines="50" w:after="50" w:line="440" w:lineRule="exact"/>
              <w:jc w:val="left"/>
              <w:rPr>
                <w:rFonts w:hint="eastAsia" w:ascii="宋体" w:hAnsi="宋体" w:cs="宋体"/>
                <w:b/>
                <w:color w:val="auto"/>
                <w:szCs w:val="21"/>
                <w:highlight w:val="none"/>
              </w:rPr>
            </w:pPr>
          </w:p>
        </w:tc>
        <w:tc>
          <w:tcPr>
            <w:tcW w:w="2580" w:type="pct"/>
            <w:vMerge w:val="continue"/>
            <w:tcBorders>
              <w:bottom w:val="single" w:color="auto" w:sz="4" w:space="0"/>
            </w:tcBorders>
            <w:noWrap w:val="0"/>
            <w:vAlign w:val="top"/>
          </w:tcPr>
          <w:p w14:paraId="0896C713">
            <w:pPr>
              <w:snapToGrid w:val="0"/>
              <w:spacing w:before="120" w:beforeLines="50" w:after="50" w:line="440" w:lineRule="exact"/>
              <w:jc w:val="left"/>
              <w:rPr>
                <w:rFonts w:hint="eastAsia" w:ascii="宋体" w:hAnsi="宋体" w:cs="宋体"/>
                <w:b/>
                <w:color w:val="auto"/>
                <w:szCs w:val="21"/>
                <w:highlight w:val="none"/>
              </w:rPr>
            </w:pPr>
          </w:p>
        </w:tc>
      </w:tr>
      <w:tr w14:paraId="35E4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trPr>
        <w:tc>
          <w:tcPr>
            <w:tcW w:w="2419" w:type="pct"/>
            <w:gridSpan w:val="4"/>
            <w:shd w:val="clear" w:color="auto" w:fill="F2DBDB"/>
            <w:noWrap w:val="0"/>
            <w:vAlign w:val="center"/>
          </w:tcPr>
          <w:p w14:paraId="31FEDFFE">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投标人直接管理关系信息表</w:t>
            </w:r>
          </w:p>
        </w:tc>
        <w:tc>
          <w:tcPr>
            <w:tcW w:w="2580" w:type="pct"/>
            <w:shd w:val="clear" w:color="auto" w:fill="F2DBDB"/>
            <w:noWrap w:val="0"/>
            <w:vAlign w:val="center"/>
          </w:tcPr>
          <w:p w14:paraId="75931088">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说明</w:t>
            </w:r>
          </w:p>
        </w:tc>
      </w:tr>
      <w:tr w14:paraId="72E8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center"/>
          </w:tcPr>
          <w:p w14:paraId="34CE74E6">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bCs/>
                <w:color w:val="auto"/>
                <w:kern w:val="0"/>
                <w:szCs w:val="21"/>
                <w:highlight w:val="none"/>
              </w:rPr>
              <w:t>序号</w:t>
            </w:r>
          </w:p>
        </w:tc>
        <w:tc>
          <w:tcPr>
            <w:tcW w:w="1088" w:type="pct"/>
            <w:gridSpan w:val="2"/>
            <w:noWrap w:val="0"/>
            <w:vAlign w:val="center"/>
          </w:tcPr>
          <w:p w14:paraId="633BAB55">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bCs/>
                <w:color w:val="auto"/>
                <w:kern w:val="0"/>
                <w:szCs w:val="21"/>
                <w:highlight w:val="none"/>
              </w:rPr>
              <w:t>直接管理关系单位名称</w:t>
            </w:r>
          </w:p>
        </w:tc>
        <w:tc>
          <w:tcPr>
            <w:tcW w:w="869" w:type="pct"/>
            <w:noWrap w:val="0"/>
            <w:vAlign w:val="center"/>
          </w:tcPr>
          <w:p w14:paraId="19958CB8">
            <w:pPr>
              <w:snapToGrid w:val="0"/>
              <w:spacing w:before="120" w:beforeLines="50" w:after="50" w:line="440" w:lineRule="exact"/>
              <w:jc w:val="center"/>
              <w:rPr>
                <w:rFonts w:hint="eastAsia" w:ascii="宋体" w:hAnsi="宋体" w:cs="宋体"/>
                <w:b/>
                <w:color w:val="auto"/>
                <w:szCs w:val="21"/>
                <w:highlight w:val="none"/>
              </w:rPr>
            </w:pPr>
            <w:r>
              <w:rPr>
                <w:rFonts w:hint="eastAsia" w:ascii="宋体" w:hAnsi="宋体" w:cs="宋体"/>
                <w:b/>
                <w:bCs/>
                <w:color w:val="auto"/>
                <w:kern w:val="0"/>
                <w:szCs w:val="21"/>
                <w:highlight w:val="none"/>
              </w:rPr>
              <w:t>统一社会信用代码</w:t>
            </w:r>
          </w:p>
        </w:tc>
        <w:tc>
          <w:tcPr>
            <w:tcW w:w="2580" w:type="pct"/>
            <w:vMerge w:val="restart"/>
            <w:noWrap w:val="0"/>
            <w:vAlign w:val="center"/>
          </w:tcPr>
          <w:p w14:paraId="17334B85">
            <w:pPr>
              <w:snapToGrid w:val="0"/>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7BB7D30E">
            <w:pPr>
              <w:snapToGrid w:val="0"/>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14:paraId="2E559590">
            <w:pPr>
              <w:snapToGrid w:val="0"/>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3.供应商不存在直接管理关系的，则填“无”。</w:t>
            </w:r>
          </w:p>
        </w:tc>
      </w:tr>
      <w:tr w14:paraId="22BF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center"/>
          </w:tcPr>
          <w:p w14:paraId="515B3FE8">
            <w:pPr>
              <w:snapToGrid w:val="0"/>
              <w:spacing w:before="120" w:beforeLines="50" w:after="50" w:line="4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1</w:t>
            </w:r>
          </w:p>
        </w:tc>
        <w:tc>
          <w:tcPr>
            <w:tcW w:w="1088" w:type="pct"/>
            <w:gridSpan w:val="2"/>
            <w:noWrap w:val="0"/>
            <w:vAlign w:val="center"/>
          </w:tcPr>
          <w:p w14:paraId="718B78A7">
            <w:pPr>
              <w:snapToGrid w:val="0"/>
              <w:spacing w:before="120" w:beforeLines="50" w:after="50" w:line="440" w:lineRule="exact"/>
              <w:jc w:val="center"/>
              <w:rPr>
                <w:rFonts w:hint="eastAsia" w:ascii="宋体" w:hAnsi="宋体" w:cs="宋体"/>
                <w:b/>
                <w:bCs/>
                <w:color w:val="auto"/>
                <w:kern w:val="0"/>
                <w:szCs w:val="21"/>
                <w:highlight w:val="none"/>
              </w:rPr>
            </w:pPr>
          </w:p>
        </w:tc>
        <w:tc>
          <w:tcPr>
            <w:tcW w:w="869" w:type="pct"/>
            <w:noWrap w:val="0"/>
            <w:vAlign w:val="center"/>
          </w:tcPr>
          <w:p w14:paraId="5F09E5FF">
            <w:pPr>
              <w:snapToGrid w:val="0"/>
              <w:spacing w:before="120" w:beforeLines="50" w:after="50" w:line="440" w:lineRule="exact"/>
              <w:jc w:val="center"/>
              <w:rPr>
                <w:rFonts w:hint="eastAsia" w:ascii="宋体" w:hAnsi="宋体" w:cs="宋体"/>
                <w:b/>
                <w:bCs/>
                <w:color w:val="auto"/>
                <w:kern w:val="0"/>
                <w:szCs w:val="21"/>
                <w:highlight w:val="none"/>
              </w:rPr>
            </w:pPr>
          </w:p>
        </w:tc>
        <w:tc>
          <w:tcPr>
            <w:tcW w:w="2580" w:type="pct"/>
            <w:vMerge w:val="continue"/>
            <w:noWrap w:val="0"/>
            <w:vAlign w:val="center"/>
          </w:tcPr>
          <w:p w14:paraId="39F990E4">
            <w:pPr>
              <w:snapToGrid w:val="0"/>
              <w:spacing w:line="440" w:lineRule="exact"/>
              <w:jc w:val="left"/>
              <w:rPr>
                <w:rFonts w:hint="eastAsia" w:ascii="宋体" w:hAnsi="宋体" w:cs="宋体"/>
                <w:color w:val="auto"/>
                <w:szCs w:val="21"/>
                <w:highlight w:val="none"/>
              </w:rPr>
            </w:pPr>
          </w:p>
        </w:tc>
      </w:tr>
      <w:tr w14:paraId="4075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center"/>
          </w:tcPr>
          <w:p w14:paraId="1F598C33">
            <w:pPr>
              <w:snapToGrid w:val="0"/>
              <w:spacing w:before="120" w:beforeLines="50" w:after="50" w:line="44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2</w:t>
            </w:r>
          </w:p>
        </w:tc>
        <w:tc>
          <w:tcPr>
            <w:tcW w:w="1088" w:type="pct"/>
            <w:gridSpan w:val="2"/>
            <w:noWrap w:val="0"/>
            <w:vAlign w:val="center"/>
          </w:tcPr>
          <w:p w14:paraId="51D3F79F">
            <w:pPr>
              <w:snapToGrid w:val="0"/>
              <w:spacing w:before="120" w:beforeLines="50" w:after="50" w:line="440" w:lineRule="exact"/>
              <w:jc w:val="center"/>
              <w:rPr>
                <w:rFonts w:hint="eastAsia" w:ascii="宋体" w:hAnsi="宋体" w:cs="宋体"/>
                <w:b/>
                <w:bCs/>
                <w:color w:val="auto"/>
                <w:kern w:val="0"/>
                <w:szCs w:val="21"/>
                <w:highlight w:val="none"/>
              </w:rPr>
            </w:pPr>
          </w:p>
        </w:tc>
        <w:tc>
          <w:tcPr>
            <w:tcW w:w="869" w:type="pct"/>
            <w:noWrap w:val="0"/>
            <w:vAlign w:val="center"/>
          </w:tcPr>
          <w:p w14:paraId="09F560B8">
            <w:pPr>
              <w:snapToGrid w:val="0"/>
              <w:spacing w:before="120" w:beforeLines="50" w:after="50" w:line="440" w:lineRule="exact"/>
              <w:jc w:val="center"/>
              <w:rPr>
                <w:rFonts w:hint="eastAsia" w:ascii="宋体" w:hAnsi="宋体" w:cs="宋体"/>
                <w:b/>
                <w:bCs/>
                <w:color w:val="auto"/>
                <w:kern w:val="0"/>
                <w:szCs w:val="21"/>
                <w:highlight w:val="none"/>
              </w:rPr>
            </w:pPr>
          </w:p>
        </w:tc>
        <w:tc>
          <w:tcPr>
            <w:tcW w:w="2580" w:type="pct"/>
            <w:vMerge w:val="continue"/>
            <w:noWrap w:val="0"/>
            <w:vAlign w:val="center"/>
          </w:tcPr>
          <w:p w14:paraId="06DB7AD4">
            <w:pPr>
              <w:snapToGrid w:val="0"/>
              <w:spacing w:line="440" w:lineRule="exact"/>
              <w:jc w:val="left"/>
              <w:rPr>
                <w:rFonts w:hint="eastAsia" w:ascii="宋体" w:hAnsi="宋体" w:cs="宋体"/>
                <w:color w:val="auto"/>
                <w:szCs w:val="21"/>
                <w:highlight w:val="none"/>
              </w:rPr>
            </w:pPr>
          </w:p>
        </w:tc>
      </w:tr>
      <w:tr w14:paraId="1DBD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noWrap w:val="0"/>
            <w:vAlign w:val="center"/>
          </w:tcPr>
          <w:p w14:paraId="59D5857E">
            <w:pPr>
              <w:snapToGrid w:val="0"/>
              <w:spacing w:before="120" w:beforeLines="50" w:after="50" w:line="440" w:lineRule="exact"/>
              <w:jc w:val="center"/>
              <w:rPr>
                <w:rFonts w:hint="eastAsia" w:ascii="宋体" w:hAnsi="宋体" w:cs="宋体"/>
                <w:b/>
                <w:bCs/>
                <w:color w:val="auto"/>
                <w:kern w:val="0"/>
                <w:szCs w:val="21"/>
                <w:highlight w:val="none"/>
              </w:rPr>
            </w:pPr>
            <w:r>
              <w:rPr>
                <w:rFonts w:hint="eastAsia" w:ascii="宋体" w:hAnsi="宋体" w:cs="宋体"/>
                <w:color w:val="auto"/>
                <w:kern w:val="0"/>
                <w:szCs w:val="21"/>
                <w:highlight w:val="none"/>
              </w:rPr>
              <w:t>……</w:t>
            </w:r>
          </w:p>
        </w:tc>
        <w:tc>
          <w:tcPr>
            <w:tcW w:w="1088" w:type="pct"/>
            <w:gridSpan w:val="2"/>
            <w:noWrap w:val="0"/>
            <w:vAlign w:val="center"/>
          </w:tcPr>
          <w:p w14:paraId="7E12F729">
            <w:pPr>
              <w:snapToGrid w:val="0"/>
              <w:spacing w:before="120" w:beforeLines="50" w:after="50" w:line="440" w:lineRule="exact"/>
              <w:jc w:val="center"/>
              <w:rPr>
                <w:rFonts w:hint="eastAsia" w:ascii="宋体" w:hAnsi="宋体" w:cs="宋体"/>
                <w:b/>
                <w:bCs/>
                <w:color w:val="auto"/>
                <w:kern w:val="0"/>
                <w:szCs w:val="21"/>
                <w:highlight w:val="none"/>
              </w:rPr>
            </w:pPr>
          </w:p>
        </w:tc>
        <w:tc>
          <w:tcPr>
            <w:tcW w:w="869" w:type="pct"/>
            <w:noWrap w:val="0"/>
            <w:vAlign w:val="center"/>
          </w:tcPr>
          <w:p w14:paraId="583E3A21">
            <w:pPr>
              <w:snapToGrid w:val="0"/>
              <w:spacing w:before="120" w:beforeLines="50" w:after="50" w:line="440" w:lineRule="exact"/>
              <w:jc w:val="center"/>
              <w:rPr>
                <w:rFonts w:hint="eastAsia" w:ascii="宋体" w:hAnsi="宋体" w:cs="宋体"/>
                <w:b/>
                <w:bCs/>
                <w:color w:val="auto"/>
                <w:kern w:val="0"/>
                <w:szCs w:val="21"/>
                <w:highlight w:val="none"/>
              </w:rPr>
            </w:pPr>
          </w:p>
        </w:tc>
        <w:tc>
          <w:tcPr>
            <w:tcW w:w="2580" w:type="pct"/>
            <w:vMerge w:val="continue"/>
            <w:noWrap w:val="0"/>
            <w:vAlign w:val="center"/>
          </w:tcPr>
          <w:p w14:paraId="08D0884C">
            <w:pPr>
              <w:snapToGrid w:val="0"/>
              <w:spacing w:line="440" w:lineRule="exact"/>
              <w:jc w:val="left"/>
              <w:rPr>
                <w:rFonts w:hint="eastAsia" w:ascii="宋体" w:hAnsi="宋体" w:cs="宋体"/>
                <w:color w:val="auto"/>
                <w:szCs w:val="21"/>
                <w:highlight w:val="none"/>
              </w:rPr>
            </w:pPr>
          </w:p>
        </w:tc>
      </w:tr>
    </w:tbl>
    <w:p w14:paraId="4B3A5C93">
      <w:pPr>
        <w:snapToGrid w:val="0"/>
        <w:spacing w:line="400" w:lineRule="exact"/>
        <w:jc w:val="left"/>
        <w:rPr>
          <w:rFonts w:hint="eastAsia" w:ascii="宋体" w:hAnsi="宋体" w:cs="宋体"/>
          <w:color w:val="auto"/>
          <w:szCs w:val="21"/>
          <w:highlight w:val="none"/>
        </w:rPr>
      </w:pPr>
    </w:p>
    <w:p w14:paraId="58C3AED7">
      <w:pPr>
        <w:snapToGrid w:val="0"/>
        <w:spacing w:line="400" w:lineRule="exact"/>
        <w:ind w:left="-2" w:leftChars="-1" w:right="-817" w:rightChars="-389"/>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2D777907">
      <w:pPr>
        <w:snapToGrid w:val="0"/>
        <w:spacing w:line="4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3BF4D653">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6076FAB7">
      <w:pPr>
        <w:snapToGrid w:val="0"/>
        <w:jc w:val="center"/>
        <w:rPr>
          <w:rFonts w:hint="eastAsia" w:ascii="宋体" w:hAnsi="宋体" w:cs="宋体"/>
          <w:b/>
          <w:color w:val="auto"/>
          <w:sz w:val="28"/>
          <w:szCs w:val="28"/>
          <w:highlight w:val="none"/>
        </w:rPr>
      </w:pPr>
    </w:p>
    <w:p w14:paraId="15508B60">
      <w:pPr>
        <w:snapToGrid w:val="0"/>
        <w:spacing w:before="120" w:beforeLines="50" w:after="50"/>
        <w:jc w:val="left"/>
        <w:rPr>
          <w:rFonts w:hint="eastAsia"/>
          <w:color w:val="auto"/>
          <w:szCs w:val="20"/>
          <w:highlight w:val="none"/>
        </w:rPr>
      </w:pPr>
      <w:r>
        <w:rPr>
          <w:rFonts w:hint="eastAsia" w:ascii="宋体" w:hAnsi="宋体" w:cs="宋体"/>
          <w:b/>
          <w:color w:val="auto"/>
          <w:sz w:val="32"/>
          <w:szCs w:val="32"/>
          <w:highlight w:val="none"/>
        </w:rPr>
        <w:br w:type="page"/>
      </w:r>
      <w:r>
        <w:rPr>
          <w:rFonts w:hint="eastAsia" w:ascii="宋体" w:hAnsi="宋体" w:cs="宋体"/>
          <w:b/>
          <w:color w:val="auto"/>
          <w:sz w:val="28"/>
          <w:szCs w:val="28"/>
          <w:highlight w:val="none"/>
        </w:rPr>
        <w:t>4.投标声明</w:t>
      </w:r>
    </w:p>
    <w:p w14:paraId="1176B72C">
      <w:pPr>
        <w:snapToGrid w:val="0"/>
        <w:spacing w:before="50" w:after="120" w:afterLines="50"/>
        <w:jc w:val="left"/>
        <w:rPr>
          <w:rFonts w:hint="eastAsia" w:ascii="宋体" w:hAnsi="宋体" w:cs="宋体"/>
          <w:color w:val="auto"/>
          <w:highlight w:val="none"/>
        </w:rPr>
      </w:pPr>
    </w:p>
    <w:p w14:paraId="56A46D5B">
      <w:pPr>
        <w:snapToGrid w:val="0"/>
        <w:spacing w:before="120" w:beforeLines="50" w:after="50"/>
        <w:ind w:left="420"/>
        <w:jc w:val="center"/>
        <w:rPr>
          <w:rFonts w:hint="eastAsia" w:ascii="宋体" w:hAnsi="宋体" w:cs="宋体"/>
          <w:b/>
          <w:bCs/>
          <w:color w:val="auto"/>
          <w:spacing w:val="-17"/>
          <w:sz w:val="30"/>
          <w:szCs w:val="30"/>
          <w:highlight w:val="none"/>
        </w:rPr>
      </w:pPr>
      <w:r>
        <w:rPr>
          <w:rFonts w:hint="eastAsia" w:ascii="宋体" w:hAnsi="宋体" w:cs="宋体"/>
          <w:b/>
          <w:bCs/>
          <w:color w:val="auto"/>
          <w:spacing w:val="-17"/>
          <w:sz w:val="30"/>
          <w:szCs w:val="30"/>
          <w:highlight w:val="none"/>
        </w:rPr>
        <w:t>投标声明</w:t>
      </w:r>
    </w:p>
    <w:p w14:paraId="3BD9F2F7">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7C1042F4">
      <w:pPr>
        <w:spacing w:line="440" w:lineRule="exact"/>
        <w:ind w:firstLine="457" w:firstLineChars="218"/>
        <w:contextualSpacing/>
        <w:jc w:val="left"/>
        <w:rPr>
          <w:rFonts w:hint="eastAsia" w:ascii="宋体" w:hAnsi="宋体" w:cs="宋体"/>
          <w:color w:val="auto"/>
          <w:szCs w:val="21"/>
          <w:highlight w:val="none"/>
        </w:rPr>
      </w:pPr>
      <w:r>
        <w:rPr>
          <w:rFonts w:hint="eastAsia" w:ascii="宋体" w:hAnsi="宋体" w:cs="宋体"/>
          <w:color w:val="auto"/>
          <w:szCs w:val="21"/>
          <w:highlight w:val="none"/>
        </w:rPr>
        <w:t>我方参加贵单位组织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）的政府采购活动。我方在此郑重声明：</w:t>
      </w:r>
    </w:p>
    <w:p w14:paraId="21286030">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6A032A3">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4259C6DC">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3.我方承诺符合《中华人民共和国政府采购法》第二十二条规定：</w:t>
      </w:r>
    </w:p>
    <w:p w14:paraId="77329218">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28C5264B">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28E2D049">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23129DF1">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0AB77F32">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37AE53DD">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616B68EA">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6D1D0F02">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178002B0">
      <w:pPr>
        <w:snapToGrid w:val="0"/>
        <w:spacing w:before="50" w:after="50" w:line="440" w:lineRule="exact"/>
        <w:ind w:firstLine="927" w:firstLineChars="441"/>
        <w:rPr>
          <w:rFonts w:hint="eastAsia" w:ascii="宋体" w:hAnsi="宋体" w:cs="宋体"/>
          <w:color w:val="auto"/>
          <w:spacing w:val="20"/>
          <w:szCs w:val="21"/>
          <w:highlight w:val="none"/>
          <w:u w:val="singl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法定代表人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1165D658">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zCs w:val="21"/>
          <w:highlight w:val="none"/>
          <w:u w:val="single"/>
        </w:rPr>
        <w:t xml:space="preserve">                 </w:t>
      </w:r>
    </w:p>
    <w:p w14:paraId="3841B180">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14:paraId="14E05C9A">
      <w:pPr>
        <w:spacing w:line="440" w:lineRule="exact"/>
        <w:contextualSpacing/>
        <w:rPr>
          <w:rFonts w:hint="eastAsia" w:ascii="宋体" w:hAnsi="宋体" w:cs="宋体"/>
          <w:b/>
          <w:color w:val="auto"/>
          <w:szCs w:val="21"/>
          <w:highlight w:val="none"/>
        </w:rPr>
      </w:pPr>
      <w:r>
        <w:rPr>
          <w:rFonts w:hint="eastAsia" w:ascii="宋体" w:hAnsi="宋体" w:cs="宋体"/>
          <w:b/>
          <w:color w:val="auto"/>
          <w:szCs w:val="21"/>
          <w:highlight w:val="none"/>
        </w:rPr>
        <w:t>注：如为联合体投标，盖章处须加盖联合体牵头人电子签章并由联合体牵头人法定代表人分别签字或者盖章或者电子签名，否则投标无效。</w:t>
      </w:r>
    </w:p>
    <w:p w14:paraId="7F5E79CB">
      <w:pPr>
        <w:snapToGrid w:val="0"/>
        <w:spacing w:before="120" w:beforeLines="50" w:after="50"/>
        <w:jc w:val="left"/>
        <w:rPr>
          <w:rFonts w:ascii="宋体" w:hAnsi="宋体" w:cs="宋体"/>
          <w:b/>
          <w:color w:val="auto"/>
          <w:sz w:val="28"/>
          <w:szCs w:val="28"/>
          <w:highlight w:val="none"/>
        </w:rPr>
      </w:pPr>
    </w:p>
    <w:p w14:paraId="78500CE4">
      <w:pPr>
        <w:snapToGrid w:val="0"/>
        <w:spacing w:before="120" w:beforeLines="50" w:after="50"/>
        <w:jc w:val="left"/>
        <w:rPr>
          <w:rFonts w:hint="eastAsia"/>
          <w:color w:val="auto"/>
          <w:spacing w:val="20"/>
          <w:sz w:val="24"/>
          <w:highlight w:val="none"/>
        </w:rPr>
      </w:pPr>
      <w:r>
        <w:rPr>
          <w:b/>
          <w:color w:val="auto"/>
          <w:highlight w:val="none"/>
        </w:rPr>
        <w:br w:type="page"/>
      </w:r>
      <w:r>
        <w:rPr>
          <w:rFonts w:hint="eastAsia" w:ascii="宋体" w:hAnsi="宋体" w:cs="宋体"/>
          <w:b/>
          <w:color w:val="auto"/>
          <w:sz w:val="28"/>
          <w:szCs w:val="28"/>
          <w:highlight w:val="none"/>
        </w:rPr>
        <w:t>5.联合投标协议书格式</w:t>
      </w:r>
    </w:p>
    <w:p w14:paraId="18EDDA51">
      <w:pPr>
        <w:pStyle w:val="10"/>
        <w:overflowPunct w:val="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联合体协议书</w:t>
      </w:r>
    </w:p>
    <w:p w14:paraId="2287387D">
      <w:pPr>
        <w:pStyle w:val="10"/>
        <w:overflowPunct w:val="0"/>
        <w:spacing w:line="360" w:lineRule="auto"/>
        <w:ind w:firstLine="0"/>
        <w:contextualSpacing/>
        <w:rPr>
          <w:rFonts w:hint="eastAsia" w:ascii="宋体" w:hAnsi="宋体" w:cs="宋体"/>
          <w:color w:val="auto"/>
          <w:sz w:val="24"/>
          <w:highlight w:val="none"/>
        </w:rPr>
      </w:pPr>
    </w:p>
    <w:p w14:paraId="7EA9BB39">
      <w:pPr>
        <w:pStyle w:val="10"/>
        <w:overflowPunct w:val="0"/>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（所有成员单位名称）自愿组成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（联合体名称）联合体，共同参加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（项目名称）   </w:t>
      </w:r>
      <w:r>
        <w:rPr>
          <w:rFonts w:hint="eastAsia" w:ascii="宋体" w:cs="宋体"/>
          <w:color w:val="auto"/>
          <w:kern w:val="0"/>
          <w:szCs w:val="21"/>
          <w:highlight w:val="none"/>
        </w:rPr>
        <w:t>（项目编号：</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w:t>
      </w:r>
      <w:r>
        <w:rPr>
          <w:rFonts w:hint="eastAsia" w:ascii="宋体" w:cs="宋体"/>
          <w:color w:val="auto"/>
          <w:kern w:val="0"/>
          <w:szCs w:val="21"/>
          <w:highlight w:val="none"/>
          <w:u w:val="single"/>
        </w:rPr>
        <w:t xml:space="preserve">   </w:t>
      </w:r>
      <w:r>
        <w:rPr>
          <w:rFonts w:hint="eastAsia" w:ascii="宋体" w:hAnsi="宋体" w:cs="宋体"/>
          <w:color w:val="auto"/>
          <w:szCs w:val="21"/>
          <w:highlight w:val="none"/>
        </w:rPr>
        <w:t>分标采购招标项目投标。现就联合体投标事宜订立如下协议。</w:t>
      </w:r>
    </w:p>
    <w:p w14:paraId="3B3F9DF4">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（某成员单位名称）为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（联合体名称）牵头人。</w:t>
      </w:r>
    </w:p>
    <w:p w14:paraId="597204AE">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2.联合体各成员授权牵头人代表联合体参加投标活动，签署文件及对文件的盖章，提交和接收相关的资料、 信息及指示，进行合同谈判活动，负责合同实施阶段的组织和协调工作，以及处理与本招标项 目有关的一切事宜。</w:t>
      </w:r>
    </w:p>
    <w:p w14:paraId="30777DC6">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715BD6B2">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4.联合体各成员单位内部的职责分工如下：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8219B86">
      <w:pPr>
        <w:spacing w:line="360" w:lineRule="auto"/>
        <w:ind w:firstLine="420" w:firstLineChars="200"/>
        <w:rPr>
          <w:rFonts w:hint="eastAsia"/>
          <w:color w:val="auto"/>
          <w:szCs w:val="21"/>
          <w:highlight w:val="none"/>
        </w:rPr>
      </w:pPr>
      <w:r>
        <w:rPr>
          <w:rFonts w:hint="eastAsia" w:ascii="宋体" w:hAnsi="宋体" w:cs="宋体"/>
          <w:color w:val="auto"/>
          <w:kern w:val="0"/>
          <w:szCs w:val="20"/>
          <w:highlight w:val="none"/>
        </w:rPr>
        <w:t>5.本联合体中，</w:t>
      </w:r>
      <w:r>
        <w:rPr>
          <w:rFonts w:hint="eastAsia" w:ascii="宋体" w:hAnsi="宋体" w:cs="宋体"/>
          <w:color w:val="auto"/>
          <w:kern w:val="0"/>
          <w:szCs w:val="20"/>
          <w:highlight w:val="none"/>
          <w:u w:val="single"/>
        </w:rPr>
        <w:t xml:space="preserve"> （某成员单位名称） </w:t>
      </w:r>
      <w:r>
        <w:rPr>
          <w:rFonts w:hint="eastAsia" w:ascii="宋体" w:hAnsi="宋体" w:cs="宋体"/>
          <w:color w:val="auto"/>
          <w:kern w:val="0"/>
          <w:szCs w:val="20"/>
          <w:highlight w:val="none"/>
        </w:rPr>
        <w:t>为</w:t>
      </w:r>
      <w:r>
        <w:rPr>
          <w:rFonts w:hint="eastAsia" w:ascii="宋体" w:hAnsi="Courier New"/>
          <w:color w:val="auto"/>
          <w:szCs w:val="20"/>
          <w:highlight w:val="none"/>
          <w:u w:val="single"/>
        </w:rPr>
        <w:t xml:space="preserve">        </w:t>
      </w:r>
      <w:r>
        <w:rPr>
          <w:rFonts w:hint="eastAsia" w:ascii="宋体" w:hAnsi="Courier New"/>
          <w:color w:val="auto"/>
          <w:szCs w:val="20"/>
          <w:highlight w:val="none"/>
        </w:rPr>
        <w:t>（请填写：中型、小型、微型）企业，其协议合同金额占联合体协议合同总金额的</w:t>
      </w:r>
      <w:r>
        <w:rPr>
          <w:rFonts w:hint="eastAsia" w:ascii="宋体" w:hAnsi="Courier New"/>
          <w:color w:val="auto"/>
          <w:szCs w:val="20"/>
          <w:highlight w:val="none"/>
          <w:u w:val="single"/>
        </w:rPr>
        <w:t xml:space="preserve">           </w:t>
      </w:r>
      <w:r>
        <w:rPr>
          <w:rFonts w:hint="eastAsia" w:ascii="宋体" w:hAnsi="Courier New"/>
          <w:color w:val="auto"/>
          <w:szCs w:val="20"/>
          <w:highlight w:val="none"/>
        </w:rPr>
        <w:t>%。【如联合体成员中有小型、微型企业的，请填写此条，否则无需填写；如联合体成员中有多个小型、微型企业的，请逐一列出。】</w:t>
      </w:r>
    </w:p>
    <w:p w14:paraId="2ECF113D">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6.本协议书自所有成员单位法定代表人或者其委托代理人签字（或者电子签名）或者盖公章之日起生效，合同履行完毕后自动失效。</w:t>
      </w:r>
    </w:p>
    <w:p w14:paraId="6C9836BB">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7.本协议书一式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份，联合体成员和招标人各执一份。</w:t>
      </w:r>
    </w:p>
    <w:p w14:paraId="5884B927">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注：本协议书应附法定代表人身份证明；有委托代理的，应附授权委托书（格式自拟）。</w:t>
      </w:r>
    </w:p>
    <w:p w14:paraId="3558F1CC">
      <w:pPr>
        <w:pStyle w:val="10"/>
        <w:overflowPunct w:val="0"/>
        <w:spacing w:line="360" w:lineRule="auto"/>
        <w:ind w:firstLine="367" w:firstLineChars="175"/>
        <w:contextualSpacing/>
        <w:rPr>
          <w:rFonts w:hint="eastAsia" w:ascii="宋体" w:hAnsi="宋体" w:cs="宋体"/>
          <w:color w:val="auto"/>
          <w:szCs w:val="21"/>
          <w:highlight w:val="none"/>
        </w:rPr>
      </w:pPr>
    </w:p>
    <w:p w14:paraId="4DBAA9E6">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联合体牵头人名称（电子签章）：</w:t>
      </w:r>
    </w:p>
    <w:p w14:paraId="78FCE2FE">
      <w:pPr>
        <w:pStyle w:val="10"/>
        <w:overflowPunct w:val="0"/>
        <w:spacing w:line="360" w:lineRule="auto"/>
        <w:ind w:firstLine="367" w:firstLineChars="175"/>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1DF25D37">
      <w:pPr>
        <w:pStyle w:val="10"/>
        <w:overflowPunct w:val="0"/>
        <w:spacing w:line="360" w:lineRule="auto"/>
        <w:ind w:firstLine="367" w:firstLineChars="175"/>
        <w:contextualSpacing/>
        <w:rPr>
          <w:rFonts w:hint="eastAsia" w:ascii="宋体" w:hAnsi="宋体" w:cs="宋体"/>
          <w:color w:val="auto"/>
          <w:szCs w:val="21"/>
          <w:highlight w:val="none"/>
        </w:rPr>
      </w:pPr>
    </w:p>
    <w:p w14:paraId="28B0E45F">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联合体成员名称（盖公章或者电子签章）：</w:t>
      </w:r>
    </w:p>
    <w:p w14:paraId="7C1D8E34">
      <w:pPr>
        <w:pStyle w:val="10"/>
        <w:overflowPunct w:val="0"/>
        <w:spacing w:line="360" w:lineRule="auto"/>
        <w:ind w:firstLine="367" w:firstLineChars="175"/>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法定代表人或者其委托代理人：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（签字或者电子签名）</w:t>
      </w:r>
    </w:p>
    <w:p w14:paraId="331F3E14">
      <w:pPr>
        <w:pStyle w:val="10"/>
        <w:overflowPunct w:val="0"/>
        <w:spacing w:line="360" w:lineRule="auto"/>
        <w:ind w:firstLine="367" w:firstLineChars="175"/>
        <w:contextualSpacing/>
        <w:rPr>
          <w:rFonts w:hint="eastAsia" w:ascii="宋体" w:hAnsi="宋体" w:cs="宋体"/>
          <w:color w:val="auto"/>
          <w:szCs w:val="21"/>
          <w:highlight w:val="none"/>
        </w:rPr>
      </w:pPr>
      <w:r>
        <w:rPr>
          <w:rFonts w:hint="eastAsia" w:ascii="宋体" w:hAnsi="宋体" w:cs="宋体"/>
          <w:color w:val="auto"/>
          <w:szCs w:val="21"/>
          <w:highlight w:val="none"/>
        </w:rPr>
        <w:t>……</w:t>
      </w:r>
    </w:p>
    <w:p w14:paraId="275A769C">
      <w:pPr>
        <w:pStyle w:val="4"/>
        <w:rPr>
          <w:rFonts w:hint="eastAsia" w:ascii="宋体" w:hAnsi="宋体" w:cs="宋体"/>
          <w:color w:val="auto"/>
          <w:sz w:val="28"/>
          <w:szCs w:val="28"/>
          <w:highlight w:val="none"/>
        </w:rPr>
      </w:pPr>
      <w:r>
        <w:rPr>
          <w:color w:val="auto"/>
          <w:sz w:val="21"/>
          <w:szCs w:val="21"/>
          <w:highlight w:val="none"/>
        </w:rPr>
        <w:br w:type="page"/>
      </w:r>
      <w:bookmarkStart w:id="261" w:name="_Toc6222"/>
      <w:bookmarkStart w:id="262" w:name="_Toc19686838"/>
      <w:bookmarkStart w:id="263" w:name="_Toc7619"/>
      <w:r>
        <w:rPr>
          <w:rFonts w:hint="eastAsia" w:ascii="宋体" w:hAnsi="宋体" w:cs="宋体"/>
          <w:color w:val="auto"/>
          <w:sz w:val="28"/>
          <w:szCs w:val="28"/>
          <w:highlight w:val="none"/>
        </w:rPr>
        <w:t>三、商务及技术文件格式</w:t>
      </w:r>
      <w:bookmarkEnd w:id="261"/>
      <w:bookmarkEnd w:id="262"/>
      <w:bookmarkEnd w:id="263"/>
    </w:p>
    <w:p w14:paraId="37599D59">
      <w:p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 xml:space="preserve">（一）商务文件封面格式： </w:t>
      </w:r>
    </w:p>
    <w:p w14:paraId="08704BDE">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4784A415">
      <w:pPr>
        <w:snapToGrid w:val="0"/>
        <w:spacing w:before="120"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0538F90D">
      <w:pPr>
        <w:rPr>
          <w:rFonts w:hint="eastAsia" w:ascii="宋体" w:hAnsi="宋体" w:cs="宋体"/>
          <w:color w:val="auto"/>
          <w:sz w:val="24"/>
          <w:highlight w:val="none"/>
        </w:rPr>
      </w:pPr>
    </w:p>
    <w:p w14:paraId="4DAF895E">
      <w:pPr>
        <w:rPr>
          <w:rFonts w:hint="eastAsia"/>
          <w:color w:val="auto"/>
          <w:highlight w:val="none"/>
        </w:rPr>
      </w:pPr>
    </w:p>
    <w:p w14:paraId="4851C24E">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商务文件</w:t>
      </w:r>
    </w:p>
    <w:p w14:paraId="000A8969">
      <w:pPr>
        <w:rPr>
          <w:rFonts w:hint="eastAsia" w:ascii="宋体" w:hAnsi="宋体" w:cs="宋体"/>
          <w:b/>
          <w:color w:val="auto"/>
          <w:sz w:val="32"/>
          <w:szCs w:val="32"/>
          <w:highlight w:val="none"/>
        </w:rPr>
      </w:pPr>
    </w:p>
    <w:p w14:paraId="327E169B">
      <w:pPr>
        <w:rPr>
          <w:rFonts w:hint="eastAsia"/>
          <w:color w:val="auto"/>
          <w:highlight w:val="none"/>
        </w:rPr>
      </w:pPr>
    </w:p>
    <w:p w14:paraId="37BA8E1D">
      <w:pPr>
        <w:snapToGrid w:val="0"/>
        <w:spacing w:before="120" w:beforeLines="50" w:after="50"/>
        <w:rPr>
          <w:rFonts w:hint="eastAsia" w:ascii="宋体" w:hAnsi="宋体" w:cs="宋体"/>
          <w:bCs/>
          <w:color w:val="auto"/>
          <w:sz w:val="24"/>
          <w:szCs w:val="20"/>
          <w:highlight w:val="none"/>
        </w:rPr>
      </w:pPr>
    </w:p>
    <w:p w14:paraId="20E685AC">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3D7887A3">
      <w:pPr>
        <w:snapToGrid w:val="0"/>
        <w:spacing w:before="120" w:beforeLines="50" w:after="50"/>
        <w:ind w:firstLine="540" w:firstLineChars="225"/>
        <w:rPr>
          <w:rFonts w:hint="eastAsia" w:ascii="宋体" w:hAnsi="宋体" w:cs="宋体"/>
          <w:bCs/>
          <w:color w:val="auto"/>
          <w:sz w:val="24"/>
          <w:szCs w:val="20"/>
          <w:highlight w:val="none"/>
        </w:rPr>
      </w:pPr>
    </w:p>
    <w:p w14:paraId="07A5B50B">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77E84C21">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5D120E7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606CEE6E">
      <w:pPr>
        <w:snapToGrid w:val="0"/>
        <w:spacing w:before="120" w:beforeLines="50" w:after="50"/>
        <w:ind w:firstLine="540" w:firstLineChars="225"/>
        <w:rPr>
          <w:rFonts w:hint="eastAsia" w:ascii="宋体" w:hAnsi="宋体" w:cs="宋体"/>
          <w:bCs/>
          <w:color w:val="auto"/>
          <w:sz w:val="24"/>
          <w:szCs w:val="20"/>
          <w:highlight w:val="none"/>
        </w:rPr>
      </w:pPr>
    </w:p>
    <w:p w14:paraId="0756E021">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247B821C">
      <w:pPr>
        <w:pStyle w:val="10"/>
        <w:snapToGrid w:val="0"/>
        <w:spacing w:before="50" w:after="50"/>
        <w:ind w:firstLine="540" w:firstLineChars="225"/>
        <w:rPr>
          <w:rFonts w:hint="eastAsia" w:ascii="宋体" w:hAnsi="宋体" w:cs="宋体"/>
          <w:bCs/>
          <w:color w:val="auto"/>
          <w:sz w:val="24"/>
          <w:szCs w:val="24"/>
          <w:highlight w:val="none"/>
        </w:rPr>
      </w:pPr>
    </w:p>
    <w:p w14:paraId="6C1AD0DF">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7616BACA">
      <w:pPr>
        <w:pStyle w:val="10"/>
        <w:snapToGrid w:val="0"/>
        <w:spacing w:before="50" w:after="50"/>
        <w:ind w:firstLine="960" w:firstLineChars="400"/>
        <w:rPr>
          <w:rFonts w:hint="eastAsia" w:ascii="宋体" w:hAnsi="宋体" w:cs="宋体"/>
          <w:bCs/>
          <w:color w:val="auto"/>
          <w:sz w:val="24"/>
          <w:szCs w:val="24"/>
          <w:highlight w:val="none"/>
        </w:rPr>
      </w:pPr>
    </w:p>
    <w:p w14:paraId="3D1AA3C4">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1879B825">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3D055F9C">
      <w:pPr>
        <w:snapToGrid w:val="0"/>
        <w:spacing w:line="360" w:lineRule="auto"/>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商务文件目录</w:t>
      </w:r>
    </w:p>
    <w:p w14:paraId="79BEE4F5">
      <w:pPr>
        <w:snapToGrid w:val="0"/>
        <w:spacing w:before="50" w:after="120" w:afterLines="50" w:line="360" w:lineRule="auto"/>
        <w:jc w:val="center"/>
        <w:rPr>
          <w:rFonts w:hint="eastAsia" w:ascii="宋体" w:hAnsi="宋体" w:cs="宋体"/>
          <w:b/>
          <w:bCs/>
          <w:color w:val="auto"/>
          <w:sz w:val="24"/>
          <w:highlight w:val="none"/>
        </w:rPr>
      </w:pPr>
      <w:r>
        <w:rPr>
          <w:rFonts w:hint="eastAsia" w:ascii="宋体" w:hAnsi="宋体" w:cs="宋体"/>
          <w:color w:val="auto"/>
          <w:szCs w:val="21"/>
          <w:highlight w:val="none"/>
        </w:rPr>
        <w:t>根据招标文件规定及投标人提供的材料自行编写目录。</w:t>
      </w:r>
    </w:p>
    <w:p w14:paraId="5FB2FDCD">
      <w:pPr>
        <w:snapToGrid w:val="0"/>
        <w:spacing w:before="50" w:after="120" w:afterLines="50"/>
        <w:jc w:val="left"/>
        <w:rPr>
          <w:rFonts w:hint="eastAsia" w:ascii="宋体" w:hAnsi="宋体" w:cs="宋体"/>
          <w:color w:val="auto"/>
          <w:highlight w:val="none"/>
        </w:rPr>
      </w:pPr>
    </w:p>
    <w:p w14:paraId="27F8F4A9">
      <w:pPr>
        <w:snapToGrid w:val="0"/>
        <w:spacing w:before="120"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 无串通投标行为的承诺函</w:t>
      </w:r>
    </w:p>
    <w:p w14:paraId="53FA24FF">
      <w:pPr>
        <w:snapToGrid w:val="0"/>
        <w:spacing w:before="120" w:beforeLines="50" w:after="50"/>
        <w:jc w:val="left"/>
        <w:rPr>
          <w:rFonts w:hint="eastAsia" w:ascii="宋体" w:hAnsi="宋体" w:cs="宋体"/>
          <w:b/>
          <w:color w:val="auto"/>
          <w:sz w:val="24"/>
          <w:highlight w:val="none"/>
        </w:rPr>
      </w:pPr>
    </w:p>
    <w:p w14:paraId="43699108">
      <w:pPr>
        <w:snapToGrid w:val="0"/>
        <w:spacing w:before="120" w:beforeLines="50" w:after="5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无串通投标行为的承诺函</w:t>
      </w:r>
    </w:p>
    <w:p w14:paraId="5153EE79">
      <w:pPr>
        <w:spacing w:line="440" w:lineRule="exact"/>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4AF6AC57">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2BCBF31B">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6B4E5A1B">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42E3A506">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497AEB99">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115563B7">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74FE4FAE">
      <w:pPr>
        <w:spacing w:line="440" w:lineRule="exact"/>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4A3A6D6C">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7A42637C">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1B1743A2">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46C70467">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6FAB0BCD">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7B41F726">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3F4D07E5">
      <w:pPr>
        <w:spacing w:line="44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69B347D9">
      <w:pPr>
        <w:spacing w:line="440" w:lineRule="exact"/>
        <w:ind w:firstLine="412" w:firstLineChars="196"/>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4124FF07">
      <w:pPr>
        <w:pStyle w:val="20"/>
        <w:spacing w:line="440" w:lineRule="exact"/>
        <w:ind w:firstLine="840" w:firstLineChars="400"/>
        <w:rPr>
          <w:rFonts w:hint="eastAsia" w:hAnsi="宋体" w:cs="宋体"/>
          <w:color w:val="auto"/>
          <w:highlight w:val="none"/>
        </w:rPr>
      </w:pPr>
      <w:r>
        <w:rPr>
          <w:rFonts w:hint="eastAsia" w:hAnsi="宋体" w:cs="宋体"/>
          <w:color w:val="auto"/>
          <w:highlight w:val="none"/>
        </w:rPr>
        <w:t xml:space="preserve"> </w:t>
      </w:r>
    </w:p>
    <w:p w14:paraId="34454BD8">
      <w:pPr>
        <w:pStyle w:val="20"/>
        <w:spacing w:line="440" w:lineRule="exact"/>
        <w:contextualSpacing/>
        <w:jc w:val="center"/>
        <w:rPr>
          <w:rFonts w:hint="eastAsia" w:hAnsi="宋体" w:cs="宋体"/>
          <w:color w:val="auto"/>
          <w:highlight w:val="none"/>
        </w:rPr>
      </w:pPr>
      <w:r>
        <w:rPr>
          <w:rFonts w:hint="eastAsia" w:hAnsi="宋体" w:cs="宋体"/>
          <w:color w:val="auto"/>
          <w:highlight w:val="none"/>
        </w:rPr>
        <w:t xml:space="preserve">                                    投标人名称（电子签章）:</w:t>
      </w:r>
      <w:r>
        <w:rPr>
          <w:rFonts w:hint="eastAsia" w:hAnsi="宋体" w:cs="宋体"/>
          <w:color w:val="auto"/>
          <w:spacing w:val="20"/>
          <w:highlight w:val="none"/>
          <w:u w:val="single"/>
        </w:rPr>
        <w:t xml:space="preserve">            </w:t>
      </w:r>
      <w:r>
        <w:rPr>
          <w:rFonts w:hint="eastAsia" w:hAnsi="宋体" w:cs="宋体"/>
          <w:color w:val="auto"/>
          <w:spacing w:val="20"/>
          <w:highlight w:val="none"/>
        </w:rPr>
        <w:t xml:space="preserve"> </w:t>
      </w:r>
    </w:p>
    <w:p w14:paraId="31EBFAE6">
      <w:pPr>
        <w:pStyle w:val="20"/>
        <w:spacing w:line="440" w:lineRule="exact"/>
        <w:contextualSpacing/>
        <w:jc w:val="right"/>
        <w:rPr>
          <w:rFonts w:hint="eastAsia"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350378C2">
      <w:pPr>
        <w:snapToGrid w:val="0"/>
        <w:spacing w:before="120" w:beforeLines="50" w:after="50" w:line="360" w:lineRule="auto"/>
        <w:ind w:firstLine="471" w:firstLineChars="196"/>
        <w:jc w:val="left"/>
        <w:rPr>
          <w:rFonts w:hint="eastAsia"/>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2.投标保证金缴纳证明</w:t>
      </w:r>
    </w:p>
    <w:p w14:paraId="0A103891">
      <w:pPr>
        <w:spacing w:line="360" w:lineRule="auto"/>
        <w:jc w:val="center"/>
        <w:rPr>
          <w:rFonts w:hint="eastAsia" w:ascii="宋体" w:cs="宋体"/>
          <w:b/>
          <w:color w:val="auto"/>
          <w:sz w:val="36"/>
          <w:szCs w:val="36"/>
          <w:highlight w:val="none"/>
          <w:lang w:val="ru-RU"/>
        </w:rPr>
      </w:pPr>
    </w:p>
    <w:p w14:paraId="3FD61878">
      <w:pPr>
        <w:spacing w:line="360" w:lineRule="auto"/>
        <w:jc w:val="center"/>
        <w:rPr>
          <w:rFonts w:hint="eastAsia" w:ascii="宋体" w:cs="宋体"/>
          <w:b/>
          <w:color w:val="auto"/>
          <w:sz w:val="36"/>
          <w:szCs w:val="36"/>
          <w:highlight w:val="none"/>
        </w:rPr>
      </w:pPr>
      <w:r>
        <w:rPr>
          <w:rFonts w:hint="eastAsia" w:ascii="宋体" w:cs="宋体"/>
          <w:b/>
          <w:color w:val="auto"/>
          <w:sz w:val="36"/>
          <w:szCs w:val="36"/>
          <w:highlight w:val="none"/>
        </w:rPr>
        <w:t>保证金交款、退款函</w:t>
      </w:r>
    </w:p>
    <w:p w14:paraId="30EF494B">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广西建设工程机电设备招标中心有限公司</w:t>
      </w:r>
    </w:p>
    <w:p w14:paraId="0506ABDD">
      <w:pPr>
        <w:spacing w:line="360" w:lineRule="auto"/>
        <w:ind w:firstLine="411" w:firstLineChars="196"/>
        <w:contextualSpacing/>
        <w:jc w:val="left"/>
        <w:rPr>
          <w:rFonts w:ascii="宋体" w:hAnsi="宋体"/>
          <w:color w:val="auto"/>
          <w:szCs w:val="21"/>
          <w:highlight w:val="none"/>
        </w:rPr>
      </w:pPr>
      <w:r>
        <w:rPr>
          <w:rFonts w:hint="eastAsia" w:ascii="宋体" w:hAnsi="宋体"/>
          <w:color w:val="auto"/>
          <w:szCs w:val="21"/>
          <w:highlight w:val="none"/>
        </w:rPr>
        <w:t>1.我方为</w:t>
      </w:r>
      <w:r>
        <w:rPr>
          <w:rFonts w:ascii="宋体" w:hAnsi="宋体"/>
          <w:color w:val="auto"/>
          <w:szCs w:val="21"/>
          <w:highlight w:val="none"/>
        </w:rPr>
        <w:t>____________(</w:t>
      </w:r>
      <w:r>
        <w:rPr>
          <w:rFonts w:hint="eastAsia" w:ascii="宋体" w:hAnsi="宋体"/>
          <w:color w:val="auto"/>
          <w:szCs w:val="21"/>
          <w:highlight w:val="none"/>
        </w:rPr>
        <w:t>项目名称</w:t>
      </w:r>
      <w:r>
        <w:rPr>
          <w:rFonts w:ascii="宋体" w:hAnsi="宋体"/>
          <w:color w:val="auto"/>
          <w:szCs w:val="21"/>
          <w:highlight w:val="none"/>
        </w:rPr>
        <w:t>)(</w:t>
      </w:r>
      <w:r>
        <w:rPr>
          <w:rFonts w:hint="eastAsia" w:ascii="宋体" w:hAnsi="宋体"/>
          <w:color w:val="auto"/>
          <w:szCs w:val="21"/>
          <w:highlight w:val="none"/>
        </w:rPr>
        <w:t>项目编号：</w:t>
      </w:r>
      <w:r>
        <w:rPr>
          <w:rFonts w:ascii="宋体" w:hAnsi="宋体"/>
          <w:color w:val="auto"/>
          <w:szCs w:val="21"/>
          <w:highlight w:val="none"/>
        </w:rPr>
        <w:t>________)</w:t>
      </w:r>
      <w:r>
        <w:rPr>
          <w:rFonts w:hint="eastAsia" w:ascii="宋体" w:hAnsi="宋体"/>
          <w:color w:val="auto"/>
          <w:szCs w:val="21"/>
          <w:highlight w:val="none"/>
        </w:rPr>
        <w:t>已于</w:t>
      </w:r>
      <w:r>
        <w:rPr>
          <w:rFonts w:ascii="宋体" w:hAnsi="宋体"/>
          <w:color w:val="auto"/>
          <w:szCs w:val="21"/>
          <w:highlight w:val="none"/>
        </w:rPr>
        <w:t>______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日以</w:t>
      </w:r>
      <w:r>
        <w:rPr>
          <w:rFonts w:hint="eastAsia" w:ascii="宋体" w:hAnsi="宋体"/>
          <w:color w:val="auto"/>
          <w:szCs w:val="21"/>
          <w:highlight w:val="none"/>
          <w:u w:val="single"/>
        </w:rPr>
        <w:t xml:space="preserve">         （银行转账、支票、汇票、本票或者金融、担保金融、担保机构出具的保函）</w:t>
      </w:r>
      <w:r>
        <w:rPr>
          <w:rFonts w:hint="eastAsia" w:ascii="宋体" w:hAnsi="宋体"/>
          <w:color w:val="auto"/>
          <w:szCs w:val="21"/>
          <w:highlight w:val="none"/>
        </w:rPr>
        <w:t>方式递交保证金人民币大写</w:t>
      </w:r>
      <w:r>
        <w:rPr>
          <w:rFonts w:ascii="宋体" w:hAnsi="宋体"/>
          <w:color w:val="auto"/>
          <w:szCs w:val="21"/>
          <w:highlight w:val="none"/>
        </w:rPr>
        <w:t>________(</w:t>
      </w:r>
      <w:r>
        <w:rPr>
          <w:rFonts w:hint="eastAsia" w:ascii="宋体" w:hAnsi="宋体"/>
          <w:color w:val="auto"/>
          <w:szCs w:val="21"/>
          <w:highlight w:val="none"/>
        </w:rPr>
        <w:t>¥       ）。</w:t>
      </w:r>
    </w:p>
    <w:p w14:paraId="5B5490B1">
      <w:pPr>
        <w:spacing w:line="360" w:lineRule="auto"/>
        <w:ind w:firstLine="411" w:firstLineChars="196"/>
        <w:contextualSpacing/>
        <w:jc w:val="left"/>
        <w:rPr>
          <w:rFonts w:hint="eastAsia" w:ascii="宋体" w:hAnsi="宋体"/>
          <w:color w:val="auto"/>
          <w:szCs w:val="21"/>
          <w:highlight w:val="none"/>
        </w:rPr>
      </w:pPr>
      <w:r>
        <w:rPr>
          <w:rFonts w:hint="eastAsia" w:ascii="宋体" w:hAnsi="宋体"/>
          <w:color w:val="auto"/>
          <w:szCs w:val="21"/>
          <w:highlight w:val="none"/>
        </w:rPr>
        <w:t>2.退还保证金时请按以下内容划入我方账户：</w:t>
      </w:r>
    </w:p>
    <w:tbl>
      <w:tblPr>
        <w:tblStyle w:val="38"/>
        <w:tblW w:w="8940" w:type="dxa"/>
        <w:jc w:val="center"/>
        <w:tblLayout w:type="fixed"/>
        <w:tblCellMar>
          <w:top w:w="0" w:type="dxa"/>
          <w:left w:w="108" w:type="dxa"/>
          <w:bottom w:w="0" w:type="dxa"/>
          <w:right w:w="108" w:type="dxa"/>
        </w:tblCellMar>
      </w:tblPr>
      <w:tblGrid>
        <w:gridCol w:w="1355"/>
        <w:gridCol w:w="2394"/>
        <w:gridCol w:w="1984"/>
        <w:gridCol w:w="3207"/>
      </w:tblGrid>
      <w:tr w14:paraId="22091309">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1A8C8220">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项目名称</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3B6FE578">
            <w:pPr>
              <w:widowControl/>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CA85CD9">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项目编号</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550E1030">
            <w:pPr>
              <w:widowControl/>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516D5CD">
        <w:trPr>
          <w:trHeight w:val="65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6A5110DF">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交款单位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2B6C055A">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5FAF88C">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联系人及电话</w:t>
            </w:r>
          </w:p>
        </w:tc>
        <w:tc>
          <w:tcPr>
            <w:tcW w:w="3207" w:type="dxa"/>
            <w:tcBorders>
              <w:top w:val="single" w:color="auto" w:sz="4" w:space="0"/>
              <w:left w:val="single" w:color="auto" w:sz="4" w:space="0"/>
              <w:bottom w:val="single" w:color="auto" w:sz="4" w:space="0"/>
              <w:right w:val="single" w:color="auto" w:sz="4" w:space="0"/>
            </w:tcBorders>
            <w:noWrap w:val="0"/>
            <w:vAlign w:val="center"/>
          </w:tcPr>
          <w:p w14:paraId="0DBE242F">
            <w:pPr>
              <w:widowControl/>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r>
      <w:tr w14:paraId="30A3F98C">
        <w:trPr>
          <w:trHeight w:val="74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62E99483">
            <w:pPr>
              <w:widowControl/>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保证金金额</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E73C75E">
            <w:pPr>
              <w:widowControl/>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w:t>
            </w:r>
          </w:p>
        </w:tc>
        <w:tc>
          <w:tcPr>
            <w:tcW w:w="5191"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2B58AC09">
            <w:pPr>
              <w:spacing w:line="360" w:lineRule="auto"/>
              <w:contextualSpacing/>
              <w:jc w:val="left"/>
              <w:rPr>
                <w:rFonts w:ascii="宋体" w:hAnsi="宋体"/>
                <w:color w:val="auto"/>
                <w:szCs w:val="21"/>
                <w:highlight w:val="none"/>
              </w:rPr>
            </w:pPr>
            <w:r>
              <w:rPr>
                <w:rFonts w:hint="eastAsia" w:ascii="宋体" w:hAnsi="宋体"/>
                <w:color w:val="auto"/>
                <w:szCs w:val="21"/>
                <w:highlight w:val="none"/>
              </w:rPr>
              <w:t xml:space="preserve">1. 若我单位未中标请采购人或采购代理机构于该项目中标通知书发出后5个工作日内将保证金退回原交款人。 </w:t>
            </w:r>
          </w:p>
          <w:p w14:paraId="037D62D7">
            <w:pPr>
              <w:spacing w:line="360" w:lineRule="auto"/>
              <w:contextualSpacing/>
              <w:jc w:val="left"/>
              <w:rPr>
                <w:rFonts w:ascii="宋体" w:hAnsi="宋体"/>
                <w:color w:val="auto"/>
                <w:szCs w:val="21"/>
                <w:highlight w:val="none"/>
              </w:rPr>
            </w:pPr>
            <w:r>
              <w:rPr>
                <w:rFonts w:hint="eastAsia" w:ascii="宋体" w:hAnsi="宋体"/>
                <w:color w:val="auto"/>
                <w:szCs w:val="21"/>
                <w:highlight w:val="none"/>
              </w:rPr>
              <w:t xml:space="preserve">2. 若我单位中标，请采购人或采购代理机构收到我单位提交的合同后5个工作日内将保证金退回原交款人。                                     </w:t>
            </w:r>
          </w:p>
          <w:p w14:paraId="4F38390A">
            <w:pPr>
              <w:spacing w:line="360" w:lineRule="auto"/>
              <w:contextualSpacing/>
              <w:jc w:val="left"/>
              <w:rPr>
                <w:rFonts w:ascii="宋体" w:hAnsi="宋体"/>
                <w:color w:val="auto"/>
                <w:szCs w:val="21"/>
                <w:highlight w:val="none"/>
              </w:rPr>
            </w:pPr>
            <w:r>
              <w:rPr>
                <w:rFonts w:hint="eastAsia" w:ascii="宋体" w:hAnsi="宋体"/>
                <w:color w:val="auto"/>
                <w:szCs w:val="21"/>
                <w:highlight w:val="none"/>
              </w:rPr>
              <w:t>3.若因内容不全、错误、字迹潦草模糊导致该项目保证金未能及时退还或退还过程中发生错误，我方将承担全部责任和损失。</w:t>
            </w:r>
          </w:p>
          <w:p w14:paraId="561845C6">
            <w:pPr>
              <w:spacing w:line="360" w:lineRule="auto"/>
              <w:contextualSpacing/>
              <w:jc w:val="left"/>
              <w:rPr>
                <w:rFonts w:hint="eastAsia" w:hAnsi="宋体" w:cs="宋体"/>
                <w:color w:val="auto"/>
                <w:highlight w:val="none"/>
              </w:rPr>
            </w:pPr>
          </w:p>
          <w:p w14:paraId="57730A16">
            <w:pPr>
              <w:spacing w:line="360" w:lineRule="auto"/>
              <w:contextualSpacing/>
              <w:jc w:val="left"/>
              <w:rPr>
                <w:rFonts w:ascii="宋体" w:hAnsi="宋体"/>
                <w:color w:val="auto"/>
                <w:szCs w:val="21"/>
                <w:highlight w:val="none"/>
              </w:rPr>
            </w:pPr>
            <w:r>
              <w:rPr>
                <w:rFonts w:hint="eastAsia" w:hAnsi="宋体" w:cs="宋体"/>
                <w:color w:val="auto"/>
                <w:highlight w:val="none"/>
              </w:rPr>
              <w:t>投标人名称</w:t>
            </w:r>
            <w:r>
              <w:rPr>
                <w:rFonts w:hint="eastAsia" w:ascii="宋体" w:hAnsi="宋体"/>
                <w:color w:val="auto"/>
                <w:szCs w:val="21"/>
                <w:highlight w:val="none"/>
              </w:rPr>
              <w:t>（电子签章）：</w:t>
            </w:r>
          </w:p>
          <w:p w14:paraId="4A3C6EAF">
            <w:pPr>
              <w:spacing w:line="360" w:lineRule="auto"/>
              <w:ind w:firstLine="411" w:firstLineChars="196"/>
              <w:contextualSpacing/>
              <w:jc w:val="left"/>
              <w:rPr>
                <w:rFonts w:ascii="宋体" w:hAnsi="宋体" w:cs="宋体"/>
                <w:bCs/>
                <w:color w:val="auto"/>
                <w:kern w:val="0"/>
                <w:szCs w:val="21"/>
                <w:highlight w:val="none"/>
              </w:rPr>
            </w:pPr>
            <w:r>
              <w:rPr>
                <w:rFonts w:hint="eastAsia" w:ascii="宋体" w:hAnsi="宋体"/>
                <w:color w:val="auto"/>
                <w:szCs w:val="21"/>
                <w:highlight w:val="none"/>
              </w:rPr>
              <w:t xml:space="preserve">                       年   月   日</w:t>
            </w:r>
            <w:r>
              <w:rPr>
                <w:rFonts w:hint="eastAsia" w:ascii="宋体" w:hAnsi="宋体" w:cs="宋体"/>
                <w:bCs/>
                <w:color w:val="auto"/>
                <w:kern w:val="0"/>
                <w:szCs w:val="21"/>
                <w:highlight w:val="none"/>
              </w:rPr>
              <w:t xml:space="preserve"> </w:t>
            </w:r>
          </w:p>
        </w:tc>
      </w:tr>
      <w:tr w14:paraId="5BF38034">
        <w:trPr>
          <w:trHeight w:val="689" w:hRule="atLeast"/>
          <w:jc w:val="center"/>
        </w:trPr>
        <w:tc>
          <w:tcPr>
            <w:tcW w:w="3749" w:type="dxa"/>
            <w:gridSpan w:val="2"/>
            <w:tcBorders>
              <w:top w:val="single" w:color="auto" w:sz="4" w:space="0"/>
              <w:left w:val="single" w:color="auto" w:sz="4" w:space="0"/>
              <w:bottom w:val="single" w:color="auto" w:sz="4" w:space="0"/>
              <w:right w:val="single" w:color="auto" w:sz="4" w:space="0"/>
            </w:tcBorders>
            <w:noWrap w:val="0"/>
            <w:vAlign w:val="center"/>
          </w:tcPr>
          <w:p w14:paraId="5D4AB9F1">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退款信息</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906AB28">
            <w:pPr>
              <w:spacing w:line="360" w:lineRule="auto"/>
              <w:jc w:val="center"/>
              <w:rPr>
                <w:rFonts w:ascii="宋体" w:hAnsi="宋体" w:cs="宋体"/>
                <w:bCs/>
                <w:color w:val="auto"/>
                <w:kern w:val="0"/>
                <w:szCs w:val="21"/>
                <w:highlight w:val="none"/>
              </w:rPr>
            </w:pPr>
          </w:p>
        </w:tc>
      </w:tr>
      <w:tr w14:paraId="54BA2317">
        <w:trPr>
          <w:trHeight w:val="744"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0FE8694F">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户  名</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7DD49A86">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73C56274">
            <w:pPr>
              <w:spacing w:line="360" w:lineRule="auto"/>
              <w:jc w:val="center"/>
              <w:rPr>
                <w:rFonts w:ascii="宋体" w:hAnsi="宋体" w:cs="宋体"/>
                <w:bCs/>
                <w:color w:val="auto"/>
                <w:kern w:val="0"/>
                <w:szCs w:val="21"/>
                <w:highlight w:val="none"/>
              </w:rPr>
            </w:pPr>
          </w:p>
        </w:tc>
      </w:tr>
      <w:tr w14:paraId="48BC9C2B">
        <w:trPr>
          <w:trHeight w:val="75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769958AC">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账  号</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5BA9E3CC">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DD12FE0">
            <w:pPr>
              <w:spacing w:line="360" w:lineRule="auto"/>
              <w:jc w:val="center"/>
              <w:rPr>
                <w:rFonts w:ascii="宋体" w:hAnsi="宋体" w:cs="宋体"/>
                <w:bCs/>
                <w:color w:val="auto"/>
                <w:kern w:val="0"/>
                <w:szCs w:val="21"/>
                <w:highlight w:val="none"/>
              </w:rPr>
            </w:pPr>
          </w:p>
        </w:tc>
      </w:tr>
      <w:tr w14:paraId="7196E2D6">
        <w:trPr>
          <w:trHeight w:val="78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728561E3">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汇入地点</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432D8366">
            <w:pPr>
              <w:widowControl/>
              <w:spacing w:line="360" w:lineRule="auto"/>
              <w:jc w:val="right"/>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省       市（县）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BE290F0">
            <w:pPr>
              <w:spacing w:line="360" w:lineRule="auto"/>
              <w:jc w:val="center"/>
              <w:rPr>
                <w:rFonts w:ascii="宋体" w:hAnsi="宋体" w:cs="宋体"/>
                <w:bCs/>
                <w:color w:val="auto"/>
                <w:kern w:val="0"/>
                <w:szCs w:val="21"/>
                <w:highlight w:val="none"/>
              </w:rPr>
            </w:pPr>
          </w:p>
        </w:tc>
      </w:tr>
      <w:tr w14:paraId="0539ADDA">
        <w:trPr>
          <w:trHeight w:val="699" w:hRule="atLeast"/>
          <w:jc w:val="center"/>
        </w:trPr>
        <w:tc>
          <w:tcPr>
            <w:tcW w:w="1355" w:type="dxa"/>
            <w:tcBorders>
              <w:top w:val="single" w:color="auto" w:sz="4" w:space="0"/>
              <w:left w:val="single" w:color="auto" w:sz="4" w:space="0"/>
              <w:bottom w:val="single" w:color="auto" w:sz="4" w:space="0"/>
              <w:right w:val="single" w:color="auto" w:sz="4" w:space="0"/>
            </w:tcBorders>
            <w:noWrap w:val="0"/>
            <w:vAlign w:val="center"/>
          </w:tcPr>
          <w:p w14:paraId="3D18AB22">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开户银行</w:t>
            </w:r>
          </w:p>
        </w:tc>
        <w:tc>
          <w:tcPr>
            <w:tcW w:w="2394" w:type="dxa"/>
            <w:tcBorders>
              <w:top w:val="single" w:color="auto" w:sz="4" w:space="0"/>
              <w:left w:val="single" w:color="auto" w:sz="4" w:space="0"/>
              <w:bottom w:val="single" w:color="auto" w:sz="4" w:space="0"/>
              <w:right w:val="single" w:color="auto" w:sz="4" w:space="0"/>
            </w:tcBorders>
            <w:noWrap w:val="0"/>
            <w:vAlign w:val="center"/>
          </w:tcPr>
          <w:p w14:paraId="5A61E046">
            <w:pPr>
              <w:widowControl/>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　</w:t>
            </w:r>
          </w:p>
        </w:tc>
        <w:tc>
          <w:tcPr>
            <w:tcW w:w="519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EA88DEC">
            <w:pPr>
              <w:widowControl/>
              <w:spacing w:line="360" w:lineRule="auto"/>
              <w:jc w:val="center"/>
              <w:rPr>
                <w:rFonts w:ascii="宋体" w:hAnsi="宋体" w:cs="宋体"/>
                <w:bCs/>
                <w:color w:val="auto"/>
                <w:kern w:val="0"/>
                <w:szCs w:val="21"/>
                <w:highlight w:val="none"/>
              </w:rPr>
            </w:pPr>
          </w:p>
        </w:tc>
      </w:tr>
    </w:tbl>
    <w:p w14:paraId="3AD3B46A">
      <w:pPr>
        <w:spacing w:line="360" w:lineRule="auto"/>
        <w:ind w:firstLine="411" w:firstLineChars="196"/>
        <w:contextualSpacing/>
        <w:jc w:val="left"/>
        <w:rPr>
          <w:rFonts w:hint="eastAsia" w:ascii="宋体" w:hAnsi="宋体" w:cs="宋体"/>
          <w:color w:val="auto"/>
          <w:szCs w:val="21"/>
          <w:highlight w:val="none"/>
        </w:rPr>
      </w:pPr>
    </w:p>
    <w:p w14:paraId="34BF454E">
      <w:pPr>
        <w:spacing w:line="360" w:lineRule="auto"/>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3.投标保证金银行保函原件，请按以下信息寄回</w:t>
      </w:r>
    </w:p>
    <w:tbl>
      <w:tblPr>
        <w:tblStyle w:val="38"/>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258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73A3319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收件地址</w:t>
            </w:r>
          </w:p>
        </w:tc>
        <w:tc>
          <w:tcPr>
            <w:tcW w:w="5431" w:type="dxa"/>
            <w:noWrap w:val="0"/>
            <w:vAlign w:val="center"/>
          </w:tcPr>
          <w:p w14:paraId="34A5ECEE">
            <w:pPr>
              <w:spacing w:line="360" w:lineRule="auto"/>
              <w:jc w:val="center"/>
              <w:rPr>
                <w:rFonts w:hint="eastAsia" w:ascii="宋体" w:hAnsi="宋体" w:cs="宋体"/>
                <w:color w:val="auto"/>
                <w:szCs w:val="21"/>
                <w:highlight w:val="none"/>
              </w:rPr>
            </w:pPr>
          </w:p>
        </w:tc>
      </w:tr>
      <w:tr w14:paraId="299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5938BAB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收件人</w:t>
            </w:r>
          </w:p>
        </w:tc>
        <w:tc>
          <w:tcPr>
            <w:tcW w:w="5431" w:type="dxa"/>
            <w:noWrap w:val="0"/>
            <w:vAlign w:val="center"/>
          </w:tcPr>
          <w:p w14:paraId="33CA960A">
            <w:pPr>
              <w:spacing w:line="360" w:lineRule="auto"/>
              <w:jc w:val="center"/>
              <w:rPr>
                <w:rFonts w:hint="eastAsia" w:ascii="宋体" w:hAnsi="宋体" w:cs="宋体"/>
                <w:color w:val="auto"/>
                <w:szCs w:val="21"/>
                <w:highlight w:val="none"/>
              </w:rPr>
            </w:pPr>
          </w:p>
        </w:tc>
      </w:tr>
      <w:tr w14:paraId="7F2B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jc w:val="center"/>
        </w:trPr>
        <w:tc>
          <w:tcPr>
            <w:tcW w:w="3533" w:type="dxa"/>
            <w:noWrap w:val="0"/>
            <w:vAlign w:val="center"/>
          </w:tcPr>
          <w:p w14:paraId="7F951EB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收件人手机号码</w:t>
            </w:r>
          </w:p>
        </w:tc>
        <w:tc>
          <w:tcPr>
            <w:tcW w:w="5431" w:type="dxa"/>
            <w:noWrap w:val="0"/>
            <w:vAlign w:val="center"/>
          </w:tcPr>
          <w:p w14:paraId="37241039">
            <w:pPr>
              <w:spacing w:line="360" w:lineRule="auto"/>
              <w:jc w:val="center"/>
              <w:rPr>
                <w:rFonts w:hint="eastAsia" w:ascii="宋体" w:hAnsi="宋体" w:cs="宋体"/>
                <w:color w:val="auto"/>
                <w:szCs w:val="21"/>
                <w:highlight w:val="none"/>
              </w:rPr>
            </w:pPr>
          </w:p>
        </w:tc>
      </w:tr>
    </w:tbl>
    <w:p w14:paraId="3CADA351">
      <w:pPr>
        <w:pStyle w:val="20"/>
        <w:spacing w:line="360" w:lineRule="auto"/>
        <w:ind w:firstLine="480" w:firstLineChars="200"/>
        <w:rPr>
          <w:rFonts w:hAnsi="宋体"/>
          <w:color w:val="auto"/>
          <w:sz w:val="24"/>
          <w:szCs w:val="24"/>
          <w:highlight w:val="none"/>
        </w:rPr>
      </w:pPr>
    </w:p>
    <w:p w14:paraId="71FC2078">
      <w:pPr>
        <w:spacing w:line="360" w:lineRule="auto"/>
        <w:ind w:firstLine="411" w:firstLineChars="196"/>
        <w:contextualSpacing/>
        <w:jc w:val="left"/>
        <w:rPr>
          <w:rFonts w:hint="eastAsia" w:ascii="宋体" w:hAnsi="宋体"/>
          <w:color w:val="auto"/>
          <w:szCs w:val="21"/>
          <w:highlight w:val="none"/>
        </w:rPr>
      </w:pPr>
    </w:p>
    <w:p w14:paraId="6EA346E8">
      <w:pPr>
        <w:spacing w:line="360" w:lineRule="auto"/>
        <w:ind w:firstLine="411" w:firstLineChars="196"/>
        <w:contextualSpacing/>
        <w:jc w:val="left"/>
        <w:rPr>
          <w:rFonts w:hint="eastAsia" w:ascii="宋体" w:hAnsi="宋体"/>
          <w:color w:val="auto"/>
          <w:szCs w:val="21"/>
          <w:highlight w:val="none"/>
        </w:rPr>
      </w:pPr>
      <w:r>
        <w:rPr>
          <w:rFonts w:hint="eastAsia" w:ascii="宋体" w:hAnsi="宋体"/>
          <w:color w:val="auto"/>
          <w:szCs w:val="21"/>
          <w:highlight w:val="none"/>
        </w:rPr>
        <w:t>附：银行出具的汇款单或转账凭证扫描件或保函扫描件。</w:t>
      </w:r>
    </w:p>
    <w:p w14:paraId="32EFE3E3">
      <w:pPr>
        <w:rPr>
          <w:rFonts w:hint="eastAsia"/>
          <w:color w:val="auto"/>
          <w:highlight w:val="none"/>
        </w:rPr>
      </w:pPr>
    </w:p>
    <w:p w14:paraId="2B045348">
      <w:pPr>
        <w:spacing w:line="520" w:lineRule="exact"/>
        <w:ind w:left="239" w:leftChars="114" w:firstLine="6126" w:firstLineChars="2550"/>
        <w:jc w:val="left"/>
        <w:rPr>
          <w:rFonts w:hint="eastAsia" w:ascii="宋体" w:hAnsi="宋体" w:cs="宋体"/>
          <w:b/>
          <w:color w:val="auto"/>
          <w:kern w:val="0"/>
          <w:sz w:val="24"/>
          <w:highlight w:val="none"/>
        </w:rPr>
      </w:pPr>
    </w:p>
    <w:p w14:paraId="22B85D91">
      <w:pPr>
        <w:snapToGrid w:val="0"/>
        <w:spacing w:before="120" w:beforeLines="50" w:after="50"/>
        <w:ind w:firstLine="471"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3.法定代表人身份证明</w:t>
      </w:r>
    </w:p>
    <w:p w14:paraId="692E0D2E">
      <w:pPr>
        <w:spacing w:before="240" w:beforeLines="100" w:after="120" w:afterLines="50"/>
        <w:ind w:left="540"/>
        <w:jc w:val="center"/>
        <w:rPr>
          <w:rFonts w:hint="eastAsia" w:ascii="宋体" w:hAnsi="宋体" w:cs="宋体"/>
          <w:b/>
          <w:color w:val="auto"/>
          <w:sz w:val="32"/>
          <w:szCs w:val="32"/>
          <w:highlight w:val="none"/>
        </w:rPr>
      </w:pPr>
    </w:p>
    <w:p w14:paraId="4AB06968">
      <w:pPr>
        <w:spacing w:before="240" w:beforeLines="100" w:after="120" w:afterLines="50"/>
        <w:ind w:left="54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法定代表人身份证明</w:t>
      </w:r>
    </w:p>
    <w:p w14:paraId="33188488">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p>
    <w:p w14:paraId="235C1421">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C0A8703">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p>
    <w:p w14:paraId="404E5C80">
      <w:pPr>
        <w:spacing w:line="500" w:lineRule="exact"/>
        <w:ind w:left="540"/>
        <w:rPr>
          <w:rFonts w:hint="eastAsia"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p>
    <w:p w14:paraId="55FED31C">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3633F4E8">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6E1BBBF5">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特此证明。</w:t>
      </w:r>
    </w:p>
    <w:p w14:paraId="6AF3C079">
      <w:pPr>
        <w:spacing w:line="500" w:lineRule="exact"/>
        <w:ind w:left="540"/>
        <w:rPr>
          <w:rFonts w:hint="eastAsia" w:ascii="宋体" w:hAnsi="宋体" w:cs="宋体"/>
          <w:color w:val="auto"/>
          <w:szCs w:val="21"/>
          <w:highlight w:val="none"/>
        </w:rPr>
      </w:pPr>
    </w:p>
    <w:p w14:paraId="7423DB6D">
      <w:pPr>
        <w:spacing w:line="500" w:lineRule="exact"/>
        <w:ind w:left="540"/>
        <w:rPr>
          <w:rFonts w:hint="eastAsia" w:ascii="宋体" w:hAnsi="宋体" w:cs="宋体"/>
          <w:color w:val="auto"/>
          <w:szCs w:val="21"/>
          <w:highlight w:val="none"/>
        </w:rPr>
      </w:pPr>
    </w:p>
    <w:p w14:paraId="5BA4A270">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附件：法定代表人有效身份证正反面复印件</w:t>
      </w:r>
    </w:p>
    <w:p w14:paraId="7DB6B73A">
      <w:pPr>
        <w:spacing w:line="500" w:lineRule="exact"/>
        <w:ind w:left="540"/>
        <w:rPr>
          <w:rFonts w:hint="eastAsia" w:ascii="宋体" w:hAnsi="宋体" w:cs="宋体"/>
          <w:color w:val="auto"/>
          <w:szCs w:val="21"/>
          <w:highlight w:val="none"/>
        </w:rPr>
      </w:pPr>
    </w:p>
    <w:p w14:paraId="6A6D4C11">
      <w:pPr>
        <w:spacing w:line="500" w:lineRule="exact"/>
        <w:ind w:right="420" w:firstLine="4620" w:firstLineChars="2200"/>
        <w:rPr>
          <w:rFonts w:hint="eastAsia" w:ascii="宋体" w:hAnsi="宋体" w:cs="宋体"/>
          <w:color w:val="auto"/>
          <w:szCs w:val="21"/>
          <w:highlight w:val="none"/>
        </w:rPr>
      </w:pPr>
      <w:r>
        <w:rPr>
          <w:rFonts w:hint="eastAsia" w:ascii="宋体" w:hAnsi="宋体" w:cs="宋体"/>
          <w:color w:val="auto"/>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103ACE1F">
      <w:pPr>
        <w:snapToGrid w:val="0"/>
        <w:spacing w:before="120" w:beforeLines="50" w:after="50"/>
        <w:ind w:left="540" w:right="420"/>
        <w:jc w:val="righ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CBADB01">
      <w:pPr>
        <w:snapToGrid w:val="0"/>
        <w:spacing w:before="120" w:beforeLines="50" w:after="50"/>
        <w:jc w:val="center"/>
        <w:rPr>
          <w:rFonts w:hint="eastAsia" w:ascii="宋体" w:hAnsi="宋体" w:cs="宋体"/>
          <w:b/>
          <w:color w:val="auto"/>
          <w:szCs w:val="21"/>
          <w:highlight w:val="none"/>
        </w:rPr>
      </w:pPr>
    </w:p>
    <w:p w14:paraId="7B4DB8B7">
      <w:pPr>
        <w:snapToGrid w:val="0"/>
        <w:spacing w:before="120" w:beforeLines="50" w:after="50"/>
        <w:jc w:val="left"/>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3B5F354F">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4.授权委托书格式</w:t>
      </w:r>
    </w:p>
    <w:p w14:paraId="4BFFD224">
      <w:pPr>
        <w:snapToGrid w:val="0"/>
        <w:spacing w:before="120" w:beforeLines="50" w:after="5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授权委托书</w:t>
      </w:r>
    </w:p>
    <w:p w14:paraId="227196EA">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（非联合体投标格式）</w:t>
      </w:r>
    </w:p>
    <w:p w14:paraId="750E1D11">
      <w:pPr>
        <w:snapToGrid w:val="0"/>
        <w:spacing w:before="120" w:beforeLines="50" w:after="50"/>
        <w:jc w:val="center"/>
        <w:rPr>
          <w:rFonts w:hint="eastAsia" w:ascii="宋体" w:hAnsi="宋体" w:cs="宋体"/>
          <w:b/>
          <w:color w:val="auto"/>
          <w:sz w:val="24"/>
          <w:highlight w:val="none"/>
        </w:rPr>
      </w:pPr>
      <w:r>
        <w:rPr>
          <w:rFonts w:hint="eastAsia" w:ascii="宋体" w:hAnsi="宋体" w:cs="宋体"/>
          <w:b/>
          <w:color w:val="auto"/>
          <w:sz w:val="32"/>
          <w:szCs w:val="32"/>
          <w:highlight w:val="none"/>
        </w:rPr>
        <w:t>（如有委托时）</w:t>
      </w:r>
    </w:p>
    <w:p w14:paraId="1944375D">
      <w:pPr>
        <w:spacing w:line="440" w:lineRule="exact"/>
        <w:contextualSpacing/>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28EE29AA">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00815EA1">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我方对委托代理人的签字或者电子签名事项负全部责任。</w:t>
      </w:r>
    </w:p>
    <w:p w14:paraId="14C54A5A">
      <w:pPr>
        <w:spacing w:line="44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5D75E30E">
      <w:pPr>
        <w:spacing w:line="44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25597596">
      <w:pPr>
        <w:spacing w:line="44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附：法定代表人身份证明及委托代理人有效身份证正反面复印件</w:t>
      </w:r>
    </w:p>
    <w:p w14:paraId="7001BECC">
      <w:pPr>
        <w:spacing w:line="440" w:lineRule="exact"/>
        <w:contextualSpacing/>
        <w:rPr>
          <w:rFonts w:hint="eastAsia" w:ascii="宋体" w:hAnsi="宋体" w:cs="宋体"/>
          <w:color w:val="auto"/>
          <w:szCs w:val="21"/>
          <w:highlight w:val="none"/>
        </w:rPr>
      </w:pPr>
    </w:p>
    <w:p w14:paraId="1C2AE171">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F824422">
      <w:pPr>
        <w:spacing w:line="44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r>
        <w:rPr>
          <w:rFonts w:hint="eastAsia" w:ascii="宋体" w:hAnsi="宋体" w:cs="宋体"/>
          <w:color w:val="auto"/>
          <w:szCs w:val="21"/>
          <w:highlight w:val="none"/>
          <w:u w:val="single"/>
        </w:rPr>
        <w:t xml:space="preserve">                             </w:t>
      </w:r>
    </w:p>
    <w:p w14:paraId="1E93E6F4">
      <w:pPr>
        <w:spacing w:line="44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r>
        <w:rPr>
          <w:rFonts w:hint="eastAsia" w:ascii="宋体" w:hAnsi="宋体" w:cs="宋体"/>
          <w:color w:val="auto"/>
          <w:szCs w:val="21"/>
          <w:highlight w:val="none"/>
          <w:u w:val="single"/>
        </w:rPr>
        <w:t xml:space="preserve">              </w:t>
      </w:r>
    </w:p>
    <w:p w14:paraId="2409946C">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5C9C4BEB">
      <w:pPr>
        <w:spacing w:line="44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4576BED8">
      <w:pPr>
        <w:snapToGrid w:val="0"/>
        <w:spacing w:before="120" w:beforeLines="50" w:after="50"/>
        <w:ind w:left="540" w:right="420"/>
        <w:jc w:val="righ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B22AC9A">
      <w:pPr>
        <w:spacing w:line="440" w:lineRule="exact"/>
        <w:contextualSpacing/>
        <w:jc w:val="center"/>
        <w:rPr>
          <w:rFonts w:hint="eastAsia" w:ascii="宋体" w:hAnsi="宋体" w:cs="宋体"/>
          <w:color w:val="auto"/>
          <w:szCs w:val="21"/>
          <w:highlight w:val="none"/>
        </w:rPr>
      </w:pPr>
    </w:p>
    <w:p w14:paraId="1727E80C">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注：1.</w:t>
      </w:r>
      <w:bookmarkStart w:id="264" w:name="_Hlk65851555"/>
      <w:bookmarkStart w:id="265" w:name="_Hlk65851620"/>
      <w:r>
        <w:rPr>
          <w:rFonts w:hint="eastAsia" w:ascii="宋体" w:hAnsi="宋体" w:cs="宋体"/>
          <w:color w:val="auto"/>
          <w:szCs w:val="21"/>
          <w:highlight w:val="none"/>
        </w:rPr>
        <w:t>法定代表人必须在授权委托书上签字或者盖章或者电子签名，</w:t>
      </w:r>
      <w:bookmarkEnd w:id="264"/>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265"/>
    </w:p>
    <w:p w14:paraId="3B6B4707">
      <w:pPr>
        <w:spacing w:line="44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08F5A73A">
      <w:pPr>
        <w:snapToGrid w:val="0"/>
        <w:spacing w:before="120" w:beforeLines="50" w:after="50"/>
        <w:ind w:firstLine="566" w:firstLineChars="236"/>
        <w:jc w:val="center"/>
        <w:rPr>
          <w:rFonts w:hint="eastAsia" w:ascii="宋体" w:hAnsi="宋体" w:cs="宋体"/>
          <w:b/>
          <w:color w:val="auto"/>
          <w:sz w:val="30"/>
          <w:szCs w:val="30"/>
          <w:highlight w:val="none"/>
        </w:rPr>
      </w:pPr>
      <w:r>
        <w:rPr>
          <w:rFonts w:hint="eastAsia" w:ascii="宋体" w:hAnsi="宋体" w:cs="宋体"/>
          <w:color w:val="auto"/>
          <w:sz w:val="24"/>
          <w:highlight w:val="none"/>
        </w:rPr>
        <w:br w:type="page"/>
      </w:r>
      <w:r>
        <w:rPr>
          <w:rFonts w:hint="eastAsia" w:ascii="宋体" w:hAnsi="宋体" w:cs="宋体"/>
          <w:b/>
          <w:color w:val="auto"/>
          <w:sz w:val="30"/>
          <w:szCs w:val="30"/>
          <w:highlight w:val="none"/>
        </w:rPr>
        <w:t>授权委托书</w:t>
      </w:r>
    </w:p>
    <w:p w14:paraId="609A2653">
      <w:pPr>
        <w:snapToGrid w:val="0"/>
        <w:spacing w:before="120" w:beforeLines="50" w:after="50"/>
        <w:ind w:firstLine="756" w:firstLineChars="236"/>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（联合体投标格式）</w:t>
      </w:r>
    </w:p>
    <w:p w14:paraId="02369592">
      <w:pPr>
        <w:snapToGrid w:val="0"/>
        <w:spacing w:before="120" w:beforeLines="50" w:after="50"/>
        <w:ind w:firstLine="756" w:firstLineChars="236"/>
        <w:jc w:val="center"/>
        <w:rPr>
          <w:rFonts w:hint="eastAsia" w:ascii="宋体" w:hAnsi="宋体" w:cs="宋体"/>
          <w:color w:val="auto"/>
          <w:sz w:val="24"/>
          <w:highlight w:val="none"/>
        </w:rPr>
      </w:pPr>
      <w:r>
        <w:rPr>
          <w:rFonts w:hint="eastAsia" w:ascii="宋体" w:hAnsi="宋体" w:cs="宋体"/>
          <w:b/>
          <w:bCs/>
          <w:color w:val="auto"/>
          <w:sz w:val="32"/>
          <w:szCs w:val="32"/>
          <w:highlight w:val="none"/>
        </w:rPr>
        <w:t>（如有委托时）</w:t>
      </w:r>
    </w:p>
    <w:p w14:paraId="7EF3AACA">
      <w:pPr>
        <w:spacing w:line="440" w:lineRule="exact"/>
        <w:contextualSpacing/>
        <w:jc w:val="left"/>
        <w:rPr>
          <w:rFonts w:hint="eastAsia"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p>
    <w:p w14:paraId="7E46BCB6">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根据 </w:t>
      </w:r>
      <w:r>
        <w:rPr>
          <w:rFonts w:hint="eastAsia" w:ascii="宋体" w:hAnsi="宋体" w:cs="宋体"/>
          <w:color w:val="auto"/>
          <w:szCs w:val="21"/>
          <w:highlight w:val="none"/>
          <w:u w:val="single"/>
        </w:rPr>
        <w:t xml:space="preserve"> （牵头人名称）</w:t>
      </w:r>
      <w:r>
        <w:rPr>
          <w:rFonts w:hint="eastAsia" w:ascii="宋体" w:hAnsi="宋体" w:cs="宋体"/>
          <w:color w:val="auto"/>
          <w:szCs w:val="21"/>
          <w:highlight w:val="none"/>
        </w:rPr>
        <w:t>与</w:t>
      </w:r>
      <w:r>
        <w:rPr>
          <w:rFonts w:hint="eastAsia" w:ascii="宋体" w:hAnsi="宋体" w:cs="宋体"/>
          <w:color w:val="auto"/>
          <w:szCs w:val="21"/>
          <w:highlight w:val="none"/>
          <w:u w:val="single"/>
        </w:rPr>
        <w:t>（联合体其他成员名称）</w:t>
      </w:r>
      <w:r>
        <w:rPr>
          <w:rFonts w:hint="eastAsia" w:ascii="宋体" w:hAnsi="宋体" w:cs="宋体"/>
          <w:color w:val="auto"/>
          <w:szCs w:val="21"/>
          <w:highlight w:val="none"/>
        </w:rPr>
        <w:t>签订的《联合体投标协议书》的内容，</w:t>
      </w:r>
      <w:r>
        <w:rPr>
          <w:rFonts w:hint="eastAsia" w:ascii="宋体" w:hAnsi="宋体" w:cs="宋体"/>
          <w:color w:val="auto"/>
          <w:szCs w:val="21"/>
          <w:highlight w:val="none"/>
          <w:u w:val="single"/>
        </w:rPr>
        <w:t>（牵头人名称）</w:t>
      </w:r>
      <w:r>
        <w:rPr>
          <w:rFonts w:hint="eastAsia" w:ascii="宋体" w:hAnsi="宋体" w:cs="宋体"/>
          <w:color w:val="auto"/>
          <w:szCs w:val="21"/>
          <w:highlight w:val="none"/>
        </w:rPr>
        <w:t>的法定代表人</w:t>
      </w:r>
      <w:r>
        <w:rPr>
          <w:rFonts w:hint="eastAsia" w:ascii="宋体" w:hAnsi="宋体" w:cs="宋体"/>
          <w:color w:val="auto"/>
          <w:szCs w:val="21"/>
          <w:highlight w:val="none"/>
          <w:u w:val="single"/>
        </w:rPr>
        <w:t>（姓名）</w:t>
      </w:r>
      <w:r>
        <w:rPr>
          <w:rFonts w:hint="eastAsia" w:ascii="宋体" w:hAnsi="宋体" w:cs="宋体"/>
          <w:color w:val="auto"/>
          <w:szCs w:val="21"/>
          <w:highlight w:val="none"/>
        </w:rPr>
        <w:t>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12F48821">
      <w:pPr>
        <w:spacing w:line="440" w:lineRule="exact"/>
        <w:ind w:firstLine="495" w:firstLineChars="236"/>
        <w:contextualSpacing/>
        <w:rPr>
          <w:rFonts w:hint="eastAsia" w:ascii="宋体" w:hAnsi="宋体" w:cs="宋体"/>
          <w:color w:val="auto"/>
          <w:szCs w:val="21"/>
          <w:highlight w:val="none"/>
        </w:rPr>
      </w:pPr>
      <w:bookmarkStart w:id="266" w:name="_Hlk65852658"/>
      <w:r>
        <w:rPr>
          <w:rFonts w:hint="eastAsia" w:ascii="宋体" w:hAnsi="宋体" w:cs="宋体"/>
          <w:color w:val="auto"/>
          <w:szCs w:val="21"/>
          <w:highlight w:val="none"/>
        </w:rPr>
        <w:t>我方对委托代理人的签字或者电子签名事项负全部责任。</w:t>
      </w:r>
    </w:p>
    <w:p w14:paraId="730EE087">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47FB935A">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3A811C46">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附：牵头人法定代表人身份证明及委托代理人有效身份证正反面复印件</w:t>
      </w:r>
    </w:p>
    <w:p w14:paraId="3C1C0B6B">
      <w:pPr>
        <w:spacing w:line="440" w:lineRule="exact"/>
        <w:ind w:firstLine="495" w:firstLineChars="236"/>
        <w:contextualSpacing/>
        <w:rPr>
          <w:rFonts w:hint="eastAsia" w:ascii="宋体" w:hAnsi="宋体" w:cs="宋体"/>
          <w:color w:val="auto"/>
          <w:szCs w:val="21"/>
          <w:highlight w:val="none"/>
        </w:rPr>
      </w:pPr>
    </w:p>
    <w:p w14:paraId="2F607332">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牵头人法定代表人（签字或者盖章或者电子签名）：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3864461E">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牵头人（电子签章）：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20853E73">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2F64C505">
      <w:pPr>
        <w:spacing w:line="440" w:lineRule="exact"/>
        <w:ind w:firstLine="495" w:firstLineChars="236"/>
        <w:contextualSpacing/>
        <w:rPr>
          <w:rFonts w:hint="eastAsia" w:ascii="宋体" w:hAnsi="宋体" w:cs="宋体"/>
          <w:color w:val="auto"/>
          <w:szCs w:val="21"/>
          <w:highlight w:val="none"/>
        </w:rPr>
      </w:pPr>
    </w:p>
    <w:p w14:paraId="7E3AA736">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被授权人（签字或者电子签名）：</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19A98FD7">
      <w:pPr>
        <w:spacing w:line="44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37B0DF0F">
      <w:pPr>
        <w:spacing w:line="44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注：1.法定代表人必须在授权委托书上签字或者盖章或者电子签名，委托代理人必须在授权委托书上签字或者电子签名，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p>
    <w:p w14:paraId="75B8ABE9">
      <w:pPr>
        <w:spacing w:line="440" w:lineRule="exact"/>
        <w:ind w:firstLine="420" w:firstLineChars="200"/>
        <w:contextualSpacing/>
        <w:jc w:val="left"/>
        <w:rPr>
          <w:rFonts w:hint="eastAsia" w:ascii="宋体" w:hAnsi="宋体" w:cs="宋体"/>
          <w:color w:val="auto"/>
          <w:sz w:val="24"/>
          <w:highlight w:val="none"/>
        </w:rPr>
      </w:pPr>
      <w:r>
        <w:rPr>
          <w:rFonts w:hint="eastAsia" w:ascii="宋体" w:hAnsi="宋体" w:cs="宋体"/>
          <w:color w:val="auto"/>
          <w:szCs w:val="21"/>
          <w:highlight w:val="none"/>
        </w:rPr>
        <w:t>2.法人、其他组织投标时“我方”是指“我单位”，自然人投标时“我方”是指“本人”。</w:t>
      </w:r>
    </w:p>
    <w:p w14:paraId="58A7EDA2">
      <w:pPr>
        <w:spacing w:line="440" w:lineRule="exact"/>
        <w:contextualSpacing/>
        <w:rPr>
          <w:rFonts w:hint="eastAsia" w:ascii="宋体" w:hAnsi="宋体" w:cs="宋体"/>
          <w:color w:val="auto"/>
          <w:sz w:val="24"/>
          <w:highlight w:val="none"/>
        </w:rPr>
      </w:pPr>
    </w:p>
    <w:bookmarkEnd w:id="266"/>
    <w:p w14:paraId="3A64EEF6">
      <w:pPr>
        <w:snapToGrid w:val="0"/>
        <w:spacing w:before="50" w:after="120" w:afterLines="50"/>
        <w:ind w:firstLine="480" w:firstLineChars="200"/>
        <w:jc w:val="left"/>
        <w:rPr>
          <w:rFonts w:hint="eastAsia" w:ascii="宋体" w:hAnsi="宋体" w:cs="宋体"/>
          <w:color w:val="auto"/>
          <w:sz w:val="24"/>
          <w:highlight w:val="none"/>
        </w:rPr>
        <w:sectPr>
          <w:footerReference r:id="rId11" w:type="default"/>
          <w:pgSz w:w="11906" w:h="16838"/>
          <w:pgMar w:top="1440" w:right="1803" w:bottom="1440" w:left="1803" w:header="850" w:footer="850" w:gutter="0"/>
          <w:pgNumType w:fmt="decimal"/>
          <w:cols w:space="720" w:num="1"/>
          <w:docGrid w:linePitch="312" w:charSpace="0"/>
        </w:sectPr>
      </w:pPr>
    </w:p>
    <w:p w14:paraId="5A1DBF30">
      <w:pPr>
        <w:rPr>
          <w:rFonts w:hint="eastAsia" w:ascii="宋体" w:hAnsi="宋体" w:cs="宋体"/>
          <w:color w:val="auto"/>
          <w:sz w:val="24"/>
          <w:highlight w:val="none"/>
        </w:rPr>
      </w:pPr>
    </w:p>
    <w:p w14:paraId="6E2B3DE5">
      <w:pPr>
        <w:rPr>
          <w:rFonts w:hint="eastAsia" w:ascii="宋体" w:hAnsi="宋体" w:cs="宋体"/>
          <w:b/>
          <w:color w:val="auto"/>
          <w:sz w:val="24"/>
          <w:szCs w:val="20"/>
          <w:highlight w:val="none"/>
        </w:rPr>
      </w:pPr>
      <w:r>
        <w:rPr>
          <w:rFonts w:hint="eastAsia" w:ascii="宋体" w:hAnsi="宋体" w:cs="宋体"/>
          <w:b/>
          <w:color w:val="auto"/>
          <w:sz w:val="24"/>
          <w:highlight w:val="none"/>
        </w:rPr>
        <w:t>5.商务要求偏离表格式（注：按项目需求表具体项目修改）</w:t>
      </w:r>
    </w:p>
    <w:p w14:paraId="6B62B49C">
      <w:pPr>
        <w:snapToGrid w:val="0"/>
        <w:spacing w:before="50"/>
        <w:jc w:val="left"/>
        <w:rPr>
          <w:rFonts w:hint="eastAsia" w:ascii="宋体" w:hAnsi="宋体" w:cs="宋体"/>
          <w:color w:val="auto"/>
          <w:sz w:val="24"/>
          <w:highlight w:val="none"/>
        </w:rPr>
      </w:pPr>
    </w:p>
    <w:p w14:paraId="733267D7">
      <w:pPr>
        <w:pStyle w:val="20"/>
        <w:spacing w:line="440" w:lineRule="exact"/>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p w14:paraId="6BE08B52">
      <w:pPr>
        <w:snapToGrid w:val="0"/>
        <w:spacing w:before="50" w:line="440" w:lineRule="exact"/>
        <w:jc w:val="left"/>
        <w:rPr>
          <w:rFonts w:hint="eastAsia" w:ascii="宋体" w:hAnsi="宋体" w:cs="宋体"/>
          <w:color w:val="auto"/>
          <w:szCs w:val="21"/>
          <w:highlight w:val="none"/>
          <w:u w:val="single"/>
        </w:rPr>
      </w:pPr>
    </w:p>
    <w:tbl>
      <w:tblPr>
        <w:tblStyle w:val="38"/>
        <w:tblW w:w="0" w:type="auto"/>
        <w:tblInd w:w="8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65"/>
        <w:gridCol w:w="2776"/>
        <w:gridCol w:w="1760"/>
        <w:gridCol w:w="2864"/>
      </w:tblGrid>
      <w:tr w14:paraId="5BEAD6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865" w:type="dxa"/>
            <w:tcBorders>
              <w:top w:val="single" w:color="auto" w:sz="4" w:space="0"/>
              <w:left w:val="single" w:color="auto" w:sz="4" w:space="0"/>
              <w:bottom w:val="single" w:color="auto" w:sz="4" w:space="0"/>
              <w:right w:val="single" w:color="auto" w:sz="4" w:space="0"/>
            </w:tcBorders>
            <w:noWrap w:val="0"/>
            <w:vAlign w:val="top"/>
          </w:tcPr>
          <w:p w14:paraId="388190B3">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22EB8849">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1BC661A9">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864" w:type="dxa"/>
            <w:tcBorders>
              <w:top w:val="single" w:color="auto" w:sz="4" w:space="0"/>
              <w:left w:val="single" w:color="auto" w:sz="4" w:space="0"/>
              <w:bottom w:val="single" w:color="auto" w:sz="4" w:space="0"/>
              <w:right w:val="single" w:color="auto" w:sz="4" w:space="0"/>
            </w:tcBorders>
            <w:noWrap w:val="0"/>
            <w:vAlign w:val="top"/>
          </w:tcPr>
          <w:p w14:paraId="7F5A0625">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0F179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9" w:hRule="atLeast"/>
        </w:trPr>
        <w:tc>
          <w:tcPr>
            <w:tcW w:w="1865" w:type="dxa"/>
            <w:tcBorders>
              <w:top w:val="single" w:color="auto" w:sz="4" w:space="0"/>
              <w:left w:val="single" w:color="auto" w:sz="4" w:space="0"/>
              <w:bottom w:val="single" w:color="auto" w:sz="4" w:space="0"/>
              <w:right w:val="single" w:color="auto" w:sz="4" w:space="0"/>
            </w:tcBorders>
            <w:noWrap w:val="0"/>
            <w:vAlign w:val="center"/>
          </w:tcPr>
          <w:p w14:paraId="221E74CB">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0965DD47">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449137A">
            <w:pPr>
              <w:snapToGrid w:val="0"/>
              <w:spacing w:before="120" w:beforeLines="50" w:line="440" w:lineRule="exact"/>
              <w:jc w:val="center"/>
              <w:rPr>
                <w:rFonts w:hint="eastAsia" w:ascii="宋体" w:hAnsi="宋体" w:cs="宋体"/>
                <w:color w:val="auto"/>
                <w:szCs w:val="21"/>
                <w:highlight w:val="none"/>
              </w:rPr>
            </w:pPr>
          </w:p>
        </w:tc>
        <w:tc>
          <w:tcPr>
            <w:tcW w:w="2864" w:type="dxa"/>
            <w:tcBorders>
              <w:top w:val="single" w:color="auto" w:sz="4" w:space="0"/>
              <w:left w:val="single" w:color="auto" w:sz="4" w:space="0"/>
              <w:bottom w:val="single" w:color="auto" w:sz="4" w:space="0"/>
              <w:right w:val="single" w:color="auto" w:sz="4" w:space="0"/>
            </w:tcBorders>
            <w:noWrap w:val="0"/>
            <w:vAlign w:val="top"/>
          </w:tcPr>
          <w:p w14:paraId="7512FD9C">
            <w:pPr>
              <w:snapToGrid w:val="0"/>
              <w:spacing w:before="120" w:beforeLines="50" w:line="440" w:lineRule="exact"/>
              <w:jc w:val="center"/>
              <w:rPr>
                <w:rFonts w:hint="eastAsia" w:ascii="宋体" w:hAnsi="宋体" w:cs="宋体"/>
                <w:color w:val="auto"/>
                <w:szCs w:val="21"/>
                <w:highlight w:val="none"/>
              </w:rPr>
            </w:pPr>
          </w:p>
        </w:tc>
      </w:tr>
      <w:tr w14:paraId="2D490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8" w:hRule="atLeast"/>
        </w:trPr>
        <w:tc>
          <w:tcPr>
            <w:tcW w:w="1865" w:type="dxa"/>
            <w:tcBorders>
              <w:top w:val="single" w:color="auto" w:sz="4" w:space="0"/>
              <w:left w:val="single" w:color="auto" w:sz="4" w:space="0"/>
              <w:bottom w:val="single" w:color="auto" w:sz="4" w:space="0"/>
              <w:right w:val="single" w:color="auto" w:sz="4" w:space="0"/>
            </w:tcBorders>
            <w:noWrap w:val="0"/>
            <w:vAlign w:val="center"/>
          </w:tcPr>
          <w:p w14:paraId="7003A049">
            <w:pPr>
              <w:spacing w:line="440" w:lineRule="exact"/>
              <w:jc w:val="center"/>
              <w:rPr>
                <w:rFonts w:hint="eastAsia" w:ascii="宋体" w:hAnsi="宋体" w:cs="宋体"/>
                <w:color w:val="auto"/>
                <w:szCs w:val="21"/>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4AC19B25">
            <w:pPr>
              <w:spacing w:line="44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43B3AD37">
            <w:pPr>
              <w:snapToGrid w:val="0"/>
              <w:spacing w:before="120" w:beforeLines="50" w:line="440" w:lineRule="exact"/>
              <w:ind w:left="43"/>
              <w:jc w:val="center"/>
              <w:rPr>
                <w:rFonts w:hint="eastAsia" w:ascii="宋体" w:hAnsi="宋体" w:cs="宋体"/>
                <w:color w:val="auto"/>
                <w:szCs w:val="21"/>
                <w:highlight w:val="none"/>
              </w:rPr>
            </w:pPr>
          </w:p>
        </w:tc>
        <w:tc>
          <w:tcPr>
            <w:tcW w:w="2864" w:type="dxa"/>
            <w:tcBorders>
              <w:top w:val="single" w:color="auto" w:sz="4" w:space="0"/>
              <w:left w:val="single" w:color="auto" w:sz="4" w:space="0"/>
              <w:bottom w:val="single" w:color="auto" w:sz="4" w:space="0"/>
              <w:right w:val="single" w:color="auto" w:sz="4" w:space="0"/>
            </w:tcBorders>
            <w:noWrap w:val="0"/>
            <w:vAlign w:val="top"/>
          </w:tcPr>
          <w:p w14:paraId="2FB163BC">
            <w:pPr>
              <w:snapToGrid w:val="0"/>
              <w:spacing w:before="120" w:beforeLines="50" w:line="440" w:lineRule="exact"/>
              <w:ind w:left="43"/>
              <w:jc w:val="center"/>
              <w:rPr>
                <w:rFonts w:hint="eastAsia" w:ascii="宋体" w:hAnsi="宋体" w:cs="宋体"/>
                <w:color w:val="auto"/>
                <w:szCs w:val="21"/>
                <w:highlight w:val="none"/>
              </w:rPr>
            </w:pPr>
          </w:p>
        </w:tc>
      </w:tr>
      <w:tr w14:paraId="29BC7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65" w:type="dxa"/>
            <w:tcBorders>
              <w:top w:val="single" w:color="auto" w:sz="4" w:space="0"/>
              <w:left w:val="single" w:color="auto" w:sz="4" w:space="0"/>
              <w:bottom w:val="single" w:color="auto" w:sz="4" w:space="0"/>
              <w:right w:val="single" w:color="auto" w:sz="4" w:space="0"/>
            </w:tcBorders>
            <w:noWrap w:val="0"/>
            <w:vAlign w:val="top"/>
          </w:tcPr>
          <w:p w14:paraId="19D70938">
            <w:pPr>
              <w:snapToGrid w:val="0"/>
              <w:spacing w:before="120" w:before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496BB9B1">
            <w:pPr>
              <w:snapToGrid w:val="0"/>
              <w:spacing w:before="120" w:beforeLines="50" w:line="44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6AFFC85">
            <w:pPr>
              <w:snapToGrid w:val="0"/>
              <w:spacing w:before="120" w:beforeLines="50" w:line="440" w:lineRule="exact"/>
              <w:jc w:val="center"/>
              <w:rPr>
                <w:rFonts w:hint="eastAsia" w:ascii="宋体" w:hAnsi="宋体" w:cs="宋体"/>
                <w:color w:val="auto"/>
                <w:szCs w:val="21"/>
                <w:highlight w:val="none"/>
              </w:rPr>
            </w:pPr>
          </w:p>
        </w:tc>
        <w:tc>
          <w:tcPr>
            <w:tcW w:w="2864" w:type="dxa"/>
            <w:tcBorders>
              <w:top w:val="single" w:color="auto" w:sz="4" w:space="0"/>
              <w:left w:val="single" w:color="auto" w:sz="4" w:space="0"/>
              <w:bottom w:val="single" w:color="auto" w:sz="4" w:space="0"/>
              <w:right w:val="single" w:color="auto" w:sz="4" w:space="0"/>
            </w:tcBorders>
            <w:noWrap w:val="0"/>
            <w:vAlign w:val="top"/>
          </w:tcPr>
          <w:p w14:paraId="0F98B70A">
            <w:pPr>
              <w:snapToGrid w:val="0"/>
              <w:spacing w:before="120" w:beforeLines="50" w:line="440" w:lineRule="exact"/>
              <w:jc w:val="center"/>
              <w:rPr>
                <w:rFonts w:hint="eastAsia" w:ascii="宋体" w:hAnsi="宋体" w:cs="宋体"/>
                <w:color w:val="auto"/>
                <w:szCs w:val="21"/>
                <w:highlight w:val="none"/>
              </w:rPr>
            </w:pPr>
          </w:p>
        </w:tc>
      </w:tr>
    </w:tbl>
    <w:p w14:paraId="6C9CAB6C">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55F9B935">
      <w:pPr>
        <w:pStyle w:val="16"/>
        <w:spacing w:line="440" w:lineRule="exact"/>
        <w:ind w:firstLine="0"/>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采购需求”中的商务要求逐条作明确的投标响应，并作出偏离说明。</w:t>
      </w:r>
    </w:p>
    <w:p w14:paraId="1D65C1F4">
      <w:pPr>
        <w:pStyle w:val="15"/>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348B2B3D">
      <w:pPr>
        <w:snapToGrid w:val="0"/>
        <w:spacing w:before="50" w:after="50" w:line="440" w:lineRule="exact"/>
        <w:rPr>
          <w:rFonts w:hint="eastAsia" w:ascii="宋体" w:hAnsi="宋体" w:cs="宋体"/>
          <w:color w:val="auto"/>
          <w:szCs w:val="21"/>
          <w:highlight w:val="none"/>
        </w:rPr>
      </w:pPr>
    </w:p>
    <w:p w14:paraId="20A7860F">
      <w:pPr>
        <w:snapToGrid w:val="0"/>
        <w:spacing w:before="50" w:after="50" w:line="440" w:lineRule="exact"/>
        <w:rPr>
          <w:rFonts w:hint="eastAsia" w:ascii="宋体" w:hAnsi="宋体" w:cs="宋体"/>
          <w:color w:val="auto"/>
          <w:szCs w:val="21"/>
          <w:highlight w:val="none"/>
        </w:rPr>
      </w:pPr>
    </w:p>
    <w:p w14:paraId="3DCE472B">
      <w:pPr>
        <w:snapToGrid w:val="0"/>
        <w:spacing w:before="50" w:after="50" w:line="440" w:lineRule="exact"/>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08E90541">
      <w:pPr>
        <w:snapToGrid w:val="0"/>
        <w:spacing w:before="120" w:beforeLines="50" w:line="440" w:lineRule="exact"/>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643DDBC6">
      <w:pPr>
        <w:snapToGrid w:val="0"/>
        <w:spacing w:before="120" w:beforeLines="50" w:after="50"/>
        <w:ind w:right="920"/>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171AEC6">
      <w:pPr>
        <w:spacing w:line="440" w:lineRule="exact"/>
        <w:contextualSpacing/>
        <w:rPr>
          <w:rFonts w:hint="eastAsia" w:ascii="宋体" w:hAnsi="宋体" w:cs="宋体"/>
          <w:color w:val="auto"/>
          <w:szCs w:val="21"/>
          <w:highlight w:val="none"/>
        </w:rPr>
      </w:pPr>
    </w:p>
    <w:p w14:paraId="10119B3E">
      <w:pPr>
        <w:snapToGrid w:val="0"/>
        <w:spacing w:before="120" w:beforeLines="50" w:line="440" w:lineRule="exact"/>
        <w:rPr>
          <w:rFonts w:hint="eastAsia" w:ascii="宋体" w:hAnsi="宋体" w:cs="宋体"/>
          <w:color w:val="auto"/>
          <w:szCs w:val="21"/>
          <w:highlight w:val="none"/>
        </w:rPr>
      </w:pPr>
    </w:p>
    <w:p w14:paraId="4093DB70">
      <w:pPr>
        <w:snapToGrid w:val="0"/>
        <w:spacing w:before="120" w:beforeLines="50"/>
        <w:rPr>
          <w:rFonts w:hint="eastAsia" w:ascii="宋体" w:hAnsi="宋体" w:cs="宋体"/>
          <w:color w:val="auto"/>
          <w:sz w:val="24"/>
          <w:szCs w:val="20"/>
          <w:highlight w:val="none"/>
        </w:rPr>
      </w:pPr>
    </w:p>
    <w:p w14:paraId="4AD97358">
      <w:pPr>
        <w:snapToGrid w:val="0"/>
        <w:spacing w:before="120" w:beforeLines="50" w:after="50"/>
        <w:jc w:val="left"/>
        <w:rPr>
          <w:rFonts w:hint="eastAsia" w:ascii="宋体" w:hAnsi="宋体" w:cs="宋体"/>
          <w:color w:val="auto"/>
          <w:sz w:val="24"/>
          <w:szCs w:val="20"/>
          <w:highlight w:val="none"/>
        </w:rPr>
        <w:sectPr>
          <w:footerReference r:id="rId15" w:type="first"/>
          <w:headerReference r:id="rId12" w:type="default"/>
          <w:footerReference r:id="rId13" w:type="default"/>
          <w:footerReference r:id="rId14" w:type="even"/>
          <w:pgSz w:w="11906" w:h="16838"/>
          <w:pgMar w:top="1134" w:right="1247" w:bottom="1134" w:left="1417" w:header="850" w:footer="850" w:gutter="0"/>
          <w:pgNumType w:fmt="decimal"/>
          <w:cols w:space="720" w:num="1"/>
          <w:titlePg/>
          <w:docGrid w:linePitch="312" w:charSpace="0"/>
        </w:sectPr>
      </w:pPr>
    </w:p>
    <w:p w14:paraId="5ECE82DD">
      <w:pPr>
        <w:snapToGrid w:val="0"/>
        <w:spacing w:before="165" w:beforeLines="50" w:after="50"/>
        <w:jc w:val="left"/>
        <w:rPr>
          <w:rFonts w:hint="eastAsia" w:ascii="宋体" w:hAnsi="宋体" w:cs="宋体"/>
          <w:b/>
          <w:color w:val="auto"/>
          <w:sz w:val="24"/>
          <w:highlight w:val="none"/>
        </w:rPr>
      </w:pPr>
      <w:r>
        <w:rPr>
          <w:rFonts w:hint="eastAsia" w:ascii="宋体" w:hAnsi="宋体" w:cs="宋体"/>
          <w:b/>
          <w:color w:val="auto"/>
          <w:sz w:val="24"/>
          <w:highlight w:val="none"/>
        </w:rPr>
        <w:t>6.投标人业绩证明材料</w:t>
      </w:r>
    </w:p>
    <w:p w14:paraId="35B7BA61">
      <w:pPr>
        <w:pStyle w:val="29"/>
        <w:snapToGrid w:val="0"/>
        <w:ind w:left="480" w:hanging="480"/>
        <w:rPr>
          <w:rFonts w:hint="eastAsia" w:ascii="宋体" w:hAnsi="宋体" w:cs="宋体"/>
          <w:color w:val="auto"/>
          <w:sz w:val="24"/>
          <w:highlight w:val="none"/>
        </w:rPr>
      </w:pPr>
    </w:p>
    <w:p w14:paraId="466F3DD5">
      <w:pPr>
        <w:pStyle w:val="29"/>
        <w:snapToGrid w:val="0"/>
        <w:spacing w:line="440" w:lineRule="exact"/>
        <w:ind w:left="600" w:hanging="600"/>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 xml:space="preserve">投标人业绩情况一览表格式 </w:t>
      </w:r>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65"/>
        <w:gridCol w:w="1963"/>
        <w:gridCol w:w="1963"/>
        <w:gridCol w:w="3167"/>
      </w:tblGrid>
      <w:tr w14:paraId="784CF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0B29BB7B">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4BE42764">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77916DE6">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p w14:paraId="1CC9B312">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1427C40F">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采购人联系人及</w:t>
            </w:r>
          </w:p>
          <w:p w14:paraId="04D10DCB">
            <w:pPr>
              <w:snapToGrid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3E0E1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3BACB19">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467B0EC5">
            <w:pPr>
              <w:spacing w:line="44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78128292">
            <w:pPr>
              <w:spacing w:line="440" w:lineRule="exact"/>
              <w:jc w:val="left"/>
              <w:rPr>
                <w:rFonts w:hint="eastAsia" w:ascii="宋体" w:hAnsi="宋体" w:cs="宋体"/>
                <w:color w:val="auto"/>
                <w:szCs w:val="21"/>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227A1F5">
            <w:pPr>
              <w:spacing w:line="440" w:lineRule="exact"/>
              <w:jc w:val="left"/>
              <w:rPr>
                <w:rFonts w:hint="eastAsia" w:ascii="宋体" w:hAnsi="宋体" w:cs="宋体"/>
                <w:color w:val="auto"/>
                <w:szCs w:val="21"/>
                <w:highlight w:val="none"/>
              </w:rPr>
            </w:pPr>
          </w:p>
        </w:tc>
      </w:tr>
      <w:tr w14:paraId="3C60D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08AC9EB">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67C7473">
            <w:pPr>
              <w:snapToGrid w:val="0"/>
              <w:spacing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2EB6C25">
            <w:pPr>
              <w:snapToGrid w:val="0"/>
              <w:spacing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DBA2032">
            <w:pPr>
              <w:snapToGrid w:val="0"/>
              <w:spacing w:line="440" w:lineRule="exact"/>
              <w:jc w:val="left"/>
              <w:rPr>
                <w:rFonts w:hint="eastAsia" w:ascii="宋体" w:hAnsi="宋体" w:cs="宋体"/>
                <w:color w:val="auto"/>
                <w:szCs w:val="21"/>
                <w:highlight w:val="none"/>
              </w:rPr>
            </w:pPr>
          </w:p>
        </w:tc>
      </w:tr>
      <w:tr w14:paraId="4628F8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5363F5F4">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E6DE982">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0F6C1D5">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02B13E47">
            <w:pPr>
              <w:snapToGrid w:val="0"/>
              <w:spacing w:before="50" w:after="165" w:afterLines="50" w:line="440" w:lineRule="exact"/>
              <w:jc w:val="left"/>
              <w:rPr>
                <w:rFonts w:hint="eastAsia" w:ascii="宋体" w:hAnsi="宋体" w:cs="宋体"/>
                <w:color w:val="auto"/>
                <w:szCs w:val="21"/>
                <w:highlight w:val="none"/>
              </w:rPr>
            </w:pPr>
          </w:p>
        </w:tc>
      </w:tr>
      <w:tr w14:paraId="729815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5658FF8C">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B50A04B">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11F657A">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70FF2063">
            <w:pPr>
              <w:snapToGrid w:val="0"/>
              <w:spacing w:before="50" w:after="165" w:afterLines="50" w:line="440" w:lineRule="exact"/>
              <w:jc w:val="left"/>
              <w:rPr>
                <w:rFonts w:hint="eastAsia" w:ascii="宋体" w:hAnsi="宋体" w:cs="宋体"/>
                <w:color w:val="auto"/>
                <w:szCs w:val="21"/>
                <w:highlight w:val="none"/>
              </w:rPr>
            </w:pPr>
          </w:p>
        </w:tc>
      </w:tr>
      <w:tr w14:paraId="10315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617F8CF7">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C230E09">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F6FC0DD">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0475F98">
            <w:pPr>
              <w:snapToGrid w:val="0"/>
              <w:spacing w:before="50" w:after="165" w:afterLines="50" w:line="440" w:lineRule="exact"/>
              <w:jc w:val="left"/>
              <w:rPr>
                <w:rFonts w:hint="eastAsia" w:ascii="宋体" w:hAnsi="宋体" w:cs="宋体"/>
                <w:color w:val="auto"/>
                <w:szCs w:val="21"/>
                <w:highlight w:val="none"/>
              </w:rPr>
            </w:pPr>
          </w:p>
        </w:tc>
      </w:tr>
      <w:tr w14:paraId="011DB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noWrap w:val="0"/>
            <w:vAlign w:val="top"/>
          </w:tcPr>
          <w:p w14:paraId="5B55D627">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0C3E466">
            <w:pPr>
              <w:snapToGrid w:val="0"/>
              <w:spacing w:before="50" w:after="165" w:afterLines="50" w:line="44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6C92723">
            <w:pPr>
              <w:snapToGrid w:val="0"/>
              <w:spacing w:before="50" w:after="165" w:afterLines="50" w:line="44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C2A5DA2">
            <w:pPr>
              <w:snapToGrid w:val="0"/>
              <w:spacing w:before="50" w:after="165" w:afterLines="50" w:line="440" w:lineRule="exact"/>
              <w:jc w:val="left"/>
              <w:rPr>
                <w:rFonts w:hint="eastAsia" w:ascii="宋体" w:hAnsi="宋体" w:cs="宋体"/>
                <w:color w:val="auto"/>
                <w:szCs w:val="21"/>
                <w:highlight w:val="none"/>
              </w:rPr>
            </w:pPr>
          </w:p>
        </w:tc>
      </w:tr>
    </w:tbl>
    <w:p w14:paraId="629B49FC">
      <w:pPr>
        <w:pStyle w:val="11"/>
        <w:spacing w:before="0" w:after="0" w:line="440" w:lineRule="exact"/>
        <w:contextualSpacing/>
        <w:rPr>
          <w:rFonts w:hint="eastAsia" w:ascii="宋体" w:hAnsi="宋体" w:eastAsia="宋体" w:cs="宋体"/>
          <w:color w:val="auto"/>
          <w:sz w:val="21"/>
          <w:szCs w:val="21"/>
          <w:highlight w:val="none"/>
        </w:rPr>
      </w:pPr>
    </w:p>
    <w:p w14:paraId="64A32A6C">
      <w:pPr>
        <w:pStyle w:val="11"/>
        <w:spacing w:before="0" w:after="0" w:line="44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注：投标人根据评标标准具体要求附业绩证明材料。</w:t>
      </w:r>
    </w:p>
    <w:p w14:paraId="6F255879">
      <w:pPr>
        <w:pStyle w:val="11"/>
        <w:spacing w:before="0" w:after="0" w:line="440" w:lineRule="exact"/>
        <w:contextualSpacing/>
        <w:jc w:val="left"/>
        <w:rPr>
          <w:rFonts w:hint="eastAsia" w:ascii="宋体" w:hAnsi="宋体" w:eastAsia="宋体" w:cs="宋体"/>
          <w:color w:val="auto"/>
          <w:sz w:val="21"/>
          <w:szCs w:val="21"/>
          <w:highlight w:val="none"/>
        </w:rPr>
      </w:pPr>
    </w:p>
    <w:p w14:paraId="5267515F">
      <w:pPr>
        <w:pStyle w:val="11"/>
        <w:spacing w:before="0" w:after="0" w:line="440" w:lineRule="exact"/>
        <w:contextualSpacing/>
        <w:jc w:val="left"/>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法定代表人或者委托代理人（签字或者电子签名）：</w:t>
      </w:r>
      <w:r>
        <w:rPr>
          <w:rFonts w:hint="eastAsia" w:ascii="宋体" w:hAnsi="宋体" w:eastAsia="宋体" w:cs="宋体"/>
          <w:color w:val="auto"/>
          <w:sz w:val="21"/>
          <w:szCs w:val="21"/>
          <w:highlight w:val="none"/>
          <w:u w:val="single"/>
        </w:rPr>
        <w:t xml:space="preserve">             </w:t>
      </w:r>
    </w:p>
    <w:p w14:paraId="67A05F75">
      <w:pPr>
        <w:spacing w:line="440" w:lineRule="exact"/>
        <w:ind w:right="480"/>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 xml:space="preserve">投标人名称（电子签章）： </w:t>
      </w:r>
      <w:r>
        <w:rPr>
          <w:rFonts w:hint="eastAsia" w:ascii="宋体" w:hAnsi="宋体" w:cs="宋体"/>
          <w:color w:val="auto"/>
          <w:szCs w:val="21"/>
          <w:highlight w:val="none"/>
          <w:u w:val="single"/>
        </w:rPr>
        <w:t xml:space="preserve">                </w:t>
      </w:r>
    </w:p>
    <w:p w14:paraId="0A249AD1">
      <w:pPr>
        <w:snapToGrid w:val="0"/>
        <w:spacing w:before="165" w:beforeLines="50" w:after="50"/>
        <w:ind w:right="84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E6FEA64">
      <w:pPr>
        <w:snapToGrid w:val="0"/>
        <w:spacing w:before="165" w:beforeLines="50" w:after="50"/>
        <w:jc w:val="left"/>
        <w:rPr>
          <w:rFonts w:hint="eastAsia" w:ascii="宋体" w:hAnsi="宋体" w:cs="宋体"/>
          <w:b/>
          <w:color w:val="auto"/>
          <w:sz w:val="24"/>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rPr>
        <w:t xml:space="preserve">（二）技术文件封面格式： </w:t>
      </w:r>
    </w:p>
    <w:p w14:paraId="0ADB7F84">
      <w:pPr>
        <w:snapToGrid w:val="0"/>
        <w:spacing w:before="165"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0D1F6FCA">
      <w:pPr>
        <w:snapToGrid w:val="0"/>
        <w:spacing w:before="165"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175484B4">
      <w:pPr>
        <w:rPr>
          <w:rFonts w:hint="eastAsia" w:ascii="宋体" w:hAnsi="宋体" w:cs="宋体"/>
          <w:color w:val="auto"/>
          <w:sz w:val="24"/>
          <w:highlight w:val="none"/>
        </w:rPr>
      </w:pPr>
    </w:p>
    <w:p w14:paraId="4482412F">
      <w:pPr>
        <w:rPr>
          <w:rFonts w:hint="eastAsia"/>
          <w:color w:val="auto"/>
          <w:highlight w:val="none"/>
        </w:rPr>
      </w:pPr>
    </w:p>
    <w:p w14:paraId="518AAD24">
      <w:pPr>
        <w:snapToGrid w:val="0"/>
        <w:spacing w:before="165"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技术文件</w:t>
      </w:r>
    </w:p>
    <w:p w14:paraId="372A5A21">
      <w:pPr>
        <w:rPr>
          <w:rFonts w:hint="eastAsia" w:ascii="宋体" w:hAnsi="宋体" w:cs="宋体"/>
          <w:b/>
          <w:color w:val="auto"/>
          <w:sz w:val="32"/>
          <w:szCs w:val="32"/>
          <w:highlight w:val="none"/>
        </w:rPr>
      </w:pPr>
    </w:p>
    <w:p w14:paraId="5CABA699">
      <w:pPr>
        <w:rPr>
          <w:rFonts w:hint="eastAsia"/>
          <w:color w:val="auto"/>
          <w:highlight w:val="none"/>
        </w:rPr>
      </w:pPr>
    </w:p>
    <w:p w14:paraId="253C152C">
      <w:pPr>
        <w:snapToGrid w:val="0"/>
        <w:spacing w:before="165" w:beforeLines="50" w:after="50"/>
        <w:rPr>
          <w:rFonts w:hint="eastAsia" w:ascii="宋体" w:hAnsi="宋体" w:cs="宋体"/>
          <w:bCs/>
          <w:color w:val="auto"/>
          <w:sz w:val="24"/>
          <w:szCs w:val="20"/>
          <w:highlight w:val="none"/>
        </w:rPr>
      </w:pPr>
    </w:p>
    <w:p w14:paraId="1A1D393B">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23F184DA">
      <w:pPr>
        <w:snapToGrid w:val="0"/>
        <w:spacing w:before="165" w:beforeLines="50" w:after="50"/>
        <w:ind w:firstLine="540" w:firstLineChars="225"/>
        <w:rPr>
          <w:rFonts w:hint="eastAsia" w:ascii="宋体" w:hAnsi="宋体" w:cs="宋体"/>
          <w:bCs/>
          <w:color w:val="auto"/>
          <w:sz w:val="24"/>
          <w:szCs w:val="20"/>
          <w:highlight w:val="none"/>
        </w:rPr>
      </w:pPr>
    </w:p>
    <w:p w14:paraId="47D3D304">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368D7604">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301FAE65">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w:t>
      </w:r>
    </w:p>
    <w:p w14:paraId="70195CB0">
      <w:pPr>
        <w:snapToGrid w:val="0"/>
        <w:spacing w:before="165" w:beforeLines="50" w:after="50"/>
        <w:ind w:firstLine="540" w:firstLineChars="225"/>
        <w:rPr>
          <w:rFonts w:hint="eastAsia" w:ascii="宋体" w:hAnsi="宋体" w:cs="宋体"/>
          <w:bCs/>
          <w:color w:val="auto"/>
          <w:sz w:val="24"/>
          <w:szCs w:val="20"/>
          <w:highlight w:val="none"/>
        </w:rPr>
      </w:pPr>
    </w:p>
    <w:p w14:paraId="0574D554">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698CBEF4">
      <w:pPr>
        <w:pStyle w:val="10"/>
        <w:snapToGrid w:val="0"/>
        <w:spacing w:before="50" w:after="50"/>
        <w:ind w:firstLine="540" w:firstLineChars="225"/>
        <w:rPr>
          <w:rFonts w:hint="eastAsia" w:ascii="宋体" w:hAnsi="宋体" w:cs="宋体"/>
          <w:bCs/>
          <w:color w:val="auto"/>
          <w:sz w:val="24"/>
          <w:szCs w:val="24"/>
          <w:highlight w:val="none"/>
        </w:rPr>
      </w:pPr>
    </w:p>
    <w:p w14:paraId="69E69996">
      <w:pPr>
        <w:pStyle w:val="10"/>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77DA08A8">
      <w:pPr>
        <w:pStyle w:val="10"/>
        <w:snapToGrid w:val="0"/>
        <w:spacing w:before="50" w:after="50"/>
        <w:ind w:firstLine="960" w:firstLineChars="400"/>
        <w:rPr>
          <w:rFonts w:hint="eastAsia" w:ascii="宋体" w:hAnsi="宋体" w:cs="宋体"/>
          <w:bCs/>
          <w:color w:val="auto"/>
          <w:sz w:val="24"/>
          <w:szCs w:val="24"/>
          <w:highlight w:val="none"/>
        </w:rPr>
      </w:pPr>
    </w:p>
    <w:p w14:paraId="4E06ACDD">
      <w:pPr>
        <w:snapToGrid w:val="0"/>
        <w:spacing w:before="165"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5BCA6616">
      <w:pPr>
        <w:snapToGrid w:val="0"/>
        <w:spacing w:before="165"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20034DC4">
      <w:pPr>
        <w:snapToGrid w:val="0"/>
        <w:spacing w:line="360" w:lineRule="auto"/>
        <w:ind w:firstLine="120" w:firstLineChars="50"/>
        <w:jc w:val="center"/>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8"/>
          <w:szCs w:val="28"/>
          <w:highlight w:val="none"/>
        </w:rPr>
        <w:t>商务及技术文件目录</w:t>
      </w:r>
    </w:p>
    <w:p w14:paraId="1EE23572">
      <w:pPr>
        <w:snapToGrid w:val="0"/>
        <w:spacing w:before="50" w:after="165"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5FD01D45">
      <w:pPr>
        <w:snapToGrid w:val="0"/>
        <w:spacing w:before="165" w:beforeLines="50" w:after="50"/>
        <w:ind w:left="142"/>
        <w:jc w:val="left"/>
        <w:rPr>
          <w:rFonts w:hint="eastAsia"/>
          <w:b/>
          <w:color w:val="auto"/>
          <w:highlight w:val="none"/>
        </w:rPr>
      </w:pPr>
      <w:r>
        <w:rPr>
          <w:color w:val="auto"/>
          <w:highlight w:val="none"/>
        </w:rPr>
        <w:br w:type="page"/>
      </w:r>
      <w:r>
        <w:rPr>
          <w:rFonts w:hint="eastAsia" w:ascii="宋体" w:hAnsi="宋体" w:cs="宋体"/>
          <w:b/>
          <w:color w:val="auto"/>
          <w:sz w:val="24"/>
          <w:highlight w:val="none"/>
        </w:rPr>
        <w:t>1.技术要求偏离表格式</w:t>
      </w:r>
    </w:p>
    <w:p w14:paraId="531FC3EC">
      <w:pPr>
        <w:snapToGrid w:val="0"/>
        <w:spacing w:before="165" w:beforeLines="50" w:after="50"/>
        <w:ind w:left="142"/>
        <w:jc w:val="left"/>
        <w:rPr>
          <w:rFonts w:hint="eastAsia" w:ascii="宋体" w:hAnsi="宋体" w:cs="宋体"/>
          <w:b/>
          <w:color w:val="auto"/>
          <w:sz w:val="24"/>
          <w:highlight w:val="none"/>
        </w:rPr>
      </w:pPr>
    </w:p>
    <w:p w14:paraId="125DF851">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技术要求偏离表</w:t>
      </w:r>
    </w:p>
    <w:p w14:paraId="64A38660">
      <w:pPr>
        <w:pStyle w:val="20"/>
        <w:spacing w:line="440" w:lineRule="exact"/>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8"/>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2096"/>
      </w:tblGrid>
      <w:tr w14:paraId="764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852" w:type="dxa"/>
            <w:noWrap w:val="0"/>
            <w:vAlign w:val="center"/>
          </w:tcPr>
          <w:p w14:paraId="61E34718">
            <w:pPr>
              <w:pStyle w:val="20"/>
              <w:spacing w:line="440" w:lineRule="exact"/>
              <w:jc w:val="center"/>
              <w:rPr>
                <w:rFonts w:hint="eastAsia" w:hAnsi="宋体" w:cs="宋体"/>
                <w:color w:val="auto"/>
                <w:highlight w:val="none"/>
              </w:rPr>
            </w:pPr>
            <w:r>
              <w:rPr>
                <w:rFonts w:hint="eastAsia" w:hAnsi="宋体" w:cs="宋体"/>
                <w:color w:val="auto"/>
                <w:highlight w:val="none"/>
              </w:rPr>
              <w:t>项号</w:t>
            </w:r>
          </w:p>
        </w:tc>
        <w:tc>
          <w:tcPr>
            <w:tcW w:w="2143" w:type="dxa"/>
            <w:noWrap w:val="0"/>
            <w:vAlign w:val="center"/>
          </w:tcPr>
          <w:p w14:paraId="7EF58EF2">
            <w:pPr>
              <w:pStyle w:val="20"/>
              <w:spacing w:line="440" w:lineRule="exact"/>
              <w:jc w:val="center"/>
              <w:rPr>
                <w:rFonts w:hint="eastAsia" w:hAnsi="宋体" w:cs="宋体"/>
                <w:color w:val="auto"/>
                <w:highlight w:val="none"/>
              </w:rPr>
            </w:pPr>
            <w:r>
              <w:rPr>
                <w:rFonts w:hint="eastAsia" w:hAnsi="宋体" w:cs="宋体"/>
                <w:color w:val="auto"/>
                <w:highlight w:val="none"/>
              </w:rPr>
              <w:t>标的名称</w:t>
            </w:r>
          </w:p>
        </w:tc>
        <w:tc>
          <w:tcPr>
            <w:tcW w:w="1834" w:type="dxa"/>
            <w:noWrap w:val="0"/>
            <w:vAlign w:val="center"/>
          </w:tcPr>
          <w:p w14:paraId="6F936745">
            <w:pPr>
              <w:pStyle w:val="20"/>
              <w:spacing w:line="440" w:lineRule="exact"/>
              <w:jc w:val="center"/>
              <w:rPr>
                <w:rFonts w:hint="eastAsia" w:hAnsi="宋体" w:cs="宋体"/>
                <w:color w:val="auto"/>
                <w:highlight w:val="none"/>
              </w:rPr>
            </w:pPr>
            <w:r>
              <w:rPr>
                <w:rFonts w:hint="eastAsia" w:hAnsi="宋体" w:cs="宋体"/>
                <w:color w:val="auto"/>
                <w:highlight w:val="none"/>
              </w:rPr>
              <w:t>项目要求及技术需求</w:t>
            </w:r>
          </w:p>
        </w:tc>
        <w:tc>
          <w:tcPr>
            <w:tcW w:w="2181" w:type="dxa"/>
            <w:noWrap w:val="0"/>
            <w:vAlign w:val="center"/>
          </w:tcPr>
          <w:p w14:paraId="34CA36EA">
            <w:pPr>
              <w:pStyle w:val="20"/>
              <w:spacing w:line="440" w:lineRule="exact"/>
              <w:jc w:val="center"/>
              <w:rPr>
                <w:rFonts w:hint="eastAsia" w:hAnsi="宋体" w:cs="宋体"/>
                <w:color w:val="auto"/>
                <w:highlight w:val="none"/>
              </w:rPr>
            </w:pPr>
            <w:r>
              <w:rPr>
                <w:rFonts w:hint="eastAsia" w:hAnsi="宋体" w:cs="宋体"/>
                <w:color w:val="auto"/>
                <w:highlight w:val="none"/>
              </w:rPr>
              <w:t>投标响应</w:t>
            </w:r>
          </w:p>
        </w:tc>
        <w:tc>
          <w:tcPr>
            <w:tcW w:w="2096" w:type="dxa"/>
            <w:noWrap w:val="0"/>
            <w:vAlign w:val="center"/>
          </w:tcPr>
          <w:p w14:paraId="71879C53">
            <w:pPr>
              <w:pStyle w:val="20"/>
              <w:spacing w:line="440" w:lineRule="exact"/>
              <w:jc w:val="center"/>
              <w:rPr>
                <w:rFonts w:hint="eastAsia" w:hAnsi="宋体" w:cs="宋体"/>
                <w:color w:val="auto"/>
                <w:highlight w:val="none"/>
              </w:rPr>
            </w:pPr>
            <w:r>
              <w:rPr>
                <w:rFonts w:hint="eastAsia" w:hAnsi="宋体" w:cs="宋体"/>
                <w:color w:val="auto"/>
                <w:highlight w:val="none"/>
              </w:rPr>
              <w:t>偏离说明</w:t>
            </w:r>
          </w:p>
        </w:tc>
      </w:tr>
      <w:tr w14:paraId="44A1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305ED016">
            <w:pPr>
              <w:pStyle w:val="20"/>
              <w:spacing w:line="440" w:lineRule="exact"/>
              <w:jc w:val="center"/>
              <w:rPr>
                <w:rFonts w:hint="eastAsia" w:hAnsi="宋体" w:cs="宋体"/>
                <w:color w:val="auto"/>
                <w:highlight w:val="none"/>
              </w:rPr>
            </w:pPr>
          </w:p>
        </w:tc>
        <w:tc>
          <w:tcPr>
            <w:tcW w:w="2143" w:type="dxa"/>
            <w:noWrap w:val="0"/>
            <w:vAlign w:val="center"/>
          </w:tcPr>
          <w:p w14:paraId="1C8BA82D">
            <w:pPr>
              <w:pStyle w:val="20"/>
              <w:spacing w:line="440" w:lineRule="exact"/>
              <w:jc w:val="center"/>
              <w:rPr>
                <w:rFonts w:hint="eastAsia" w:hAnsi="宋体" w:cs="宋体"/>
                <w:color w:val="auto"/>
                <w:highlight w:val="none"/>
              </w:rPr>
            </w:pPr>
          </w:p>
        </w:tc>
        <w:tc>
          <w:tcPr>
            <w:tcW w:w="1834" w:type="dxa"/>
            <w:noWrap w:val="0"/>
            <w:vAlign w:val="center"/>
          </w:tcPr>
          <w:p w14:paraId="0641BBEF">
            <w:pPr>
              <w:pStyle w:val="20"/>
              <w:spacing w:line="440" w:lineRule="exact"/>
              <w:jc w:val="center"/>
              <w:rPr>
                <w:rFonts w:hint="eastAsia" w:hAnsi="宋体" w:cs="宋体"/>
                <w:color w:val="auto"/>
                <w:highlight w:val="none"/>
              </w:rPr>
            </w:pPr>
          </w:p>
        </w:tc>
        <w:tc>
          <w:tcPr>
            <w:tcW w:w="2181" w:type="dxa"/>
            <w:noWrap w:val="0"/>
            <w:vAlign w:val="center"/>
          </w:tcPr>
          <w:p w14:paraId="06463D99">
            <w:pPr>
              <w:pStyle w:val="20"/>
              <w:spacing w:line="440" w:lineRule="exact"/>
              <w:jc w:val="center"/>
              <w:rPr>
                <w:rFonts w:hint="eastAsia" w:hAnsi="宋体" w:cs="宋体"/>
                <w:color w:val="auto"/>
                <w:highlight w:val="none"/>
              </w:rPr>
            </w:pPr>
          </w:p>
        </w:tc>
        <w:tc>
          <w:tcPr>
            <w:tcW w:w="2096" w:type="dxa"/>
            <w:noWrap w:val="0"/>
            <w:vAlign w:val="center"/>
          </w:tcPr>
          <w:p w14:paraId="27ED9DEB">
            <w:pPr>
              <w:pStyle w:val="20"/>
              <w:spacing w:line="440" w:lineRule="exact"/>
              <w:jc w:val="center"/>
              <w:rPr>
                <w:rFonts w:hint="eastAsia" w:hAnsi="宋体" w:cs="宋体"/>
                <w:color w:val="auto"/>
                <w:highlight w:val="none"/>
              </w:rPr>
            </w:pPr>
          </w:p>
        </w:tc>
      </w:tr>
      <w:tr w14:paraId="79E9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026EE672">
            <w:pPr>
              <w:pStyle w:val="20"/>
              <w:spacing w:line="440" w:lineRule="exact"/>
              <w:rPr>
                <w:rFonts w:hint="eastAsia" w:hAnsi="宋体" w:cs="宋体"/>
                <w:color w:val="auto"/>
                <w:highlight w:val="none"/>
              </w:rPr>
            </w:pPr>
          </w:p>
        </w:tc>
        <w:tc>
          <w:tcPr>
            <w:tcW w:w="2143" w:type="dxa"/>
            <w:noWrap w:val="0"/>
            <w:vAlign w:val="top"/>
          </w:tcPr>
          <w:p w14:paraId="6C26F11C">
            <w:pPr>
              <w:pStyle w:val="20"/>
              <w:spacing w:line="440" w:lineRule="exact"/>
              <w:rPr>
                <w:rFonts w:hint="eastAsia" w:hAnsi="宋体" w:cs="宋体"/>
                <w:color w:val="auto"/>
                <w:highlight w:val="none"/>
              </w:rPr>
            </w:pPr>
          </w:p>
        </w:tc>
        <w:tc>
          <w:tcPr>
            <w:tcW w:w="1834" w:type="dxa"/>
            <w:noWrap w:val="0"/>
            <w:vAlign w:val="top"/>
          </w:tcPr>
          <w:p w14:paraId="2E85E7A5">
            <w:pPr>
              <w:pStyle w:val="20"/>
              <w:spacing w:line="440" w:lineRule="exact"/>
              <w:rPr>
                <w:rFonts w:hint="eastAsia" w:hAnsi="宋体" w:cs="宋体"/>
                <w:color w:val="auto"/>
                <w:highlight w:val="none"/>
              </w:rPr>
            </w:pPr>
          </w:p>
        </w:tc>
        <w:tc>
          <w:tcPr>
            <w:tcW w:w="2181" w:type="dxa"/>
            <w:noWrap w:val="0"/>
            <w:vAlign w:val="top"/>
          </w:tcPr>
          <w:p w14:paraId="277D3A75">
            <w:pPr>
              <w:pStyle w:val="20"/>
              <w:spacing w:line="440" w:lineRule="exact"/>
              <w:rPr>
                <w:rFonts w:hint="eastAsia" w:hAnsi="宋体" w:cs="宋体"/>
                <w:color w:val="auto"/>
                <w:highlight w:val="none"/>
              </w:rPr>
            </w:pPr>
          </w:p>
        </w:tc>
        <w:tc>
          <w:tcPr>
            <w:tcW w:w="2096" w:type="dxa"/>
            <w:noWrap w:val="0"/>
            <w:vAlign w:val="top"/>
          </w:tcPr>
          <w:p w14:paraId="1AC31062">
            <w:pPr>
              <w:pStyle w:val="20"/>
              <w:spacing w:line="440" w:lineRule="exact"/>
              <w:rPr>
                <w:rFonts w:hint="eastAsia" w:hAnsi="宋体" w:cs="宋体"/>
                <w:color w:val="auto"/>
                <w:highlight w:val="none"/>
              </w:rPr>
            </w:pPr>
          </w:p>
        </w:tc>
      </w:tr>
      <w:tr w14:paraId="1804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5B1AF351">
            <w:pPr>
              <w:pStyle w:val="20"/>
              <w:spacing w:line="440" w:lineRule="exact"/>
              <w:rPr>
                <w:rFonts w:hint="eastAsia" w:hAnsi="宋体" w:cs="宋体"/>
                <w:color w:val="auto"/>
                <w:highlight w:val="none"/>
              </w:rPr>
            </w:pPr>
          </w:p>
        </w:tc>
        <w:tc>
          <w:tcPr>
            <w:tcW w:w="2143" w:type="dxa"/>
            <w:noWrap w:val="0"/>
            <w:vAlign w:val="top"/>
          </w:tcPr>
          <w:p w14:paraId="1782676B">
            <w:pPr>
              <w:pStyle w:val="20"/>
              <w:spacing w:line="440" w:lineRule="exact"/>
              <w:rPr>
                <w:rFonts w:hint="eastAsia" w:hAnsi="宋体" w:cs="宋体"/>
                <w:color w:val="auto"/>
                <w:highlight w:val="none"/>
              </w:rPr>
            </w:pPr>
          </w:p>
        </w:tc>
        <w:tc>
          <w:tcPr>
            <w:tcW w:w="1834" w:type="dxa"/>
            <w:noWrap w:val="0"/>
            <w:vAlign w:val="top"/>
          </w:tcPr>
          <w:p w14:paraId="39D250AB">
            <w:pPr>
              <w:pStyle w:val="20"/>
              <w:spacing w:line="440" w:lineRule="exact"/>
              <w:rPr>
                <w:rFonts w:hint="eastAsia" w:hAnsi="宋体" w:cs="宋体"/>
                <w:color w:val="auto"/>
                <w:highlight w:val="none"/>
              </w:rPr>
            </w:pPr>
          </w:p>
        </w:tc>
        <w:tc>
          <w:tcPr>
            <w:tcW w:w="2181" w:type="dxa"/>
            <w:noWrap w:val="0"/>
            <w:vAlign w:val="top"/>
          </w:tcPr>
          <w:p w14:paraId="74290908">
            <w:pPr>
              <w:pStyle w:val="20"/>
              <w:spacing w:line="440" w:lineRule="exact"/>
              <w:rPr>
                <w:rFonts w:hint="eastAsia" w:hAnsi="宋体" w:cs="宋体"/>
                <w:color w:val="auto"/>
                <w:highlight w:val="none"/>
              </w:rPr>
            </w:pPr>
          </w:p>
        </w:tc>
        <w:tc>
          <w:tcPr>
            <w:tcW w:w="2096" w:type="dxa"/>
            <w:noWrap w:val="0"/>
            <w:vAlign w:val="top"/>
          </w:tcPr>
          <w:p w14:paraId="559986F4">
            <w:pPr>
              <w:pStyle w:val="20"/>
              <w:spacing w:line="440" w:lineRule="exact"/>
              <w:rPr>
                <w:rFonts w:hint="eastAsia" w:hAnsi="宋体" w:cs="宋体"/>
                <w:color w:val="auto"/>
                <w:highlight w:val="none"/>
              </w:rPr>
            </w:pPr>
          </w:p>
        </w:tc>
      </w:tr>
      <w:tr w14:paraId="3FA0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1BB3507E">
            <w:pPr>
              <w:pStyle w:val="20"/>
              <w:spacing w:line="440" w:lineRule="exact"/>
              <w:rPr>
                <w:rFonts w:hint="eastAsia" w:hAnsi="宋体" w:cs="宋体"/>
                <w:color w:val="auto"/>
                <w:highlight w:val="none"/>
              </w:rPr>
            </w:pPr>
          </w:p>
        </w:tc>
        <w:tc>
          <w:tcPr>
            <w:tcW w:w="2143" w:type="dxa"/>
            <w:noWrap w:val="0"/>
            <w:vAlign w:val="top"/>
          </w:tcPr>
          <w:p w14:paraId="728BAAF5">
            <w:pPr>
              <w:pStyle w:val="20"/>
              <w:spacing w:line="440" w:lineRule="exact"/>
              <w:rPr>
                <w:rFonts w:hint="eastAsia" w:hAnsi="宋体" w:cs="宋体"/>
                <w:color w:val="auto"/>
                <w:highlight w:val="none"/>
              </w:rPr>
            </w:pPr>
          </w:p>
        </w:tc>
        <w:tc>
          <w:tcPr>
            <w:tcW w:w="1834" w:type="dxa"/>
            <w:noWrap w:val="0"/>
            <w:vAlign w:val="top"/>
          </w:tcPr>
          <w:p w14:paraId="58103C5E">
            <w:pPr>
              <w:pStyle w:val="20"/>
              <w:spacing w:line="440" w:lineRule="exact"/>
              <w:rPr>
                <w:rFonts w:hint="eastAsia" w:hAnsi="宋体" w:cs="宋体"/>
                <w:color w:val="auto"/>
                <w:highlight w:val="none"/>
              </w:rPr>
            </w:pPr>
          </w:p>
        </w:tc>
        <w:tc>
          <w:tcPr>
            <w:tcW w:w="2181" w:type="dxa"/>
            <w:noWrap w:val="0"/>
            <w:vAlign w:val="top"/>
          </w:tcPr>
          <w:p w14:paraId="0E5EE3B7">
            <w:pPr>
              <w:pStyle w:val="20"/>
              <w:spacing w:line="440" w:lineRule="exact"/>
              <w:rPr>
                <w:rFonts w:hint="eastAsia" w:hAnsi="宋体" w:cs="宋体"/>
                <w:color w:val="auto"/>
                <w:highlight w:val="none"/>
              </w:rPr>
            </w:pPr>
          </w:p>
        </w:tc>
        <w:tc>
          <w:tcPr>
            <w:tcW w:w="2096" w:type="dxa"/>
            <w:noWrap w:val="0"/>
            <w:vAlign w:val="top"/>
          </w:tcPr>
          <w:p w14:paraId="580B8F3C">
            <w:pPr>
              <w:pStyle w:val="20"/>
              <w:spacing w:line="440" w:lineRule="exact"/>
              <w:rPr>
                <w:rFonts w:hint="eastAsia" w:hAnsi="宋体" w:cs="宋体"/>
                <w:color w:val="auto"/>
                <w:highlight w:val="none"/>
              </w:rPr>
            </w:pPr>
          </w:p>
        </w:tc>
      </w:tr>
      <w:tr w14:paraId="168B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46A8BAF7">
            <w:pPr>
              <w:pStyle w:val="20"/>
              <w:spacing w:line="440" w:lineRule="exact"/>
              <w:rPr>
                <w:rFonts w:hint="eastAsia" w:hAnsi="宋体" w:cs="宋体"/>
                <w:color w:val="auto"/>
                <w:highlight w:val="none"/>
              </w:rPr>
            </w:pPr>
          </w:p>
        </w:tc>
        <w:tc>
          <w:tcPr>
            <w:tcW w:w="2143" w:type="dxa"/>
            <w:noWrap w:val="0"/>
            <w:vAlign w:val="top"/>
          </w:tcPr>
          <w:p w14:paraId="5AE0F7B4">
            <w:pPr>
              <w:pStyle w:val="20"/>
              <w:spacing w:line="440" w:lineRule="exact"/>
              <w:rPr>
                <w:rFonts w:hint="eastAsia" w:hAnsi="宋体" w:cs="宋体"/>
                <w:color w:val="auto"/>
                <w:highlight w:val="none"/>
              </w:rPr>
            </w:pPr>
          </w:p>
        </w:tc>
        <w:tc>
          <w:tcPr>
            <w:tcW w:w="1834" w:type="dxa"/>
            <w:noWrap w:val="0"/>
            <w:vAlign w:val="top"/>
          </w:tcPr>
          <w:p w14:paraId="2A22809C">
            <w:pPr>
              <w:pStyle w:val="20"/>
              <w:spacing w:line="440" w:lineRule="exact"/>
              <w:rPr>
                <w:rFonts w:hint="eastAsia" w:hAnsi="宋体" w:cs="宋体"/>
                <w:color w:val="auto"/>
                <w:highlight w:val="none"/>
              </w:rPr>
            </w:pPr>
          </w:p>
        </w:tc>
        <w:tc>
          <w:tcPr>
            <w:tcW w:w="2181" w:type="dxa"/>
            <w:noWrap w:val="0"/>
            <w:vAlign w:val="top"/>
          </w:tcPr>
          <w:p w14:paraId="22234A02">
            <w:pPr>
              <w:pStyle w:val="20"/>
              <w:spacing w:line="440" w:lineRule="exact"/>
              <w:rPr>
                <w:rFonts w:hint="eastAsia" w:hAnsi="宋体" w:cs="宋体"/>
                <w:color w:val="auto"/>
                <w:highlight w:val="none"/>
              </w:rPr>
            </w:pPr>
          </w:p>
        </w:tc>
        <w:tc>
          <w:tcPr>
            <w:tcW w:w="2096" w:type="dxa"/>
            <w:noWrap w:val="0"/>
            <w:vAlign w:val="top"/>
          </w:tcPr>
          <w:p w14:paraId="6AB6C44D">
            <w:pPr>
              <w:pStyle w:val="20"/>
              <w:spacing w:line="440" w:lineRule="exact"/>
              <w:rPr>
                <w:rFonts w:hint="eastAsia" w:hAnsi="宋体" w:cs="宋体"/>
                <w:color w:val="auto"/>
                <w:highlight w:val="none"/>
              </w:rPr>
            </w:pPr>
          </w:p>
        </w:tc>
      </w:tr>
      <w:tr w14:paraId="22CC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777A0D2A">
            <w:pPr>
              <w:pStyle w:val="20"/>
              <w:spacing w:line="440" w:lineRule="exact"/>
              <w:rPr>
                <w:rFonts w:hint="eastAsia" w:hAnsi="宋体" w:cs="宋体"/>
                <w:color w:val="auto"/>
                <w:highlight w:val="none"/>
              </w:rPr>
            </w:pPr>
          </w:p>
        </w:tc>
        <w:tc>
          <w:tcPr>
            <w:tcW w:w="2143" w:type="dxa"/>
            <w:noWrap w:val="0"/>
            <w:vAlign w:val="top"/>
          </w:tcPr>
          <w:p w14:paraId="3F9097E1">
            <w:pPr>
              <w:pStyle w:val="20"/>
              <w:spacing w:line="440" w:lineRule="exact"/>
              <w:rPr>
                <w:rFonts w:hint="eastAsia" w:hAnsi="宋体" w:cs="宋体"/>
                <w:color w:val="auto"/>
                <w:highlight w:val="none"/>
              </w:rPr>
            </w:pPr>
          </w:p>
        </w:tc>
        <w:tc>
          <w:tcPr>
            <w:tcW w:w="1834" w:type="dxa"/>
            <w:noWrap w:val="0"/>
            <w:vAlign w:val="top"/>
          </w:tcPr>
          <w:p w14:paraId="1B7A9F4E">
            <w:pPr>
              <w:pStyle w:val="20"/>
              <w:spacing w:line="440" w:lineRule="exact"/>
              <w:rPr>
                <w:rFonts w:hint="eastAsia" w:hAnsi="宋体" w:cs="宋体"/>
                <w:color w:val="auto"/>
                <w:highlight w:val="none"/>
              </w:rPr>
            </w:pPr>
          </w:p>
        </w:tc>
        <w:tc>
          <w:tcPr>
            <w:tcW w:w="2181" w:type="dxa"/>
            <w:noWrap w:val="0"/>
            <w:vAlign w:val="top"/>
          </w:tcPr>
          <w:p w14:paraId="2D068726">
            <w:pPr>
              <w:pStyle w:val="20"/>
              <w:spacing w:line="440" w:lineRule="exact"/>
              <w:rPr>
                <w:rFonts w:hint="eastAsia" w:hAnsi="宋体" w:cs="宋体"/>
                <w:color w:val="auto"/>
                <w:highlight w:val="none"/>
              </w:rPr>
            </w:pPr>
          </w:p>
        </w:tc>
        <w:tc>
          <w:tcPr>
            <w:tcW w:w="2096" w:type="dxa"/>
            <w:noWrap w:val="0"/>
            <w:vAlign w:val="top"/>
          </w:tcPr>
          <w:p w14:paraId="310A1767">
            <w:pPr>
              <w:pStyle w:val="20"/>
              <w:spacing w:line="440" w:lineRule="exact"/>
              <w:rPr>
                <w:rFonts w:hint="eastAsia" w:hAnsi="宋体" w:cs="宋体"/>
                <w:color w:val="auto"/>
                <w:highlight w:val="none"/>
              </w:rPr>
            </w:pPr>
          </w:p>
        </w:tc>
      </w:tr>
      <w:tr w14:paraId="6A05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noWrap w:val="0"/>
            <w:vAlign w:val="top"/>
          </w:tcPr>
          <w:p w14:paraId="5DAE5E3E">
            <w:pPr>
              <w:pStyle w:val="20"/>
              <w:spacing w:line="440" w:lineRule="exact"/>
              <w:rPr>
                <w:rFonts w:hint="eastAsia" w:hAnsi="宋体" w:cs="宋体"/>
                <w:color w:val="auto"/>
                <w:highlight w:val="none"/>
              </w:rPr>
            </w:pPr>
          </w:p>
        </w:tc>
        <w:tc>
          <w:tcPr>
            <w:tcW w:w="2143" w:type="dxa"/>
            <w:noWrap w:val="0"/>
            <w:vAlign w:val="top"/>
          </w:tcPr>
          <w:p w14:paraId="17B8868A">
            <w:pPr>
              <w:pStyle w:val="20"/>
              <w:spacing w:line="440" w:lineRule="exact"/>
              <w:rPr>
                <w:rFonts w:hint="eastAsia" w:hAnsi="宋体" w:cs="宋体"/>
                <w:color w:val="auto"/>
                <w:highlight w:val="none"/>
              </w:rPr>
            </w:pPr>
          </w:p>
        </w:tc>
        <w:tc>
          <w:tcPr>
            <w:tcW w:w="1834" w:type="dxa"/>
            <w:noWrap w:val="0"/>
            <w:vAlign w:val="top"/>
          </w:tcPr>
          <w:p w14:paraId="47603B46">
            <w:pPr>
              <w:pStyle w:val="20"/>
              <w:spacing w:line="440" w:lineRule="exact"/>
              <w:rPr>
                <w:rFonts w:hint="eastAsia" w:hAnsi="宋体" w:cs="宋体"/>
                <w:color w:val="auto"/>
                <w:highlight w:val="none"/>
              </w:rPr>
            </w:pPr>
          </w:p>
        </w:tc>
        <w:tc>
          <w:tcPr>
            <w:tcW w:w="2181" w:type="dxa"/>
            <w:noWrap w:val="0"/>
            <w:vAlign w:val="top"/>
          </w:tcPr>
          <w:p w14:paraId="5D50F261">
            <w:pPr>
              <w:pStyle w:val="20"/>
              <w:spacing w:line="440" w:lineRule="exact"/>
              <w:rPr>
                <w:rFonts w:hint="eastAsia" w:hAnsi="宋体" w:cs="宋体"/>
                <w:color w:val="auto"/>
                <w:highlight w:val="none"/>
              </w:rPr>
            </w:pPr>
          </w:p>
        </w:tc>
        <w:tc>
          <w:tcPr>
            <w:tcW w:w="2096" w:type="dxa"/>
            <w:noWrap w:val="0"/>
            <w:vAlign w:val="top"/>
          </w:tcPr>
          <w:p w14:paraId="27F907FB">
            <w:pPr>
              <w:pStyle w:val="20"/>
              <w:spacing w:line="440" w:lineRule="exact"/>
              <w:rPr>
                <w:rFonts w:hint="eastAsia" w:hAnsi="宋体" w:cs="宋体"/>
                <w:color w:val="auto"/>
                <w:highlight w:val="none"/>
              </w:rPr>
            </w:pPr>
          </w:p>
        </w:tc>
      </w:tr>
    </w:tbl>
    <w:p w14:paraId="6005DBD6">
      <w:pPr>
        <w:pStyle w:val="15"/>
        <w:spacing w:line="440" w:lineRule="exact"/>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23F36293">
      <w:pPr>
        <w:pStyle w:val="16"/>
        <w:spacing w:line="440" w:lineRule="exact"/>
        <w:ind w:firstLine="0"/>
        <w:contextualSpacing/>
        <w:rPr>
          <w:rFonts w:hint="eastAsia" w:hAnsi="宋体" w:cs="宋体"/>
          <w:color w:val="auto"/>
          <w:sz w:val="21"/>
          <w:szCs w:val="21"/>
          <w:highlight w:val="none"/>
        </w:rPr>
      </w:pPr>
      <w:r>
        <w:rPr>
          <w:rFonts w:hint="eastAsia" w:hAnsi="宋体" w:cs="宋体"/>
          <w:color w:val="auto"/>
          <w:sz w:val="21"/>
          <w:szCs w:val="21"/>
          <w:highlight w:val="none"/>
        </w:rPr>
        <w:t>1. 说明：应对照招标文件“第二章 采购需求”中的项目要求及技术需求逐条作明确的投标响应，并作出偏离说明。</w:t>
      </w:r>
    </w:p>
    <w:p w14:paraId="66D850E8">
      <w:pPr>
        <w:pStyle w:val="15"/>
        <w:spacing w:line="440" w:lineRule="exact"/>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2.投标人应根据自身的承诺，对照招标文件要求，在“偏离说明”中注明“正偏离”、“负偏离”或者“无偏离”。既不属于“正偏离”也不属于“负偏离”即为“无偏离”。</w:t>
      </w:r>
    </w:p>
    <w:p w14:paraId="5F3436F4">
      <w:pPr>
        <w:pStyle w:val="15"/>
        <w:spacing w:line="440" w:lineRule="exact"/>
        <w:contextualSpacing/>
        <w:rPr>
          <w:rFonts w:hint="eastAsia" w:ascii="宋体" w:hAnsi="宋体" w:cs="宋体"/>
          <w:color w:val="auto"/>
          <w:spacing w:val="20"/>
          <w:sz w:val="21"/>
          <w:szCs w:val="21"/>
          <w:highlight w:val="none"/>
        </w:rPr>
      </w:pPr>
    </w:p>
    <w:p w14:paraId="2A837B65">
      <w:pPr>
        <w:spacing w:line="440" w:lineRule="exact"/>
        <w:contextualSpacing/>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062EB9CC">
      <w:pPr>
        <w:spacing w:line="440" w:lineRule="exact"/>
        <w:contextualSpacing/>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4F696015">
      <w:pPr>
        <w:spacing w:line="440" w:lineRule="exact"/>
        <w:contextualSpacing/>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C857164">
      <w:pPr>
        <w:spacing w:line="360" w:lineRule="auto"/>
        <w:contextualSpacing/>
        <w:rPr>
          <w:rFonts w:hint="eastAsia" w:ascii="宋体" w:hAnsi="宋体" w:cs="宋体"/>
          <w:color w:val="auto"/>
          <w:sz w:val="24"/>
          <w:szCs w:val="20"/>
          <w:highlight w:val="none"/>
        </w:rPr>
      </w:pPr>
    </w:p>
    <w:p w14:paraId="05F00826">
      <w:pPr>
        <w:snapToGrid w:val="0"/>
        <w:spacing w:before="165"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2.项目实施人员一览表格式</w:t>
      </w:r>
    </w:p>
    <w:p w14:paraId="3323255A">
      <w:pPr>
        <w:snapToGrid w:val="0"/>
        <w:spacing w:before="165" w:beforeLines="50" w:after="50"/>
        <w:ind w:left="142"/>
        <w:jc w:val="left"/>
        <w:rPr>
          <w:rFonts w:hint="eastAsia" w:ascii="宋体" w:hAnsi="宋体" w:cs="宋体"/>
          <w:b/>
          <w:color w:val="auto"/>
          <w:sz w:val="24"/>
          <w:highlight w:val="none"/>
        </w:rPr>
      </w:pPr>
    </w:p>
    <w:p w14:paraId="5AC7968D">
      <w:pPr>
        <w:snapToGrid w:val="0"/>
        <w:spacing w:before="165" w:beforeLines="50" w:after="50"/>
        <w:ind w:left="14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项目实施人员一览表</w:t>
      </w:r>
    </w:p>
    <w:p w14:paraId="436521AB">
      <w:pPr>
        <w:pStyle w:val="20"/>
        <w:spacing w:line="440" w:lineRule="exact"/>
        <w:rPr>
          <w:rFonts w:hint="eastAsia" w:hAnsi="宋体" w:cs="宋体"/>
          <w:color w:val="auto"/>
          <w:highlight w:val="none"/>
        </w:rPr>
      </w:pPr>
      <w:r>
        <w:rPr>
          <w:rFonts w:hint="eastAsia" w:hAnsi="宋体" w:cs="宋体"/>
          <w:color w:val="auto"/>
          <w:highlight w:val="none"/>
        </w:rPr>
        <w:t>所投分标：</w:t>
      </w:r>
      <w:r>
        <w:rPr>
          <w:rFonts w:hint="eastAsia" w:hAnsi="宋体" w:cs="宋体"/>
          <w:color w:val="auto"/>
          <w:highlight w:val="none"/>
          <w:u w:val="single"/>
        </w:rPr>
        <w:t xml:space="preserve">     </w:t>
      </w:r>
      <w:r>
        <w:rPr>
          <w:rFonts w:hint="eastAsia" w:hAnsi="宋体" w:cs="宋体"/>
          <w:color w:val="auto"/>
          <w:highlight w:val="none"/>
        </w:rPr>
        <w:t>分标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77"/>
        <w:gridCol w:w="1865"/>
        <w:gridCol w:w="1557"/>
        <w:gridCol w:w="1862"/>
        <w:gridCol w:w="2394"/>
      </w:tblGrid>
      <w:tr w14:paraId="5CF4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0" w:hRule="atLeast"/>
        </w:trPr>
        <w:tc>
          <w:tcPr>
            <w:tcW w:w="896" w:type="dxa"/>
            <w:noWrap w:val="0"/>
            <w:vAlign w:val="center"/>
          </w:tcPr>
          <w:p w14:paraId="03391154">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77" w:type="dxa"/>
            <w:noWrap w:val="0"/>
            <w:vAlign w:val="center"/>
          </w:tcPr>
          <w:p w14:paraId="71CE9852">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865" w:type="dxa"/>
            <w:noWrap w:val="0"/>
            <w:vAlign w:val="center"/>
          </w:tcPr>
          <w:p w14:paraId="18C6AE40">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557" w:type="dxa"/>
            <w:noWrap w:val="0"/>
            <w:vAlign w:val="center"/>
          </w:tcPr>
          <w:p w14:paraId="51F6B1F7">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862" w:type="dxa"/>
            <w:noWrap w:val="0"/>
            <w:vAlign w:val="center"/>
          </w:tcPr>
          <w:p w14:paraId="6EB6F477">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7531EEE5">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2394" w:type="dxa"/>
            <w:noWrap w:val="0"/>
            <w:vAlign w:val="center"/>
          </w:tcPr>
          <w:p w14:paraId="286B0547">
            <w:pPr>
              <w:snapToGrid w:val="0"/>
              <w:spacing w:before="50" w:after="165"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7323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896" w:type="dxa"/>
            <w:noWrap w:val="0"/>
            <w:vAlign w:val="center"/>
          </w:tcPr>
          <w:p w14:paraId="5BFFD2D1">
            <w:pPr>
              <w:snapToGrid w:val="0"/>
              <w:spacing w:before="50" w:after="165" w:afterLines="50" w:line="440" w:lineRule="exact"/>
              <w:jc w:val="center"/>
              <w:rPr>
                <w:rFonts w:hint="eastAsia" w:ascii="宋体" w:hAnsi="宋体" w:cs="宋体"/>
                <w:color w:val="auto"/>
                <w:szCs w:val="21"/>
                <w:highlight w:val="none"/>
              </w:rPr>
            </w:pPr>
          </w:p>
        </w:tc>
        <w:tc>
          <w:tcPr>
            <w:tcW w:w="777" w:type="dxa"/>
            <w:noWrap w:val="0"/>
            <w:vAlign w:val="center"/>
          </w:tcPr>
          <w:p w14:paraId="646AD91F">
            <w:pPr>
              <w:snapToGrid w:val="0"/>
              <w:spacing w:before="50" w:after="165" w:afterLines="50" w:line="440" w:lineRule="exact"/>
              <w:jc w:val="center"/>
              <w:rPr>
                <w:rFonts w:hint="eastAsia" w:ascii="宋体" w:hAnsi="宋体" w:cs="宋体"/>
                <w:color w:val="auto"/>
                <w:szCs w:val="21"/>
                <w:highlight w:val="none"/>
              </w:rPr>
            </w:pPr>
          </w:p>
        </w:tc>
        <w:tc>
          <w:tcPr>
            <w:tcW w:w="1865" w:type="dxa"/>
            <w:noWrap w:val="0"/>
            <w:vAlign w:val="center"/>
          </w:tcPr>
          <w:p w14:paraId="79123833">
            <w:pPr>
              <w:snapToGrid w:val="0"/>
              <w:spacing w:before="50" w:after="165" w:afterLines="50" w:line="440" w:lineRule="exact"/>
              <w:jc w:val="center"/>
              <w:rPr>
                <w:rFonts w:hint="eastAsia" w:ascii="宋体" w:hAnsi="宋体" w:cs="宋体"/>
                <w:color w:val="auto"/>
                <w:szCs w:val="21"/>
                <w:highlight w:val="none"/>
              </w:rPr>
            </w:pPr>
          </w:p>
        </w:tc>
        <w:tc>
          <w:tcPr>
            <w:tcW w:w="1557" w:type="dxa"/>
            <w:noWrap w:val="0"/>
            <w:vAlign w:val="center"/>
          </w:tcPr>
          <w:p w14:paraId="14CC3DE7">
            <w:pPr>
              <w:snapToGrid w:val="0"/>
              <w:spacing w:before="50" w:after="165" w:afterLines="50" w:line="440" w:lineRule="exact"/>
              <w:jc w:val="center"/>
              <w:rPr>
                <w:rFonts w:hint="eastAsia" w:ascii="宋体" w:hAnsi="宋体" w:cs="宋体"/>
                <w:color w:val="auto"/>
                <w:szCs w:val="21"/>
                <w:highlight w:val="none"/>
              </w:rPr>
            </w:pPr>
          </w:p>
        </w:tc>
        <w:tc>
          <w:tcPr>
            <w:tcW w:w="1862" w:type="dxa"/>
            <w:noWrap w:val="0"/>
            <w:vAlign w:val="center"/>
          </w:tcPr>
          <w:p w14:paraId="528543DD">
            <w:pPr>
              <w:snapToGrid w:val="0"/>
              <w:spacing w:before="50" w:after="165" w:afterLines="50" w:line="440" w:lineRule="exact"/>
              <w:jc w:val="center"/>
              <w:rPr>
                <w:rFonts w:hint="eastAsia" w:ascii="宋体" w:hAnsi="宋体" w:cs="宋体"/>
                <w:color w:val="auto"/>
                <w:szCs w:val="21"/>
                <w:highlight w:val="none"/>
              </w:rPr>
            </w:pPr>
          </w:p>
        </w:tc>
        <w:tc>
          <w:tcPr>
            <w:tcW w:w="2394" w:type="dxa"/>
            <w:noWrap w:val="0"/>
            <w:vAlign w:val="center"/>
          </w:tcPr>
          <w:p w14:paraId="3D57A407">
            <w:pPr>
              <w:snapToGrid w:val="0"/>
              <w:spacing w:before="50" w:after="165" w:afterLines="50" w:line="440" w:lineRule="exact"/>
              <w:jc w:val="center"/>
              <w:rPr>
                <w:rFonts w:hint="eastAsia" w:ascii="宋体" w:hAnsi="宋体" w:cs="宋体"/>
                <w:color w:val="auto"/>
                <w:szCs w:val="21"/>
                <w:highlight w:val="none"/>
              </w:rPr>
            </w:pPr>
          </w:p>
        </w:tc>
      </w:tr>
      <w:tr w14:paraId="6F4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896" w:type="dxa"/>
            <w:noWrap w:val="0"/>
            <w:vAlign w:val="center"/>
          </w:tcPr>
          <w:p w14:paraId="1DB22AAA">
            <w:pPr>
              <w:snapToGrid w:val="0"/>
              <w:spacing w:before="50" w:after="165" w:afterLines="50" w:line="440" w:lineRule="exact"/>
              <w:jc w:val="center"/>
              <w:rPr>
                <w:rFonts w:hint="eastAsia" w:ascii="宋体" w:hAnsi="宋体" w:cs="宋体"/>
                <w:color w:val="auto"/>
                <w:szCs w:val="21"/>
                <w:highlight w:val="none"/>
              </w:rPr>
            </w:pPr>
          </w:p>
        </w:tc>
        <w:tc>
          <w:tcPr>
            <w:tcW w:w="777" w:type="dxa"/>
            <w:noWrap w:val="0"/>
            <w:vAlign w:val="center"/>
          </w:tcPr>
          <w:p w14:paraId="0FD112DE">
            <w:pPr>
              <w:snapToGrid w:val="0"/>
              <w:spacing w:before="50" w:after="165" w:afterLines="50" w:line="440" w:lineRule="exact"/>
              <w:jc w:val="center"/>
              <w:rPr>
                <w:rFonts w:hint="eastAsia" w:ascii="宋体" w:hAnsi="宋体" w:cs="宋体"/>
                <w:color w:val="auto"/>
                <w:szCs w:val="21"/>
                <w:highlight w:val="none"/>
              </w:rPr>
            </w:pPr>
          </w:p>
        </w:tc>
        <w:tc>
          <w:tcPr>
            <w:tcW w:w="1865" w:type="dxa"/>
            <w:noWrap w:val="0"/>
            <w:vAlign w:val="center"/>
          </w:tcPr>
          <w:p w14:paraId="384E2B8E">
            <w:pPr>
              <w:snapToGrid w:val="0"/>
              <w:spacing w:before="50" w:after="165" w:afterLines="50" w:line="440" w:lineRule="exact"/>
              <w:jc w:val="center"/>
              <w:rPr>
                <w:rFonts w:hint="eastAsia" w:ascii="宋体" w:hAnsi="宋体" w:cs="宋体"/>
                <w:color w:val="auto"/>
                <w:szCs w:val="21"/>
                <w:highlight w:val="none"/>
              </w:rPr>
            </w:pPr>
          </w:p>
        </w:tc>
        <w:tc>
          <w:tcPr>
            <w:tcW w:w="1557" w:type="dxa"/>
            <w:noWrap w:val="0"/>
            <w:vAlign w:val="center"/>
          </w:tcPr>
          <w:p w14:paraId="04929485">
            <w:pPr>
              <w:snapToGrid w:val="0"/>
              <w:spacing w:before="50" w:after="165" w:afterLines="50" w:line="440" w:lineRule="exact"/>
              <w:jc w:val="center"/>
              <w:rPr>
                <w:rFonts w:hint="eastAsia" w:ascii="宋体" w:hAnsi="宋体" w:cs="宋体"/>
                <w:color w:val="auto"/>
                <w:szCs w:val="21"/>
                <w:highlight w:val="none"/>
              </w:rPr>
            </w:pPr>
          </w:p>
        </w:tc>
        <w:tc>
          <w:tcPr>
            <w:tcW w:w="1862" w:type="dxa"/>
            <w:noWrap w:val="0"/>
            <w:vAlign w:val="center"/>
          </w:tcPr>
          <w:p w14:paraId="068E3854">
            <w:pPr>
              <w:snapToGrid w:val="0"/>
              <w:spacing w:before="50" w:after="165" w:afterLines="50" w:line="440" w:lineRule="exact"/>
              <w:jc w:val="center"/>
              <w:rPr>
                <w:rFonts w:hint="eastAsia" w:ascii="宋体" w:hAnsi="宋体" w:cs="宋体"/>
                <w:color w:val="auto"/>
                <w:szCs w:val="21"/>
                <w:highlight w:val="none"/>
              </w:rPr>
            </w:pPr>
          </w:p>
        </w:tc>
        <w:tc>
          <w:tcPr>
            <w:tcW w:w="2394" w:type="dxa"/>
            <w:noWrap w:val="0"/>
            <w:vAlign w:val="center"/>
          </w:tcPr>
          <w:p w14:paraId="2380BE9A">
            <w:pPr>
              <w:snapToGrid w:val="0"/>
              <w:spacing w:before="50" w:after="165" w:afterLines="50" w:line="440" w:lineRule="exact"/>
              <w:jc w:val="center"/>
              <w:rPr>
                <w:rFonts w:hint="eastAsia" w:ascii="宋体" w:hAnsi="宋体" w:cs="宋体"/>
                <w:color w:val="auto"/>
                <w:szCs w:val="21"/>
                <w:highlight w:val="none"/>
              </w:rPr>
            </w:pPr>
          </w:p>
        </w:tc>
      </w:tr>
      <w:tr w14:paraId="1687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trPr>
        <w:tc>
          <w:tcPr>
            <w:tcW w:w="896" w:type="dxa"/>
            <w:noWrap w:val="0"/>
            <w:vAlign w:val="center"/>
          </w:tcPr>
          <w:p w14:paraId="2BFB57A0">
            <w:pPr>
              <w:snapToGrid w:val="0"/>
              <w:spacing w:before="50" w:after="165" w:afterLines="50" w:line="440" w:lineRule="exact"/>
              <w:jc w:val="center"/>
              <w:rPr>
                <w:rFonts w:hint="eastAsia" w:ascii="宋体" w:hAnsi="宋体" w:cs="宋体"/>
                <w:color w:val="auto"/>
                <w:szCs w:val="21"/>
                <w:highlight w:val="none"/>
              </w:rPr>
            </w:pPr>
          </w:p>
        </w:tc>
        <w:tc>
          <w:tcPr>
            <w:tcW w:w="777" w:type="dxa"/>
            <w:noWrap w:val="0"/>
            <w:vAlign w:val="center"/>
          </w:tcPr>
          <w:p w14:paraId="58DBF871">
            <w:pPr>
              <w:snapToGrid w:val="0"/>
              <w:spacing w:before="50" w:after="165" w:afterLines="50" w:line="440" w:lineRule="exact"/>
              <w:jc w:val="center"/>
              <w:rPr>
                <w:rFonts w:hint="eastAsia" w:ascii="宋体" w:hAnsi="宋体" w:cs="宋体"/>
                <w:color w:val="auto"/>
                <w:szCs w:val="21"/>
                <w:highlight w:val="none"/>
              </w:rPr>
            </w:pPr>
          </w:p>
        </w:tc>
        <w:tc>
          <w:tcPr>
            <w:tcW w:w="1865" w:type="dxa"/>
            <w:noWrap w:val="0"/>
            <w:vAlign w:val="center"/>
          </w:tcPr>
          <w:p w14:paraId="4454CF72">
            <w:pPr>
              <w:snapToGrid w:val="0"/>
              <w:spacing w:before="50" w:after="165" w:afterLines="50" w:line="440" w:lineRule="exact"/>
              <w:jc w:val="center"/>
              <w:rPr>
                <w:rFonts w:hint="eastAsia" w:ascii="宋体" w:hAnsi="宋体" w:cs="宋体"/>
                <w:color w:val="auto"/>
                <w:szCs w:val="21"/>
                <w:highlight w:val="none"/>
              </w:rPr>
            </w:pPr>
          </w:p>
        </w:tc>
        <w:tc>
          <w:tcPr>
            <w:tcW w:w="1557" w:type="dxa"/>
            <w:noWrap w:val="0"/>
            <w:vAlign w:val="center"/>
          </w:tcPr>
          <w:p w14:paraId="4F1D4479">
            <w:pPr>
              <w:snapToGrid w:val="0"/>
              <w:spacing w:before="50" w:after="165" w:afterLines="50" w:line="440" w:lineRule="exact"/>
              <w:jc w:val="center"/>
              <w:rPr>
                <w:rFonts w:hint="eastAsia" w:ascii="宋体" w:hAnsi="宋体" w:cs="宋体"/>
                <w:color w:val="auto"/>
                <w:szCs w:val="21"/>
                <w:highlight w:val="none"/>
              </w:rPr>
            </w:pPr>
          </w:p>
        </w:tc>
        <w:tc>
          <w:tcPr>
            <w:tcW w:w="1862" w:type="dxa"/>
            <w:noWrap w:val="0"/>
            <w:vAlign w:val="center"/>
          </w:tcPr>
          <w:p w14:paraId="14512D34">
            <w:pPr>
              <w:snapToGrid w:val="0"/>
              <w:spacing w:before="50" w:after="165" w:afterLines="50" w:line="440" w:lineRule="exact"/>
              <w:jc w:val="center"/>
              <w:rPr>
                <w:rFonts w:hint="eastAsia" w:ascii="宋体" w:hAnsi="宋体" w:cs="宋体"/>
                <w:color w:val="auto"/>
                <w:szCs w:val="21"/>
                <w:highlight w:val="none"/>
              </w:rPr>
            </w:pPr>
          </w:p>
        </w:tc>
        <w:tc>
          <w:tcPr>
            <w:tcW w:w="2394" w:type="dxa"/>
            <w:noWrap w:val="0"/>
            <w:vAlign w:val="center"/>
          </w:tcPr>
          <w:p w14:paraId="585E10A8">
            <w:pPr>
              <w:snapToGrid w:val="0"/>
              <w:spacing w:before="50" w:after="165" w:afterLines="50" w:line="440" w:lineRule="exact"/>
              <w:jc w:val="center"/>
              <w:rPr>
                <w:rFonts w:hint="eastAsia" w:ascii="宋体" w:hAnsi="宋体" w:cs="宋体"/>
                <w:color w:val="auto"/>
                <w:szCs w:val="21"/>
                <w:highlight w:val="none"/>
              </w:rPr>
            </w:pPr>
          </w:p>
        </w:tc>
      </w:tr>
    </w:tbl>
    <w:p w14:paraId="4CE067FF">
      <w:pPr>
        <w:snapToGrid w:val="0"/>
        <w:spacing w:before="50" w:after="165" w:afterLines="50" w:line="440" w:lineRule="exact"/>
        <w:jc w:val="left"/>
        <w:rPr>
          <w:rFonts w:hint="eastAsia" w:ascii="宋体" w:hAnsi="宋体" w:cs="宋体"/>
          <w:color w:val="auto"/>
          <w:szCs w:val="21"/>
          <w:highlight w:val="none"/>
        </w:rPr>
      </w:pPr>
    </w:p>
    <w:p w14:paraId="244D1E94">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4D104A28">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0203AB62">
      <w:pPr>
        <w:spacing w:line="44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2.投标人应当附本表所列证书的复印件并加盖投标人电子签章。</w:t>
      </w:r>
    </w:p>
    <w:p w14:paraId="531B9441">
      <w:pPr>
        <w:wordWrap w:val="0"/>
        <w:spacing w:line="440" w:lineRule="exact"/>
        <w:contextualSpacing/>
        <w:jc w:val="left"/>
        <w:rPr>
          <w:rFonts w:hint="eastAsia" w:ascii="宋体" w:hAnsi="宋体" w:cs="宋体"/>
          <w:color w:val="auto"/>
          <w:szCs w:val="21"/>
          <w:highlight w:val="none"/>
        </w:rPr>
      </w:pPr>
    </w:p>
    <w:p w14:paraId="74D92F66">
      <w:pPr>
        <w:wordWrap w:val="0"/>
        <w:spacing w:line="440" w:lineRule="exact"/>
        <w:contextualSpacing/>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r>
        <w:rPr>
          <w:rFonts w:hint="eastAsia" w:ascii="宋体" w:hAnsi="宋体" w:cs="宋体"/>
          <w:color w:val="auto"/>
          <w:spacing w:val="20"/>
          <w:szCs w:val="21"/>
          <w:highlight w:val="none"/>
          <w:u w:val="single"/>
        </w:rPr>
        <w:t xml:space="preserve">        </w:t>
      </w:r>
    </w:p>
    <w:p w14:paraId="00071A0D">
      <w:pPr>
        <w:wordWrap w:val="0"/>
        <w:spacing w:line="440" w:lineRule="exact"/>
        <w:contextualSpacing/>
        <w:jc w:val="left"/>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r>
        <w:rPr>
          <w:rFonts w:hint="eastAsia" w:ascii="宋体" w:hAnsi="宋体" w:cs="宋体"/>
          <w:color w:val="auto"/>
          <w:spacing w:val="20"/>
          <w:szCs w:val="21"/>
          <w:highlight w:val="none"/>
          <w:u w:val="single"/>
        </w:rPr>
        <w:t xml:space="preserve">            </w:t>
      </w:r>
      <w:r>
        <w:rPr>
          <w:rFonts w:hint="eastAsia" w:ascii="宋体" w:hAnsi="宋体" w:cs="宋体"/>
          <w:color w:val="auto"/>
          <w:spacing w:val="20"/>
          <w:szCs w:val="21"/>
          <w:highlight w:val="none"/>
        </w:rPr>
        <w:t xml:space="preserve">              </w:t>
      </w:r>
    </w:p>
    <w:p w14:paraId="3B16620E">
      <w:pPr>
        <w:wordWrap w:val="0"/>
        <w:spacing w:line="440" w:lineRule="exact"/>
        <w:contextualSpacing/>
        <w:jc w:val="left"/>
        <w:rPr>
          <w:rFonts w:hint="eastAsia" w:ascii="宋体" w:hAnsi="宋体" w:cs="宋体"/>
          <w:color w:val="auto"/>
          <w:szCs w:val="21"/>
          <w:highlight w:val="none"/>
        </w:rPr>
      </w:pPr>
      <w:r>
        <w:rPr>
          <w:rFonts w:hint="eastAsia" w:ascii="宋体" w:hAnsi="宋体" w:cs="宋体"/>
          <w:color w:val="auto"/>
          <w:spacing w:val="20"/>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3D774BF">
      <w:pPr>
        <w:spacing w:line="360" w:lineRule="auto"/>
        <w:contextualSpacing/>
        <w:jc w:val="left"/>
        <w:rPr>
          <w:rFonts w:hint="eastAsia" w:ascii="宋体" w:hAnsi="宋体" w:cs="宋体"/>
          <w:color w:val="auto"/>
          <w:sz w:val="24"/>
          <w:szCs w:val="20"/>
          <w:highlight w:val="none"/>
        </w:rPr>
      </w:pPr>
    </w:p>
    <w:p w14:paraId="3557BE6D">
      <w:pPr>
        <w:snapToGrid w:val="0"/>
        <w:spacing w:before="50" w:after="165" w:afterLines="50"/>
        <w:jc w:val="left"/>
        <w:rPr>
          <w:rFonts w:hint="eastAsia" w:ascii="宋体" w:hAnsi="宋体" w:cs="宋体"/>
          <w:color w:val="auto"/>
          <w:sz w:val="24"/>
          <w:szCs w:val="20"/>
          <w:highlight w:val="none"/>
        </w:rPr>
      </w:pPr>
    </w:p>
    <w:p w14:paraId="71558852">
      <w:pPr>
        <w:snapToGrid w:val="0"/>
        <w:spacing w:before="165" w:beforeLines="50" w:after="50"/>
        <w:jc w:val="left"/>
        <w:rPr>
          <w:rFonts w:hint="eastAsia" w:ascii="宋体" w:hAnsi="宋体" w:cs="宋体"/>
          <w:color w:val="auto"/>
          <w:sz w:val="24"/>
          <w:szCs w:val="20"/>
          <w:highlight w:val="none"/>
        </w:rPr>
      </w:pPr>
    </w:p>
    <w:p w14:paraId="74423508">
      <w:pPr>
        <w:snapToGrid w:val="0"/>
        <w:spacing w:before="50" w:after="165" w:afterLines="50"/>
        <w:jc w:val="left"/>
        <w:rPr>
          <w:rFonts w:hint="eastAsia" w:ascii="宋体" w:hAnsi="宋体" w:cs="宋体"/>
          <w:color w:val="auto"/>
          <w:sz w:val="24"/>
          <w:szCs w:val="20"/>
          <w:highlight w:val="none"/>
        </w:rPr>
      </w:pPr>
    </w:p>
    <w:p w14:paraId="6C1DE426">
      <w:pPr>
        <w:rPr>
          <w:rFonts w:hint="eastAsia" w:ascii="宋体" w:hAnsi="宋体" w:cs="宋体"/>
          <w:b/>
          <w:color w:val="auto"/>
          <w:sz w:val="28"/>
          <w:szCs w:val="28"/>
          <w:highlight w:val="none"/>
        </w:rPr>
      </w:pPr>
      <w:r>
        <w:rPr>
          <w:rFonts w:hint="eastAsia" w:ascii="宋体" w:hAnsi="宋体" w:cs="宋体"/>
          <w:b/>
          <w:bCs/>
          <w:color w:val="auto"/>
          <w:sz w:val="24"/>
          <w:highlight w:val="none"/>
        </w:rPr>
        <w:br w:type="page"/>
      </w:r>
      <w:bookmarkStart w:id="267" w:name="_Toc19686840"/>
      <w:r>
        <w:rPr>
          <w:rFonts w:hint="eastAsia" w:ascii="宋体" w:hAnsi="宋体" w:cs="宋体"/>
          <w:b/>
          <w:color w:val="auto"/>
          <w:sz w:val="28"/>
          <w:szCs w:val="28"/>
          <w:highlight w:val="none"/>
        </w:rPr>
        <w:t>四、其他文书、文件格式</w:t>
      </w:r>
      <w:bookmarkEnd w:id="267"/>
    </w:p>
    <w:p w14:paraId="4FA465FD">
      <w:pPr>
        <w:spacing w:line="360" w:lineRule="auto"/>
        <w:jc w:val="left"/>
        <w:rPr>
          <w:rFonts w:hint="eastAsia" w:ascii="宋体" w:hAnsi="宋体" w:cs="宋体"/>
          <w:b/>
          <w:bCs/>
          <w:color w:val="auto"/>
          <w:sz w:val="32"/>
          <w:szCs w:val="32"/>
          <w:highlight w:val="none"/>
        </w:rPr>
      </w:pPr>
      <w:r>
        <w:rPr>
          <w:rFonts w:hint="eastAsia" w:ascii="宋体" w:hAnsi="宋体" w:cs="宋体"/>
          <w:b/>
          <w:color w:val="auto"/>
          <w:sz w:val="24"/>
          <w:highlight w:val="none"/>
        </w:rPr>
        <w:t>1.质疑函（格式）</w:t>
      </w:r>
    </w:p>
    <w:p w14:paraId="423C6E38">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质疑函（格式）</w:t>
      </w:r>
    </w:p>
    <w:p w14:paraId="3FF89105">
      <w:pPr>
        <w:pStyle w:val="20"/>
        <w:snapToGrid w:val="0"/>
        <w:spacing w:line="440" w:lineRule="exact"/>
        <w:ind w:firstLine="420" w:firstLineChars="200"/>
        <w:rPr>
          <w:rFonts w:hint="eastAsia" w:hAnsi="宋体" w:cs="宋体"/>
          <w:b/>
          <w:bCs/>
          <w:color w:val="auto"/>
          <w:highlight w:val="none"/>
        </w:rPr>
      </w:pPr>
      <w:r>
        <w:rPr>
          <w:rFonts w:hint="eastAsia" w:hAnsi="宋体" w:cs="宋体"/>
          <w:b/>
          <w:bCs/>
          <w:color w:val="auto"/>
          <w:highlight w:val="none"/>
        </w:rPr>
        <w:t>一、质疑供应商基本信息：</w:t>
      </w:r>
    </w:p>
    <w:p w14:paraId="66C14208">
      <w:pPr>
        <w:pStyle w:val="20"/>
        <w:snapToGrid w:val="0"/>
        <w:spacing w:line="440" w:lineRule="exact"/>
        <w:ind w:firstLine="420" w:firstLineChars="200"/>
        <w:rPr>
          <w:rFonts w:hint="eastAsia"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F6A0E3E">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43B1B9B1">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31CF174C">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5D5FAFBD">
      <w:pPr>
        <w:pStyle w:val="20"/>
        <w:snapToGrid w:val="0"/>
        <w:spacing w:line="440" w:lineRule="exact"/>
        <w:ind w:firstLine="420" w:firstLineChars="200"/>
        <w:rPr>
          <w:rFonts w:hint="eastAsia"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45A5D739">
      <w:pPr>
        <w:pStyle w:val="20"/>
        <w:snapToGrid w:val="0"/>
        <w:spacing w:line="440" w:lineRule="exact"/>
        <w:ind w:firstLine="420" w:firstLineChars="200"/>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B23E3BC">
      <w:pPr>
        <w:pStyle w:val="20"/>
        <w:snapToGrid w:val="0"/>
        <w:spacing w:line="440" w:lineRule="exact"/>
        <w:ind w:firstLine="420" w:firstLineChars="200"/>
        <w:rPr>
          <w:rFonts w:hint="eastAsia" w:hAnsi="宋体" w:cs="宋体"/>
          <w:b/>
          <w:bCs/>
          <w:color w:val="auto"/>
          <w:highlight w:val="none"/>
        </w:rPr>
      </w:pPr>
      <w:r>
        <w:rPr>
          <w:rFonts w:hint="eastAsia" w:hAnsi="宋体" w:cs="宋体"/>
          <w:b/>
          <w:bCs/>
          <w:color w:val="auto"/>
          <w:highlight w:val="none"/>
        </w:rPr>
        <w:t>二、质疑项目基本情况：</w:t>
      </w:r>
    </w:p>
    <w:p w14:paraId="0D4A20D7">
      <w:pPr>
        <w:pStyle w:val="20"/>
        <w:spacing w:line="440" w:lineRule="exact"/>
        <w:ind w:left="25" w:leftChars="12" w:firstLine="413" w:firstLineChars="197"/>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项目的名称：</w:t>
      </w:r>
      <w:r>
        <w:rPr>
          <w:rFonts w:hint="eastAsia" w:hAnsi="宋体" w:cs="宋体"/>
          <w:bCs/>
          <w:color w:val="auto"/>
          <w:highlight w:val="none"/>
          <w:u w:val="single"/>
        </w:rPr>
        <w:t xml:space="preserve">                                     </w:t>
      </w:r>
    </w:p>
    <w:p w14:paraId="0C2653A0">
      <w:pPr>
        <w:pStyle w:val="20"/>
        <w:spacing w:line="440" w:lineRule="exact"/>
        <w:ind w:left="25" w:leftChars="12" w:firstLine="413" w:firstLineChars="197"/>
        <w:rPr>
          <w:rFonts w:hint="eastAsia" w:hAnsi="宋体" w:cs="宋体"/>
          <w:color w:val="auto"/>
          <w:highlight w:val="none"/>
        </w:rPr>
      </w:pPr>
      <w:r>
        <w:rPr>
          <w:rFonts w:hint="eastAsia" w:hAnsi="宋体" w:cs="宋体"/>
          <w:bCs/>
          <w:color w:val="auto"/>
          <w:highlight w:val="none"/>
        </w:rPr>
        <w:t>质疑</w:t>
      </w:r>
      <w:r>
        <w:rPr>
          <w:rFonts w:hint="eastAsia" w:hAnsi="宋体" w:cs="宋体"/>
          <w:color w:val="auto"/>
          <w:highlight w:val="none"/>
        </w:rPr>
        <w:t>项目的编号：</w:t>
      </w:r>
      <w:r>
        <w:rPr>
          <w:rFonts w:hint="eastAsia" w:hAnsi="宋体" w:cs="宋体"/>
          <w:bCs/>
          <w:color w:val="auto"/>
          <w:highlight w:val="none"/>
          <w:u w:val="single"/>
        </w:rPr>
        <w:t xml:space="preserve">                                     </w:t>
      </w:r>
    </w:p>
    <w:p w14:paraId="7F8321A8">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752A285C">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质疑事项：</w:t>
      </w:r>
    </w:p>
    <w:p w14:paraId="385EBCBD">
      <w:pPr>
        <w:pStyle w:val="20"/>
        <w:spacing w:line="440" w:lineRule="exact"/>
        <w:ind w:left="25" w:leftChars="12" w:firstLine="308" w:firstLineChars="147"/>
        <w:rPr>
          <w:rFonts w:hint="eastAsia" w:hAnsi="宋体" w:cs="宋体"/>
          <w:color w:val="auto"/>
          <w:highlight w:val="none"/>
        </w:rPr>
      </w:pPr>
      <w:r>
        <w:rPr>
          <w:rFonts w:hint="eastAsia" w:hAnsi="宋体" w:cs="宋体"/>
          <w:color w:val="auto"/>
          <w:highlight w:val="none"/>
        </w:rPr>
        <w:t>□招标文件   招标文件获取日期：</w:t>
      </w:r>
      <w:r>
        <w:rPr>
          <w:rFonts w:hint="eastAsia" w:hAnsi="宋体" w:cs="宋体"/>
          <w:bCs/>
          <w:color w:val="auto"/>
          <w:highlight w:val="none"/>
          <w:u w:val="single"/>
        </w:rPr>
        <w:t xml:space="preserve">                                   </w:t>
      </w:r>
    </w:p>
    <w:p w14:paraId="4A179DCF">
      <w:pPr>
        <w:pStyle w:val="20"/>
        <w:spacing w:line="440" w:lineRule="exact"/>
        <w:ind w:left="25" w:leftChars="12" w:firstLine="308" w:firstLineChars="147"/>
        <w:rPr>
          <w:rFonts w:hint="eastAsia" w:hAnsi="宋体" w:cs="宋体"/>
          <w:color w:val="auto"/>
          <w:highlight w:val="none"/>
        </w:rPr>
      </w:pPr>
      <w:r>
        <w:rPr>
          <w:rFonts w:hint="eastAsia" w:hAnsi="宋体" w:cs="宋体"/>
          <w:color w:val="auto"/>
          <w:highlight w:val="none"/>
        </w:rPr>
        <w:t xml:space="preserve">□招标过程   </w:t>
      </w:r>
    </w:p>
    <w:p w14:paraId="3E817849">
      <w:pPr>
        <w:pStyle w:val="20"/>
        <w:spacing w:line="440" w:lineRule="exact"/>
        <w:ind w:left="25" w:leftChars="12" w:firstLine="308" w:firstLineChars="147"/>
        <w:rPr>
          <w:rFonts w:hint="eastAsia" w:hAnsi="宋体" w:cs="宋体"/>
          <w:bCs/>
          <w:color w:val="auto"/>
          <w:highlight w:val="none"/>
          <w:u w:val="single"/>
        </w:rPr>
      </w:pPr>
      <w:r>
        <w:rPr>
          <w:rFonts w:hint="eastAsia" w:hAnsi="宋体" w:cs="宋体"/>
          <w:color w:val="auto"/>
          <w:highlight w:val="none"/>
        </w:rPr>
        <w:t xml:space="preserve">□招标结果   </w:t>
      </w:r>
    </w:p>
    <w:p w14:paraId="3C43901B">
      <w:pPr>
        <w:pStyle w:val="20"/>
        <w:spacing w:line="440" w:lineRule="exact"/>
        <w:ind w:left="25" w:leftChars="12" w:firstLine="412" w:firstLineChars="196"/>
        <w:rPr>
          <w:rFonts w:hint="eastAsia" w:hAnsi="宋体" w:cs="宋体"/>
          <w:b/>
          <w:color w:val="auto"/>
          <w:highlight w:val="none"/>
        </w:rPr>
      </w:pPr>
      <w:r>
        <w:rPr>
          <w:rFonts w:hint="eastAsia" w:hAnsi="宋体" w:cs="宋体"/>
          <w:b/>
          <w:color w:val="auto"/>
          <w:highlight w:val="none"/>
        </w:rPr>
        <w:t>三、质疑事项具体内容</w:t>
      </w:r>
    </w:p>
    <w:p w14:paraId="33DB0C48">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质疑事项1：</w:t>
      </w:r>
      <w:r>
        <w:rPr>
          <w:rFonts w:hint="eastAsia" w:hAnsi="宋体" w:cs="宋体"/>
          <w:bCs/>
          <w:color w:val="auto"/>
          <w:highlight w:val="none"/>
          <w:u w:val="single"/>
        </w:rPr>
        <w:t xml:space="preserve">                                                                    </w:t>
      </w:r>
    </w:p>
    <w:p w14:paraId="699FE60E">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事实依据：</w:t>
      </w:r>
      <w:r>
        <w:rPr>
          <w:rFonts w:hint="eastAsia" w:hAnsi="宋体" w:cs="宋体"/>
          <w:bCs/>
          <w:color w:val="auto"/>
          <w:highlight w:val="none"/>
          <w:u w:val="single"/>
        </w:rPr>
        <w:t xml:space="preserve">                                                                      </w:t>
      </w:r>
    </w:p>
    <w:p w14:paraId="56BD9CD7">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法律依据：</w:t>
      </w:r>
      <w:r>
        <w:rPr>
          <w:rFonts w:hint="eastAsia" w:hAnsi="宋体" w:cs="宋体"/>
          <w:color w:val="auto"/>
          <w:highlight w:val="none"/>
          <w:u w:val="single"/>
        </w:rPr>
        <w:t xml:space="preserve">                                                        </w:t>
      </w:r>
      <w:r>
        <w:rPr>
          <w:rFonts w:hint="eastAsia" w:hAnsi="宋体" w:cs="宋体"/>
          <w:bCs/>
          <w:color w:val="auto"/>
          <w:highlight w:val="none"/>
          <w:u w:val="single"/>
        </w:rPr>
        <w:t xml:space="preserve">               </w:t>
      </w:r>
    </w:p>
    <w:p w14:paraId="31901DF1">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质疑事项2</w:t>
      </w:r>
    </w:p>
    <w:p w14:paraId="7E9CCB0A">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w:t>
      </w:r>
    </w:p>
    <w:p w14:paraId="68E3A635">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四、与质疑事项相关的质疑请求：</w:t>
      </w:r>
    </w:p>
    <w:p w14:paraId="344D3E2A">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67247039">
      <w:pPr>
        <w:pStyle w:val="20"/>
        <w:spacing w:line="440" w:lineRule="exact"/>
        <w:ind w:left="25" w:leftChars="12" w:firstLine="308" w:firstLineChars="147"/>
        <w:rPr>
          <w:rFonts w:hint="eastAsia" w:hAnsi="宋体" w:cs="宋体"/>
          <w:color w:val="auto"/>
          <w:highlight w:val="none"/>
        </w:rPr>
      </w:pPr>
    </w:p>
    <w:p w14:paraId="3A02D830">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签字（签章）：                                       公章：</w:t>
      </w:r>
    </w:p>
    <w:p w14:paraId="2956C2A6">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日期：</w:t>
      </w:r>
    </w:p>
    <w:p w14:paraId="06EBB02C">
      <w:pPr>
        <w:pStyle w:val="20"/>
        <w:snapToGrid w:val="0"/>
        <w:spacing w:line="440" w:lineRule="exact"/>
        <w:rPr>
          <w:rFonts w:hint="eastAsia" w:hAnsi="宋体" w:cs="宋体"/>
          <w:b/>
          <w:color w:val="auto"/>
          <w:highlight w:val="none"/>
        </w:rPr>
      </w:pPr>
      <w:r>
        <w:rPr>
          <w:rFonts w:hint="eastAsia" w:hAnsi="宋体" w:cs="宋体"/>
          <w:b/>
          <w:color w:val="auto"/>
          <w:highlight w:val="none"/>
        </w:rPr>
        <w:t>说明：</w:t>
      </w:r>
    </w:p>
    <w:p w14:paraId="684A1C02">
      <w:pPr>
        <w:pStyle w:val="20"/>
        <w:spacing w:line="440" w:lineRule="exact"/>
        <w:ind w:left="25" w:leftChars="12" w:firstLine="309" w:firstLineChars="147"/>
        <w:rPr>
          <w:rFonts w:hint="eastAsia" w:hAnsi="宋体" w:cs="宋体"/>
          <w:b/>
          <w:bCs/>
          <w:color w:val="auto"/>
          <w:highlight w:val="none"/>
        </w:rPr>
      </w:pPr>
      <w:r>
        <w:rPr>
          <w:rFonts w:hint="eastAsia" w:hAnsi="宋体" w:cs="宋体"/>
          <w:b/>
          <w:color w:val="auto"/>
          <w:highlight w:val="none"/>
        </w:rPr>
        <w:t>1.供应商提出质疑时，应提交质疑函和必要的证明材料</w:t>
      </w:r>
      <w:r>
        <w:rPr>
          <w:rFonts w:hint="eastAsia" w:hAnsi="宋体" w:cs="宋体"/>
          <w:b/>
          <w:bCs/>
          <w:color w:val="auto"/>
          <w:highlight w:val="none"/>
        </w:rPr>
        <w:t>。</w:t>
      </w:r>
    </w:p>
    <w:p w14:paraId="5B08C9F4">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1465DF">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3.质疑函的质疑事项应具体、明确，并有必要的事实依据和法律依据。</w:t>
      </w:r>
    </w:p>
    <w:p w14:paraId="2E281450">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4.质疑函的质疑请求应与质疑事项相关。</w:t>
      </w:r>
    </w:p>
    <w:p w14:paraId="286955F5">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5.质疑供应商为法人或者其他组织的，质疑函应由法定代表人、主要负责人，或者其授权代表签字或者盖章，并加盖公章。</w:t>
      </w:r>
    </w:p>
    <w:p w14:paraId="3F8B72D8">
      <w:pPr>
        <w:spacing w:line="460" w:lineRule="exact"/>
        <w:rPr>
          <w:rFonts w:hint="eastAsia" w:ascii="宋体" w:hAnsi="宋体" w:cs="宋体"/>
          <w:color w:val="auto"/>
          <w:sz w:val="44"/>
          <w:highlight w:val="none"/>
        </w:rPr>
      </w:pPr>
    </w:p>
    <w:p w14:paraId="3E1C6DD1">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2.投诉书（格式）</w:t>
      </w:r>
    </w:p>
    <w:p w14:paraId="4E063D3B">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投诉书（格式）</w:t>
      </w:r>
    </w:p>
    <w:p w14:paraId="0BFD3FB0">
      <w:pPr>
        <w:pStyle w:val="20"/>
        <w:snapToGrid w:val="0"/>
        <w:spacing w:line="440" w:lineRule="exact"/>
        <w:ind w:firstLine="420" w:firstLineChars="200"/>
        <w:rPr>
          <w:rFonts w:hint="eastAsia" w:hAnsi="宋体" w:cs="宋体"/>
          <w:b/>
          <w:bCs/>
          <w:color w:val="auto"/>
          <w:highlight w:val="none"/>
        </w:rPr>
      </w:pPr>
      <w:r>
        <w:rPr>
          <w:rFonts w:hint="eastAsia" w:hAnsi="宋体" w:cs="宋体"/>
          <w:b/>
          <w:bCs/>
          <w:color w:val="auto"/>
          <w:highlight w:val="none"/>
        </w:rPr>
        <w:t>一、投诉相关主体基本情况：</w:t>
      </w:r>
    </w:p>
    <w:p w14:paraId="4289A3EF">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投标人：</w:t>
      </w:r>
      <w:r>
        <w:rPr>
          <w:rFonts w:hint="eastAsia" w:hAnsi="宋体" w:cs="宋体"/>
          <w:bCs/>
          <w:color w:val="auto"/>
          <w:highlight w:val="none"/>
          <w:u w:val="single"/>
        </w:rPr>
        <w:t xml:space="preserve">                                                                        </w:t>
      </w:r>
    </w:p>
    <w:p w14:paraId="2658DC73">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70CC3310">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59C8DF74">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06D0E25F">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70278B55">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56C02ED2">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9BCD232">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被投诉人1：</w:t>
      </w:r>
    </w:p>
    <w:p w14:paraId="44211518">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p>
    <w:p w14:paraId="1A30CB91">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FAF29DC">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AF1B5E5">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被投诉人2：</w:t>
      </w:r>
    </w:p>
    <w:p w14:paraId="3C5E1A5F">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w:t>
      </w:r>
    </w:p>
    <w:p w14:paraId="39721928">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00023517">
      <w:pPr>
        <w:pStyle w:val="20"/>
        <w:snapToGrid w:val="0"/>
        <w:spacing w:line="440" w:lineRule="exact"/>
        <w:ind w:firstLine="420" w:firstLineChars="200"/>
        <w:jc w:val="left"/>
        <w:rPr>
          <w:rFonts w:hint="eastAsia"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7529605F">
      <w:pPr>
        <w:pStyle w:val="20"/>
        <w:snapToGrid w:val="0"/>
        <w:spacing w:line="440" w:lineRule="exact"/>
        <w:ind w:firstLine="420" w:firstLineChars="200"/>
        <w:jc w:val="left"/>
        <w:rPr>
          <w:rFonts w:hint="eastAsia"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37A1A0A1">
      <w:pPr>
        <w:pStyle w:val="20"/>
        <w:snapToGrid w:val="0"/>
        <w:spacing w:line="440" w:lineRule="exact"/>
        <w:ind w:firstLine="420" w:firstLineChars="200"/>
        <w:rPr>
          <w:rFonts w:hint="eastAsia" w:hAnsi="宋体" w:cs="宋体"/>
          <w:b/>
          <w:bCs/>
          <w:color w:val="auto"/>
          <w:highlight w:val="none"/>
        </w:rPr>
      </w:pPr>
      <w:r>
        <w:rPr>
          <w:rFonts w:hint="eastAsia" w:hAnsi="宋体" w:cs="宋体"/>
          <w:b/>
          <w:bCs/>
          <w:color w:val="auto"/>
          <w:highlight w:val="none"/>
        </w:rPr>
        <w:t>二、投诉项目基本情况：</w:t>
      </w:r>
    </w:p>
    <w:p w14:paraId="01670763">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招标项目的名称：</w:t>
      </w:r>
      <w:r>
        <w:rPr>
          <w:rFonts w:hint="eastAsia" w:hAnsi="宋体" w:cs="宋体"/>
          <w:bCs/>
          <w:color w:val="auto"/>
          <w:highlight w:val="none"/>
          <w:u w:val="single"/>
        </w:rPr>
        <w:t xml:space="preserve">                                                                   </w:t>
      </w:r>
    </w:p>
    <w:p w14:paraId="7C68FC3B">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招标项目的编号：</w:t>
      </w:r>
      <w:r>
        <w:rPr>
          <w:rFonts w:hint="eastAsia" w:hAnsi="宋体" w:cs="宋体"/>
          <w:bCs/>
          <w:color w:val="auto"/>
          <w:highlight w:val="none"/>
          <w:u w:val="single"/>
        </w:rPr>
        <w:t xml:space="preserve">                                          </w:t>
      </w:r>
    </w:p>
    <w:p w14:paraId="749CEF3A">
      <w:pPr>
        <w:pStyle w:val="20"/>
        <w:spacing w:line="440" w:lineRule="exact"/>
        <w:ind w:left="25" w:leftChars="12" w:firstLine="413" w:firstLineChars="197"/>
        <w:rPr>
          <w:rFonts w:hint="eastAsia" w:hAnsi="宋体" w:cs="宋体"/>
          <w:bCs/>
          <w:color w:val="auto"/>
          <w:highlight w:val="none"/>
          <w:u w:val="single"/>
        </w:rPr>
      </w:pPr>
      <w:r>
        <w:rPr>
          <w:rFonts w:hint="eastAsia" w:hAnsi="宋体" w:cs="宋体"/>
          <w:color w:val="auto"/>
          <w:highlight w:val="none"/>
        </w:rPr>
        <w:t>采购人名称：</w:t>
      </w:r>
      <w:r>
        <w:rPr>
          <w:rFonts w:hint="eastAsia" w:hAnsi="宋体" w:cs="宋体"/>
          <w:bCs/>
          <w:color w:val="auto"/>
          <w:highlight w:val="none"/>
          <w:u w:val="single"/>
        </w:rPr>
        <w:t xml:space="preserve">                                                                        </w:t>
      </w:r>
    </w:p>
    <w:p w14:paraId="693E263F">
      <w:pPr>
        <w:pStyle w:val="20"/>
        <w:spacing w:line="440" w:lineRule="exact"/>
        <w:ind w:left="25" w:leftChars="12" w:firstLine="413" w:firstLineChars="197"/>
        <w:rPr>
          <w:rFonts w:hint="eastAsia" w:hAnsi="宋体" w:cs="宋体"/>
          <w:bCs/>
          <w:color w:val="auto"/>
          <w:highlight w:val="none"/>
          <w:u w:val="single"/>
        </w:rPr>
      </w:pPr>
      <w:r>
        <w:rPr>
          <w:rFonts w:hint="eastAsia" w:hAnsi="宋体" w:cs="宋体"/>
          <w:color w:val="auto"/>
          <w:highlight w:val="none"/>
        </w:rPr>
        <w:t>代理机构名称：</w:t>
      </w:r>
      <w:r>
        <w:rPr>
          <w:rFonts w:hint="eastAsia" w:hAnsi="宋体" w:cs="宋体"/>
          <w:bCs/>
          <w:color w:val="auto"/>
          <w:highlight w:val="none"/>
          <w:u w:val="single"/>
        </w:rPr>
        <w:t xml:space="preserve">                                                                      </w:t>
      </w:r>
    </w:p>
    <w:p w14:paraId="126FC104">
      <w:pPr>
        <w:pStyle w:val="20"/>
        <w:spacing w:line="440" w:lineRule="exact"/>
        <w:ind w:left="25" w:leftChars="12" w:firstLine="413" w:firstLineChars="197"/>
        <w:rPr>
          <w:rFonts w:hint="eastAsia" w:hAnsi="宋体" w:cs="宋体"/>
          <w:bCs/>
          <w:color w:val="auto"/>
          <w:highlight w:val="none"/>
          <w:u w:val="single"/>
        </w:rPr>
      </w:pPr>
      <w:r>
        <w:rPr>
          <w:rFonts w:hint="eastAsia" w:hAnsi="宋体" w:cs="宋体"/>
          <w:color w:val="auto"/>
          <w:highlight w:val="none"/>
        </w:rPr>
        <w:t>招标</w:t>
      </w:r>
      <w:r>
        <w:rPr>
          <w:rFonts w:hint="eastAsia" w:hAnsi="宋体" w:cs="宋体"/>
          <w:bCs/>
          <w:color w:val="auto"/>
          <w:highlight w:val="none"/>
        </w:rPr>
        <w:t>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7CFC08A2">
      <w:pPr>
        <w:pStyle w:val="20"/>
        <w:spacing w:line="440" w:lineRule="exact"/>
        <w:ind w:left="25" w:leftChars="12" w:firstLine="413" w:firstLineChars="197"/>
        <w:rPr>
          <w:rFonts w:hint="eastAsia" w:hAnsi="宋体" w:cs="宋体"/>
          <w:b/>
          <w:color w:val="auto"/>
          <w:highlight w:val="none"/>
        </w:rPr>
      </w:pPr>
      <w:r>
        <w:rPr>
          <w:rFonts w:hint="eastAsia" w:hAnsi="宋体" w:cs="宋体"/>
          <w:color w:val="auto"/>
          <w:highlight w:val="none"/>
        </w:rPr>
        <w:t>招标</w:t>
      </w:r>
      <w:r>
        <w:rPr>
          <w:rFonts w:hint="eastAsia" w:hAnsi="宋体" w:cs="宋体"/>
          <w:bCs/>
          <w:color w:val="auto"/>
          <w:highlight w:val="none"/>
        </w:rPr>
        <w:t>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4859AB44">
      <w:pPr>
        <w:pStyle w:val="20"/>
        <w:spacing w:line="440" w:lineRule="exact"/>
        <w:ind w:left="25" w:leftChars="12" w:firstLine="412" w:firstLineChars="196"/>
        <w:rPr>
          <w:rFonts w:hint="eastAsia" w:hAnsi="宋体" w:cs="宋体"/>
          <w:b/>
          <w:color w:val="auto"/>
          <w:highlight w:val="none"/>
        </w:rPr>
      </w:pPr>
      <w:r>
        <w:rPr>
          <w:rFonts w:hint="eastAsia" w:hAnsi="宋体" w:cs="宋体"/>
          <w:b/>
          <w:color w:val="auto"/>
          <w:highlight w:val="none"/>
        </w:rPr>
        <w:t>三、质疑基本情况</w:t>
      </w:r>
    </w:p>
    <w:p w14:paraId="652A4A29">
      <w:pPr>
        <w:pStyle w:val="20"/>
        <w:spacing w:line="440" w:lineRule="exact"/>
        <w:ind w:left="25" w:leftChars="12" w:firstLine="420" w:firstLineChars="200"/>
        <w:rPr>
          <w:rFonts w:hint="eastAsia" w:hAnsi="宋体" w:cs="宋体"/>
          <w:color w:val="auto"/>
          <w:highlight w:val="none"/>
        </w:rPr>
      </w:pPr>
      <w:r>
        <w:rPr>
          <w:rFonts w:hint="eastAsia" w:hAnsi="宋体" w:cs="宋体"/>
          <w:color w:val="auto"/>
          <w:highlight w:val="none"/>
        </w:rPr>
        <w:t>投诉人于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日，向</w:t>
      </w:r>
      <w:r>
        <w:rPr>
          <w:rFonts w:hint="eastAsia" w:hAnsi="宋体" w:cs="宋体"/>
          <w:color w:val="auto"/>
          <w:highlight w:val="none"/>
          <w:u w:val="single"/>
        </w:rPr>
        <w:t xml:space="preserve">                                </w:t>
      </w:r>
      <w:r>
        <w:rPr>
          <w:rFonts w:hint="eastAsia" w:hAnsi="宋体" w:cs="宋体"/>
          <w:color w:val="auto"/>
          <w:highlight w:val="none"/>
        </w:rPr>
        <w:t>提出质疑，质疑事项为：</w:t>
      </w:r>
    </w:p>
    <w:p w14:paraId="0D7DB11E">
      <w:pPr>
        <w:pStyle w:val="20"/>
        <w:spacing w:line="440" w:lineRule="exact"/>
        <w:ind w:firstLine="241"/>
        <w:rPr>
          <w:rFonts w:hint="eastAsia" w:hAnsi="宋体" w:cs="宋体"/>
          <w:bCs/>
          <w:color w:val="auto"/>
          <w:highlight w:val="none"/>
          <w:u w:val="single"/>
        </w:rPr>
      </w:pPr>
      <w:r>
        <w:rPr>
          <w:rFonts w:hint="eastAsia" w:hAnsi="宋体" w:cs="宋体"/>
          <w:color w:val="auto"/>
          <w:highlight w:val="none"/>
        </w:rPr>
        <w:t xml:space="preserve">    </w:t>
      </w:r>
      <w:r>
        <w:rPr>
          <w:rFonts w:hint="eastAsia" w:hAnsi="宋体" w:cs="宋体"/>
          <w:bCs/>
          <w:color w:val="auto"/>
          <w:highlight w:val="none"/>
          <w:u w:val="single"/>
        </w:rPr>
        <w:t xml:space="preserve">                                                                                      </w:t>
      </w:r>
    </w:p>
    <w:p w14:paraId="3D554C27">
      <w:pPr>
        <w:pStyle w:val="20"/>
        <w:spacing w:line="440" w:lineRule="exact"/>
        <w:ind w:firstLine="241"/>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26C57DA8">
      <w:pPr>
        <w:pStyle w:val="20"/>
        <w:spacing w:line="440" w:lineRule="exact"/>
        <w:ind w:firstLine="420" w:firstLineChars="200"/>
        <w:rPr>
          <w:rFonts w:hint="eastAsia" w:hAnsi="宋体" w:cs="宋体"/>
          <w:color w:val="auto"/>
          <w:highlight w:val="none"/>
        </w:rPr>
      </w:pP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r>
        <w:rPr>
          <w:rFonts w:hint="eastAsia" w:hAnsi="宋体" w:cs="宋体"/>
          <w:bCs/>
          <w:color w:val="auto"/>
          <w:highlight w:val="none"/>
        </w:rPr>
        <w:t xml:space="preserve">就质疑事项作出了答复/没有在法定期限内作出答复。                                                                                             </w:t>
      </w:r>
    </w:p>
    <w:p w14:paraId="08612839">
      <w:pPr>
        <w:pStyle w:val="20"/>
        <w:spacing w:line="440" w:lineRule="exact"/>
        <w:ind w:left="25" w:leftChars="12" w:firstLine="412" w:firstLineChars="196"/>
        <w:rPr>
          <w:rFonts w:hint="eastAsia" w:hAnsi="宋体" w:cs="宋体"/>
          <w:b/>
          <w:color w:val="auto"/>
          <w:highlight w:val="none"/>
        </w:rPr>
      </w:pPr>
      <w:r>
        <w:rPr>
          <w:rFonts w:hint="eastAsia" w:hAnsi="宋体" w:cs="宋体"/>
          <w:b/>
          <w:color w:val="auto"/>
          <w:highlight w:val="none"/>
        </w:rPr>
        <w:t>四、投诉事项具体内容</w:t>
      </w:r>
    </w:p>
    <w:p w14:paraId="38569C03">
      <w:pPr>
        <w:pStyle w:val="20"/>
        <w:spacing w:line="440" w:lineRule="exact"/>
        <w:ind w:left="25" w:leftChars="12" w:firstLine="413" w:firstLineChars="197"/>
        <w:rPr>
          <w:rFonts w:hint="eastAsia" w:hAnsi="宋体" w:cs="宋体"/>
          <w:bCs/>
          <w:color w:val="auto"/>
          <w:highlight w:val="none"/>
          <w:u w:val="single"/>
        </w:rPr>
      </w:pPr>
      <w:r>
        <w:rPr>
          <w:rFonts w:hint="eastAsia" w:hAnsi="宋体" w:cs="宋体"/>
          <w:color w:val="auto"/>
          <w:highlight w:val="none"/>
        </w:rPr>
        <w:t>投诉事项1：</w:t>
      </w:r>
      <w:r>
        <w:rPr>
          <w:rFonts w:hint="eastAsia" w:hAnsi="宋体" w:cs="宋体"/>
          <w:bCs/>
          <w:color w:val="auto"/>
          <w:highlight w:val="none"/>
          <w:u w:val="single"/>
        </w:rPr>
        <w:t xml:space="preserve">                                                                           </w:t>
      </w:r>
    </w:p>
    <w:p w14:paraId="4A1D67A0">
      <w:pPr>
        <w:pStyle w:val="20"/>
        <w:spacing w:line="440" w:lineRule="exact"/>
        <w:ind w:firstLine="420" w:firstLineChars="200"/>
        <w:rPr>
          <w:rFonts w:hint="eastAsia" w:hAnsi="宋体" w:cs="宋体"/>
          <w:bCs/>
          <w:color w:val="auto"/>
          <w:highlight w:val="none"/>
          <w:u w:val="single"/>
        </w:rPr>
      </w:pPr>
      <w:r>
        <w:rPr>
          <w:rFonts w:hint="eastAsia" w:hAnsi="宋体" w:cs="宋体"/>
          <w:bCs/>
          <w:color w:val="auto"/>
          <w:highlight w:val="none"/>
        </w:rPr>
        <w:t>事实依据：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4A170AEC">
      <w:pPr>
        <w:pStyle w:val="20"/>
        <w:spacing w:line="440" w:lineRule="exact"/>
        <w:ind w:left="25" w:leftChars="12" w:firstLine="413" w:firstLineChars="197"/>
        <w:rPr>
          <w:rFonts w:hint="eastAsia" w:hAnsi="宋体" w:cs="宋体"/>
          <w:color w:val="auto"/>
          <w:highlight w:val="none"/>
        </w:rPr>
      </w:pPr>
      <w:r>
        <w:rPr>
          <w:rFonts w:hint="eastAsia" w:hAnsi="宋体" w:cs="宋体"/>
          <w:bCs/>
          <w:color w:val="auto"/>
          <w:highlight w:val="none"/>
          <w:u w:val="single"/>
        </w:rPr>
        <w:t xml:space="preserve">                                                                                        </w:t>
      </w:r>
    </w:p>
    <w:p w14:paraId="79866EC0">
      <w:pPr>
        <w:pStyle w:val="20"/>
        <w:spacing w:line="440" w:lineRule="exact"/>
        <w:ind w:firstLine="420" w:firstLineChars="200"/>
        <w:rPr>
          <w:rFonts w:hint="eastAsia" w:hAnsi="宋体" w:cs="宋体"/>
          <w:bCs/>
          <w:color w:val="auto"/>
          <w:highlight w:val="none"/>
          <w:u w:val="single"/>
        </w:rPr>
      </w:pPr>
      <w:r>
        <w:rPr>
          <w:rFonts w:hint="eastAsia" w:hAnsi="宋体" w:cs="宋体"/>
          <w:bCs/>
          <w:color w:val="auto"/>
          <w:highlight w:val="none"/>
        </w:rPr>
        <w:t>法律依据：</w:t>
      </w:r>
      <w:r>
        <w:rPr>
          <w:rFonts w:hint="eastAsia" w:hAnsi="宋体" w:cs="宋体"/>
          <w:color w:val="auto"/>
          <w:highlight w:val="none"/>
        </w:rPr>
        <w:t xml:space="preserve"> </w:t>
      </w:r>
      <w:r>
        <w:rPr>
          <w:rFonts w:hint="eastAsia" w:hAnsi="宋体" w:cs="宋体"/>
          <w:bCs/>
          <w:color w:val="auto"/>
          <w:highlight w:val="none"/>
          <w:u w:val="single"/>
        </w:rPr>
        <w:t xml:space="preserve">                                                                                      </w:t>
      </w:r>
    </w:p>
    <w:p w14:paraId="2C5C9EC1">
      <w:pPr>
        <w:pStyle w:val="20"/>
        <w:spacing w:line="440" w:lineRule="exact"/>
        <w:ind w:left="25" w:leftChars="12" w:firstLine="308" w:firstLineChars="147"/>
        <w:rPr>
          <w:rFonts w:hint="eastAsia"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30730D84">
      <w:pPr>
        <w:pStyle w:val="20"/>
        <w:spacing w:line="440" w:lineRule="exact"/>
        <w:ind w:left="25" w:leftChars="12" w:firstLine="413" w:firstLineChars="197"/>
        <w:rPr>
          <w:rFonts w:hint="eastAsia" w:hAnsi="宋体" w:cs="宋体"/>
          <w:bCs/>
          <w:color w:val="auto"/>
          <w:highlight w:val="none"/>
        </w:rPr>
      </w:pPr>
      <w:r>
        <w:rPr>
          <w:rFonts w:hint="eastAsia" w:hAnsi="宋体" w:cs="宋体"/>
          <w:color w:val="auto"/>
          <w:highlight w:val="none"/>
        </w:rPr>
        <w:t xml:space="preserve">投诉事项2  </w:t>
      </w:r>
      <w:r>
        <w:rPr>
          <w:rFonts w:hint="eastAsia" w:hAnsi="宋体" w:cs="宋体"/>
          <w:bCs/>
          <w:color w:val="auto"/>
          <w:highlight w:val="none"/>
        </w:rPr>
        <w:t xml:space="preserve">   </w:t>
      </w:r>
    </w:p>
    <w:p w14:paraId="701EF111">
      <w:pPr>
        <w:pStyle w:val="20"/>
        <w:spacing w:line="440" w:lineRule="exact"/>
        <w:ind w:left="25" w:leftChars="12" w:firstLine="413" w:firstLineChars="197"/>
        <w:rPr>
          <w:rFonts w:hint="eastAsia" w:hAnsi="宋体" w:cs="宋体"/>
          <w:bCs/>
          <w:color w:val="auto"/>
          <w:highlight w:val="none"/>
        </w:rPr>
      </w:pPr>
      <w:r>
        <w:rPr>
          <w:rFonts w:hint="eastAsia" w:hAnsi="宋体" w:cs="宋体"/>
          <w:bCs/>
          <w:color w:val="auto"/>
          <w:highlight w:val="none"/>
        </w:rPr>
        <w:t>……</w:t>
      </w:r>
    </w:p>
    <w:p w14:paraId="1DFFC763">
      <w:pPr>
        <w:pStyle w:val="20"/>
        <w:spacing w:line="440" w:lineRule="exact"/>
        <w:ind w:left="25" w:leftChars="12" w:firstLine="412" w:firstLineChars="196"/>
        <w:rPr>
          <w:rFonts w:hint="eastAsia" w:hAnsi="宋体" w:cs="宋体"/>
          <w:b/>
          <w:color w:val="auto"/>
          <w:highlight w:val="none"/>
        </w:rPr>
      </w:pPr>
      <w:r>
        <w:rPr>
          <w:rFonts w:hint="eastAsia" w:hAnsi="宋体" w:cs="宋体"/>
          <w:b/>
          <w:color w:val="auto"/>
          <w:highlight w:val="none"/>
        </w:rPr>
        <w:t>五、与投诉事项相关的投诉请求：</w:t>
      </w:r>
    </w:p>
    <w:p w14:paraId="3F848D82">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请求：</w:t>
      </w:r>
      <w:r>
        <w:rPr>
          <w:rFonts w:hint="eastAsia" w:hAnsi="宋体" w:cs="宋体"/>
          <w:bCs/>
          <w:color w:val="auto"/>
          <w:highlight w:val="none"/>
          <w:u w:val="single"/>
        </w:rPr>
        <w:t xml:space="preserve">                                                                                 </w:t>
      </w:r>
    </w:p>
    <w:p w14:paraId="027FADC1">
      <w:pPr>
        <w:pStyle w:val="20"/>
        <w:spacing w:line="440" w:lineRule="exact"/>
        <w:ind w:left="25" w:leftChars="12" w:firstLine="308" w:firstLineChars="147"/>
        <w:rPr>
          <w:rFonts w:hint="eastAsia" w:hAnsi="宋体" w:cs="宋体"/>
          <w:color w:val="auto"/>
          <w:highlight w:val="none"/>
        </w:rPr>
      </w:pPr>
    </w:p>
    <w:p w14:paraId="3134FB93">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签字（签章）：                                       公章：</w:t>
      </w:r>
    </w:p>
    <w:p w14:paraId="2A123836">
      <w:pPr>
        <w:pStyle w:val="20"/>
        <w:spacing w:line="440" w:lineRule="exact"/>
        <w:ind w:left="25" w:leftChars="12" w:firstLine="308" w:firstLineChars="147"/>
        <w:rPr>
          <w:rFonts w:hint="eastAsia" w:hAnsi="宋体" w:cs="宋体"/>
          <w:color w:val="auto"/>
          <w:highlight w:val="none"/>
        </w:rPr>
      </w:pPr>
    </w:p>
    <w:p w14:paraId="67E0BBDF">
      <w:pPr>
        <w:pStyle w:val="20"/>
        <w:spacing w:line="440" w:lineRule="exact"/>
        <w:ind w:left="25" w:leftChars="12" w:firstLine="413" w:firstLineChars="197"/>
        <w:rPr>
          <w:rFonts w:hint="eastAsia" w:hAnsi="宋体" w:cs="宋体"/>
          <w:color w:val="auto"/>
          <w:highlight w:val="none"/>
        </w:rPr>
      </w:pPr>
      <w:r>
        <w:rPr>
          <w:rFonts w:hint="eastAsia" w:hAnsi="宋体" w:cs="宋体"/>
          <w:color w:val="auto"/>
          <w:highlight w:val="none"/>
        </w:rPr>
        <w:t>日期：</w:t>
      </w:r>
    </w:p>
    <w:p w14:paraId="1BDA4D05">
      <w:pPr>
        <w:pStyle w:val="20"/>
        <w:spacing w:line="440" w:lineRule="exact"/>
        <w:ind w:left="25" w:leftChars="12" w:firstLine="414" w:firstLineChars="197"/>
        <w:rPr>
          <w:rFonts w:hint="eastAsia" w:hAnsi="宋体" w:cs="宋体"/>
          <w:b/>
          <w:color w:val="auto"/>
          <w:highlight w:val="none"/>
        </w:rPr>
      </w:pPr>
      <w:r>
        <w:rPr>
          <w:rFonts w:hint="eastAsia" w:hAnsi="宋体" w:cs="宋体"/>
          <w:b/>
          <w:color w:val="auto"/>
          <w:highlight w:val="none"/>
        </w:rPr>
        <w:t>说明：</w:t>
      </w:r>
    </w:p>
    <w:p w14:paraId="4511F17B">
      <w:pPr>
        <w:pStyle w:val="20"/>
        <w:spacing w:line="440" w:lineRule="exact"/>
        <w:ind w:left="25" w:leftChars="12" w:firstLine="309" w:firstLineChars="147"/>
        <w:rPr>
          <w:rFonts w:hint="eastAsia" w:hAnsi="宋体" w:cs="宋体"/>
          <w:b/>
          <w:bCs/>
          <w:color w:val="auto"/>
          <w:highlight w:val="none"/>
        </w:rPr>
      </w:pPr>
      <w:r>
        <w:rPr>
          <w:rFonts w:hint="eastAsia" w:hAnsi="宋体" w:cs="宋体"/>
          <w:b/>
          <w:color w:val="auto"/>
          <w:highlight w:val="none"/>
        </w:rPr>
        <w:t>1.投诉人提起投诉时，应当提交投诉书和必要的证明材料，并按照被投诉人和与投诉事项有关的供应商数量提供投诉书副本</w:t>
      </w:r>
      <w:r>
        <w:rPr>
          <w:rFonts w:hint="eastAsia" w:hAnsi="宋体" w:cs="宋体"/>
          <w:b/>
          <w:bCs/>
          <w:color w:val="auto"/>
          <w:highlight w:val="none"/>
        </w:rPr>
        <w:t>。</w:t>
      </w:r>
    </w:p>
    <w:p w14:paraId="0F9CE1A8">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360310D">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3.投诉书应简要列明质疑事项，质疑函、质疑答复等作为附件材料提供。</w:t>
      </w:r>
    </w:p>
    <w:p w14:paraId="442DCED0">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4.投诉书的投诉事项应具体、明确，并有必要的事实依据和法律依据。</w:t>
      </w:r>
    </w:p>
    <w:p w14:paraId="6E821823">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5.投诉书的投诉请求应与投诉事项相关。</w:t>
      </w:r>
    </w:p>
    <w:p w14:paraId="48B244EB">
      <w:pPr>
        <w:pStyle w:val="20"/>
        <w:spacing w:line="440" w:lineRule="exact"/>
        <w:ind w:left="25" w:leftChars="12" w:firstLine="309" w:firstLineChars="147"/>
        <w:rPr>
          <w:rFonts w:hint="eastAsia" w:hAnsi="宋体" w:cs="宋体"/>
          <w:b/>
          <w:color w:val="auto"/>
          <w:highlight w:val="none"/>
        </w:rPr>
      </w:pPr>
      <w:r>
        <w:rPr>
          <w:rFonts w:hint="eastAsia" w:hAnsi="宋体" w:cs="宋体"/>
          <w:b/>
          <w:color w:val="auto"/>
          <w:highlight w:val="none"/>
        </w:rPr>
        <w:t>6.投诉人为法人或者其他组织的，投诉书应由法定代表人、主要负责人，或者其授权代表签字或者盖章，并加盖公章。</w:t>
      </w:r>
      <w:bookmarkEnd w:id="1"/>
      <w:bookmarkEnd w:id="2"/>
      <w:bookmarkEnd w:id="3"/>
      <w:bookmarkEnd w:id="4"/>
    </w:p>
    <w:p w14:paraId="6D97608E">
      <w:pPr>
        <w:rPr>
          <w:rFonts w:hint="eastAsia"/>
          <w:color w:val="auto"/>
          <w:highlight w:val="none"/>
        </w:rPr>
      </w:pPr>
    </w:p>
    <w:sectPr>
      <w:footerReference r:id="rId18" w:type="first"/>
      <w:footerReference r:id="rId16" w:type="default"/>
      <w:footerReference r:id="rId17" w:type="even"/>
      <w:pgSz w:w="11906" w:h="16838"/>
      <w:pgMar w:top="1134" w:right="1247" w:bottom="1134" w:left="1417"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87ADB7F9-1C06-971B-1C79-8E69BACC4188}"/>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embedRegular r:id="rId2" w:fontKey="{90558E21-7C86-D8AF-1C79-8E692254FE4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BE62A72C-A88D-511A-1C79-8E69619CBA52}"/>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MingLiU">
    <w:altName w:val="宋体-繁"/>
    <w:panose1 w:val="02010609000101010101"/>
    <w:charset w:val="88"/>
    <w:family w:val="modern"/>
    <w:pitch w:val="default"/>
    <w:sig w:usb0="00000000" w:usb1="00000000" w:usb2="00000010" w:usb3="00000000" w:csb0="00100000" w:csb1="00000000"/>
  </w:font>
  <w:font w:name="宋体-繁">
    <w:panose1 w:val="02010600040101010101"/>
    <w:charset w:val="86"/>
    <w:family w:val="auto"/>
    <w:pitch w:val="default"/>
    <w:sig w:usb0="00000287" w:usb1="080F0000" w:usb2="00000000" w:usb3="00000000" w:csb0="0004009F" w:csb1="DFD7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A00002FF" w:usb1="7ACFFDFB" w:usb2="00000017"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Tahoma">
    <w:panose1 w:val="020B0604030504040204"/>
    <w:charset w:val="00"/>
    <w:family w:val="swiss"/>
    <w:pitch w:val="default"/>
    <w:sig w:usb0="E1002A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82152982-4CCF-A892-1C79-8E6909AB24FC}"/>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11EF">
    <w:pPr>
      <w:pStyle w:val="25"/>
      <w:jc w:val="center"/>
    </w:pPr>
  </w:p>
  <w:p w14:paraId="4BAA7797">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17AA7">
    <w:pPr>
      <w:pStyle w:val="25"/>
      <w:framePr w:wrap="around" w:vAnchor="text" w:hAnchor="margin" w:xAlign="center" w:y="1"/>
      <w:rPr>
        <w:rStyle w:val="41"/>
      </w:rPr>
    </w:pPr>
    <w:r>
      <w:fldChar w:fldCharType="begin"/>
    </w:r>
    <w:r>
      <w:rPr>
        <w:rStyle w:val="41"/>
      </w:rPr>
      <w:instrText xml:space="preserve">PAGE  </w:instrText>
    </w:r>
    <w:r>
      <w:fldChar w:fldCharType="end"/>
    </w:r>
  </w:p>
  <w:p w14:paraId="1EAFEE8F">
    <w:pPr>
      <w:pStyle w:val="2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8EE09">
    <w:pPr>
      <w:pStyle w:val="25"/>
      <w:ind w:right="360"/>
      <w:jc w:val="both"/>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B7EA9">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8B7EA9">
                    <w:pPr>
                      <w:pStyle w:val="25"/>
                    </w:pPr>
                    <w:r>
                      <w:fldChar w:fldCharType="begin"/>
                    </w:r>
                    <w:r>
                      <w:instrText xml:space="preserve"> PAGE  \* MERGEFORMAT </w:instrText>
                    </w:r>
                    <w:r>
                      <w:fldChar w:fldCharType="separate"/>
                    </w:r>
                    <w:r>
                      <w:t>77</w:t>
                    </w:r>
                    <w:r>
                      <w:fldChar w:fldCharType="end"/>
                    </w:r>
                  </w:p>
                </w:txbxContent>
              </v:textbox>
            </v:shape>
          </w:pict>
        </mc:Fallback>
      </mc:AlternateContent>
    </w: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E4A49">
    <w:pPr>
      <w:pStyle w:val="25"/>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3A9BA">
                          <w:pPr>
                            <w:pStyle w:val="2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EB3A9BA">
                    <w:pPr>
                      <w:pStyle w:val="25"/>
                    </w:pPr>
                    <w:r>
                      <w:fldChar w:fldCharType="begin"/>
                    </w:r>
                    <w:r>
                      <w:instrText xml:space="preserve"> PAGE  \* MERGEFORMAT </w:instrText>
                    </w:r>
                    <w:r>
                      <w:fldChar w:fldCharType="separate"/>
                    </w:r>
                    <w:r>
                      <w:t>78</w:t>
                    </w:r>
                    <w:r>
                      <w:fldChar w:fldCharType="end"/>
                    </w:r>
                  </w:p>
                </w:txbxContent>
              </v:textbox>
            </v:shape>
          </w:pict>
        </mc:Fallback>
      </mc:AlternateContent>
    </w:r>
  </w:p>
  <w:p w14:paraId="2E90B5DC">
    <w:pPr>
      <w:pStyle w:val="2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29BA">
    <w:pPr>
      <w:pStyle w:val="25"/>
      <w:framePr w:wrap="around" w:vAnchor="text" w:hAnchor="margin" w:xAlign="center" w:y="1"/>
      <w:rPr>
        <w:rStyle w:val="41"/>
      </w:rPr>
    </w:pPr>
    <w:r>
      <w:fldChar w:fldCharType="begin"/>
    </w:r>
    <w:r>
      <w:rPr>
        <w:rStyle w:val="41"/>
      </w:rPr>
      <w:instrText xml:space="preserve">PAGE  </w:instrText>
    </w:r>
    <w:r>
      <w:fldChar w:fldCharType="end"/>
    </w:r>
  </w:p>
  <w:p w14:paraId="4EFD302B">
    <w:pPr>
      <w:pStyle w:val="2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CE174">
    <w:pPr>
      <w:pStyle w:val="25"/>
      <w:framePr w:wrap="around" w:vAnchor="text" w:hAnchor="margin" w:xAlign="right" w:y="1"/>
      <w:rPr>
        <w:rStyle w:val="41"/>
      </w:rPr>
    </w:pPr>
    <w:r>
      <w:fldChar w:fldCharType="begin"/>
    </w:r>
    <w:r>
      <w:rPr>
        <w:rStyle w:val="41"/>
      </w:rPr>
      <w:instrText xml:space="preserve">PAGE  </w:instrText>
    </w:r>
    <w:r>
      <w:fldChar w:fldCharType="separate"/>
    </w:r>
    <w:r>
      <w:rPr>
        <w:rStyle w:val="41"/>
      </w:rPr>
      <w:t>122</w:t>
    </w:r>
    <w:r>
      <w:fldChar w:fldCharType="end"/>
    </w:r>
  </w:p>
  <w:p w14:paraId="46C9932B">
    <w:pPr>
      <w:pStyle w:val="25"/>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32749">
    <w:pPr>
      <w:pStyle w:val="25"/>
      <w:framePr w:wrap="around" w:vAnchor="text" w:hAnchor="margin" w:xAlign="center" w:y="1"/>
      <w:rPr>
        <w:rStyle w:val="41"/>
      </w:rPr>
    </w:pPr>
    <w:r>
      <w:fldChar w:fldCharType="begin"/>
    </w:r>
    <w:r>
      <w:rPr>
        <w:rStyle w:val="41"/>
      </w:rPr>
      <w:instrText xml:space="preserve">PAGE  </w:instrText>
    </w:r>
    <w:r>
      <w:fldChar w:fldCharType="end"/>
    </w:r>
  </w:p>
  <w:p w14:paraId="4869BEFA">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13851">
    <w:pPr>
      <w:pStyle w:val="25"/>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3023F">
    <w:pPr>
      <w:pStyle w:val="25"/>
      <w:jc w:val="center"/>
    </w:pPr>
  </w:p>
  <w:p w14:paraId="2220604E">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B885">
    <w:pPr>
      <w:pStyle w:val="2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1AD25">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231AD25">
                    <w:pPr>
                      <w:pStyle w:val="25"/>
                    </w:pPr>
                    <w:r>
                      <w:fldChar w:fldCharType="begin"/>
                    </w:r>
                    <w:r>
                      <w:instrText xml:space="preserve"> PAGE  \* MERGEFORMAT </w:instrText>
                    </w:r>
                    <w:r>
                      <w:fldChar w:fldCharType="separate"/>
                    </w:r>
                    <w:r>
                      <w:t>1</w:t>
                    </w:r>
                    <w:r>
                      <w:fldChar w:fldCharType="end"/>
                    </w:r>
                  </w:p>
                </w:txbxContent>
              </v:textbox>
            </v:shape>
          </w:pict>
        </mc:Fallback>
      </mc:AlternateContent>
    </w:r>
  </w:p>
  <w:p w14:paraId="4BD6D6FC">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6AF23">
    <w:pPr>
      <w:pStyle w:val="2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FEE23">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38FEE23">
                    <w:pPr>
                      <w:pStyle w:val="25"/>
                    </w:pPr>
                    <w:r>
                      <w:fldChar w:fldCharType="begin"/>
                    </w:r>
                    <w:r>
                      <w:instrText xml:space="preserve"> PAGE  \* MERGEFORMAT </w:instrText>
                    </w:r>
                    <w:r>
                      <w:fldChar w:fldCharType="separate"/>
                    </w:r>
                    <w:r>
                      <w:t>45</w:t>
                    </w:r>
                    <w:r>
                      <w:fldChar w:fldCharType="end"/>
                    </w:r>
                  </w:p>
                </w:txbxContent>
              </v:textbox>
            </v:shape>
          </w:pict>
        </mc:Fallback>
      </mc:AlternateContent>
    </w:r>
  </w:p>
  <w:p w14:paraId="09A989C3">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3370">
    <w:pPr>
      <w:pStyle w:val="25"/>
      <w:ind w:right="360"/>
      <w:jc w:val="both"/>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906A9">
                          <w:pPr>
                            <w:pStyle w:val="2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lCCcgBAACZ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JQgnIAQAAmQMAAA4AAAAAAAAAAQAgAAAAHgEAAGRycy9lMm9Eb2Mu&#10;eG1sUEsFBgAAAAAGAAYAWQEAAFgFAAAAAA==&#10;">
              <v:fill on="f" focussize="0,0"/>
              <v:stroke on="f"/>
              <v:imagedata o:title=""/>
              <o:lock v:ext="edit" aspectratio="f"/>
              <v:textbox inset="0mm,0mm,0mm,0mm" style="mso-fit-shape-to-text:t;">
                <w:txbxContent>
                  <w:p w14:paraId="28C906A9">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4CE8">
    <w:pPr>
      <w:pStyle w:val="2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261A6">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2261A6">
                    <w:pPr>
                      <w:pStyle w:val="25"/>
                    </w:pPr>
                    <w:r>
                      <w:fldChar w:fldCharType="begin"/>
                    </w:r>
                    <w:r>
                      <w:instrText xml:space="preserve"> PAGE  \* MERGEFORMAT </w:instrText>
                    </w:r>
                    <w:r>
                      <w:fldChar w:fldCharType="separate"/>
                    </w:r>
                    <w:r>
                      <w:t>46</w:t>
                    </w:r>
                    <w:r>
                      <w:fldChar w:fldCharType="end"/>
                    </w:r>
                  </w:p>
                </w:txbxContent>
              </v:textbox>
            </v:shape>
          </w:pict>
        </mc:Fallback>
      </mc:AlternateContent>
    </w:r>
  </w:p>
  <w:p w14:paraId="27A91621">
    <w:pPr>
      <w:pStyle w:val="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03976">
    <w:pPr>
      <w:pStyle w:val="25"/>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26096">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BF26096">
                    <w:pPr>
                      <w:pStyle w:val="25"/>
                    </w:pPr>
                    <w:r>
                      <w:fldChar w:fldCharType="begin"/>
                    </w:r>
                    <w:r>
                      <w:instrText xml:space="preserve"> PAGE  \* MERGEFORMAT </w:instrText>
                    </w:r>
                    <w:r>
                      <w:fldChar w:fldCharType="separate"/>
                    </w:r>
                    <w:r>
                      <w:t>0</w:t>
                    </w:r>
                    <w:r>
                      <w:fldChar w:fldCharType="end"/>
                    </w:r>
                  </w:p>
                </w:txbxContent>
              </v:textbox>
            </v:shape>
          </w:pict>
        </mc:Fallback>
      </mc:AlternateContent>
    </w:r>
  </w:p>
  <w:p w14:paraId="56210D49">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0A9EB">
    <w:pPr>
      <w:pStyle w:val="26"/>
      <w:pBdr>
        <w:bottom w:val="none" w:color="auto" w:sz="0" w:space="0"/>
      </w:pBdr>
      <w:tabs>
        <w:tab w:val="center" w:pos="0"/>
        <w:tab w:val="left" w:pos="8306"/>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D331B">
    <w:pPr>
      <w:pStyle w:val="26"/>
      <w:pBdr>
        <w:bottom w:val="none" w:color="auto" w:sz="0" w:space="0"/>
      </w:pBdr>
      <w:tabs>
        <w:tab w:val="center" w:pos="0"/>
        <w:tab w:val="left" w:pos="8306"/>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01917"/>
    <w:multiLevelType w:val="singleLevel"/>
    <w:tmpl w:val="4C601917"/>
    <w:lvl w:ilvl="0" w:tentative="0">
      <w:start w:val="1"/>
      <w:numFmt w:val="decimal"/>
      <w:suff w:val="nothing"/>
      <w:lvlText w:val="（%1）"/>
      <w:lvlJc w:val="left"/>
    </w:lvl>
  </w:abstractNum>
  <w:abstractNum w:abstractNumId="1">
    <w:nsid w:val="5FABD14B"/>
    <w:multiLevelType w:val="singleLevel"/>
    <w:tmpl w:val="5FABD14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MGM5NzNkMGFmZjdmNjdmOTliN2YyNmZmOTBjMmUifQ=="/>
    <w:docVar w:name="KSO_WPS_MARK_KEY" w:val="34a85f2c-7737-46bb-95af-ad2512184d9f"/>
  </w:docVars>
  <w:rsids>
    <w:rsidRoot w:val="674E6074"/>
    <w:rsid w:val="0000096C"/>
    <w:rsid w:val="00000CDB"/>
    <w:rsid w:val="00001CDA"/>
    <w:rsid w:val="00004344"/>
    <w:rsid w:val="00005909"/>
    <w:rsid w:val="000207D5"/>
    <w:rsid w:val="00022127"/>
    <w:rsid w:val="00024E82"/>
    <w:rsid w:val="00027659"/>
    <w:rsid w:val="00030800"/>
    <w:rsid w:val="00031652"/>
    <w:rsid w:val="00034A7D"/>
    <w:rsid w:val="00035197"/>
    <w:rsid w:val="00035F9C"/>
    <w:rsid w:val="000401CD"/>
    <w:rsid w:val="000404B0"/>
    <w:rsid w:val="0004235B"/>
    <w:rsid w:val="00044EDB"/>
    <w:rsid w:val="00051641"/>
    <w:rsid w:val="00054304"/>
    <w:rsid w:val="000553BC"/>
    <w:rsid w:val="00056551"/>
    <w:rsid w:val="0006218D"/>
    <w:rsid w:val="00063F24"/>
    <w:rsid w:val="00065AF0"/>
    <w:rsid w:val="00066EA9"/>
    <w:rsid w:val="00066FE1"/>
    <w:rsid w:val="00074D5F"/>
    <w:rsid w:val="00076A60"/>
    <w:rsid w:val="00077BF5"/>
    <w:rsid w:val="00081789"/>
    <w:rsid w:val="00085A0D"/>
    <w:rsid w:val="00092A54"/>
    <w:rsid w:val="00092F65"/>
    <w:rsid w:val="0009317E"/>
    <w:rsid w:val="00093B18"/>
    <w:rsid w:val="000946EB"/>
    <w:rsid w:val="00094E84"/>
    <w:rsid w:val="000A6432"/>
    <w:rsid w:val="000A7A4B"/>
    <w:rsid w:val="000B5A03"/>
    <w:rsid w:val="000B7B3B"/>
    <w:rsid w:val="000C1DCC"/>
    <w:rsid w:val="000C302E"/>
    <w:rsid w:val="000C5D44"/>
    <w:rsid w:val="000D5F48"/>
    <w:rsid w:val="000D7284"/>
    <w:rsid w:val="000E6783"/>
    <w:rsid w:val="000F1BBE"/>
    <w:rsid w:val="001031E7"/>
    <w:rsid w:val="00104245"/>
    <w:rsid w:val="001108AC"/>
    <w:rsid w:val="00110A97"/>
    <w:rsid w:val="00110DD2"/>
    <w:rsid w:val="00111240"/>
    <w:rsid w:val="0011187C"/>
    <w:rsid w:val="00116FC9"/>
    <w:rsid w:val="00120C46"/>
    <w:rsid w:val="001251B9"/>
    <w:rsid w:val="00125837"/>
    <w:rsid w:val="001306A8"/>
    <w:rsid w:val="00140B14"/>
    <w:rsid w:val="00140CE8"/>
    <w:rsid w:val="00141619"/>
    <w:rsid w:val="00143DA6"/>
    <w:rsid w:val="00151CEE"/>
    <w:rsid w:val="0015209C"/>
    <w:rsid w:val="001551E7"/>
    <w:rsid w:val="001552B2"/>
    <w:rsid w:val="00155890"/>
    <w:rsid w:val="00170AA7"/>
    <w:rsid w:val="00173852"/>
    <w:rsid w:val="00174F9B"/>
    <w:rsid w:val="00177D95"/>
    <w:rsid w:val="00181460"/>
    <w:rsid w:val="00182C28"/>
    <w:rsid w:val="00190F4C"/>
    <w:rsid w:val="00193D49"/>
    <w:rsid w:val="0019577E"/>
    <w:rsid w:val="001B1366"/>
    <w:rsid w:val="001B2BDE"/>
    <w:rsid w:val="001B2FAE"/>
    <w:rsid w:val="001C097E"/>
    <w:rsid w:val="001C2516"/>
    <w:rsid w:val="001C2E44"/>
    <w:rsid w:val="001D047F"/>
    <w:rsid w:val="001D758B"/>
    <w:rsid w:val="001E0216"/>
    <w:rsid w:val="001E0590"/>
    <w:rsid w:val="001E3E3A"/>
    <w:rsid w:val="001E484E"/>
    <w:rsid w:val="001E4E53"/>
    <w:rsid w:val="001E6153"/>
    <w:rsid w:val="001E6C5D"/>
    <w:rsid w:val="001E7AB6"/>
    <w:rsid w:val="001F330A"/>
    <w:rsid w:val="001F4D3C"/>
    <w:rsid w:val="001F6F77"/>
    <w:rsid w:val="00201770"/>
    <w:rsid w:val="00202F39"/>
    <w:rsid w:val="00204164"/>
    <w:rsid w:val="00204F25"/>
    <w:rsid w:val="00205999"/>
    <w:rsid w:val="00207350"/>
    <w:rsid w:val="00207DB7"/>
    <w:rsid w:val="00213B47"/>
    <w:rsid w:val="00221909"/>
    <w:rsid w:val="002230A4"/>
    <w:rsid w:val="0022698C"/>
    <w:rsid w:val="00227913"/>
    <w:rsid w:val="00231EAB"/>
    <w:rsid w:val="00232E04"/>
    <w:rsid w:val="00236055"/>
    <w:rsid w:val="00236B7D"/>
    <w:rsid w:val="00241686"/>
    <w:rsid w:val="00242C6C"/>
    <w:rsid w:val="00244627"/>
    <w:rsid w:val="002563B4"/>
    <w:rsid w:val="0025753A"/>
    <w:rsid w:val="00262C01"/>
    <w:rsid w:val="002738BD"/>
    <w:rsid w:val="0027629D"/>
    <w:rsid w:val="00281099"/>
    <w:rsid w:val="002867CF"/>
    <w:rsid w:val="00293976"/>
    <w:rsid w:val="00297271"/>
    <w:rsid w:val="002B3400"/>
    <w:rsid w:val="002B4610"/>
    <w:rsid w:val="002C0483"/>
    <w:rsid w:val="002C1328"/>
    <w:rsid w:val="002C2756"/>
    <w:rsid w:val="002C27F2"/>
    <w:rsid w:val="002C38A0"/>
    <w:rsid w:val="002C7DD7"/>
    <w:rsid w:val="002D0079"/>
    <w:rsid w:val="002D05BB"/>
    <w:rsid w:val="002D2EF2"/>
    <w:rsid w:val="002D5E57"/>
    <w:rsid w:val="002E0A18"/>
    <w:rsid w:val="002E6BA4"/>
    <w:rsid w:val="002E7EA0"/>
    <w:rsid w:val="002F320A"/>
    <w:rsid w:val="002F55FD"/>
    <w:rsid w:val="002F667D"/>
    <w:rsid w:val="003014B1"/>
    <w:rsid w:val="003051FD"/>
    <w:rsid w:val="003056DE"/>
    <w:rsid w:val="00305816"/>
    <w:rsid w:val="00315EB2"/>
    <w:rsid w:val="003162D6"/>
    <w:rsid w:val="00316994"/>
    <w:rsid w:val="0031699F"/>
    <w:rsid w:val="00320B19"/>
    <w:rsid w:val="00322C10"/>
    <w:rsid w:val="00327461"/>
    <w:rsid w:val="00330EE9"/>
    <w:rsid w:val="003331F5"/>
    <w:rsid w:val="00337A9F"/>
    <w:rsid w:val="00344631"/>
    <w:rsid w:val="00346976"/>
    <w:rsid w:val="00347950"/>
    <w:rsid w:val="00350024"/>
    <w:rsid w:val="00353905"/>
    <w:rsid w:val="00355191"/>
    <w:rsid w:val="00366E54"/>
    <w:rsid w:val="0037075A"/>
    <w:rsid w:val="00371C87"/>
    <w:rsid w:val="00380673"/>
    <w:rsid w:val="003809BA"/>
    <w:rsid w:val="00384EB6"/>
    <w:rsid w:val="003868E3"/>
    <w:rsid w:val="0039417D"/>
    <w:rsid w:val="003A3917"/>
    <w:rsid w:val="003A622A"/>
    <w:rsid w:val="003B031E"/>
    <w:rsid w:val="003B31F1"/>
    <w:rsid w:val="003B38DA"/>
    <w:rsid w:val="003B7C9A"/>
    <w:rsid w:val="003C027A"/>
    <w:rsid w:val="003C393F"/>
    <w:rsid w:val="003D3465"/>
    <w:rsid w:val="003D478D"/>
    <w:rsid w:val="003D7400"/>
    <w:rsid w:val="003E0AD4"/>
    <w:rsid w:val="003E1425"/>
    <w:rsid w:val="003E64C1"/>
    <w:rsid w:val="003F1067"/>
    <w:rsid w:val="003F1F9C"/>
    <w:rsid w:val="003F7B0D"/>
    <w:rsid w:val="004029ED"/>
    <w:rsid w:val="00403AA3"/>
    <w:rsid w:val="0040651A"/>
    <w:rsid w:val="00431C3B"/>
    <w:rsid w:val="00435268"/>
    <w:rsid w:val="0044023A"/>
    <w:rsid w:val="004437ED"/>
    <w:rsid w:val="00443922"/>
    <w:rsid w:val="0044600A"/>
    <w:rsid w:val="00447BDE"/>
    <w:rsid w:val="00450ADB"/>
    <w:rsid w:val="00452102"/>
    <w:rsid w:val="004531C4"/>
    <w:rsid w:val="00455C16"/>
    <w:rsid w:val="0046694A"/>
    <w:rsid w:val="0046760D"/>
    <w:rsid w:val="00467833"/>
    <w:rsid w:val="00474447"/>
    <w:rsid w:val="004771BA"/>
    <w:rsid w:val="004820E2"/>
    <w:rsid w:val="004853B6"/>
    <w:rsid w:val="004861BA"/>
    <w:rsid w:val="00486E44"/>
    <w:rsid w:val="0049027F"/>
    <w:rsid w:val="004925A4"/>
    <w:rsid w:val="004929AD"/>
    <w:rsid w:val="004A0443"/>
    <w:rsid w:val="004A0E38"/>
    <w:rsid w:val="004A5F2A"/>
    <w:rsid w:val="004A6736"/>
    <w:rsid w:val="004B49D2"/>
    <w:rsid w:val="004C5B3E"/>
    <w:rsid w:val="004C75A0"/>
    <w:rsid w:val="004D5AF4"/>
    <w:rsid w:val="004D6E99"/>
    <w:rsid w:val="004E126C"/>
    <w:rsid w:val="004F5BCD"/>
    <w:rsid w:val="004F68CF"/>
    <w:rsid w:val="005033B8"/>
    <w:rsid w:val="00503A40"/>
    <w:rsid w:val="00506840"/>
    <w:rsid w:val="00511A25"/>
    <w:rsid w:val="00516FAA"/>
    <w:rsid w:val="00517D40"/>
    <w:rsid w:val="00520861"/>
    <w:rsid w:val="00521880"/>
    <w:rsid w:val="00525C35"/>
    <w:rsid w:val="005279FB"/>
    <w:rsid w:val="00532BF5"/>
    <w:rsid w:val="0053541C"/>
    <w:rsid w:val="005458AD"/>
    <w:rsid w:val="0054778A"/>
    <w:rsid w:val="0055409E"/>
    <w:rsid w:val="00554A36"/>
    <w:rsid w:val="00562514"/>
    <w:rsid w:val="00564C6D"/>
    <w:rsid w:val="005707EB"/>
    <w:rsid w:val="00570DF9"/>
    <w:rsid w:val="005739CF"/>
    <w:rsid w:val="00576E04"/>
    <w:rsid w:val="0057733C"/>
    <w:rsid w:val="00581AC2"/>
    <w:rsid w:val="00583AC0"/>
    <w:rsid w:val="00584BFC"/>
    <w:rsid w:val="005873D0"/>
    <w:rsid w:val="005917A6"/>
    <w:rsid w:val="005932B6"/>
    <w:rsid w:val="00596F89"/>
    <w:rsid w:val="005B53A3"/>
    <w:rsid w:val="005C06FA"/>
    <w:rsid w:val="005C5049"/>
    <w:rsid w:val="005D54D6"/>
    <w:rsid w:val="005D6CCE"/>
    <w:rsid w:val="005E671C"/>
    <w:rsid w:val="005F6F86"/>
    <w:rsid w:val="00600743"/>
    <w:rsid w:val="006048A4"/>
    <w:rsid w:val="00605362"/>
    <w:rsid w:val="006064F7"/>
    <w:rsid w:val="006068F0"/>
    <w:rsid w:val="00606C3B"/>
    <w:rsid w:val="00622C28"/>
    <w:rsid w:val="00626CA8"/>
    <w:rsid w:val="006271A0"/>
    <w:rsid w:val="006301C4"/>
    <w:rsid w:val="00630567"/>
    <w:rsid w:val="00631BAB"/>
    <w:rsid w:val="006324D3"/>
    <w:rsid w:val="00636B69"/>
    <w:rsid w:val="006406A8"/>
    <w:rsid w:val="00640B4E"/>
    <w:rsid w:val="00641D5B"/>
    <w:rsid w:val="00644AAD"/>
    <w:rsid w:val="00647270"/>
    <w:rsid w:val="0065223B"/>
    <w:rsid w:val="00653CDE"/>
    <w:rsid w:val="00656442"/>
    <w:rsid w:val="00661DA0"/>
    <w:rsid w:val="006632E6"/>
    <w:rsid w:val="0066542F"/>
    <w:rsid w:val="00670E85"/>
    <w:rsid w:val="0067703D"/>
    <w:rsid w:val="00677CAF"/>
    <w:rsid w:val="006831E3"/>
    <w:rsid w:val="006867BB"/>
    <w:rsid w:val="00691B1A"/>
    <w:rsid w:val="00695425"/>
    <w:rsid w:val="006A101B"/>
    <w:rsid w:val="006A6DC8"/>
    <w:rsid w:val="006C015A"/>
    <w:rsid w:val="006C2360"/>
    <w:rsid w:val="006C55A9"/>
    <w:rsid w:val="006C5999"/>
    <w:rsid w:val="006D0A1B"/>
    <w:rsid w:val="006D6A62"/>
    <w:rsid w:val="006E4D05"/>
    <w:rsid w:val="006F0015"/>
    <w:rsid w:val="00707FF2"/>
    <w:rsid w:val="00712AF4"/>
    <w:rsid w:val="00715456"/>
    <w:rsid w:val="00717D53"/>
    <w:rsid w:val="0072351B"/>
    <w:rsid w:val="00730FBB"/>
    <w:rsid w:val="0073261C"/>
    <w:rsid w:val="00736625"/>
    <w:rsid w:val="00744B4B"/>
    <w:rsid w:val="00745BFF"/>
    <w:rsid w:val="0074683F"/>
    <w:rsid w:val="007549ED"/>
    <w:rsid w:val="0075643C"/>
    <w:rsid w:val="00756DD1"/>
    <w:rsid w:val="00757B36"/>
    <w:rsid w:val="00761289"/>
    <w:rsid w:val="00761EA6"/>
    <w:rsid w:val="00767154"/>
    <w:rsid w:val="007728DC"/>
    <w:rsid w:val="00773B6C"/>
    <w:rsid w:val="00773FEE"/>
    <w:rsid w:val="00781DF2"/>
    <w:rsid w:val="00790B95"/>
    <w:rsid w:val="007937A3"/>
    <w:rsid w:val="007B4684"/>
    <w:rsid w:val="007C09EA"/>
    <w:rsid w:val="007C2309"/>
    <w:rsid w:val="007C3B9F"/>
    <w:rsid w:val="007C4D61"/>
    <w:rsid w:val="007D5273"/>
    <w:rsid w:val="007D6581"/>
    <w:rsid w:val="007D6EBC"/>
    <w:rsid w:val="007F0A33"/>
    <w:rsid w:val="007F1D2B"/>
    <w:rsid w:val="007F4D7D"/>
    <w:rsid w:val="007F717F"/>
    <w:rsid w:val="00817450"/>
    <w:rsid w:val="008176CE"/>
    <w:rsid w:val="008204EB"/>
    <w:rsid w:val="008232D5"/>
    <w:rsid w:val="00823F88"/>
    <w:rsid w:val="0082700E"/>
    <w:rsid w:val="008300D6"/>
    <w:rsid w:val="00843D45"/>
    <w:rsid w:val="00852105"/>
    <w:rsid w:val="0085544C"/>
    <w:rsid w:val="008604A4"/>
    <w:rsid w:val="008606F1"/>
    <w:rsid w:val="00860D9E"/>
    <w:rsid w:val="00862516"/>
    <w:rsid w:val="0086784A"/>
    <w:rsid w:val="008811BB"/>
    <w:rsid w:val="00884C48"/>
    <w:rsid w:val="0089747C"/>
    <w:rsid w:val="008974F2"/>
    <w:rsid w:val="008A2903"/>
    <w:rsid w:val="008A6ED3"/>
    <w:rsid w:val="008A7438"/>
    <w:rsid w:val="008C3744"/>
    <w:rsid w:val="008C4798"/>
    <w:rsid w:val="008D3FFB"/>
    <w:rsid w:val="008D43F8"/>
    <w:rsid w:val="008D5DE5"/>
    <w:rsid w:val="008D7AB4"/>
    <w:rsid w:val="008E268A"/>
    <w:rsid w:val="008E3451"/>
    <w:rsid w:val="008E53FF"/>
    <w:rsid w:val="00904A9B"/>
    <w:rsid w:val="00905884"/>
    <w:rsid w:val="00920D6C"/>
    <w:rsid w:val="009276D5"/>
    <w:rsid w:val="0093775E"/>
    <w:rsid w:val="00942D58"/>
    <w:rsid w:val="00942FDE"/>
    <w:rsid w:val="00952863"/>
    <w:rsid w:val="009528FA"/>
    <w:rsid w:val="0096166D"/>
    <w:rsid w:val="00986C7E"/>
    <w:rsid w:val="009911B9"/>
    <w:rsid w:val="009924D4"/>
    <w:rsid w:val="009961B0"/>
    <w:rsid w:val="009963BC"/>
    <w:rsid w:val="009A6C00"/>
    <w:rsid w:val="009B644A"/>
    <w:rsid w:val="009B67C7"/>
    <w:rsid w:val="009C3D9F"/>
    <w:rsid w:val="009C60E6"/>
    <w:rsid w:val="009D594D"/>
    <w:rsid w:val="009D5E30"/>
    <w:rsid w:val="009D64B0"/>
    <w:rsid w:val="009D78FE"/>
    <w:rsid w:val="009E0DF2"/>
    <w:rsid w:val="009E2765"/>
    <w:rsid w:val="009E2C4C"/>
    <w:rsid w:val="009E509B"/>
    <w:rsid w:val="009E5F55"/>
    <w:rsid w:val="009F48CE"/>
    <w:rsid w:val="009F5431"/>
    <w:rsid w:val="009F5C57"/>
    <w:rsid w:val="00A079C6"/>
    <w:rsid w:val="00A11791"/>
    <w:rsid w:val="00A15437"/>
    <w:rsid w:val="00A207B9"/>
    <w:rsid w:val="00A317A2"/>
    <w:rsid w:val="00A31C07"/>
    <w:rsid w:val="00A31E32"/>
    <w:rsid w:val="00A35D90"/>
    <w:rsid w:val="00A36574"/>
    <w:rsid w:val="00A37DDB"/>
    <w:rsid w:val="00A37ECC"/>
    <w:rsid w:val="00A41DC7"/>
    <w:rsid w:val="00A4364F"/>
    <w:rsid w:val="00A5424F"/>
    <w:rsid w:val="00A54EBE"/>
    <w:rsid w:val="00A56CB5"/>
    <w:rsid w:val="00A64717"/>
    <w:rsid w:val="00A748C9"/>
    <w:rsid w:val="00A77398"/>
    <w:rsid w:val="00A80C51"/>
    <w:rsid w:val="00A81EDF"/>
    <w:rsid w:val="00A83A62"/>
    <w:rsid w:val="00A929CC"/>
    <w:rsid w:val="00A9536F"/>
    <w:rsid w:val="00A95495"/>
    <w:rsid w:val="00A955F2"/>
    <w:rsid w:val="00A975B7"/>
    <w:rsid w:val="00AA0FBE"/>
    <w:rsid w:val="00AA4479"/>
    <w:rsid w:val="00AA48D1"/>
    <w:rsid w:val="00AB7E31"/>
    <w:rsid w:val="00AC1E51"/>
    <w:rsid w:val="00AD2F5B"/>
    <w:rsid w:val="00AD464B"/>
    <w:rsid w:val="00AD6A4F"/>
    <w:rsid w:val="00AD7E81"/>
    <w:rsid w:val="00AE0FF5"/>
    <w:rsid w:val="00AE127D"/>
    <w:rsid w:val="00AF12E5"/>
    <w:rsid w:val="00AF1624"/>
    <w:rsid w:val="00AF7D70"/>
    <w:rsid w:val="00B017FE"/>
    <w:rsid w:val="00B05D04"/>
    <w:rsid w:val="00B17E63"/>
    <w:rsid w:val="00B17F7F"/>
    <w:rsid w:val="00B20869"/>
    <w:rsid w:val="00B211ED"/>
    <w:rsid w:val="00B319D0"/>
    <w:rsid w:val="00B31F82"/>
    <w:rsid w:val="00B33AE6"/>
    <w:rsid w:val="00B33B3B"/>
    <w:rsid w:val="00B52B37"/>
    <w:rsid w:val="00B548FD"/>
    <w:rsid w:val="00B556FB"/>
    <w:rsid w:val="00B56361"/>
    <w:rsid w:val="00B61746"/>
    <w:rsid w:val="00B62005"/>
    <w:rsid w:val="00B67234"/>
    <w:rsid w:val="00B67934"/>
    <w:rsid w:val="00B76FFB"/>
    <w:rsid w:val="00B7795B"/>
    <w:rsid w:val="00B77961"/>
    <w:rsid w:val="00B803FE"/>
    <w:rsid w:val="00B84C74"/>
    <w:rsid w:val="00B94CF1"/>
    <w:rsid w:val="00BA2379"/>
    <w:rsid w:val="00BA6F13"/>
    <w:rsid w:val="00BB3A8E"/>
    <w:rsid w:val="00BB5CD0"/>
    <w:rsid w:val="00BB7111"/>
    <w:rsid w:val="00BC0690"/>
    <w:rsid w:val="00BC2A7B"/>
    <w:rsid w:val="00BC4D83"/>
    <w:rsid w:val="00BC6D1F"/>
    <w:rsid w:val="00BD1CD3"/>
    <w:rsid w:val="00BE0F5B"/>
    <w:rsid w:val="00BE242C"/>
    <w:rsid w:val="00BF061C"/>
    <w:rsid w:val="00BF2DE4"/>
    <w:rsid w:val="00BF4E4B"/>
    <w:rsid w:val="00BF7045"/>
    <w:rsid w:val="00C03881"/>
    <w:rsid w:val="00C03EC3"/>
    <w:rsid w:val="00C051BA"/>
    <w:rsid w:val="00C052AB"/>
    <w:rsid w:val="00C114D9"/>
    <w:rsid w:val="00C115C2"/>
    <w:rsid w:val="00C12A33"/>
    <w:rsid w:val="00C20A8B"/>
    <w:rsid w:val="00C234FA"/>
    <w:rsid w:val="00C31DD3"/>
    <w:rsid w:val="00C32BEA"/>
    <w:rsid w:val="00C3405B"/>
    <w:rsid w:val="00C510B7"/>
    <w:rsid w:val="00C5115E"/>
    <w:rsid w:val="00C54574"/>
    <w:rsid w:val="00C67F26"/>
    <w:rsid w:val="00C72985"/>
    <w:rsid w:val="00C73607"/>
    <w:rsid w:val="00C7554B"/>
    <w:rsid w:val="00C7749B"/>
    <w:rsid w:val="00C806B6"/>
    <w:rsid w:val="00C82DE7"/>
    <w:rsid w:val="00C90F87"/>
    <w:rsid w:val="00C91EA9"/>
    <w:rsid w:val="00CB10A1"/>
    <w:rsid w:val="00CB1671"/>
    <w:rsid w:val="00CB3128"/>
    <w:rsid w:val="00CB582D"/>
    <w:rsid w:val="00CB63FC"/>
    <w:rsid w:val="00CB78F3"/>
    <w:rsid w:val="00CC1E96"/>
    <w:rsid w:val="00CC7527"/>
    <w:rsid w:val="00CD60E2"/>
    <w:rsid w:val="00CD79F0"/>
    <w:rsid w:val="00CE0705"/>
    <w:rsid w:val="00CF37DE"/>
    <w:rsid w:val="00CF45D0"/>
    <w:rsid w:val="00CF4883"/>
    <w:rsid w:val="00CF6FCC"/>
    <w:rsid w:val="00D06972"/>
    <w:rsid w:val="00D21461"/>
    <w:rsid w:val="00D22BE5"/>
    <w:rsid w:val="00D30B85"/>
    <w:rsid w:val="00D37A63"/>
    <w:rsid w:val="00D44310"/>
    <w:rsid w:val="00D44681"/>
    <w:rsid w:val="00D44B33"/>
    <w:rsid w:val="00D536B1"/>
    <w:rsid w:val="00D556A1"/>
    <w:rsid w:val="00D563C2"/>
    <w:rsid w:val="00D57164"/>
    <w:rsid w:val="00D57281"/>
    <w:rsid w:val="00D65967"/>
    <w:rsid w:val="00D732AF"/>
    <w:rsid w:val="00D777F1"/>
    <w:rsid w:val="00D8185B"/>
    <w:rsid w:val="00D8194A"/>
    <w:rsid w:val="00D82F3E"/>
    <w:rsid w:val="00D969A3"/>
    <w:rsid w:val="00DA584A"/>
    <w:rsid w:val="00DB6895"/>
    <w:rsid w:val="00DC4C07"/>
    <w:rsid w:val="00DC7AB8"/>
    <w:rsid w:val="00DD525D"/>
    <w:rsid w:val="00DD5508"/>
    <w:rsid w:val="00DE0E0D"/>
    <w:rsid w:val="00DE1C4D"/>
    <w:rsid w:val="00DE5E63"/>
    <w:rsid w:val="00DE675A"/>
    <w:rsid w:val="00E135DB"/>
    <w:rsid w:val="00E1452E"/>
    <w:rsid w:val="00E235C9"/>
    <w:rsid w:val="00E375E1"/>
    <w:rsid w:val="00E40A3B"/>
    <w:rsid w:val="00E42CD9"/>
    <w:rsid w:val="00E431DF"/>
    <w:rsid w:val="00E54657"/>
    <w:rsid w:val="00E6697F"/>
    <w:rsid w:val="00E74681"/>
    <w:rsid w:val="00E77CF4"/>
    <w:rsid w:val="00E8042B"/>
    <w:rsid w:val="00E820A0"/>
    <w:rsid w:val="00E9217F"/>
    <w:rsid w:val="00E9496E"/>
    <w:rsid w:val="00E95E2C"/>
    <w:rsid w:val="00E96765"/>
    <w:rsid w:val="00E97D09"/>
    <w:rsid w:val="00EA009B"/>
    <w:rsid w:val="00EA04B7"/>
    <w:rsid w:val="00EA0937"/>
    <w:rsid w:val="00EA7723"/>
    <w:rsid w:val="00EB17F3"/>
    <w:rsid w:val="00EB28CA"/>
    <w:rsid w:val="00EB57D6"/>
    <w:rsid w:val="00EC5445"/>
    <w:rsid w:val="00EE1688"/>
    <w:rsid w:val="00EE23CC"/>
    <w:rsid w:val="00EF36D5"/>
    <w:rsid w:val="00EF3F63"/>
    <w:rsid w:val="00EF4C13"/>
    <w:rsid w:val="00EF6EEB"/>
    <w:rsid w:val="00F02CB5"/>
    <w:rsid w:val="00F072C2"/>
    <w:rsid w:val="00F07DE8"/>
    <w:rsid w:val="00F07F4C"/>
    <w:rsid w:val="00F1066F"/>
    <w:rsid w:val="00F21207"/>
    <w:rsid w:val="00F5110A"/>
    <w:rsid w:val="00F52FF2"/>
    <w:rsid w:val="00F53FD4"/>
    <w:rsid w:val="00F56BEA"/>
    <w:rsid w:val="00F72D89"/>
    <w:rsid w:val="00F74F31"/>
    <w:rsid w:val="00F95FE2"/>
    <w:rsid w:val="00FA0D4F"/>
    <w:rsid w:val="00FA3C12"/>
    <w:rsid w:val="00FB02D1"/>
    <w:rsid w:val="00FB3A1E"/>
    <w:rsid w:val="00FB3C91"/>
    <w:rsid w:val="00FB4DCC"/>
    <w:rsid w:val="00FB6647"/>
    <w:rsid w:val="00FD3F1A"/>
    <w:rsid w:val="00FD442A"/>
    <w:rsid w:val="00FD6406"/>
    <w:rsid w:val="00FD72DA"/>
    <w:rsid w:val="00FE5FE9"/>
    <w:rsid w:val="00FE7D94"/>
    <w:rsid w:val="00FF0F02"/>
    <w:rsid w:val="00FF7F1F"/>
    <w:rsid w:val="01773477"/>
    <w:rsid w:val="01D029AF"/>
    <w:rsid w:val="0273010D"/>
    <w:rsid w:val="0454399B"/>
    <w:rsid w:val="048242EB"/>
    <w:rsid w:val="049360A4"/>
    <w:rsid w:val="04E8759B"/>
    <w:rsid w:val="04FC07BA"/>
    <w:rsid w:val="05C21244"/>
    <w:rsid w:val="064029FC"/>
    <w:rsid w:val="078B0F5C"/>
    <w:rsid w:val="07F46FDB"/>
    <w:rsid w:val="08AB2AB1"/>
    <w:rsid w:val="09CD219B"/>
    <w:rsid w:val="09E42488"/>
    <w:rsid w:val="09ED576F"/>
    <w:rsid w:val="0A2A0535"/>
    <w:rsid w:val="0D116C13"/>
    <w:rsid w:val="10525806"/>
    <w:rsid w:val="14583CD7"/>
    <w:rsid w:val="148126CD"/>
    <w:rsid w:val="14DE2927"/>
    <w:rsid w:val="168503A9"/>
    <w:rsid w:val="16C90EF1"/>
    <w:rsid w:val="17281EC0"/>
    <w:rsid w:val="181E6DC2"/>
    <w:rsid w:val="19017059"/>
    <w:rsid w:val="1953639C"/>
    <w:rsid w:val="1A167B3A"/>
    <w:rsid w:val="1C202209"/>
    <w:rsid w:val="1FD746B4"/>
    <w:rsid w:val="1FEFCCB5"/>
    <w:rsid w:val="216750D4"/>
    <w:rsid w:val="22557C1D"/>
    <w:rsid w:val="226B7889"/>
    <w:rsid w:val="22E33BF0"/>
    <w:rsid w:val="23134263"/>
    <w:rsid w:val="23897365"/>
    <w:rsid w:val="23B858BF"/>
    <w:rsid w:val="23C120FD"/>
    <w:rsid w:val="243D3F18"/>
    <w:rsid w:val="245B3C6C"/>
    <w:rsid w:val="25100723"/>
    <w:rsid w:val="25AD0C5F"/>
    <w:rsid w:val="28A736BD"/>
    <w:rsid w:val="2A5176CA"/>
    <w:rsid w:val="2C680449"/>
    <w:rsid w:val="2D102879"/>
    <w:rsid w:val="2E5B9BA0"/>
    <w:rsid w:val="2FEFC2F3"/>
    <w:rsid w:val="314865E7"/>
    <w:rsid w:val="32422B29"/>
    <w:rsid w:val="35A74912"/>
    <w:rsid w:val="35CB5EC9"/>
    <w:rsid w:val="37F79384"/>
    <w:rsid w:val="38E65C15"/>
    <w:rsid w:val="39A35D51"/>
    <w:rsid w:val="3BCE327C"/>
    <w:rsid w:val="3C345451"/>
    <w:rsid w:val="3E9D7E49"/>
    <w:rsid w:val="3F283A52"/>
    <w:rsid w:val="3F73C410"/>
    <w:rsid w:val="402107A3"/>
    <w:rsid w:val="407C4056"/>
    <w:rsid w:val="44CA4BFA"/>
    <w:rsid w:val="475A67D9"/>
    <w:rsid w:val="4B3C0380"/>
    <w:rsid w:val="4B8D6ED7"/>
    <w:rsid w:val="4D083EE4"/>
    <w:rsid w:val="4D792F09"/>
    <w:rsid w:val="4E9B7A20"/>
    <w:rsid w:val="504970E8"/>
    <w:rsid w:val="51D05F5C"/>
    <w:rsid w:val="56901E7C"/>
    <w:rsid w:val="56AA6DC0"/>
    <w:rsid w:val="56F4747D"/>
    <w:rsid w:val="589E5842"/>
    <w:rsid w:val="59476CE1"/>
    <w:rsid w:val="5981360E"/>
    <w:rsid w:val="599A26EE"/>
    <w:rsid w:val="5A851007"/>
    <w:rsid w:val="5B070DB8"/>
    <w:rsid w:val="5B860DDB"/>
    <w:rsid w:val="5D373670"/>
    <w:rsid w:val="5D4E7D75"/>
    <w:rsid w:val="5DD21301"/>
    <w:rsid w:val="5E911FD2"/>
    <w:rsid w:val="5FFF488E"/>
    <w:rsid w:val="611449CF"/>
    <w:rsid w:val="62771C70"/>
    <w:rsid w:val="62A02B74"/>
    <w:rsid w:val="62D5FBF8"/>
    <w:rsid w:val="63DF45AD"/>
    <w:rsid w:val="65164566"/>
    <w:rsid w:val="674E6074"/>
    <w:rsid w:val="675B5AF4"/>
    <w:rsid w:val="69814D1C"/>
    <w:rsid w:val="6C6E7C95"/>
    <w:rsid w:val="6CE1142C"/>
    <w:rsid w:val="6E7042BE"/>
    <w:rsid w:val="6ECF7BC3"/>
    <w:rsid w:val="6FA86B63"/>
    <w:rsid w:val="70AF02E3"/>
    <w:rsid w:val="717F3BC0"/>
    <w:rsid w:val="73A04113"/>
    <w:rsid w:val="75457F23"/>
    <w:rsid w:val="760477CC"/>
    <w:rsid w:val="78E421E4"/>
    <w:rsid w:val="796F6888"/>
    <w:rsid w:val="7CA64A0C"/>
    <w:rsid w:val="7D174734"/>
    <w:rsid w:val="7D5FC7AA"/>
    <w:rsid w:val="7E8A580B"/>
    <w:rsid w:val="7FC332BE"/>
    <w:rsid w:val="7FFF7A26"/>
    <w:rsid w:val="B6BD8DA3"/>
    <w:rsid w:val="DC92937D"/>
    <w:rsid w:val="DDDD4EF9"/>
    <w:rsid w:val="DFFBD87E"/>
    <w:rsid w:val="EDEBEE9E"/>
    <w:rsid w:val="F2DE6962"/>
    <w:rsid w:val="FD758C5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99"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40" w:beforeLines="0" w:after="330" w:afterLines="0" w:line="576" w:lineRule="auto"/>
      <w:outlineLvl w:val="0"/>
    </w:pPr>
    <w:rPr>
      <w:b/>
      <w:bCs/>
      <w:kern w:val="44"/>
      <w:sz w:val="44"/>
      <w:szCs w:val="44"/>
    </w:rPr>
  </w:style>
  <w:style w:type="paragraph" w:styleId="4">
    <w:name w:val="heading 2"/>
    <w:basedOn w:val="1"/>
    <w:next w:val="1"/>
    <w:link w:val="64"/>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5">
    <w:name w:val="heading 3"/>
    <w:basedOn w:val="1"/>
    <w:next w:val="1"/>
    <w:link w:val="49"/>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50"/>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51"/>
    <w:qFormat/>
    <w:uiPriority w:val="0"/>
    <w:pPr>
      <w:keepNext/>
      <w:keepLines/>
      <w:spacing w:before="280" w:after="290" w:line="376" w:lineRule="auto"/>
      <w:outlineLvl w:val="4"/>
    </w:pPr>
    <w:rPr>
      <w:b/>
      <w:bCs/>
      <w:sz w:val="28"/>
      <w:szCs w:val="28"/>
    </w:rPr>
  </w:style>
  <w:style w:type="character" w:default="1" w:styleId="40">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styleId="2">
    <w:name w:val="Body Text"/>
    <w:basedOn w:val="1"/>
    <w:link w:val="55"/>
    <w:qFormat/>
    <w:uiPriority w:val="0"/>
    <w:pPr>
      <w:spacing w:after="120"/>
    </w:pPr>
  </w:style>
  <w:style w:type="paragraph" w:styleId="8">
    <w:name w:val="toc 7"/>
    <w:basedOn w:val="1"/>
    <w:next w:val="1"/>
    <w:qFormat/>
    <w:uiPriority w:val="0"/>
    <w:pPr>
      <w:jc w:val="left"/>
    </w:pPr>
    <w:rPr>
      <w:rFonts w:ascii="Calibri" w:hAnsi="Calibri"/>
      <w:sz w:val="22"/>
      <w:szCs w:val="22"/>
    </w:rPr>
  </w:style>
  <w:style w:type="paragraph" w:styleId="9">
    <w:name w:val="index 8"/>
    <w:basedOn w:val="1"/>
    <w:next w:val="1"/>
    <w:semiHidden/>
    <w:qFormat/>
    <w:uiPriority w:val="99"/>
    <w:pPr>
      <w:adjustRightInd w:val="0"/>
      <w:spacing w:line="360" w:lineRule="atLeast"/>
      <w:ind w:left="2940"/>
      <w:textAlignment w:val="baseline"/>
    </w:pPr>
  </w:style>
  <w:style w:type="paragraph" w:styleId="10">
    <w:name w:val="Normal Indent"/>
    <w:basedOn w:val="1"/>
    <w:qFormat/>
    <w:uiPriority w:val="0"/>
    <w:pPr>
      <w:ind w:firstLine="420"/>
    </w:pPr>
    <w:rPr>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52"/>
    <w:qFormat/>
    <w:uiPriority w:val="0"/>
    <w:rPr>
      <w:rFonts w:ascii="宋体"/>
      <w:sz w:val="18"/>
      <w:szCs w:val="18"/>
    </w:rPr>
  </w:style>
  <w:style w:type="paragraph" w:styleId="13">
    <w:name w:val="annotation text"/>
    <w:basedOn w:val="1"/>
    <w:link w:val="53"/>
    <w:qFormat/>
    <w:uiPriority w:val="0"/>
    <w:pPr>
      <w:jc w:val="left"/>
    </w:pPr>
  </w:style>
  <w:style w:type="paragraph" w:styleId="14">
    <w:name w:val="index 6"/>
    <w:basedOn w:val="1"/>
    <w:next w:val="1"/>
    <w:qFormat/>
    <w:uiPriority w:val="0"/>
    <w:pPr>
      <w:ind w:left="2100"/>
    </w:pPr>
    <w:rPr>
      <w:rFonts w:ascii="Times New Roman" w:hAnsi="Times New Roman"/>
    </w:rPr>
  </w:style>
  <w:style w:type="paragraph" w:styleId="15">
    <w:name w:val="Body Text 3"/>
    <w:basedOn w:val="1"/>
    <w:link w:val="54"/>
    <w:qFormat/>
    <w:uiPriority w:val="0"/>
    <w:pPr>
      <w:spacing w:after="120"/>
    </w:pPr>
    <w:rPr>
      <w:sz w:val="16"/>
      <w:szCs w:val="16"/>
    </w:rPr>
  </w:style>
  <w:style w:type="paragraph" w:styleId="16">
    <w:name w:val="Body Text Indent"/>
    <w:basedOn w:val="1"/>
    <w:link w:val="56"/>
    <w:qFormat/>
    <w:uiPriority w:val="0"/>
    <w:pPr>
      <w:spacing w:line="200" w:lineRule="exact"/>
      <w:ind w:firstLine="301"/>
    </w:pPr>
    <w:rPr>
      <w:rFonts w:ascii="宋体" w:hAnsi="Courier New"/>
      <w:spacing w:val="-4"/>
      <w:sz w:val="18"/>
      <w:szCs w:val="20"/>
    </w:rPr>
  </w:style>
  <w:style w:type="paragraph" w:styleId="17">
    <w:name w:val="Block Text"/>
    <w:basedOn w:val="1"/>
    <w:unhideWhenUsed/>
    <w:qFormat/>
    <w:uiPriority w:val="99"/>
    <w:pPr>
      <w:spacing w:after="120"/>
      <w:ind w:left="1440" w:leftChars="700" w:right="1440" w:rightChars="700"/>
    </w:pPr>
    <w:rPr>
      <w:rFonts w:ascii="Times New Roman" w:hAnsi="Times New Roman" w:eastAsia="宋体" w:cs="Times New Roman"/>
    </w:rPr>
  </w:style>
  <w:style w:type="paragraph" w:styleId="18">
    <w:name w:val="toc 5"/>
    <w:basedOn w:val="1"/>
    <w:next w:val="1"/>
    <w:qFormat/>
    <w:uiPriority w:val="0"/>
    <w:pPr>
      <w:jc w:val="left"/>
    </w:pPr>
    <w:rPr>
      <w:rFonts w:ascii="Calibri" w:hAnsi="Calibri"/>
      <w:sz w:val="22"/>
      <w:szCs w:val="22"/>
    </w:rPr>
  </w:style>
  <w:style w:type="paragraph" w:styleId="19">
    <w:name w:val="toc 3"/>
    <w:basedOn w:val="1"/>
    <w:next w:val="1"/>
    <w:qFormat/>
    <w:uiPriority w:val="0"/>
    <w:pPr>
      <w:jc w:val="left"/>
    </w:pPr>
    <w:rPr>
      <w:rFonts w:ascii="Calibri" w:hAnsi="Calibri"/>
      <w:smallCaps/>
      <w:sz w:val="22"/>
      <w:szCs w:val="22"/>
    </w:rPr>
  </w:style>
  <w:style w:type="paragraph" w:styleId="20">
    <w:name w:val="Plain Text"/>
    <w:basedOn w:val="1"/>
    <w:next w:val="9"/>
    <w:link w:val="57"/>
    <w:qFormat/>
    <w:uiPriority w:val="0"/>
    <w:rPr>
      <w:rFonts w:ascii="宋体" w:hAnsi="Courier New"/>
      <w:szCs w:val="20"/>
    </w:rPr>
  </w:style>
  <w:style w:type="paragraph" w:styleId="21">
    <w:name w:val="toc 8"/>
    <w:basedOn w:val="1"/>
    <w:next w:val="1"/>
    <w:qFormat/>
    <w:uiPriority w:val="0"/>
    <w:pPr>
      <w:jc w:val="left"/>
    </w:pPr>
    <w:rPr>
      <w:rFonts w:ascii="Calibri" w:hAnsi="Calibri"/>
      <w:sz w:val="22"/>
      <w:szCs w:val="22"/>
    </w:rPr>
  </w:style>
  <w:style w:type="paragraph" w:styleId="22">
    <w:name w:val="Date"/>
    <w:basedOn w:val="1"/>
    <w:next w:val="1"/>
    <w:link w:val="58"/>
    <w:qFormat/>
    <w:uiPriority w:val="0"/>
    <w:pPr>
      <w:ind w:left="100" w:leftChars="2500"/>
    </w:pPr>
  </w:style>
  <w:style w:type="paragraph" w:styleId="23">
    <w:name w:val="Body Text Indent 2"/>
    <w:basedOn w:val="1"/>
    <w:link w:val="59"/>
    <w:qFormat/>
    <w:uiPriority w:val="0"/>
    <w:pPr>
      <w:spacing w:after="120" w:afterLines="0" w:line="480" w:lineRule="auto"/>
      <w:ind w:left="420" w:leftChars="200"/>
    </w:pPr>
  </w:style>
  <w:style w:type="paragraph" w:styleId="24">
    <w:name w:val="Balloon Text"/>
    <w:basedOn w:val="1"/>
    <w:link w:val="60"/>
    <w:qFormat/>
    <w:uiPriority w:val="0"/>
    <w:rPr>
      <w:sz w:val="18"/>
      <w:szCs w:val="18"/>
    </w:rPr>
  </w:style>
  <w:style w:type="paragraph" w:styleId="25">
    <w:name w:val="footer"/>
    <w:basedOn w:val="1"/>
    <w:link w:val="61"/>
    <w:unhideWhenUsed/>
    <w:qFormat/>
    <w:uiPriority w:val="99"/>
    <w:pPr>
      <w:tabs>
        <w:tab w:val="center" w:pos="4153"/>
        <w:tab w:val="right" w:pos="8306"/>
      </w:tabs>
      <w:snapToGrid w:val="0"/>
      <w:jc w:val="left"/>
    </w:pPr>
    <w:rPr>
      <w:sz w:val="18"/>
      <w:szCs w:val="18"/>
    </w:rPr>
  </w:style>
  <w:style w:type="paragraph" w:styleId="26">
    <w:name w:val="header"/>
    <w:basedOn w:val="1"/>
    <w:link w:val="62"/>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pPr>
      <w:spacing w:before="360" w:after="360"/>
      <w:jc w:val="left"/>
    </w:pPr>
    <w:rPr>
      <w:rFonts w:ascii="Calibri" w:hAnsi="Calibri"/>
      <w:b/>
      <w:bCs/>
      <w:caps/>
      <w:sz w:val="22"/>
      <w:szCs w:val="22"/>
      <w:u w:val="single"/>
    </w:rPr>
  </w:style>
  <w:style w:type="paragraph" w:styleId="28">
    <w:name w:val="toc 4"/>
    <w:basedOn w:val="1"/>
    <w:next w:val="1"/>
    <w:qFormat/>
    <w:uiPriority w:val="0"/>
    <w:pPr>
      <w:jc w:val="left"/>
    </w:pPr>
    <w:rPr>
      <w:rFonts w:ascii="Calibri" w:hAnsi="Calibri"/>
      <w:sz w:val="22"/>
      <w:szCs w:val="22"/>
    </w:rPr>
  </w:style>
  <w:style w:type="paragraph" w:styleId="29">
    <w:name w:val="List"/>
    <w:basedOn w:val="1"/>
    <w:qFormat/>
    <w:uiPriority w:val="0"/>
    <w:pPr>
      <w:ind w:left="200" w:hanging="200" w:hangingChars="200"/>
    </w:pPr>
    <w:rPr>
      <w:sz w:val="28"/>
    </w:rPr>
  </w:style>
  <w:style w:type="paragraph" w:styleId="30">
    <w:name w:val="toc 6"/>
    <w:basedOn w:val="1"/>
    <w:next w:val="1"/>
    <w:qFormat/>
    <w:uiPriority w:val="0"/>
    <w:pPr>
      <w:jc w:val="left"/>
    </w:pPr>
    <w:rPr>
      <w:rFonts w:ascii="Calibri" w:hAnsi="Calibri"/>
      <w:sz w:val="22"/>
      <w:szCs w:val="22"/>
    </w:rPr>
  </w:style>
  <w:style w:type="paragraph" w:styleId="31">
    <w:name w:val="toc 2"/>
    <w:basedOn w:val="1"/>
    <w:next w:val="1"/>
    <w:qFormat/>
    <w:uiPriority w:val="0"/>
    <w:pPr>
      <w:jc w:val="left"/>
    </w:pPr>
    <w:rPr>
      <w:rFonts w:ascii="Calibri" w:hAnsi="Calibri"/>
      <w:b/>
      <w:bCs/>
      <w:smallCaps/>
      <w:sz w:val="22"/>
      <w:szCs w:val="22"/>
    </w:rPr>
  </w:style>
  <w:style w:type="paragraph" w:styleId="32">
    <w:name w:val="toc 9"/>
    <w:basedOn w:val="1"/>
    <w:next w:val="1"/>
    <w:qFormat/>
    <w:uiPriority w:val="0"/>
    <w:pPr>
      <w:jc w:val="left"/>
    </w:pPr>
    <w:rPr>
      <w:rFonts w:ascii="Calibri" w:hAnsi="Calibri"/>
      <w:sz w:val="22"/>
      <w:szCs w:val="22"/>
    </w:rPr>
  </w:style>
  <w:style w:type="paragraph" w:styleId="33">
    <w:name w:val="index 1"/>
    <w:basedOn w:val="1"/>
    <w:next w:val="1"/>
    <w:semiHidden/>
    <w:qFormat/>
    <w:uiPriority w:val="0"/>
    <w:pPr>
      <w:spacing w:line="400" w:lineRule="exact"/>
      <w:ind w:firstLine="420" w:firstLineChars="200"/>
    </w:pPr>
    <w:rPr>
      <w:rFonts w:ascii="宋体" w:hAnsi="Courier New"/>
      <w:b/>
      <w:szCs w:val="20"/>
    </w:rPr>
  </w:style>
  <w:style w:type="paragraph" w:styleId="34">
    <w:name w:val="Title"/>
    <w:basedOn w:val="1"/>
    <w:next w:val="1"/>
    <w:qFormat/>
    <w:uiPriority w:val="0"/>
    <w:pPr>
      <w:widowControl w:val="0"/>
      <w:spacing w:before="240" w:after="60"/>
      <w:jc w:val="center"/>
      <w:outlineLvl w:val="0"/>
    </w:pPr>
    <w:rPr>
      <w:rFonts w:ascii="Arial" w:hAnsi="Arial" w:eastAsia="宋体" w:cs="Arial"/>
      <w:b/>
      <w:bCs/>
      <w:kern w:val="2"/>
      <w:sz w:val="32"/>
      <w:szCs w:val="32"/>
      <w:lang w:val="en-US" w:eastAsia="zh-CN" w:bidi="ar-SA"/>
    </w:rPr>
  </w:style>
  <w:style w:type="paragraph" w:styleId="35">
    <w:name w:val="annotation subject"/>
    <w:basedOn w:val="13"/>
    <w:next w:val="13"/>
    <w:link w:val="63"/>
    <w:qFormat/>
    <w:uiPriority w:val="0"/>
    <w:rPr>
      <w:b/>
      <w:bCs/>
    </w:rPr>
  </w:style>
  <w:style w:type="paragraph" w:styleId="36">
    <w:name w:val="Body Text First Indent"/>
    <w:basedOn w:val="2"/>
    <w:qFormat/>
    <w:uiPriority w:val="0"/>
    <w:pPr>
      <w:wordWrap w:val="0"/>
      <w:topLinePunct/>
      <w:spacing w:after="0" w:line="600" w:lineRule="exact"/>
      <w:ind w:firstLine="880" w:firstLineChars="200"/>
    </w:pPr>
  </w:style>
  <w:style w:type="paragraph" w:styleId="37">
    <w:name w:val="Body Text First Indent 2"/>
    <w:basedOn w:val="16"/>
    <w:qFormat/>
    <w:uiPriority w:val="0"/>
    <w:pPr>
      <w:spacing w:line="600" w:lineRule="exact"/>
      <w:ind w:firstLine="200" w:firstLineChars="200"/>
      <w:jc w:val="both"/>
    </w:pPr>
    <w:rPr>
      <w:rFonts w:ascii="Times New Roman" w:hAnsi="Times New Roman" w:eastAsia="仿宋_GB2312" w:cs="Times New Roman"/>
      <w:kern w:val="2"/>
      <w:sz w:val="32"/>
      <w:szCs w:val="21"/>
      <w:lang w:val="en-US" w:eastAsia="zh-CN" w:bidi="ar-SA"/>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page number"/>
    <w:qFormat/>
    <w:uiPriority w:val="0"/>
  </w:style>
  <w:style w:type="character" w:styleId="42">
    <w:name w:val="FollowedHyperlink"/>
    <w:qFormat/>
    <w:uiPriority w:val="0"/>
    <w:rPr>
      <w:color w:val="800080"/>
      <w:u w:val="single"/>
    </w:rPr>
  </w:style>
  <w:style w:type="character" w:styleId="43">
    <w:name w:val="Hyperlink"/>
    <w:qFormat/>
    <w:uiPriority w:val="0"/>
    <w:rPr>
      <w:color w:val="0000FF"/>
      <w:u w:val="single"/>
    </w:rPr>
  </w:style>
  <w:style w:type="character" w:styleId="44">
    <w:name w:val="annotation reference"/>
    <w:qFormat/>
    <w:uiPriority w:val="0"/>
    <w:rPr>
      <w:sz w:val="21"/>
      <w:szCs w:val="21"/>
    </w:rPr>
  </w:style>
  <w:style w:type="paragraph" w:customStyle="1" w:styleId="45">
    <w:name w:val="BodyText1I2"/>
    <w:basedOn w:val="46"/>
    <w:qFormat/>
    <w:uiPriority w:val="0"/>
    <w:pPr>
      <w:ind w:firstLine="420"/>
    </w:pPr>
  </w:style>
  <w:style w:type="paragraph" w:customStyle="1" w:styleId="46">
    <w:name w:val="BodyTextIndent"/>
    <w:basedOn w:val="1"/>
    <w:qFormat/>
    <w:uiPriority w:val="0"/>
    <w:pPr>
      <w:spacing w:after="120"/>
      <w:ind w:left="420" w:leftChars="200"/>
      <w:textAlignment w:val="baseline"/>
    </w:pPr>
  </w:style>
  <w:style w:type="character" w:customStyle="1" w:styleId="47">
    <w:name w:val="标题 1 字符1"/>
    <w:link w:val="3"/>
    <w:qFormat/>
    <w:uiPriority w:val="0"/>
    <w:rPr>
      <w:b/>
      <w:bCs/>
      <w:kern w:val="44"/>
      <w:sz w:val="44"/>
      <w:szCs w:val="44"/>
    </w:rPr>
  </w:style>
  <w:style w:type="character" w:customStyle="1" w:styleId="48">
    <w:name w:val="标题 2 字符1"/>
    <w:link w:val="4"/>
    <w:qFormat/>
    <w:uiPriority w:val="0"/>
    <w:rPr>
      <w:rFonts w:ascii="Arial" w:hAnsi="Arial" w:eastAsia="黑体"/>
      <w:b/>
      <w:bCs/>
      <w:kern w:val="2"/>
      <w:sz w:val="32"/>
      <w:szCs w:val="32"/>
    </w:rPr>
  </w:style>
  <w:style w:type="character" w:customStyle="1" w:styleId="49">
    <w:name w:val="标题 3 字符1"/>
    <w:link w:val="5"/>
    <w:qFormat/>
    <w:uiPriority w:val="0"/>
    <w:rPr>
      <w:b/>
      <w:bCs/>
      <w:kern w:val="2"/>
      <w:sz w:val="32"/>
      <w:szCs w:val="32"/>
    </w:rPr>
  </w:style>
  <w:style w:type="character" w:customStyle="1" w:styleId="50">
    <w:name w:val="标题 4 字符1"/>
    <w:link w:val="6"/>
    <w:qFormat/>
    <w:uiPriority w:val="0"/>
    <w:rPr>
      <w:rFonts w:ascii="Arial" w:eastAsia="黑体"/>
      <w:sz w:val="28"/>
    </w:rPr>
  </w:style>
  <w:style w:type="character" w:customStyle="1" w:styleId="51">
    <w:name w:val="标题 5 字符1"/>
    <w:link w:val="7"/>
    <w:qFormat/>
    <w:uiPriority w:val="9"/>
    <w:rPr>
      <w:b/>
      <w:bCs/>
      <w:kern w:val="2"/>
      <w:sz w:val="28"/>
      <w:szCs w:val="28"/>
    </w:rPr>
  </w:style>
  <w:style w:type="character" w:customStyle="1" w:styleId="52">
    <w:name w:val="文档结构图 字符1"/>
    <w:link w:val="12"/>
    <w:qFormat/>
    <w:uiPriority w:val="0"/>
    <w:rPr>
      <w:rFonts w:ascii="宋体"/>
      <w:kern w:val="2"/>
      <w:sz w:val="18"/>
      <w:szCs w:val="18"/>
    </w:rPr>
  </w:style>
  <w:style w:type="character" w:customStyle="1" w:styleId="53">
    <w:name w:val="批注文字 字符2"/>
    <w:link w:val="13"/>
    <w:qFormat/>
    <w:uiPriority w:val="0"/>
    <w:rPr>
      <w:kern w:val="2"/>
      <w:sz w:val="21"/>
      <w:szCs w:val="24"/>
    </w:rPr>
  </w:style>
  <w:style w:type="character" w:customStyle="1" w:styleId="54">
    <w:name w:val="正文文本 3 字符1"/>
    <w:link w:val="15"/>
    <w:qFormat/>
    <w:uiPriority w:val="99"/>
    <w:rPr>
      <w:kern w:val="2"/>
      <w:sz w:val="16"/>
      <w:szCs w:val="16"/>
    </w:rPr>
  </w:style>
  <w:style w:type="character" w:customStyle="1" w:styleId="55">
    <w:name w:val="正文文本 字符1"/>
    <w:link w:val="2"/>
    <w:qFormat/>
    <w:uiPriority w:val="99"/>
    <w:rPr>
      <w:kern w:val="2"/>
      <w:sz w:val="21"/>
      <w:szCs w:val="24"/>
    </w:rPr>
  </w:style>
  <w:style w:type="character" w:customStyle="1" w:styleId="56">
    <w:name w:val="正文文本缩进 字符1"/>
    <w:link w:val="16"/>
    <w:qFormat/>
    <w:uiPriority w:val="0"/>
    <w:rPr>
      <w:rFonts w:ascii="宋体" w:hAnsi="Courier New" w:eastAsia="宋体"/>
      <w:spacing w:val="-4"/>
      <w:kern w:val="2"/>
      <w:sz w:val="18"/>
      <w:lang w:val="en-US" w:eastAsia="zh-CN" w:bidi="ar-SA"/>
    </w:rPr>
  </w:style>
  <w:style w:type="character" w:customStyle="1" w:styleId="57">
    <w:name w:val="纯文本 字符3"/>
    <w:link w:val="20"/>
    <w:qFormat/>
    <w:uiPriority w:val="0"/>
    <w:rPr>
      <w:rFonts w:ascii="宋体" w:hAnsi="Courier New" w:eastAsia="宋体"/>
      <w:kern w:val="2"/>
      <w:sz w:val="21"/>
      <w:lang w:val="en-US" w:eastAsia="zh-CN" w:bidi="ar-SA"/>
    </w:rPr>
  </w:style>
  <w:style w:type="character" w:customStyle="1" w:styleId="58">
    <w:name w:val="日期 字符1"/>
    <w:link w:val="22"/>
    <w:qFormat/>
    <w:uiPriority w:val="0"/>
    <w:rPr>
      <w:kern w:val="2"/>
      <w:sz w:val="21"/>
      <w:szCs w:val="24"/>
    </w:rPr>
  </w:style>
  <w:style w:type="character" w:customStyle="1" w:styleId="59">
    <w:name w:val="正文文本缩进 2 字符1"/>
    <w:link w:val="23"/>
    <w:qFormat/>
    <w:uiPriority w:val="0"/>
    <w:rPr>
      <w:kern w:val="2"/>
      <w:sz w:val="21"/>
      <w:szCs w:val="24"/>
    </w:rPr>
  </w:style>
  <w:style w:type="character" w:customStyle="1" w:styleId="60">
    <w:name w:val="批注框文本 字符1"/>
    <w:link w:val="24"/>
    <w:qFormat/>
    <w:uiPriority w:val="0"/>
    <w:rPr>
      <w:kern w:val="2"/>
      <w:sz w:val="18"/>
      <w:szCs w:val="18"/>
    </w:rPr>
  </w:style>
  <w:style w:type="character" w:customStyle="1" w:styleId="61">
    <w:name w:val="页脚 字符2"/>
    <w:link w:val="25"/>
    <w:qFormat/>
    <w:uiPriority w:val="99"/>
    <w:rPr>
      <w:kern w:val="2"/>
      <w:sz w:val="18"/>
      <w:szCs w:val="18"/>
    </w:rPr>
  </w:style>
  <w:style w:type="character" w:customStyle="1" w:styleId="62">
    <w:name w:val="页眉 字符2"/>
    <w:link w:val="26"/>
    <w:qFormat/>
    <w:uiPriority w:val="99"/>
    <w:rPr>
      <w:kern w:val="2"/>
      <w:sz w:val="18"/>
      <w:szCs w:val="18"/>
    </w:rPr>
  </w:style>
  <w:style w:type="character" w:customStyle="1" w:styleId="63">
    <w:name w:val="批注主题 字符1"/>
    <w:link w:val="35"/>
    <w:qFormat/>
    <w:uiPriority w:val="99"/>
    <w:rPr>
      <w:b/>
      <w:bCs/>
      <w:kern w:val="2"/>
      <w:sz w:val="21"/>
      <w:szCs w:val="24"/>
    </w:rPr>
  </w:style>
  <w:style w:type="character" w:customStyle="1" w:styleId="64">
    <w:name w:val="标题 2 字符2"/>
    <w:link w:val="4"/>
    <w:qFormat/>
    <w:uiPriority w:val="0"/>
    <w:rPr>
      <w:rFonts w:ascii="Arial" w:hAnsi="Arial" w:eastAsia="黑体" w:cs="Times New Roman"/>
      <w:b/>
      <w:bCs/>
      <w:sz w:val="32"/>
      <w:szCs w:val="32"/>
    </w:rPr>
  </w:style>
  <w:style w:type="character" w:customStyle="1" w:styleId="65">
    <w:name w:val="页眉 字符"/>
    <w:qFormat/>
    <w:uiPriority w:val="99"/>
    <w:rPr>
      <w:rFonts w:ascii="Times New Roman" w:hAnsi="Times New Roman"/>
      <w:kern w:val="2"/>
      <w:sz w:val="18"/>
      <w:szCs w:val="18"/>
    </w:rPr>
  </w:style>
  <w:style w:type="character" w:customStyle="1" w:styleId="66">
    <w:name w:val="Char Char1"/>
    <w:qFormat/>
    <w:uiPriority w:val="0"/>
    <w:rPr>
      <w:rFonts w:ascii="宋体" w:hAnsi="Courier New" w:eastAsia="宋体"/>
      <w:kern w:val="2"/>
      <w:sz w:val="21"/>
      <w:lang w:val="en-US" w:eastAsia="zh-CN" w:bidi="ar-SA"/>
    </w:rPr>
  </w:style>
  <w:style w:type="character" w:customStyle="1" w:styleId="67">
    <w:name w:val="纯文本 字符2"/>
    <w:qFormat/>
    <w:uiPriority w:val="0"/>
    <w:rPr>
      <w:rFonts w:ascii="宋体" w:hAnsi="Courier New" w:eastAsia="宋体" w:cs="Courier New"/>
      <w:szCs w:val="21"/>
    </w:rPr>
  </w:style>
  <w:style w:type="character" w:customStyle="1" w:styleId="68">
    <w:name w:val="正文文本_"/>
    <w:link w:val="69"/>
    <w:qFormat/>
    <w:uiPriority w:val="0"/>
    <w:rPr>
      <w:rFonts w:ascii="MingLiU" w:hAnsi="MingLiU" w:eastAsia="MingLiU" w:cs="MingLiU"/>
      <w:spacing w:val="9"/>
      <w:sz w:val="19"/>
      <w:szCs w:val="19"/>
      <w:shd w:val="clear" w:color="auto" w:fill="FFFFFF"/>
    </w:rPr>
  </w:style>
  <w:style w:type="paragraph" w:customStyle="1" w:styleId="69">
    <w:name w:val="正文文本1"/>
    <w:basedOn w:val="1"/>
    <w:link w:val="68"/>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70">
    <w:name w:val="纯文本 Char1"/>
    <w:link w:val="71"/>
    <w:qFormat/>
    <w:uiPriority w:val="0"/>
    <w:rPr>
      <w:rFonts w:ascii="宋体" w:hAnsi="Courier New" w:eastAsia="宋体"/>
      <w:kern w:val="2"/>
      <w:sz w:val="21"/>
      <w:lang w:val="en-US" w:eastAsia="zh-CN" w:bidi="ar-SA"/>
    </w:rPr>
  </w:style>
  <w:style w:type="paragraph" w:customStyle="1" w:styleId="71">
    <w:name w:val="纯文本1"/>
    <w:basedOn w:val="1"/>
    <w:link w:val="70"/>
    <w:qFormat/>
    <w:uiPriority w:val="0"/>
    <w:rPr>
      <w:rFonts w:ascii="宋体" w:hAnsi="Courier New"/>
      <w:szCs w:val="20"/>
    </w:rPr>
  </w:style>
  <w:style w:type="character" w:customStyle="1" w:styleId="72">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7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4">
    <w:name w:val="页脚 字符"/>
    <w:qFormat/>
    <w:uiPriority w:val="99"/>
    <w:rPr>
      <w:sz w:val="18"/>
      <w:szCs w:val="18"/>
    </w:rPr>
  </w:style>
  <w:style w:type="character" w:customStyle="1" w:styleId="75">
    <w:name w:val="批注文字 字符1"/>
    <w:qFormat/>
    <w:uiPriority w:val="0"/>
    <w:rPr>
      <w:rFonts w:ascii="Times New Roman" w:hAnsi="Times New Roman"/>
      <w:kern w:val="2"/>
      <w:sz w:val="21"/>
      <w:szCs w:val="24"/>
    </w:rPr>
  </w:style>
  <w:style w:type="character" w:customStyle="1" w:styleId="76">
    <w:name w:val="正文2 Char Char"/>
    <w:link w:val="77"/>
    <w:qFormat/>
    <w:uiPriority w:val="0"/>
    <w:rPr>
      <w:kern w:val="2"/>
      <w:sz w:val="24"/>
    </w:rPr>
  </w:style>
  <w:style w:type="paragraph" w:customStyle="1" w:styleId="77">
    <w:name w:val="正文2"/>
    <w:basedOn w:val="1"/>
    <w:link w:val="76"/>
    <w:qFormat/>
    <w:uiPriority w:val="0"/>
    <w:pPr>
      <w:adjustRightInd w:val="0"/>
      <w:spacing w:before="156" w:line="360" w:lineRule="auto"/>
      <w:ind w:firstLine="510" w:firstLineChars="200"/>
    </w:pPr>
    <w:rPr>
      <w:sz w:val="24"/>
      <w:szCs w:val="20"/>
    </w:rPr>
  </w:style>
  <w:style w:type="character" w:customStyle="1" w:styleId="78">
    <w:name w:val="纯文本 Char_0"/>
    <w:link w:val="79"/>
    <w:qFormat/>
    <w:uiPriority w:val="0"/>
    <w:rPr>
      <w:rFonts w:ascii="宋体" w:hAnsi="Courier New"/>
      <w:kern w:val="2"/>
      <w:sz w:val="21"/>
      <w:szCs w:val="21"/>
    </w:rPr>
  </w:style>
  <w:style w:type="paragraph" w:customStyle="1" w:styleId="79">
    <w:name w:val="纯文本_0_0"/>
    <w:basedOn w:val="1"/>
    <w:link w:val="78"/>
    <w:qFormat/>
    <w:uiPriority w:val="0"/>
    <w:rPr>
      <w:rFonts w:ascii="宋体" w:hAnsi="Courier New"/>
      <w:szCs w:val="21"/>
    </w:rPr>
  </w:style>
  <w:style w:type="character" w:customStyle="1" w:styleId="80">
    <w:name w:val="批注文字 Char1"/>
    <w:qFormat/>
    <w:uiPriority w:val="0"/>
    <w:rPr>
      <w:rFonts w:ascii="Times New Roman" w:hAnsi="Times New Roman"/>
      <w:kern w:val="2"/>
      <w:sz w:val="21"/>
      <w:szCs w:val="24"/>
    </w:rPr>
  </w:style>
  <w:style w:type="paragraph" w:styleId="81">
    <w:name w:val="List Paragraph"/>
    <w:basedOn w:val="1"/>
    <w:qFormat/>
    <w:uiPriority w:val="34"/>
    <w:pPr>
      <w:ind w:firstLine="420" w:firstLineChars="200"/>
    </w:pPr>
  </w:style>
  <w:style w:type="paragraph" w:customStyle="1" w:styleId="82">
    <w:name w:val="Char Char Char1 Char Char Char Char Char Char Char"/>
    <w:basedOn w:val="1"/>
    <w:qFormat/>
    <w:uiPriority w:val="0"/>
  </w:style>
  <w:style w:type="paragraph" w:customStyle="1" w:styleId="83">
    <w:name w:val="Char Char Char"/>
    <w:basedOn w:val="1"/>
    <w:qFormat/>
    <w:uiPriority w:val="0"/>
    <w:rPr>
      <w:szCs w:val="20"/>
    </w:rPr>
  </w:style>
  <w:style w:type="paragraph" w:customStyle="1" w:styleId="84">
    <w:name w:val=" Char Char Char Char Char Char Char Char Char Char Char Char"/>
    <w:basedOn w:val="1"/>
    <w:qFormat/>
    <w:uiPriority w:val="0"/>
    <w:pPr>
      <w:widowControl/>
      <w:spacing w:after="160" w:afterLines="0" w:line="240" w:lineRule="exact"/>
      <w:jc w:val="left"/>
    </w:pPr>
  </w:style>
  <w:style w:type="paragraph" w:customStyle="1" w:styleId="85">
    <w:name w:val="列出段落1"/>
    <w:basedOn w:val="1"/>
    <w:qFormat/>
    <w:uiPriority w:val="34"/>
    <w:pPr>
      <w:spacing w:before="100" w:beforeAutospacing="1" w:after="100" w:afterAutospacing="1" w:line="360" w:lineRule="auto"/>
      <w:ind w:firstLine="420" w:firstLineChars="200"/>
    </w:pPr>
  </w:style>
  <w:style w:type="paragraph" w:customStyle="1" w:styleId="86">
    <w:name w:val="_Style 85"/>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87">
    <w:name w:val="样式 标题 2 + 非加粗 首行缩进:  2 字符"/>
    <w:basedOn w:val="4"/>
    <w:qFormat/>
    <w:uiPriority w:val="0"/>
    <w:pPr>
      <w:spacing w:before="0" w:beforeLines="0" w:after="0" w:afterLines="0" w:line="600" w:lineRule="exact"/>
      <w:ind w:firstLine="640" w:firstLineChars="200"/>
      <w:jc w:val="left"/>
    </w:pPr>
    <w:rPr>
      <w:rFonts w:cs="宋体"/>
      <w:b w:val="0"/>
      <w:bCs w:val="0"/>
      <w:szCs w:val="20"/>
    </w:rPr>
  </w:style>
  <w:style w:type="paragraph" w:customStyle="1" w:styleId="88">
    <w:name w:val="Table Paragraph"/>
    <w:basedOn w:val="1"/>
    <w:qFormat/>
    <w:uiPriority w:val="1"/>
    <w:pPr>
      <w:jc w:val="left"/>
    </w:pPr>
    <w:rPr>
      <w:rFonts w:ascii="Calibri" w:hAnsi="Calibri"/>
      <w:kern w:val="0"/>
      <w:sz w:val="22"/>
      <w:szCs w:val="22"/>
      <w:lang w:eastAsia="en-US"/>
    </w:rPr>
  </w:style>
  <w:style w:type="paragraph" w:customStyle="1" w:styleId="89">
    <w:name w:val=" Char"/>
    <w:basedOn w:val="1"/>
    <w:qFormat/>
    <w:uiPriority w:val="0"/>
    <w:rPr>
      <w:szCs w:val="21"/>
    </w:rPr>
  </w:style>
  <w:style w:type="paragraph" w:customStyle="1" w:styleId="90">
    <w:name w:val="Char Char Char Char Char Char Char"/>
    <w:basedOn w:val="1"/>
    <w:qFormat/>
    <w:uiPriority w:val="0"/>
  </w:style>
  <w:style w:type="paragraph" w:customStyle="1" w:styleId="91">
    <w:name w:val=" Char Char Char Char Char Char Char"/>
    <w:basedOn w:val="1"/>
    <w:qFormat/>
    <w:uiPriority w:val="0"/>
  </w:style>
  <w:style w:type="paragraph" w:customStyle="1" w:styleId="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3">
    <w:name w:val="Char Char Char Char Char Char Char Char Char Char Char Char"/>
    <w:basedOn w:val="1"/>
    <w:qFormat/>
    <w:uiPriority w:val="0"/>
    <w:pPr>
      <w:widowControl/>
      <w:spacing w:after="160" w:afterLines="0" w:line="240" w:lineRule="exact"/>
      <w:jc w:val="left"/>
    </w:pPr>
  </w:style>
  <w:style w:type="paragraph" w:customStyle="1" w:styleId="94">
    <w:name w:val="表格文字"/>
    <w:basedOn w:val="16"/>
    <w:next w:val="2"/>
    <w:qFormat/>
    <w:uiPriority w:val="0"/>
    <w:pPr>
      <w:adjustRightInd w:val="0"/>
      <w:spacing w:line="420" w:lineRule="atLeast"/>
      <w:jc w:val="left"/>
      <w:textAlignment w:val="baseline"/>
    </w:pPr>
    <w:rPr>
      <w:kern w:val="0"/>
    </w:rPr>
  </w:style>
  <w:style w:type="paragraph" w:customStyle="1" w:styleId="95">
    <w:name w:val="_Style 94"/>
    <w:qFormat/>
    <w:uiPriority w:val="0"/>
    <w:rPr>
      <w:rFonts w:ascii="Times New Roman" w:hAnsi="Times New Roman" w:eastAsia="宋体" w:cs="Times New Roman"/>
      <w:kern w:val="2"/>
      <w:sz w:val="21"/>
      <w:szCs w:val="24"/>
      <w:lang w:val="en-US" w:eastAsia="zh-CN" w:bidi="ar-SA"/>
    </w:rPr>
  </w:style>
  <w:style w:type="paragraph" w:customStyle="1" w:styleId="96">
    <w:name w:val="正文段"/>
    <w:basedOn w:val="1"/>
    <w:qFormat/>
    <w:uiPriority w:val="0"/>
    <w:pPr>
      <w:widowControl/>
      <w:snapToGrid w:val="0"/>
      <w:spacing w:after="156" w:afterLines="50"/>
      <w:ind w:firstLine="200" w:firstLineChars="200"/>
    </w:pPr>
    <w:rPr>
      <w:kern w:val="0"/>
      <w:sz w:val="24"/>
      <w:szCs w:val="20"/>
    </w:rPr>
  </w:style>
  <w:style w:type="paragraph" w:customStyle="1" w:styleId="97">
    <w:name w:val="Char Char Char Char"/>
    <w:basedOn w:val="1"/>
    <w:qFormat/>
    <w:uiPriority w:val="0"/>
    <w:pPr>
      <w:widowControl/>
      <w:spacing w:after="160" w:afterLines="0" w:line="240" w:lineRule="exact"/>
      <w:jc w:val="left"/>
    </w:pPr>
  </w:style>
  <w:style w:type="paragraph" w:customStyle="1" w:styleId="98">
    <w:name w:val="Char"/>
    <w:basedOn w:val="1"/>
    <w:qFormat/>
    <w:uiPriority w:val="0"/>
  </w:style>
  <w:style w:type="paragraph" w:customStyle="1" w:styleId="99">
    <w:name w:val=" Char Char Char Char"/>
    <w:basedOn w:val="1"/>
    <w:qFormat/>
    <w:uiPriority w:val="0"/>
    <w:pPr>
      <w:widowControl/>
      <w:spacing w:after="160" w:afterLines="0" w:line="240" w:lineRule="exact"/>
      <w:jc w:val="left"/>
    </w:pPr>
  </w:style>
  <w:style w:type="paragraph" w:customStyle="1" w:styleId="100">
    <w:name w:val="样式 标题 1 + 居中 段前: 0 磅 段后: 0 磅 行距: 固定值 30 磅"/>
    <w:basedOn w:val="3"/>
    <w:qFormat/>
    <w:uiPriority w:val="0"/>
    <w:pPr>
      <w:spacing w:before="0" w:beforeLines="0" w:after="0" w:afterLines="0" w:line="600" w:lineRule="exact"/>
      <w:jc w:val="center"/>
    </w:pPr>
    <w:rPr>
      <w:rFonts w:cs="宋体"/>
      <w:szCs w:val="20"/>
    </w:rPr>
  </w:style>
  <w:style w:type="paragraph" w:customStyle="1" w:styleId="101">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2">
    <w:name w:val="p0"/>
    <w:basedOn w:val="1"/>
    <w:qFormat/>
    <w:uiPriority w:val="0"/>
    <w:pPr>
      <w:widowControl/>
    </w:pPr>
    <w:rPr>
      <w:kern w:val="0"/>
      <w:szCs w:val="21"/>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character" w:customStyle="1" w:styleId="104">
    <w:name w:val="正文文本 字符"/>
    <w:qFormat/>
    <w:uiPriority w:val="99"/>
    <w:rPr>
      <w:kern w:val="2"/>
      <w:sz w:val="21"/>
      <w:szCs w:val="24"/>
    </w:rPr>
  </w:style>
  <w:style w:type="character" w:customStyle="1" w:styleId="105">
    <w:name w:val="纯文本 字符"/>
    <w:qFormat/>
    <w:uiPriority w:val="0"/>
    <w:rPr>
      <w:rFonts w:ascii="宋体" w:hAnsi="Courier New"/>
      <w:kern w:val="2"/>
      <w:sz w:val="21"/>
    </w:rPr>
  </w:style>
  <w:style w:type="character" w:customStyle="1" w:styleId="106">
    <w:name w:val="标题 1 字符"/>
    <w:qFormat/>
    <w:uiPriority w:val="0"/>
    <w:rPr>
      <w:b/>
      <w:bCs/>
      <w:kern w:val="44"/>
      <w:sz w:val="44"/>
      <w:szCs w:val="44"/>
    </w:rPr>
  </w:style>
  <w:style w:type="character" w:customStyle="1" w:styleId="107">
    <w:name w:val="标题 2 字符"/>
    <w:qFormat/>
    <w:uiPriority w:val="0"/>
    <w:rPr>
      <w:rFonts w:ascii="Arial" w:hAnsi="Arial" w:eastAsia="黑体"/>
      <w:b/>
      <w:bCs/>
      <w:kern w:val="2"/>
      <w:sz w:val="32"/>
      <w:szCs w:val="32"/>
    </w:rPr>
  </w:style>
  <w:style w:type="character" w:customStyle="1" w:styleId="108">
    <w:name w:val="标题 3 字符"/>
    <w:qFormat/>
    <w:uiPriority w:val="0"/>
    <w:rPr>
      <w:b/>
      <w:bCs/>
      <w:kern w:val="2"/>
      <w:sz w:val="32"/>
      <w:szCs w:val="32"/>
    </w:rPr>
  </w:style>
  <w:style w:type="character" w:customStyle="1" w:styleId="109">
    <w:name w:val="标题 4 字符"/>
    <w:qFormat/>
    <w:uiPriority w:val="0"/>
    <w:rPr>
      <w:rFonts w:ascii="Arial" w:eastAsia="黑体"/>
      <w:sz w:val="28"/>
    </w:rPr>
  </w:style>
  <w:style w:type="character" w:customStyle="1" w:styleId="110">
    <w:name w:val="标题 5 字符"/>
    <w:qFormat/>
    <w:uiPriority w:val="9"/>
    <w:rPr>
      <w:b/>
      <w:bCs/>
      <w:kern w:val="2"/>
      <w:sz w:val="28"/>
      <w:szCs w:val="28"/>
    </w:rPr>
  </w:style>
  <w:style w:type="character" w:customStyle="1" w:styleId="111">
    <w:name w:val="文档结构图 字符"/>
    <w:qFormat/>
    <w:uiPriority w:val="0"/>
    <w:rPr>
      <w:rFonts w:ascii="宋体"/>
      <w:kern w:val="2"/>
      <w:sz w:val="18"/>
      <w:szCs w:val="18"/>
    </w:rPr>
  </w:style>
  <w:style w:type="character" w:customStyle="1" w:styleId="112">
    <w:name w:val="批注文字 字符"/>
    <w:qFormat/>
    <w:uiPriority w:val="0"/>
    <w:rPr>
      <w:kern w:val="2"/>
      <w:sz w:val="21"/>
      <w:szCs w:val="24"/>
    </w:rPr>
  </w:style>
  <w:style w:type="character" w:customStyle="1" w:styleId="113">
    <w:name w:val="正文文本 3 字符"/>
    <w:qFormat/>
    <w:uiPriority w:val="99"/>
    <w:rPr>
      <w:kern w:val="2"/>
      <w:sz w:val="16"/>
      <w:szCs w:val="16"/>
    </w:rPr>
  </w:style>
  <w:style w:type="character" w:customStyle="1" w:styleId="114">
    <w:name w:val="正文文本缩进 字符"/>
    <w:qFormat/>
    <w:uiPriority w:val="0"/>
    <w:rPr>
      <w:rFonts w:ascii="宋体" w:hAnsi="Courier New"/>
      <w:spacing w:val="-4"/>
      <w:kern w:val="2"/>
      <w:sz w:val="18"/>
    </w:rPr>
  </w:style>
  <w:style w:type="character" w:customStyle="1" w:styleId="115">
    <w:name w:val="日期 字符"/>
    <w:qFormat/>
    <w:uiPriority w:val="0"/>
    <w:rPr>
      <w:kern w:val="2"/>
      <w:sz w:val="21"/>
      <w:szCs w:val="24"/>
    </w:rPr>
  </w:style>
  <w:style w:type="character" w:customStyle="1" w:styleId="116">
    <w:name w:val="正文文本缩进 2 字符"/>
    <w:qFormat/>
    <w:uiPriority w:val="0"/>
    <w:rPr>
      <w:kern w:val="2"/>
      <w:sz w:val="21"/>
      <w:szCs w:val="24"/>
    </w:rPr>
  </w:style>
  <w:style w:type="character" w:customStyle="1" w:styleId="117">
    <w:name w:val="批注框文本 字符"/>
    <w:qFormat/>
    <w:uiPriority w:val="0"/>
    <w:rPr>
      <w:kern w:val="2"/>
      <w:sz w:val="18"/>
      <w:szCs w:val="18"/>
    </w:rPr>
  </w:style>
  <w:style w:type="character" w:customStyle="1" w:styleId="118">
    <w:name w:val="页脚 字符1"/>
    <w:qFormat/>
    <w:uiPriority w:val="99"/>
    <w:rPr>
      <w:kern w:val="2"/>
      <w:sz w:val="18"/>
      <w:szCs w:val="18"/>
    </w:rPr>
  </w:style>
  <w:style w:type="character" w:customStyle="1" w:styleId="119">
    <w:name w:val="页眉 字符1"/>
    <w:qFormat/>
    <w:uiPriority w:val="99"/>
    <w:rPr>
      <w:kern w:val="2"/>
      <w:sz w:val="18"/>
      <w:szCs w:val="18"/>
    </w:rPr>
  </w:style>
  <w:style w:type="character" w:customStyle="1" w:styleId="120">
    <w:name w:val="批注主题 字符"/>
    <w:qFormat/>
    <w:uiPriority w:val="99"/>
    <w:rPr>
      <w:b/>
      <w:bCs/>
      <w:kern w:val="2"/>
      <w:sz w:val="21"/>
      <w:szCs w:val="24"/>
    </w:rPr>
  </w:style>
  <w:style w:type="paragraph" w:customStyle="1" w:styleId="121">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2">
    <w:name w:val="纯文本 字符1"/>
    <w:semiHidden/>
    <w:qFormat/>
    <w:locked/>
    <w:uiPriority w:val="0"/>
    <w:rPr>
      <w:rFonts w:ascii="宋体" w:hAnsi="Courier New"/>
      <w:kern w:val="2"/>
      <w:sz w:val="21"/>
    </w:rPr>
  </w:style>
  <w:style w:type="paragraph" w:customStyle="1" w:styleId="12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Cs w:val="21"/>
    </w:rPr>
  </w:style>
  <w:style w:type="paragraph" w:customStyle="1" w:styleId="125">
    <w:name w:val="Default"/>
    <w:basedOn w:val="71"/>
    <w:next w:val="14"/>
    <w:qFormat/>
    <w:uiPriority w:val="0"/>
    <w:pPr>
      <w:widowControl w:val="0"/>
      <w:autoSpaceDE w:val="0"/>
      <w:autoSpaceDN w:val="0"/>
      <w:adjustRightInd w:val="0"/>
    </w:pPr>
    <w:rPr>
      <w:rFonts w:hint="eastAsia" w:ascii="方正仿宋_GBK" w:hAnsi="方正仿宋_GBK" w:eastAsia="方正仿宋_GBK"/>
      <w:color w:val="000000"/>
      <w:sz w:val="24"/>
      <w:lang w:val="en-US" w:eastAsia="zh-CN" w:bidi="ar-SA"/>
    </w:rPr>
  </w:style>
  <w:style w:type="paragraph" w:customStyle="1" w:styleId="126">
    <w:name w:val="Legal_L2"/>
    <w:basedOn w:val="1"/>
    <w:qFormat/>
    <w:uiPriority w:val="0"/>
    <w:pPr>
      <w:widowControl/>
      <w:spacing w:after="240" w:line="259" w:lineRule="auto"/>
      <w:jc w:val="left"/>
      <w:outlineLvl w:val="1"/>
    </w:pPr>
    <w:rPr>
      <w:kern w:val="0"/>
      <w:sz w:val="24"/>
      <w:lang w:eastAsia="en-US"/>
    </w:rPr>
  </w:style>
  <w:style w:type="character" w:customStyle="1" w:styleId="127">
    <w:name w:val="font01"/>
    <w:qFormat/>
    <w:uiPriority w:val="0"/>
    <w:rPr>
      <w:rFonts w:hint="eastAsia" w:ascii="仿宋" w:hAnsi="仿宋" w:eastAsia="仿宋"/>
      <w:b/>
      <w:bCs/>
      <w:color w:val="000000"/>
      <w:sz w:val="24"/>
      <w:szCs w:val="24"/>
      <w:u w:val="none"/>
    </w:rPr>
  </w:style>
  <w:style w:type="paragraph" w:customStyle="1" w:styleId="128">
    <w:name w:val="Normal_1"/>
    <w:qFormat/>
    <w:uiPriority w:val="0"/>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Users/langzhengyi/Library/Containers/com.kingsoft.wpsoffice.mac/Data/C:\Users\langzhengyi\Library\Containers\com.kingsoft.wpsoffice.mac\Data\C:\home\inspur\C:\home\inspur\192.168.200.66\4&#37096;&#20849;&#20139;1\2025&#24180;&#25307;&#26631;&#39033;&#30446;\11&#26376;\&#24191;&#35199;&#28041;&#38161;&#38090;&#37325;&#37329;&#23646;&#29615;&#22659;&#29616;&#29366;&#35843;&#26597;&#19982;&#39118;&#38505;&#35780;&#20272;&#39033;&#30446;\&#65288;1117&#25307;&#26631;&#25991;&#20214;&#65289;13.&#24191;&#35199;&#28041;&#38161;&#38090;&#37325;&#37329;&#23646;&#29615;&#22659;&#29616;&#29366;&#35843;&#26597;&#19982;&#39118;&#38505;&#35780;&#20272;&#39033;&#3044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（1117招标文件）13.广西涉锑铊重金属环境现状调查与风险评估项目.dotx</Template>
  <Pages>89</Pages>
  <Words>48959</Words>
  <Characters>51543</Characters>
  <Lines>396</Lines>
  <Paragraphs>111</Paragraphs>
  <TotalTime>1</TotalTime>
  <ScaleCrop>false</ScaleCrop>
  <LinksUpToDate>false</LinksUpToDate>
  <CharactersWithSpaces>58167</CharactersWithSpaces>
  <Application>WPS Office_12.1.24709.24709_F1E327BC-269C-435d-A152-05C5408002CA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2025-11-20T03:46:00Z</dcterms:created>
  <dc:creator>黄艳颀</dc:creator>
  <cp:lastModifiedBy>黄艳颀</cp:lastModifiedBy>
  <dcterms:modified xsi:type="dcterms:W3CDTF">2026-02-13T09:06:36Z</dcterms:modified>
  <dc:title>南财采管〔2012〕3号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2052-12.1.24709.24709</vt:lpwstr>
  </property>
  <property fmtid="{D5CDD505-2E9C-101B-9397-08002B2CF9AE}" pid="3" name="ICV">
    <vt:lpwstr>B5F3FA0AB152F9B01C798E69A5302B59_43</vt:lpwstr>
  </property>
  <property fmtid="{D5CDD505-2E9C-101B-9397-08002B2CF9AE}" pid="4" name="KSOTemplateDocerSaveRecord">
    <vt:lpwstr>eyJoZGlkIjoiODAxZjZkNTliNTYyYmJmZDhkZTRkYWM0MGVjZGI1ODgiLCJ1c2VySWQiOiIxNjY1NTAzNDkwIn0=</vt:lpwstr>
  </property>
</Properties>
</file>