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48887DC">
      <w:pPr>
        <w:tabs>
          <w:tab w:val="left" w:pos="1710"/>
        </w:tabs>
        <w:rPr>
          <w:color w:val="auto"/>
          <w:highlight w:val="none"/>
        </w:rPr>
      </w:pPr>
      <w:bookmarkStart w:id="0" w:name="_Toc217446030"/>
      <w:bookmarkStart w:id="1" w:name="_Toc183682338"/>
    </w:p>
    <w:p w14:paraId="6AE4A226">
      <w:pPr>
        <w:tabs>
          <w:tab w:val="left" w:pos="1710"/>
        </w:tabs>
        <w:rPr>
          <w:color w:val="auto"/>
          <w:highlight w:val="none"/>
        </w:rPr>
      </w:pPr>
    </w:p>
    <w:p w14:paraId="22F9ACC6">
      <w:pPr>
        <w:tabs>
          <w:tab w:val="left" w:pos="1710"/>
        </w:tabs>
        <w:rPr>
          <w:color w:val="auto"/>
          <w:highlight w:val="none"/>
        </w:rPr>
      </w:pPr>
    </w:p>
    <w:p w14:paraId="639DB4FC">
      <w:pPr>
        <w:tabs>
          <w:tab w:val="left" w:pos="1710"/>
        </w:tabs>
        <w:rPr>
          <w:color w:val="auto"/>
          <w:highlight w:val="none"/>
        </w:rPr>
      </w:pPr>
    </w:p>
    <w:p w14:paraId="115802DC">
      <w:pPr>
        <w:tabs>
          <w:tab w:val="left" w:pos="1710"/>
        </w:tabs>
        <w:rPr>
          <w:color w:val="auto"/>
          <w:highlight w:val="none"/>
        </w:rPr>
      </w:pP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433"/>
      </w:tblGrid>
      <w:tr w14:paraId="430AD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197" w:type="dxa"/>
            <w:gridSpan w:val="2"/>
            <w:tcBorders>
              <w:top w:val="nil"/>
              <w:left w:val="nil"/>
              <w:right w:val="nil"/>
            </w:tcBorders>
            <w:noWrap w:val="0"/>
            <w:vAlign w:val="top"/>
          </w:tcPr>
          <w:p w14:paraId="47587787">
            <w:pPr>
              <w:keepNext w:val="0"/>
              <w:keepLines w:val="0"/>
              <w:suppressLineNumbers w:val="0"/>
              <w:snapToGrid w:val="0"/>
              <w:spacing w:before="0" w:beforeAutospacing="0" w:after="0" w:afterAutospacing="0" w:line="240" w:lineRule="atLeast"/>
              <w:ind w:left="0" w:right="0"/>
              <w:jc w:val="center"/>
              <w:rPr>
                <w:rFonts w:hint="eastAsia"/>
                <w:b/>
                <w:color w:val="auto"/>
                <w:sz w:val="60"/>
                <w:szCs w:val="60"/>
                <w:highlight w:val="none"/>
              </w:rPr>
            </w:pPr>
            <w:r>
              <w:rPr>
                <w:rFonts w:hint="eastAsia"/>
                <w:b/>
                <w:color w:val="auto"/>
                <w:sz w:val="60"/>
                <w:szCs w:val="60"/>
                <w:highlight w:val="none"/>
              </w:rPr>
              <w:t xml:space="preserve"> 采购文件</w:t>
            </w:r>
          </w:p>
        </w:tc>
      </w:tr>
      <w:tr w14:paraId="2565C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exact"/>
          <w:jc w:val="center"/>
        </w:trPr>
        <w:tc>
          <w:tcPr>
            <w:tcW w:w="1764" w:type="dxa"/>
            <w:noWrap w:val="0"/>
            <w:vAlign w:val="center"/>
          </w:tcPr>
          <w:p w14:paraId="6AD01BFB">
            <w:pPr>
              <w:keepNext w:val="0"/>
              <w:keepLines w:val="0"/>
              <w:suppressLineNumbers w:val="0"/>
              <w:spacing w:before="0" w:beforeAutospacing="0" w:after="0" w:afterAutospacing="0"/>
              <w:ind w:left="0" w:right="0"/>
              <w:rPr>
                <w:rFonts w:hint="default"/>
                <w:b/>
                <w:color w:val="auto"/>
                <w:sz w:val="32"/>
                <w:szCs w:val="32"/>
                <w:highlight w:val="none"/>
              </w:rPr>
            </w:pPr>
            <w:r>
              <w:rPr>
                <w:rFonts w:hint="default"/>
                <w:b/>
                <w:color w:val="auto"/>
                <w:sz w:val="32"/>
                <w:szCs w:val="32"/>
                <w:highlight w:val="none"/>
              </w:rPr>
              <w:t>项目名称：</w:t>
            </w:r>
          </w:p>
        </w:tc>
        <w:tc>
          <w:tcPr>
            <w:tcW w:w="5433" w:type="dxa"/>
            <w:noWrap w:val="0"/>
            <w:vAlign w:val="center"/>
          </w:tcPr>
          <w:p w14:paraId="2C043CC4">
            <w:pPr>
              <w:keepNext w:val="0"/>
              <w:keepLines w:val="0"/>
              <w:suppressLineNumbers w:val="0"/>
              <w:spacing w:before="0" w:beforeAutospacing="0" w:after="0" w:afterAutospacing="0"/>
              <w:ind w:left="0" w:right="0"/>
              <w:rPr>
                <w:rFonts w:hint="eastAsia" w:eastAsia="宋体"/>
                <w:b/>
                <w:color w:val="auto"/>
                <w:sz w:val="32"/>
                <w:szCs w:val="32"/>
                <w:highlight w:val="none"/>
                <w:lang w:eastAsia="zh-CN"/>
              </w:rPr>
            </w:pPr>
            <w:r>
              <w:rPr>
                <w:rFonts w:hint="eastAsia" w:eastAsia="宋体"/>
                <w:b/>
                <w:color w:val="auto"/>
                <w:sz w:val="32"/>
                <w:szCs w:val="32"/>
                <w:highlight w:val="none"/>
                <w:lang w:eastAsia="zh-CN"/>
              </w:rPr>
              <w:t>广西交通运输治超联网系统平台服务采购项目升级建设项目</w:t>
            </w:r>
            <w:r>
              <w:rPr>
                <w:rFonts w:hint="eastAsia"/>
                <w:b/>
                <w:color w:val="auto"/>
                <w:sz w:val="32"/>
                <w:szCs w:val="32"/>
                <w:highlight w:val="none"/>
                <w:lang w:eastAsia="zh-CN"/>
              </w:rPr>
              <w:t>（</w:t>
            </w:r>
            <w:r>
              <w:rPr>
                <w:rFonts w:hint="eastAsia"/>
                <w:b/>
                <w:color w:val="auto"/>
                <w:sz w:val="32"/>
                <w:szCs w:val="32"/>
                <w:highlight w:val="none"/>
                <w:lang w:val="en-US" w:eastAsia="zh-CN"/>
              </w:rPr>
              <w:t>分标2重</w:t>
            </w:r>
            <w:r>
              <w:rPr>
                <w:rFonts w:hint="eastAsia"/>
                <w:b/>
                <w:color w:val="auto"/>
                <w:sz w:val="32"/>
                <w:szCs w:val="32"/>
                <w:highlight w:val="none"/>
                <w:lang w:eastAsia="zh-CN"/>
              </w:rPr>
              <w:t>）</w:t>
            </w:r>
          </w:p>
        </w:tc>
      </w:tr>
      <w:tr w14:paraId="53300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22BB3381">
            <w:pPr>
              <w:keepNext w:val="0"/>
              <w:keepLines w:val="0"/>
              <w:suppressLineNumbers w:val="0"/>
              <w:spacing w:before="0" w:beforeAutospacing="0" w:after="0" w:afterAutospacing="0"/>
              <w:ind w:left="0" w:right="0"/>
              <w:rPr>
                <w:rFonts w:hint="default"/>
                <w:b/>
                <w:color w:val="auto"/>
                <w:sz w:val="32"/>
                <w:szCs w:val="32"/>
                <w:highlight w:val="none"/>
              </w:rPr>
            </w:pPr>
            <w:r>
              <w:rPr>
                <w:rFonts w:hint="default"/>
                <w:b/>
                <w:color w:val="auto"/>
                <w:sz w:val="32"/>
                <w:szCs w:val="32"/>
                <w:highlight w:val="none"/>
              </w:rPr>
              <w:t>项目编号：</w:t>
            </w:r>
          </w:p>
        </w:tc>
        <w:tc>
          <w:tcPr>
            <w:tcW w:w="5433" w:type="dxa"/>
            <w:noWrap w:val="0"/>
            <w:vAlign w:val="center"/>
          </w:tcPr>
          <w:p w14:paraId="65890C6F">
            <w:pPr>
              <w:keepNext w:val="0"/>
              <w:keepLines w:val="0"/>
              <w:suppressLineNumbers w:val="0"/>
              <w:spacing w:before="0" w:beforeAutospacing="0" w:after="0" w:afterAutospacing="0"/>
              <w:ind w:left="0" w:right="0"/>
              <w:rPr>
                <w:rFonts w:hint="eastAsia" w:eastAsia="宋体"/>
                <w:b/>
                <w:color w:val="auto"/>
                <w:sz w:val="32"/>
                <w:szCs w:val="32"/>
                <w:highlight w:val="none"/>
                <w:lang w:eastAsia="zh-CN"/>
              </w:rPr>
            </w:pPr>
            <w:r>
              <w:rPr>
                <w:rFonts w:hint="eastAsia"/>
                <w:b/>
                <w:color w:val="auto"/>
                <w:sz w:val="32"/>
                <w:szCs w:val="32"/>
                <w:highlight w:val="none"/>
                <w:lang w:val="en-US" w:eastAsia="zh-CN"/>
              </w:rPr>
              <w:t>GXZC2025-C3-003929-JDZB</w:t>
            </w:r>
          </w:p>
        </w:tc>
      </w:tr>
      <w:tr w14:paraId="45C05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278971EC">
            <w:pPr>
              <w:keepNext w:val="0"/>
              <w:keepLines w:val="0"/>
              <w:suppressLineNumbers w:val="0"/>
              <w:spacing w:before="0" w:beforeAutospacing="0" w:after="0" w:afterAutospacing="0"/>
              <w:ind w:left="0" w:right="0"/>
              <w:rPr>
                <w:rFonts w:hint="default"/>
                <w:b/>
                <w:color w:val="auto"/>
                <w:sz w:val="32"/>
                <w:szCs w:val="32"/>
                <w:highlight w:val="none"/>
              </w:rPr>
            </w:pPr>
            <w:r>
              <w:rPr>
                <w:rFonts w:hint="default"/>
                <w:b/>
                <w:color w:val="auto"/>
                <w:sz w:val="32"/>
                <w:szCs w:val="32"/>
                <w:highlight w:val="none"/>
              </w:rPr>
              <w:t>联系电话：</w:t>
            </w:r>
          </w:p>
        </w:tc>
        <w:tc>
          <w:tcPr>
            <w:tcW w:w="5433" w:type="dxa"/>
            <w:noWrap w:val="0"/>
            <w:vAlign w:val="center"/>
          </w:tcPr>
          <w:p w14:paraId="7F6C1605">
            <w:pPr>
              <w:keepNext w:val="0"/>
              <w:keepLines w:val="0"/>
              <w:suppressLineNumbers w:val="0"/>
              <w:spacing w:before="0" w:beforeAutospacing="0" w:after="0" w:afterAutospacing="0"/>
              <w:ind w:left="0" w:right="0"/>
              <w:rPr>
                <w:rFonts w:hint="eastAsia" w:eastAsia="宋体"/>
                <w:b/>
                <w:color w:val="auto"/>
                <w:sz w:val="32"/>
                <w:szCs w:val="32"/>
                <w:highlight w:val="none"/>
                <w:lang w:eastAsia="zh-CN"/>
              </w:rPr>
            </w:pPr>
            <w:r>
              <w:rPr>
                <w:rFonts w:hint="eastAsia"/>
                <w:b/>
                <w:color w:val="auto"/>
                <w:sz w:val="32"/>
                <w:szCs w:val="32"/>
                <w:highlight w:val="none"/>
                <w:lang w:eastAsia="zh-CN"/>
              </w:rPr>
              <w:t>0771-2808981</w:t>
            </w:r>
          </w:p>
        </w:tc>
      </w:tr>
      <w:tr w14:paraId="0E365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090C9DD5">
            <w:pPr>
              <w:keepNext w:val="0"/>
              <w:keepLines w:val="0"/>
              <w:suppressLineNumbers w:val="0"/>
              <w:spacing w:before="0" w:beforeAutospacing="0" w:after="0" w:afterAutospacing="0"/>
              <w:ind w:left="0" w:right="0"/>
              <w:rPr>
                <w:rFonts w:hint="default"/>
                <w:b/>
                <w:color w:val="auto"/>
                <w:sz w:val="32"/>
                <w:szCs w:val="32"/>
                <w:highlight w:val="none"/>
              </w:rPr>
            </w:pPr>
            <w:r>
              <w:rPr>
                <w:rFonts w:hint="eastAsia"/>
                <w:b/>
                <w:color w:val="auto"/>
                <w:sz w:val="32"/>
                <w:szCs w:val="32"/>
                <w:highlight w:val="none"/>
              </w:rPr>
              <w:t>采购方式：</w:t>
            </w:r>
          </w:p>
        </w:tc>
        <w:tc>
          <w:tcPr>
            <w:tcW w:w="5433" w:type="dxa"/>
            <w:noWrap w:val="0"/>
            <w:vAlign w:val="center"/>
          </w:tcPr>
          <w:p w14:paraId="74970050">
            <w:pPr>
              <w:keepNext w:val="0"/>
              <w:keepLines w:val="0"/>
              <w:suppressLineNumbers w:val="0"/>
              <w:spacing w:before="0" w:beforeAutospacing="0" w:after="0" w:afterAutospacing="0"/>
              <w:ind w:left="0" w:right="0"/>
              <w:rPr>
                <w:rFonts w:hint="default"/>
                <w:b/>
                <w:color w:val="auto"/>
                <w:sz w:val="32"/>
                <w:szCs w:val="32"/>
                <w:highlight w:val="none"/>
              </w:rPr>
            </w:pPr>
            <w:r>
              <w:rPr>
                <w:rFonts w:hint="eastAsia"/>
                <w:b/>
                <w:color w:val="auto"/>
                <w:sz w:val="32"/>
                <w:szCs w:val="32"/>
                <w:highlight w:val="none"/>
              </w:rPr>
              <w:t>竞争性磋商</w:t>
            </w:r>
          </w:p>
        </w:tc>
      </w:tr>
    </w:tbl>
    <w:p w14:paraId="0983C490">
      <w:pPr>
        <w:tabs>
          <w:tab w:val="left" w:pos="1710"/>
        </w:tabs>
        <w:rPr>
          <w:color w:val="auto"/>
          <w:highlight w:val="none"/>
        </w:rPr>
      </w:pPr>
    </w:p>
    <w:p w14:paraId="697D42B2">
      <w:pPr>
        <w:rPr>
          <w:color w:val="auto"/>
          <w:highlight w:val="none"/>
        </w:rPr>
      </w:pPr>
    </w:p>
    <w:p w14:paraId="71619A8D">
      <w:pPr>
        <w:rPr>
          <w:color w:val="auto"/>
          <w:highlight w:val="none"/>
        </w:rPr>
      </w:pPr>
    </w:p>
    <w:p w14:paraId="357C7768">
      <w:pPr>
        <w:rPr>
          <w:color w:val="auto"/>
          <w:highlight w:val="none"/>
        </w:rPr>
      </w:pPr>
    </w:p>
    <w:p w14:paraId="5668BA95">
      <w:pPr>
        <w:rPr>
          <w:color w:val="auto"/>
          <w:highlight w:val="none"/>
        </w:rPr>
      </w:pPr>
    </w:p>
    <w:p w14:paraId="10B87768">
      <w:pPr>
        <w:rPr>
          <w:color w:val="auto"/>
          <w:highlight w:val="none"/>
        </w:rPr>
      </w:pPr>
    </w:p>
    <w:p w14:paraId="778FA4F1">
      <w:pPr>
        <w:rPr>
          <w:color w:val="auto"/>
          <w:highlight w:val="none"/>
        </w:rPr>
      </w:pPr>
    </w:p>
    <w:p w14:paraId="779E78A7">
      <w:pPr>
        <w:rPr>
          <w:color w:val="auto"/>
          <w:highlight w:val="none"/>
        </w:rPr>
      </w:pPr>
    </w:p>
    <w:p w14:paraId="3CCF1168">
      <w:pPr>
        <w:rPr>
          <w:color w:val="auto"/>
          <w:highlight w:val="none"/>
        </w:rPr>
      </w:pPr>
    </w:p>
    <w:p w14:paraId="1CB05E5B">
      <w:pPr>
        <w:rPr>
          <w:color w:val="auto"/>
          <w:highlight w:val="none"/>
        </w:rPr>
      </w:pPr>
    </w:p>
    <w:p w14:paraId="7AED2FD3">
      <w:pPr>
        <w:rPr>
          <w:color w:val="auto"/>
          <w:highlight w:val="none"/>
        </w:rPr>
      </w:pPr>
    </w:p>
    <w:p w14:paraId="6167388B">
      <w:pPr>
        <w:rPr>
          <w:color w:val="auto"/>
          <w:highlight w:val="none"/>
        </w:rPr>
      </w:pPr>
    </w:p>
    <w:p w14:paraId="5D197D22">
      <w:pPr>
        <w:rPr>
          <w:color w:val="auto"/>
          <w:highlight w:val="none"/>
        </w:rPr>
      </w:pPr>
    </w:p>
    <w:p w14:paraId="437E1406">
      <w:pPr>
        <w:rPr>
          <w:color w:val="auto"/>
          <w:highlight w:val="none"/>
        </w:rPr>
      </w:pPr>
    </w:p>
    <w:p w14:paraId="4D611AA5">
      <w:pPr>
        <w:rPr>
          <w:color w:val="auto"/>
          <w:highlight w:val="none"/>
        </w:rPr>
      </w:pPr>
    </w:p>
    <w:tbl>
      <w:tblPr>
        <w:tblStyle w:val="51"/>
        <w:tblW w:w="0" w:type="auto"/>
        <w:jc w:val="center"/>
        <w:tblLayout w:type="fixed"/>
        <w:tblCellMar>
          <w:top w:w="0" w:type="dxa"/>
          <w:left w:w="108" w:type="dxa"/>
          <w:bottom w:w="0" w:type="dxa"/>
          <w:right w:w="108" w:type="dxa"/>
        </w:tblCellMar>
      </w:tblPr>
      <w:tblGrid>
        <w:gridCol w:w="2707"/>
        <w:gridCol w:w="6"/>
        <w:gridCol w:w="5571"/>
      </w:tblGrid>
      <w:tr w14:paraId="04783C6B">
        <w:tblPrEx>
          <w:tblCellMar>
            <w:top w:w="0" w:type="dxa"/>
            <w:left w:w="108" w:type="dxa"/>
            <w:bottom w:w="0" w:type="dxa"/>
            <w:right w:w="108" w:type="dxa"/>
          </w:tblCellMar>
        </w:tblPrEx>
        <w:trPr>
          <w:trHeight w:val="703" w:hRule="atLeast"/>
          <w:jc w:val="center"/>
        </w:trPr>
        <w:tc>
          <w:tcPr>
            <w:tcW w:w="2707" w:type="dxa"/>
            <w:noWrap w:val="0"/>
            <w:vAlign w:val="center"/>
          </w:tcPr>
          <w:p w14:paraId="1EF8660D">
            <w:pPr>
              <w:keepNext w:val="0"/>
              <w:keepLines w:val="0"/>
              <w:suppressLineNumbers w:val="0"/>
              <w:autoSpaceDE w:val="0"/>
              <w:autoSpaceDN w:val="0"/>
              <w:adjustRightInd w:val="0"/>
              <w:spacing w:before="0" w:beforeAutospacing="0" w:after="0" w:afterAutospacing="0"/>
              <w:ind w:left="0" w:right="0"/>
              <w:jc w:val="right"/>
              <w:rPr>
                <w:rFonts w:hint="default"/>
                <w:b/>
                <w:color w:val="auto"/>
                <w:sz w:val="32"/>
                <w:szCs w:val="32"/>
                <w:highlight w:val="none"/>
              </w:rPr>
            </w:pPr>
            <w:r>
              <w:rPr>
                <w:rFonts w:hint="default"/>
                <w:b/>
                <w:color w:val="auto"/>
                <w:sz w:val="32"/>
                <w:szCs w:val="32"/>
                <w:highlight w:val="none"/>
              </w:rPr>
              <w:t xml:space="preserve">  采购人：</w:t>
            </w:r>
          </w:p>
        </w:tc>
        <w:tc>
          <w:tcPr>
            <w:tcW w:w="5577" w:type="dxa"/>
            <w:gridSpan w:val="2"/>
            <w:noWrap w:val="0"/>
            <w:vAlign w:val="center"/>
          </w:tcPr>
          <w:p w14:paraId="1543F0AC">
            <w:pPr>
              <w:keepNext w:val="0"/>
              <w:keepLines w:val="0"/>
              <w:suppressLineNumbers w:val="0"/>
              <w:autoSpaceDE w:val="0"/>
              <w:autoSpaceDN w:val="0"/>
              <w:adjustRightInd w:val="0"/>
              <w:spacing w:before="0" w:beforeAutospacing="0" w:after="0" w:afterAutospacing="0"/>
              <w:ind w:left="0" w:right="0"/>
              <w:jc w:val="both"/>
              <w:rPr>
                <w:rFonts w:hint="eastAsia" w:eastAsia="宋体"/>
                <w:b/>
                <w:color w:val="auto"/>
                <w:sz w:val="32"/>
                <w:szCs w:val="32"/>
                <w:highlight w:val="none"/>
                <w:lang w:eastAsia="zh-CN"/>
              </w:rPr>
            </w:pPr>
            <w:r>
              <w:rPr>
                <w:rFonts w:hint="eastAsia" w:eastAsia="宋体"/>
                <w:b/>
                <w:color w:val="auto"/>
                <w:sz w:val="32"/>
                <w:szCs w:val="32"/>
                <w:highlight w:val="none"/>
                <w:lang w:eastAsia="zh-CN"/>
              </w:rPr>
              <w:t>广西壮族自治区交通运输厅</w:t>
            </w:r>
          </w:p>
        </w:tc>
      </w:tr>
      <w:tr w14:paraId="63210379">
        <w:tblPrEx>
          <w:tblCellMar>
            <w:top w:w="0" w:type="dxa"/>
            <w:left w:w="108" w:type="dxa"/>
            <w:bottom w:w="0" w:type="dxa"/>
            <w:right w:w="108" w:type="dxa"/>
          </w:tblCellMar>
        </w:tblPrEx>
        <w:trPr>
          <w:trHeight w:val="703" w:hRule="atLeast"/>
          <w:jc w:val="center"/>
        </w:trPr>
        <w:tc>
          <w:tcPr>
            <w:tcW w:w="2713" w:type="dxa"/>
            <w:gridSpan w:val="2"/>
            <w:noWrap w:val="0"/>
            <w:vAlign w:val="center"/>
          </w:tcPr>
          <w:p w14:paraId="6DDE9B39">
            <w:pPr>
              <w:keepNext w:val="0"/>
              <w:keepLines w:val="0"/>
              <w:suppressLineNumbers w:val="0"/>
              <w:autoSpaceDE w:val="0"/>
              <w:autoSpaceDN w:val="0"/>
              <w:adjustRightInd w:val="0"/>
              <w:spacing w:before="0" w:beforeAutospacing="0" w:after="0" w:afterAutospacing="0"/>
              <w:ind w:left="0" w:right="0"/>
              <w:jc w:val="right"/>
              <w:rPr>
                <w:rFonts w:hint="default"/>
                <w:b/>
                <w:color w:val="auto"/>
                <w:sz w:val="32"/>
                <w:szCs w:val="32"/>
                <w:highlight w:val="none"/>
              </w:rPr>
            </w:pPr>
            <w:r>
              <w:rPr>
                <w:rFonts w:hint="default"/>
                <w:b/>
                <w:color w:val="auto"/>
                <w:sz w:val="32"/>
                <w:szCs w:val="32"/>
                <w:highlight w:val="none"/>
              </w:rPr>
              <w:t>采购代理机构：</w:t>
            </w:r>
          </w:p>
        </w:tc>
        <w:tc>
          <w:tcPr>
            <w:tcW w:w="5571" w:type="dxa"/>
            <w:noWrap w:val="0"/>
            <w:vAlign w:val="center"/>
          </w:tcPr>
          <w:p w14:paraId="320A96DB">
            <w:pPr>
              <w:keepNext w:val="0"/>
              <w:keepLines w:val="0"/>
              <w:suppressLineNumbers w:val="0"/>
              <w:autoSpaceDE w:val="0"/>
              <w:autoSpaceDN w:val="0"/>
              <w:adjustRightInd w:val="0"/>
              <w:spacing w:before="0" w:beforeAutospacing="0" w:after="0" w:afterAutospacing="0"/>
              <w:ind w:left="0" w:right="0"/>
              <w:jc w:val="both"/>
              <w:rPr>
                <w:rFonts w:hint="default"/>
                <w:b/>
                <w:color w:val="auto"/>
                <w:sz w:val="32"/>
                <w:szCs w:val="32"/>
                <w:highlight w:val="none"/>
                <w:u w:val="single"/>
              </w:rPr>
            </w:pPr>
            <w:r>
              <w:rPr>
                <w:rFonts w:hint="default"/>
                <w:b/>
                <w:color w:val="auto"/>
                <w:sz w:val="32"/>
                <w:szCs w:val="32"/>
                <w:highlight w:val="none"/>
              </w:rPr>
              <w:t>广西机电设备招标有限公司</w:t>
            </w:r>
          </w:p>
        </w:tc>
      </w:tr>
    </w:tbl>
    <w:p w14:paraId="0E0D510A">
      <w:pPr>
        <w:rPr>
          <w:color w:val="auto"/>
          <w:highlight w:val="none"/>
        </w:rPr>
      </w:pPr>
    </w:p>
    <w:p w14:paraId="20BD5EB9">
      <w:pPr>
        <w:autoSpaceDE w:val="0"/>
        <w:autoSpaceDN w:val="0"/>
        <w:adjustRightInd w:val="0"/>
        <w:jc w:val="center"/>
        <w:rPr>
          <w:b/>
          <w:color w:val="auto"/>
          <w:sz w:val="32"/>
          <w:szCs w:val="32"/>
          <w:highlight w:val="none"/>
        </w:rPr>
        <w:sectPr>
          <w:headerReference r:id="rId3" w:type="first"/>
          <w:footerReference r:id="rId6" w:type="first"/>
          <w:footerReference r:id="rId4" w:type="default"/>
          <w:footerReference r:id="rId5" w:type="even"/>
          <w:type w:val="nextColumn"/>
          <w:pgSz w:w="11906" w:h="16838"/>
          <w:pgMar w:top="1418" w:right="1418" w:bottom="1246" w:left="1418" w:header="851" w:footer="992" w:gutter="0"/>
          <w:pgNumType w:start="0"/>
          <w:cols w:space="720" w:num="1"/>
          <w:titlePg/>
          <w:docGrid w:linePitch="312" w:charSpace="0"/>
        </w:sectPr>
      </w:pPr>
      <w:r>
        <w:rPr>
          <w:b/>
          <w:color w:val="auto"/>
          <w:sz w:val="32"/>
          <w:szCs w:val="32"/>
          <w:highlight w:val="none"/>
        </w:rPr>
        <w:t>202</w:t>
      </w:r>
      <w:r>
        <w:rPr>
          <w:rFonts w:hint="eastAsia"/>
          <w:b/>
          <w:color w:val="auto"/>
          <w:sz w:val="32"/>
          <w:szCs w:val="32"/>
          <w:highlight w:val="none"/>
          <w:lang w:val="en-US" w:eastAsia="zh-CN"/>
        </w:rPr>
        <w:t>5</w:t>
      </w:r>
      <w:r>
        <w:rPr>
          <w:b/>
          <w:color w:val="auto"/>
          <w:sz w:val="32"/>
          <w:szCs w:val="32"/>
          <w:highlight w:val="none"/>
        </w:rPr>
        <w:t>年</w:t>
      </w:r>
      <w:r>
        <w:rPr>
          <w:rFonts w:hint="eastAsia"/>
          <w:b/>
          <w:color w:val="auto"/>
          <w:sz w:val="32"/>
          <w:szCs w:val="32"/>
          <w:highlight w:val="none"/>
          <w:lang w:val="en-US" w:eastAsia="zh-CN"/>
        </w:rPr>
        <w:t>12</w:t>
      </w:r>
      <w:r>
        <w:rPr>
          <w:b/>
          <w:color w:val="auto"/>
          <w:sz w:val="32"/>
          <w:szCs w:val="32"/>
          <w:highlight w:val="none"/>
        </w:rPr>
        <w:t>月</w:t>
      </w:r>
    </w:p>
    <w:p w14:paraId="68DA0931">
      <w:pPr>
        <w:rPr>
          <w:color w:val="auto"/>
          <w:sz w:val="32"/>
          <w:szCs w:val="32"/>
          <w:highlight w:val="none"/>
        </w:rPr>
      </w:pPr>
    </w:p>
    <w:p w14:paraId="198A097E">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2" w:name="_Toc17133"/>
      <w:bookmarkStart w:id="3" w:name="_Toc28372"/>
      <w:r>
        <w:rPr>
          <w:rFonts w:ascii="Times New Roman" w:hAnsi="Times New Roman" w:cs="Times New Roman"/>
          <w:color w:val="auto"/>
          <w:sz w:val="32"/>
          <w:szCs w:val="32"/>
          <w:highlight w:val="none"/>
        </w:rPr>
        <w:t>目    录</w:t>
      </w:r>
      <w:bookmarkEnd w:id="2"/>
      <w:bookmarkEnd w:id="3"/>
    </w:p>
    <w:p w14:paraId="57E57B37">
      <w:pPr>
        <w:pStyle w:val="33"/>
        <w:tabs>
          <w:tab w:val="right" w:leader="dot" w:pos="9070"/>
          <w:tab w:val="clear" w:pos="8398"/>
        </w:tabs>
        <w:rPr>
          <w:color w:val="auto"/>
          <w:highlight w:val="none"/>
        </w:rPr>
      </w:pPr>
      <w:r>
        <w:rPr>
          <w:rFonts w:ascii="Times New Roman" w:hAnsi="Times New Roman"/>
          <w:color w:val="auto"/>
          <w:highlight w:val="none"/>
        </w:rPr>
        <w:fldChar w:fldCharType="begin"/>
      </w:r>
      <w:r>
        <w:rPr>
          <w:rStyle w:val="57"/>
          <w:rFonts w:ascii="Times New Roman" w:hAnsi="Times New Roman"/>
          <w:color w:val="auto"/>
          <w:highlight w:val="none"/>
        </w:rPr>
        <w:instrText xml:space="preserve"> TOC \o "1-1" \h \z \u </w:instrText>
      </w:r>
      <w:r>
        <w:rPr>
          <w:rFonts w:ascii="Times New Roman" w:hAnsi="Times New Roman"/>
          <w:color w:val="auto"/>
          <w:highlight w:val="none"/>
        </w:rPr>
        <w:fldChar w:fldCharType="separate"/>
      </w:r>
    </w:p>
    <w:p w14:paraId="05A344D8">
      <w:pPr>
        <w:pStyle w:val="33"/>
        <w:tabs>
          <w:tab w:val="right" w:leader="dot" w:pos="9070"/>
          <w:tab w:val="clear" w:pos="8398"/>
        </w:tabs>
        <w:rPr>
          <w:color w:val="auto"/>
          <w:highlight w:val="none"/>
        </w:rPr>
      </w:pPr>
      <w:bookmarkStart w:id="102" w:name="_GoBack"/>
      <w:bookmarkEnd w:id="102"/>
      <w:r>
        <w:rPr>
          <w:rFonts w:ascii="Times New Roman" w:hAnsi="Times New Roman"/>
          <w:color w:val="auto"/>
          <w:szCs w:val="28"/>
          <w:highlight w:val="none"/>
        </w:rPr>
        <w:fldChar w:fldCharType="begin"/>
      </w:r>
      <w:r>
        <w:rPr>
          <w:rFonts w:ascii="Times New Roman" w:hAnsi="Times New Roman"/>
          <w:color w:val="auto"/>
          <w:szCs w:val="28"/>
          <w:highlight w:val="none"/>
        </w:rPr>
        <w:instrText xml:space="preserve"> HYPERLINK \l _Toc14799 </w:instrText>
      </w:r>
      <w:r>
        <w:rPr>
          <w:rFonts w:ascii="Times New Roman" w:hAnsi="Times New Roman"/>
          <w:color w:val="auto"/>
          <w:szCs w:val="28"/>
          <w:highlight w:val="none"/>
        </w:rPr>
        <w:fldChar w:fldCharType="separate"/>
      </w:r>
      <w:r>
        <w:rPr>
          <w:rFonts w:ascii="Times New Roman" w:hAnsi="Times New Roman" w:cs="Times New Roman"/>
          <w:color w:val="auto"/>
          <w:szCs w:val="32"/>
          <w:highlight w:val="none"/>
        </w:rPr>
        <w:t>第一章  竞争性磋商公告</w:t>
      </w:r>
      <w:r>
        <w:rPr>
          <w:color w:val="auto"/>
          <w:highlight w:val="none"/>
        </w:rPr>
        <w:tab/>
      </w:r>
      <w:r>
        <w:rPr>
          <w:color w:val="auto"/>
          <w:highlight w:val="none"/>
        </w:rPr>
        <w:fldChar w:fldCharType="begin"/>
      </w:r>
      <w:r>
        <w:rPr>
          <w:color w:val="auto"/>
          <w:highlight w:val="none"/>
        </w:rPr>
        <w:instrText xml:space="preserve"> PAGEREF _Toc14799 \h </w:instrText>
      </w:r>
      <w:r>
        <w:rPr>
          <w:color w:val="auto"/>
          <w:highlight w:val="none"/>
        </w:rPr>
        <w:fldChar w:fldCharType="separate"/>
      </w:r>
      <w:r>
        <w:rPr>
          <w:color w:val="auto"/>
          <w:highlight w:val="none"/>
        </w:rPr>
        <w:t>1</w:t>
      </w:r>
      <w:r>
        <w:rPr>
          <w:color w:val="auto"/>
          <w:highlight w:val="none"/>
        </w:rPr>
        <w:fldChar w:fldCharType="end"/>
      </w:r>
      <w:r>
        <w:rPr>
          <w:rFonts w:ascii="Times New Roman" w:hAnsi="Times New Roman"/>
          <w:color w:val="auto"/>
          <w:szCs w:val="28"/>
          <w:highlight w:val="none"/>
        </w:rPr>
        <w:fldChar w:fldCharType="end"/>
      </w:r>
    </w:p>
    <w:p w14:paraId="75330783">
      <w:pPr>
        <w:pStyle w:val="33"/>
        <w:tabs>
          <w:tab w:val="right" w:leader="dot" w:pos="9070"/>
          <w:tab w:val="clear" w:pos="8398"/>
        </w:tabs>
        <w:rPr>
          <w:color w:val="auto"/>
          <w:highlight w:val="none"/>
        </w:rPr>
      </w:pPr>
      <w:r>
        <w:rPr>
          <w:rFonts w:ascii="Times New Roman" w:hAnsi="Times New Roman"/>
          <w:color w:val="auto"/>
          <w:szCs w:val="28"/>
          <w:highlight w:val="none"/>
        </w:rPr>
        <w:fldChar w:fldCharType="begin"/>
      </w:r>
      <w:r>
        <w:rPr>
          <w:rFonts w:ascii="Times New Roman" w:hAnsi="Times New Roman"/>
          <w:color w:val="auto"/>
          <w:szCs w:val="28"/>
          <w:highlight w:val="none"/>
        </w:rPr>
        <w:instrText xml:space="preserve"> HYPERLINK \l _Toc8343 </w:instrText>
      </w:r>
      <w:r>
        <w:rPr>
          <w:rFonts w:ascii="Times New Roman" w:hAnsi="Times New Roman"/>
          <w:color w:val="auto"/>
          <w:szCs w:val="28"/>
          <w:highlight w:val="none"/>
        </w:rPr>
        <w:fldChar w:fldCharType="separate"/>
      </w:r>
      <w:r>
        <w:rPr>
          <w:rFonts w:ascii="Times New Roman" w:hAnsi="Times New Roman" w:cs="Times New Roman"/>
          <w:color w:val="auto"/>
          <w:szCs w:val="32"/>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_Toc8343 \h </w:instrText>
      </w:r>
      <w:r>
        <w:rPr>
          <w:color w:val="auto"/>
          <w:highlight w:val="none"/>
        </w:rPr>
        <w:fldChar w:fldCharType="separate"/>
      </w:r>
      <w:r>
        <w:rPr>
          <w:color w:val="auto"/>
          <w:highlight w:val="none"/>
        </w:rPr>
        <w:t>4</w:t>
      </w:r>
      <w:r>
        <w:rPr>
          <w:color w:val="auto"/>
          <w:highlight w:val="none"/>
        </w:rPr>
        <w:fldChar w:fldCharType="end"/>
      </w:r>
      <w:r>
        <w:rPr>
          <w:rFonts w:ascii="Times New Roman" w:hAnsi="Times New Roman"/>
          <w:color w:val="auto"/>
          <w:szCs w:val="28"/>
          <w:highlight w:val="none"/>
        </w:rPr>
        <w:fldChar w:fldCharType="end"/>
      </w:r>
    </w:p>
    <w:p w14:paraId="22F9ADCA">
      <w:pPr>
        <w:pStyle w:val="33"/>
        <w:tabs>
          <w:tab w:val="right" w:leader="dot" w:pos="9070"/>
          <w:tab w:val="clear" w:pos="8398"/>
        </w:tabs>
        <w:rPr>
          <w:color w:val="auto"/>
          <w:highlight w:val="none"/>
        </w:rPr>
      </w:pPr>
      <w:r>
        <w:rPr>
          <w:rFonts w:ascii="Times New Roman" w:hAnsi="Times New Roman"/>
          <w:color w:val="auto"/>
          <w:szCs w:val="28"/>
          <w:highlight w:val="none"/>
        </w:rPr>
        <w:fldChar w:fldCharType="begin"/>
      </w:r>
      <w:r>
        <w:rPr>
          <w:rFonts w:ascii="Times New Roman" w:hAnsi="Times New Roman"/>
          <w:color w:val="auto"/>
          <w:szCs w:val="28"/>
          <w:highlight w:val="none"/>
        </w:rPr>
        <w:instrText xml:space="preserve"> HYPERLINK \l _Toc30660 </w:instrText>
      </w:r>
      <w:r>
        <w:rPr>
          <w:rFonts w:ascii="Times New Roman" w:hAnsi="Times New Roman"/>
          <w:color w:val="auto"/>
          <w:szCs w:val="28"/>
          <w:highlight w:val="none"/>
        </w:rPr>
        <w:fldChar w:fldCharType="separate"/>
      </w:r>
      <w:r>
        <w:rPr>
          <w:rFonts w:ascii="Times New Roman" w:hAnsi="Times New Roman" w:cs="Times New Roman"/>
          <w:color w:val="auto"/>
          <w:szCs w:val="32"/>
          <w:highlight w:val="none"/>
        </w:rPr>
        <w:t>第三章  供应商须知</w:t>
      </w:r>
      <w:r>
        <w:rPr>
          <w:color w:val="auto"/>
          <w:highlight w:val="none"/>
        </w:rPr>
        <w:tab/>
      </w:r>
      <w:r>
        <w:rPr>
          <w:color w:val="auto"/>
          <w:highlight w:val="none"/>
        </w:rPr>
        <w:fldChar w:fldCharType="begin"/>
      </w:r>
      <w:r>
        <w:rPr>
          <w:color w:val="auto"/>
          <w:highlight w:val="none"/>
        </w:rPr>
        <w:instrText xml:space="preserve"> PAGEREF _Toc30660 \h </w:instrText>
      </w:r>
      <w:r>
        <w:rPr>
          <w:color w:val="auto"/>
          <w:highlight w:val="none"/>
        </w:rPr>
        <w:fldChar w:fldCharType="separate"/>
      </w:r>
      <w:r>
        <w:rPr>
          <w:color w:val="auto"/>
          <w:highlight w:val="none"/>
        </w:rPr>
        <w:t>9</w:t>
      </w:r>
      <w:r>
        <w:rPr>
          <w:color w:val="auto"/>
          <w:highlight w:val="none"/>
        </w:rPr>
        <w:fldChar w:fldCharType="end"/>
      </w:r>
      <w:r>
        <w:rPr>
          <w:rFonts w:ascii="Times New Roman" w:hAnsi="Times New Roman"/>
          <w:color w:val="auto"/>
          <w:szCs w:val="28"/>
          <w:highlight w:val="none"/>
        </w:rPr>
        <w:fldChar w:fldCharType="end"/>
      </w:r>
    </w:p>
    <w:p w14:paraId="2DDC6B13">
      <w:pPr>
        <w:pStyle w:val="33"/>
        <w:tabs>
          <w:tab w:val="right" w:leader="dot" w:pos="9070"/>
          <w:tab w:val="clear" w:pos="8398"/>
        </w:tabs>
        <w:rPr>
          <w:color w:val="auto"/>
          <w:highlight w:val="none"/>
        </w:rPr>
      </w:pPr>
      <w:r>
        <w:rPr>
          <w:rFonts w:ascii="Times New Roman" w:hAnsi="Times New Roman"/>
          <w:color w:val="auto"/>
          <w:szCs w:val="28"/>
          <w:highlight w:val="none"/>
        </w:rPr>
        <w:fldChar w:fldCharType="begin"/>
      </w:r>
      <w:r>
        <w:rPr>
          <w:rFonts w:ascii="Times New Roman" w:hAnsi="Times New Roman"/>
          <w:color w:val="auto"/>
          <w:szCs w:val="28"/>
          <w:highlight w:val="none"/>
        </w:rPr>
        <w:instrText xml:space="preserve"> HYPERLINK \l _Toc26527 </w:instrText>
      </w:r>
      <w:r>
        <w:rPr>
          <w:rFonts w:ascii="Times New Roman" w:hAnsi="Times New Roman"/>
          <w:color w:val="auto"/>
          <w:szCs w:val="28"/>
          <w:highlight w:val="none"/>
        </w:rPr>
        <w:fldChar w:fldCharType="separate"/>
      </w:r>
      <w:r>
        <w:rPr>
          <w:rFonts w:ascii="Times New Roman" w:hAnsi="Times New Roman" w:cs="Times New Roman"/>
          <w:color w:val="auto"/>
          <w:szCs w:val="32"/>
          <w:highlight w:val="none"/>
        </w:rPr>
        <w:t>第四章  评审方法及标准</w:t>
      </w:r>
      <w:r>
        <w:rPr>
          <w:color w:val="auto"/>
          <w:highlight w:val="none"/>
        </w:rPr>
        <w:tab/>
      </w:r>
      <w:r>
        <w:rPr>
          <w:color w:val="auto"/>
          <w:highlight w:val="none"/>
        </w:rPr>
        <w:fldChar w:fldCharType="begin"/>
      </w:r>
      <w:r>
        <w:rPr>
          <w:color w:val="auto"/>
          <w:highlight w:val="none"/>
        </w:rPr>
        <w:instrText xml:space="preserve"> PAGEREF _Toc26527 \h </w:instrText>
      </w:r>
      <w:r>
        <w:rPr>
          <w:color w:val="auto"/>
          <w:highlight w:val="none"/>
        </w:rPr>
        <w:fldChar w:fldCharType="separate"/>
      </w:r>
      <w:r>
        <w:rPr>
          <w:color w:val="auto"/>
          <w:highlight w:val="none"/>
        </w:rPr>
        <w:t>27</w:t>
      </w:r>
      <w:r>
        <w:rPr>
          <w:color w:val="auto"/>
          <w:highlight w:val="none"/>
        </w:rPr>
        <w:fldChar w:fldCharType="end"/>
      </w:r>
      <w:r>
        <w:rPr>
          <w:rFonts w:ascii="Times New Roman" w:hAnsi="Times New Roman"/>
          <w:color w:val="auto"/>
          <w:szCs w:val="28"/>
          <w:highlight w:val="none"/>
        </w:rPr>
        <w:fldChar w:fldCharType="end"/>
      </w:r>
    </w:p>
    <w:p w14:paraId="2B26D28D">
      <w:pPr>
        <w:pStyle w:val="33"/>
        <w:tabs>
          <w:tab w:val="right" w:leader="dot" w:pos="9070"/>
          <w:tab w:val="clear" w:pos="8398"/>
        </w:tabs>
        <w:rPr>
          <w:color w:val="auto"/>
          <w:highlight w:val="none"/>
        </w:rPr>
      </w:pPr>
      <w:r>
        <w:rPr>
          <w:rFonts w:ascii="Times New Roman" w:hAnsi="Times New Roman"/>
          <w:color w:val="auto"/>
          <w:szCs w:val="28"/>
          <w:highlight w:val="none"/>
        </w:rPr>
        <w:fldChar w:fldCharType="begin"/>
      </w:r>
      <w:r>
        <w:rPr>
          <w:rFonts w:ascii="Times New Roman" w:hAnsi="Times New Roman"/>
          <w:color w:val="auto"/>
          <w:szCs w:val="28"/>
          <w:highlight w:val="none"/>
        </w:rPr>
        <w:instrText xml:space="preserve"> HYPERLINK \l _Toc12317 </w:instrText>
      </w:r>
      <w:r>
        <w:rPr>
          <w:rFonts w:ascii="Times New Roman" w:hAnsi="Times New Roman"/>
          <w:color w:val="auto"/>
          <w:szCs w:val="28"/>
          <w:highlight w:val="none"/>
        </w:rPr>
        <w:fldChar w:fldCharType="separate"/>
      </w:r>
      <w:r>
        <w:rPr>
          <w:rFonts w:ascii="Times New Roman" w:hAnsi="Times New Roman" w:cs="Times New Roman"/>
          <w:color w:val="auto"/>
          <w:szCs w:val="32"/>
          <w:highlight w:val="none"/>
        </w:rPr>
        <w:t>第五章  合同主要条款格式</w:t>
      </w:r>
      <w:r>
        <w:rPr>
          <w:color w:val="auto"/>
          <w:highlight w:val="none"/>
        </w:rPr>
        <w:tab/>
      </w:r>
      <w:r>
        <w:rPr>
          <w:color w:val="auto"/>
          <w:highlight w:val="none"/>
        </w:rPr>
        <w:fldChar w:fldCharType="begin"/>
      </w:r>
      <w:r>
        <w:rPr>
          <w:color w:val="auto"/>
          <w:highlight w:val="none"/>
        </w:rPr>
        <w:instrText xml:space="preserve"> PAGEREF _Toc12317 \h </w:instrText>
      </w:r>
      <w:r>
        <w:rPr>
          <w:color w:val="auto"/>
          <w:highlight w:val="none"/>
        </w:rPr>
        <w:fldChar w:fldCharType="separate"/>
      </w:r>
      <w:r>
        <w:rPr>
          <w:color w:val="auto"/>
          <w:highlight w:val="none"/>
        </w:rPr>
        <w:t>35</w:t>
      </w:r>
      <w:r>
        <w:rPr>
          <w:color w:val="auto"/>
          <w:highlight w:val="none"/>
        </w:rPr>
        <w:fldChar w:fldCharType="end"/>
      </w:r>
      <w:r>
        <w:rPr>
          <w:rFonts w:ascii="Times New Roman" w:hAnsi="Times New Roman"/>
          <w:color w:val="auto"/>
          <w:szCs w:val="28"/>
          <w:highlight w:val="none"/>
        </w:rPr>
        <w:fldChar w:fldCharType="end"/>
      </w:r>
    </w:p>
    <w:p w14:paraId="745DE952">
      <w:pPr>
        <w:pStyle w:val="33"/>
        <w:tabs>
          <w:tab w:val="right" w:leader="dot" w:pos="9070"/>
          <w:tab w:val="clear" w:pos="8398"/>
        </w:tabs>
        <w:rPr>
          <w:color w:val="auto"/>
          <w:highlight w:val="none"/>
        </w:rPr>
      </w:pPr>
      <w:r>
        <w:rPr>
          <w:rFonts w:ascii="Times New Roman" w:hAnsi="Times New Roman"/>
          <w:color w:val="auto"/>
          <w:szCs w:val="28"/>
          <w:highlight w:val="none"/>
        </w:rPr>
        <w:fldChar w:fldCharType="begin"/>
      </w:r>
      <w:r>
        <w:rPr>
          <w:rFonts w:ascii="Times New Roman" w:hAnsi="Times New Roman"/>
          <w:color w:val="auto"/>
          <w:szCs w:val="28"/>
          <w:highlight w:val="none"/>
        </w:rPr>
        <w:instrText xml:space="preserve"> HYPERLINK \l _Toc26086 </w:instrText>
      </w:r>
      <w:r>
        <w:rPr>
          <w:rFonts w:ascii="Times New Roman" w:hAnsi="Times New Roman"/>
          <w:color w:val="auto"/>
          <w:szCs w:val="28"/>
          <w:highlight w:val="none"/>
        </w:rPr>
        <w:fldChar w:fldCharType="separate"/>
      </w:r>
      <w:r>
        <w:rPr>
          <w:color w:val="auto"/>
          <w:szCs w:val="32"/>
          <w:highlight w:val="none"/>
        </w:rPr>
        <w:t>第六章  响应文件格式</w:t>
      </w:r>
      <w:r>
        <w:rPr>
          <w:color w:val="auto"/>
          <w:highlight w:val="none"/>
        </w:rPr>
        <w:tab/>
      </w:r>
      <w:r>
        <w:rPr>
          <w:color w:val="auto"/>
          <w:highlight w:val="none"/>
        </w:rPr>
        <w:fldChar w:fldCharType="begin"/>
      </w:r>
      <w:r>
        <w:rPr>
          <w:color w:val="auto"/>
          <w:highlight w:val="none"/>
        </w:rPr>
        <w:instrText xml:space="preserve"> PAGEREF _Toc26086 \h </w:instrText>
      </w:r>
      <w:r>
        <w:rPr>
          <w:color w:val="auto"/>
          <w:highlight w:val="none"/>
        </w:rPr>
        <w:fldChar w:fldCharType="separate"/>
      </w:r>
      <w:r>
        <w:rPr>
          <w:color w:val="auto"/>
          <w:highlight w:val="none"/>
        </w:rPr>
        <w:t>45</w:t>
      </w:r>
      <w:r>
        <w:rPr>
          <w:color w:val="auto"/>
          <w:highlight w:val="none"/>
        </w:rPr>
        <w:fldChar w:fldCharType="end"/>
      </w:r>
      <w:r>
        <w:rPr>
          <w:rFonts w:ascii="Times New Roman" w:hAnsi="Times New Roman"/>
          <w:color w:val="auto"/>
          <w:szCs w:val="28"/>
          <w:highlight w:val="none"/>
        </w:rPr>
        <w:fldChar w:fldCharType="end"/>
      </w:r>
    </w:p>
    <w:p w14:paraId="3D3D6504">
      <w:pPr>
        <w:pStyle w:val="33"/>
        <w:ind w:firstLine="241"/>
        <w:rPr>
          <w:rFonts w:ascii="Times New Roman" w:hAnsi="Times New Roman"/>
          <w:color w:val="auto"/>
          <w:sz w:val="28"/>
          <w:szCs w:val="28"/>
          <w:highlight w:val="none"/>
        </w:rPr>
      </w:pPr>
      <w:r>
        <w:rPr>
          <w:rFonts w:ascii="Times New Roman" w:hAnsi="Times New Roman"/>
          <w:color w:val="auto"/>
          <w:szCs w:val="28"/>
          <w:highlight w:val="none"/>
        </w:rPr>
        <w:fldChar w:fldCharType="end"/>
      </w:r>
    </w:p>
    <w:p w14:paraId="3642ACF8">
      <w:pPr>
        <w:spacing w:before="120" w:beforeLines="50" w:line="480" w:lineRule="exact"/>
        <w:rPr>
          <w:color w:val="auto"/>
          <w:sz w:val="28"/>
          <w:szCs w:val="28"/>
          <w:highlight w:val="none"/>
        </w:rPr>
      </w:pPr>
    </w:p>
    <w:p w14:paraId="5C6B223B">
      <w:pPr>
        <w:spacing w:before="120" w:beforeLines="50" w:line="480" w:lineRule="exact"/>
        <w:rPr>
          <w:color w:val="auto"/>
          <w:sz w:val="30"/>
          <w:highlight w:val="none"/>
        </w:rPr>
        <w:sectPr>
          <w:headerReference r:id="rId7" w:type="first"/>
          <w:pgSz w:w="11906" w:h="16838"/>
          <w:pgMar w:top="1418" w:right="1418" w:bottom="1246" w:left="1418" w:header="851" w:footer="992" w:gutter="0"/>
          <w:pgNumType w:start="0"/>
          <w:cols w:space="720" w:num="1"/>
          <w:titlePg/>
          <w:docGrid w:linePitch="312" w:charSpace="0"/>
        </w:sectPr>
      </w:pPr>
    </w:p>
    <w:p w14:paraId="029DD3B1">
      <w:pPr>
        <w:rPr>
          <w:color w:val="auto"/>
          <w:highlight w:val="none"/>
        </w:rPr>
      </w:pPr>
      <w:bookmarkStart w:id="4" w:name="_Toc254970489"/>
      <w:bookmarkStart w:id="5" w:name="_Toc254970630"/>
    </w:p>
    <w:p w14:paraId="2FF6CC86">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6" w:name="_Toc14799"/>
      <w:r>
        <w:rPr>
          <w:rFonts w:ascii="Times New Roman" w:hAnsi="Times New Roman" w:cs="Times New Roman"/>
          <w:color w:val="auto"/>
          <w:sz w:val="32"/>
          <w:szCs w:val="32"/>
          <w:highlight w:val="none"/>
        </w:rPr>
        <w:t xml:space="preserve">第一章  </w:t>
      </w:r>
      <w:bookmarkEnd w:id="4"/>
      <w:bookmarkEnd w:id="5"/>
      <w:r>
        <w:rPr>
          <w:rFonts w:ascii="Times New Roman" w:hAnsi="Times New Roman" w:cs="Times New Roman"/>
          <w:color w:val="auto"/>
          <w:sz w:val="32"/>
          <w:szCs w:val="32"/>
          <w:highlight w:val="none"/>
        </w:rPr>
        <w:t>竞争性磋商公告</w:t>
      </w:r>
      <w:bookmarkEnd w:id="6"/>
    </w:p>
    <w:p w14:paraId="42307D53">
      <w:pPr>
        <w:spacing w:line="400" w:lineRule="exact"/>
        <w:jc w:val="center"/>
        <w:rPr>
          <w:color w:val="auto"/>
          <w:kern w:val="0"/>
          <w:sz w:val="24"/>
          <w:highlight w:val="none"/>
        </w:rPr>
      </w:pPr>
      <w:r>
        <w:rPr>
          <w:color w:val="auto"/>
          <w:kern w:val="0"/>
          <w:sz w:val="24"/>
          <w:highlight w:val="none"/>
        </w:rPr>
        <w:t>广西机电设备招标有限公司关于</w:t>
      </w:r>
      <w:r>
        <w:rPr>
          <w:rFonts w:hint="eastAsia"/>
          <w:color w:val="auto"/>
          <w:kern w:val="0"/>
          <w:sz w:val="24"/>
          <w:highlight w:val="none"/>
          <w:lang w:eastAsia="zh-CN"/>
        </w:rPr>
        <w:t>广西交通运输治超联网系统平台服务采购项目升级建设项目（</w:t>
      </w:r>
      <w:r>
        <w:rPr>
          <w:rFonts w:hint="eastAsia"/>
          <w:color w:val="auto"/>
          <w:kern w:val="0"/>
          <w:sz w:val="24"/>
          <w:highlight w:val="none"/>
          <w:lang w:val="en-US" w:eastAsia="zh-CN"/>
        </w:rPr>
        <w:t>分标2重</w:t>
      </w:r>
      <w:r>
        <w:rPr>
          <w:rFonts w:hint="eastAsia"/>
          <w:color w:val="auto"/>
          <w:kern w:val="0"/>
          <w:sz w:val="24"/>
          <w:highlight w:val="none"/>
          <w:lang w:eastAsia="zh-CN"/>
        </w:rPr>
        <w:t>）</w:t>
      </w:r>
      <w:r>
        <w:rPr>
          <w:color w:val="auto"/>
          <w:sz w:val="24"/>
          <w:highlight w:val="none"/>
        </w:rPr>
        <w:t>(</w:t>
      </w:r>
      <w:r>
        <w:rPr>
          <w:rFonts w:hint="eastAsia"/>
          <w:color w:val="auto"/>
          <w:sz w:val="24"/>
          <w:highlight w:val="none"/>
          <w:lang w:val="en-US" w:eastAsia="zh-CN"/>
        </w:rPr>
        <w:t xml:space="preserve">GXZC2025-C3-003929-JDZB </w:t>
      </w:r>
      <w:r>
        <w:rPr>
          <w:color w:val="auto"/>
          <w:sz w:val="24"/>
          <w:highlight w:val="none"/>
        </w:rPr>
        <w:t>)</w:t>
      </w:r>
      <w:r>
        <w:rPr>
          <w:color w:val="auto"/>
          <w:kern w:val="0"/>
          <w:sz w:val="24"/>
          <w:highlight w:val="none"/>
        </w:rPr>
        <w:t>竞争性磋商公告</w:t>
      </w:r>
    </w:p>
    <w:p w14:paraId="0E6498BD">
      <w:pPr>
        <w:spacing w:line="312" w:lineRule="auto"/>
        <w:jc w:val="left"/>
        <w:rPr>
          <w:rFonts w:hint="eastAsia"/>
          <w:b/>
          <w:bCs/>
          <w:color w:val="auto"/>
          <w:kern w:val="0"/>
          <w:sz w:val="22"/>
          <w:szCs w:val="22"/>
          <w:highlight w:val="none"/>
        </w:rPr>
      </w:pPr>
    </w:p>
    <w:p w14:paraId="02C46FB9">
      <w:pPr>
        <w:spacing w:line="312" w:lineRule="auto"/>
        <w:ind w:firstLine="420" w:firstLineChars="200"/>
        <w:jc w:val="left"/>
        <w:rPr>
          <w:rFonts w:hint="eastAsia"/>
          <w:b/>
          <w:bCs/>
          <w:color w:val="auto"/>
          <w:kern w:val="0"/>
          <w:sz w:val="22"/>
          <w:szCs w:val="22"/>
          <w:highlight w:val="none"/>
        </w:rPr>
      </w:pPr>
      <w:bookmarkStart w:id="7" w:name="_Hlk132795121"/>
      <w:r>
        <w:rPr>
          <w:rFonts w:hint="eastAsia"/>
          <w:color w:val="auto"/>
          <w:szCs w:val="21"/>
          <w:highlight w:val="none"/>
        </w:rPr>
        <w:t>项目概况：</w:t>
      </w:r>
      <w:r>
        <w:rPr>
          <w:rFonts w:hint="eastAsia"/>
          <w:color w:val="auto"/>
          <w:szCs w:val="21"/>
          <w:highlight w:val="none"/>
          <w:lang w:eastAsia="zh-CN"/>
        </w:rPr>
        <w:t>广西交通运输治超联网系统平台服务采购项目升级建设项目（</w:t>
      </w:r>
      <w:r>
        <w:rPr>
          <w:rFonts w:hint="eastAsia"/>
          <w:color w:val="auto"/>
          <w:szCs w:val="21"/>
          <w:highlight w:val="none"/>
          <w:lang w:val="en-US" w:eastAsia="zh-CN"/>
        </w:rPr>
        <w:t>分标2重</w:t>
      </w:r>
      <w:r>
        <w:rPr>
          <w:rFonts w:hint="eastAsia"/>
          <w:color w:val="auto"/>
          <w:szCs w:val="21"/>
          <w:highlight w:val="none"/>
          <w:lang w:eastAsia="zh-CN"/>
        </w:rPr>
        <w:t>）</w:t>
      </w:r>
      <w:r>
        <w:rPr>
          <w:rFonts w:hint="eastAsia"/>
          <w:color w:val="auto"/>
          <w:szCs w:val="21"/>
          <w:highlight w:val="none"/>
        </w:rPr>
        <w:t xml:space="preserve">采购项目的潜在供应商应在广西政府采购云平台（https://www.gcy.zfcg.gxzf.gov.cn/）获取采购文件，并于 </w:t>
      </w:r>
      <w:r>
        <w:rPr>
          <w:rFonts w:hint="eastAsia"/>
          <w:color w:val="auto"/>
          <w:szCs w:val="21"/>
          <w:highlight w:val="none"/>
          <w:lang w:val="en-US" w:eastAsia="zh-CN"/>
        </w:rPr>
        <w:t>2025</w:t>
      </w:r>
      <w:r>
        <w:rPr>
          <w:rFonts w:hint="eastAsia"/>
          <w:color w:val="auto"/>
          <w:szCs w:val="21"/>
          <w:highlight w:val="none"/>
        </w:rPr>
        <w:t>年</w:t>
      </w:r>
      <w:r>
        <w:rPr>
          <w:rFonts w:hint="eastAsia"/>
          <w:color w:val="auto"/>
          <w:szCs w:val="21"/>
          <w:highlight w:val="none"/>
          <w:lang w:val="en-US" w:eastAsia="zh-CN"/>
        </w:rPr>
        <w:t>12</w:t>
      </w:r>
      <w:r>
        <w:rPr>
          <w:rFonts w:hint="eastAsia"/>
          <w:color w:val="auto"/>
          <w:szCs w:val="21"/>
          <w:highlight w:val="none"/>
        </w:rPr>
        <w:t>月</w:t>
      </w:r>
      <w:r>
        <w:rPr>
          <w:rFonts w:hint="eastAsia"/>
          <w:color w:val="auto"/>
          <w:szCs w:val="21"/>
          <w:highlight w:val="none"/>
          <w:lang w:val="en-US" w:eastAsia="zh-CN"/>
        </w:rPr>
        <w:t>29</w:t>
      </w:r>
      <w:r>
        <w:rPr>
          <w:rFonts w:hint="eastAsia"/>
          <w:color w:val="auto"/>
          <w:szCs w:val="21"/>
          <w:highlight w:val="none"/>
        </w:rPr>
        <w:t>日 09:30（北京时间）前提交响应文件。</w:t>
      </w:r>
      <w:bookmarkEnd w:id="7"/>
    </w:p>
    <w:p w14:paraId="7CFF18EC">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一、项目基本情况</w:t>
      </w:r>
    </w:p>
    <w:p w14:paraId="76090625">
      <w:pPr>
        <w:spacing w:line="312" w:lineRule="auto"/>
        <w:ind w:firstLine="420" w:firstLineChars="200"/>
        <w:jc w:val="left"/>
        <w:rPr>
          <w:rFonts w:hint="eastAsia" w:eastAsia="宋体"/>
          <w:color w:val="auto"/>
          <w:kern w:val="0"/>
          <w:szCs w:val="21"/>
          <w:highlight w:val="none"/>
          <w:lang w:eastAsia="zh-CN"/>
        </w:rPr>
      </w:pPr>
      <w:r>
        <w:rPr>
          <w:color w:val="auto"/>
          <w:kern w:val="0"/>
          <w:szCs w:val="21"/>
          <w:highlight w:val="none"/>
        </w:rPr>
        <w:t>项目编号：</w:t>
      </w:r>
      <w:r>
        <w:rPr>
          <w:rFonts w:hint="eastAsia"/>
          <w:color w:val="auto"/>
          <w:kern w:val="0"/>
          <w:szCs w:val="21"/>
          <w:highlight w:val="none"/>
          <w:lang w:val="en-US" w:eastAsia="zh-CN"/>
        </w:rPr>
        <w:t xml:space="preserve">GXZC2025-C3-003929-JDZB  </w:t>
      </w:r>
    </w:p>
    <w:p w14:paraId="25A3FFBB">
      <w:pPr>
        <w:spacing w:line="312" w:lineRule="auto"/>
        <w:ind w:firstLine="420" w:firstLineChars="200"/>
        <w:jc w:val="left"/>
        <w:rPr>
          <w:rFonts w:hint="eastAsia"/>
          <w:color w:val="auto"/>
          <w:kern w:val="0"/>
          <w:szCs w:val="21"/>
          <w:highlight w:val="none"/>
        </w:rPr>
      </w:pPr>
      <w:r>
        <w:rPr>
          <w:color w:val="auto"/>
          <w:kern w:val="0"/>
          <w:szCs w:val="21"/>
          <w:highlight w:val="none"/>
        </w:rPr>
        <w:t>项目名称：</w:t>
      </w:r>
      <w:r>
        <w:rPr>
          <w:rFonts w:hint="eastAsia"/>
          <w:color w:val="auto"/>
          <w:kern w:val="0"/>
          <w:szCs w:val="21"/>
          <w:highlight w:val="none"/>
          <w:lang w:eastAsia="zh-CN"/>
        </w:rPr>
        <w:t>广西交通运输治超联网系统平台服务采购项目升级建设项目</w:t>
      </w:r>
      <w:r>
        <w:rPr>
          <w:rFonts w:hint="eastAsia"/>
          <w:color w:val="auto"/>
          <w:kern w:val="0"/>
          <w:sz w:val="24"/>
          <w:highlight w:val="none"/>
          <w:lang w:eastAsia="zh-CN"/>
        </w:rPr>
        <w:t>（</w:t>
      </w:r>
      <w:r>
        <w:rPr>
          <w:rFonts w:hint="eastAsia"/>
          <w:color w:val="auto"/>
          <w:kern w:val="0"/>
          <w:sz w:val="24"/>
          <w:highlight w:val="none"/>
          <w:lang w:val="en-US" w:eastAsia="zh-CN"/>
        </w:rPr>
        <w:t>分标2重</w:t>
      </w:r>
      <w:r>
        <w:rPr>
          <w:rFonts w:hint="eastAsia"/>
          <w:color w:val="auto"/>
          <w:kern w:val="0"/>
          <w:sz w:val="24"/>
          <w:highlight w:val="none"/>
          <w:lang w:eastAsia="zh-CN"/>
        </w:rPr>
        <w:t>）</w:t>
      </w:r>
    </w:p>
    <w:p w14:paraId="29C96D5D">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采购方式：竞争性磋商</w:t>
      </w:r>
    </w:p>
    <w:p w14:paraId="51F288C0">
      <w:pPr>
        <w:spacing w:line="312" w:lineRule="auto"/>
        <w:ind w:firstLine="420" w:firstLineChars="200"/>
        <w:jc w:val="left"/>
        <w:rPr>
          <w:color w:val="auto"/>
          <w:kern w:val="0"/>
          <w:szCs w:val="21"/>
          <w:highlight w:val="none"/>
        </w:rPr>
      </w:pPr>
      <w:r>
        <w:rPr>
          <w:color w:val="auto"/>
          <w:kern w:val="0"/>
          <w:szCs w:val="21"/>
          <w:highlight w:val="none"/>
        </w:rPr>
        <w:t>预算</w:t>
      </w:r>
      <w:r>
        <w:rPr>
          <w:rFonts w:hint="eastAsia"/>
          <w:color w:val="auto"/>
          <w:kern w:val="0"/>
          <w:szCs w:val="21"/>
          <w:highlight w:val="none"/>
        </w:rPr>
        <w:t>总</w:t>
      </w:r>
      <w:r>
        <w:rPr>
          <w:color w:val="auto"/>
          <w:kern w:val="0"/>
          <w:szCs w:val="21"/>
          <w:highlight w:val="none"/>
        </w:rPr>
        <w:t>金额</w:t>
      </w:r>
      <w:r>
        <w:rPr>
          <w:rFonts w:hint="eastAsia"/>
          <w:color w:val="auto"/>
          <w:kern w:val="0"/>
          <w:szCs w:val="21"/>
          <w:highlight w:val="none"/>
        </w:rPr>
        <w:t>（元）</w:t>
      </w:r>
      <w:r>
        <w:rPr>
          <w:color w:val="auto"/>
          <w:kern w:val="0"/>
          <w:szCs w:val="21"/>
          <w:highlight w:val="none"/>
        </w:rPr>
        <w:t>：</w:t>
      </w:r>
      <w:r>
        <w:rPr>
          <w:rFonts w:hint="eastAsia"/>
          <w:color w:val="auto"/>
          <w:kern w:val="0"/>
          <w:szCs w:val="21"/>
          <w:highlight w:val="none"/>
          <w:lang w:val="en-US" w:eastAsia="zh-CN"/>
        </w:rPr>
        <w:t>192000.00</w:t>
      </w:r>
    </w:p>
    <w:p w14:paraId="544BE9BE">
      <w:pPr>
        <w:spacing w:line="312" w:lineRule="auto"/>
        <w:ind w:firstLine="420" w:firstLineChars="200"/>
        <w:jc w:val="left"/>
        <w:rPr>
          <w:color w:val="auto"/>
          <w:kern w:val="0"/>
          <w:szCs w:val="21"/>
          <w:highlight w:val="none"/>
        </w:rPr>
      </w:pPr>
      <w:r>
        <w:rPr>
          <w:rFonts w:hint="eastAsia"/>
          <w:color w:val="auto"/>
          <w:kern w:val="0"/>
          <w:szCs w:val="21"/>
          <w:highlight w:val="none"/>
        </w:rPr>
        <w:t>采购需求</w:t>
      </w:r>
      <w:r>
        <w:rPr>
          <w:color w:val="auto"/>
          <w:kern w:val="0"/>
          <w:szCs w:val="21"/>
          <w:highlight w:val="none"/>
        </w:rPr>
        <w:t>：</w:t>
      </w:r>
      <w:bookmarkStart w:id="8" w:name="_Hlk77608065"/>
    </w:p>
    <w:p w14:paraId="24C1310F">
      <w:pPr>
        <w:keepNext w:val="0"/>
        <w:keepLines w:val="0"/>
        <w:pageBreakBefore w:val="0"/>
        <w:widowControl w:val="0"/>
        <w:kinsoku/>
        <w:wordWrap/>
        <w:overflowPunct/>
        <w:topLinePunct w:val="0"/>
        <w:autoSpaceDE/>
        <w:autoSpaceDN/>
        <w:bidi w:val="0"/>
        <w:adjustRightInd/>
        <w:snapToGrid/>
        <w:spacing w:line="312" w:lineRule="auto"/>
        <w:ind w:firstLine="630" w:firstLineChars="300"/>
        <w:jc w:val="left"/>
        <w:textAlignment w:val="auto"/>
        <w:rPr>
          <w:rFonts w:hint="default" w:eastAsia="宋体"/>
          <w:color w:val="auto"/>
          <w:kern w:val="0"/>
          <w:szCs w:val="21"/>
          <w:highlight w:val="none"/>
          <w:lang w:val="en-US" w:eastAsia="zh-CN"/>
        </w:rPr>
      </w:pPr>
      <w:r>
        <w:rPr>
          <w:rFonts w:hint="eastAsia"/>
          <w:color w:val="auto"/>
          <w:kern w:val="0"/>
          <w:szCs w:val="21"/>
          <w:highlight w:val="none"/>
          <w:lang w:val="en-US" w:eastAsia="zh-CN"/>
        </w:rPr>
        <w:t>标项一：</w:t>
      </w:r>
    </w:p>
    <w:p w14:paraId="3687D7DF">
      <w:pPr>
        <w:keepNext w:val="0"/>
        <w:keepLines w:val="0"/>
        <w:pageBreakBefore w:val="0"/>
        <w:widowControl w:val="0"/>
        <w:kinsoku/>
        <w:wordWrap/>
        <w:overflowPunct/>
        <w:topLinePunct w:val="0"/>
        <w:autoSpaceDE/>
        <w:autoSpaceDN/>
        <w:bidi w:val="0"/>
        <w:adjustRightInd/>
        <w:snapToGrid/>
        <w:spacing w:line="312" w:lineRule="auto"/>
        <w:ind w:firstLine="630" w:firstLineChars="300"/>
        <w:jc w:val="left"/>
        <w:textAlignment w:val="auto"/>
        <w:rPr>
          <w:color w:val="auto"/>
          <w:kern w:val="0"/>
          <w:szCs w:val="21"/>
          <w:highlight w:val="none"/>
        </w:rPr>
      </w:pPr>
      <w:r>
        <w:rPr>
          <w:rFonts w:hint="eastAsia"/>
          <w:color w:val="auto"/>
          <w:kern w:val="0"/>
          <w:szCs w:val="21"/>
          <w:highlight w:val="none"/>
        </w:rPr>
        <w:t>标项名称：</w:t>
      </w:r>
      <w:r>
        <w:rPr>
          <w:rFonts w:hint="eastAsia"/>
          <w:color w:val="auto"/>
          <w:kern w:val="0"/>
          <w:szCs w:val="21"/>
          <w:highlight w:val="none"/>
          <w:lang w:eastAsia="zh-CN"/>
        </w:rPr>
        <w:t>广西交通运输治超联网系统平台</w:t>
      </w:r>
      <w:r>
        <w:rPr>
          <w:rFonts w:hint="eastAsia"/>
          <w:color w:val="auto"/>
          <w:kern w:val="0"/>
          <w:szCs w:val="21"/>
          <w:highlight w:val="none"/>
          <w:lang w:val="en-US" w:eastAsia="zh-CN"/>
        </w:rPr>
        <w:t>升级建设其他服务</w:t>
      </w:r>
    </w:p>
    <w:p w14:paraId="173AEB75">
      <w:pPr>
        <w:keepNext w:val="0"/>
        <w:keepLines w:val="0"/>
        <w:pageBreakBefore w:val="0"/>
        <w:widowControl w:val="0"/>
        <w:kinsoku/>
        <w:wordWrap/>
        <w:overflowPunct/>
        <w:topLinePunct w:val="0"/>
        <w:autoSpaceDE/>
        <w:autoSpaceDN/>
        <w:bidi w:val="0"/>
        <w:adjustRightInd/>
        <w:snapToGrid/>
        <w:spacing w:line="312" w:lineRule="auto"/>
        <w:ind w:firstLine="630" w:firstLineChars="300"/>
        <w:jc w:val="left"/>
        <w:textAlignment w:val="auto"/>
        <w:rPr>
          <w:rFonts w:hint="eastAsia"/>
          <w:color w:val="auto"/>
          <w:kern w:val="0"/>
          <w:szCs w:val="21"/>
          <w:highlight w:val="none"/>
          <w:lang w:val="en-US" w:eastAsia="zh-CN"/>
        </w:rPr>
      </w:pPr>
      <w:r>
        <w:rPr>
          <w:rFonts w:hint="eastAsia"/>
          <w:color w:val="auto"/>
          <w:kern w:val="0"/>
          <w:szCs w:val="21"/>
          <w:highlight w:val="none"/>
        </w:rPr>
        <w:t>数量：</w:t>
      </w:r>
      <w:r>
        <w:rPr>
          <w:rFonts w:hint="eastAsia"/>
          <w:color w:val="auto"/>
          <w:kern w:val="0"/>
          <w:szCs w:val="21"/>
          <w:highlight w:val="none"/>
          <w:lang w:val="en-US" w:eastAsia="zh-CN"/>
        </w:rPr>
        <w:t>1</w:t>
      </w:r>
    </w:p>
    <w:p w14:paraId="0CFFC6C7">
      <w:pPr>
        <w:keepNext w:val="0"/>
        <w:keepLines w:val="0"/>
        <w:pageBreakBefore w:val="0"/>
        <w:widowControl w:val="0"/>
        <w:kinsoku/>
        <w:wordWrap/>
        <w:overflowPunct/>
        <w:topLinePunct w:val="0"/>
        <w:autoSpaceDE/>
        <w:autoSpaceDN/>
        <w:bidi w:val="0"/>
        <w:adjustRightInd/>
        <w:snapToGrid/>
        <w:spacing w:line="312" w:lineRule="auto"/>
        <w:ind w:firstLine="630" w:firstLineChars="300"/>
        <w:jc w:val="left"/>
        <w:textAlignment w:val="auto"/>
        <w:rPr>
          <w:rFonts w:hint="default"/>
          <w:color w:val="auto"/>
          <w:kern w:val="0"/>
          <w:szCs w:val="21"/>
          <w:highlight w:val="none"/>
          <w:lang w:val="en-US" w:eastAsia="zh-CN"/>
        </w:rPr>
      </w:pPr>
      <w:r>
        <w:rPr>
          <w:rFonts w:hint="eastAsia"/>
          <w:color w:val="auto"/>
          <w:kern w:val="0"/>
          <w:szCs w:val="21"/>
          <w:highlight w:val="none"/>
        </w:rPr>
        <w:t>预算金额（元）：</w:t>
      </w:r>
      <w:r>
        <w:rPr>
          <w:rFonts w:hint="eastAsia"/>
          <w:color w:val="auto"/>
          <w:kern w:val="0"/>
          <w:szCs w:val="21"/>
          <w:highlight w:val="none"/>
          <w:lang w:val="en-US" w:eastAsia="zh-CN"/>
        </w:rPr>
        <w:t>192000.00</w:t>
      </w:r>
    </w:p>
    <w:p w14:paraId="6ADC8F15">
      <w:pPr>
        <w:keepNext w:val="0"/>
        <w:keepLines w:val="0"/>
        <w:pageBreakBefore w:val="0"/>
        <w:widowControl w:val="0"/>
        <w:kinsoku/>
        <w:wordWrap/>
        <w:overflowPunct/>
        <w:topLinePunct w:val="0"/>
        <w:autoSpaceDE/>
        <w:autoSpaceDN/>
        <w:bidi w:val="0"/>
        <w:adjustRightInd/>
        <w:snapToGrid/>
        <w:spacing w:line="312" w:lineRule="auto"/>
        <w:ind w:firstLine="630" w:firstLineChars="300"/>
        <w:jc w:val="left"/>
        <w:textAlignment w:val="auto"/>
        <w:rPr>
          <w:rFonts w:hint="default"/>
          <w:color w:val="auto"/>
          <w:kern w:val="0"/>
          <w:szCs w:val="21"/>
          <w:highlight w:val="none"/>
          <w:lang w:val="en-US" w:eastAsia="zh-CN"/>
        </w:rPr>
      </w:pPr>
      <w:r>
        <w:rPr>
          <w:rFonts w:hint="eastAsia"/>
          <w:color w:val="auto"/>
          <w:kern w:val="0"/>
          <w:szCs w:val="21"/>
          <w:highlight w:val="none"/>
        </w:rPr>
        <w:t>简要规格描述或项目基本概况介绍、用途：</w:t>
      </w:r>
      <w:r>
        <w:rPr>
          <w:rFonts w:hint="eastAsia"/>
          <w:color w:val="auto"/>
          <w:kern w:val="0"/>
          <w:szCs w:val="21"/>
          <w:highlight w:val="none"/>
          <w:lang w:val="en-US" w:eastAsia="zh-CN"/>
        </w:rPr>
        <w:t>主要包括监理服务、网络安全等级保护测评服务、商用密码应用建设方案编制及安全性评估服务、验收测评服务、财务决算审计服务。</w:t>
      </w:r>
    </w:p>
    <w:p w14:paraId="23C5C5C5">
      <w:pPr>
        <w:keepNext w:val="0"/>
        <w:keepLines w:val="0"/>
        <w:pageBreakBefore w:val="0"/>
        <w:widowControl w:val="0"/>
        <w:kinsoku/>
        <w:wordWrap/>
        <w:overflowPunct/>
        <w:topLinePunct w:val="0"/>
        <w:autoSpaceDE/>
        <w:autoSpaceDN/>
        <w:bidi w:val="0"/>
        <w:adjustRightInd/>
        <w:snapToGrid/>
        <w:spacing w:line="312" w:lineRule="auto"/>
        <w:ind w:firstLine="630" w:firstLineChars="300"/>
        <w:jc w:val="left"/>
        <w:textAlignment w:val="auto"/>
        <w:rPr>
          <w:rFonts w:hint="eastAsia"/>
          <w:color w:val="auto"/>
          <w:kern w:val="0"/>
          <w:szCs w:val="21"/>
          <w:highlight w:val="none"/>
        </w:rPr>
      </w:pPr>
      <w:r>
        <w:rPr>
          <w:rFonts w:hint="eastAsia"/>
          <w:color w:val="auto"/>
          <w:kern w:val="0"/>
          <w:szCs w:val="21"/>
          <w:highlight w:val="none"/>
        </w:rPr>
        <w:t>最高限价（如有）：</w:t>
      </w:r>
      <w:r>
        <w:rPr>
          <w:rFonts w:hint="eastAsia"/>
          <w:color w:val="auto"/>
          <w:kern w:val="0"/>
          <w:szCs w:val="21"/>
          <w:highlight w:val="none"/>
          <w:lang w:val="en-US" w:eastAsia="zh-CN"/>
        </w:rPr>
        <w:t>192000.00</w:t>
      </w:r>
    </w:p>
    <w:p w14:paraId="038859D0">
      <w:pPr>
        <w:keepNext w:val="0"/>
        <w:keepLines w:val="0"/>
        <w:pageBreakBefore w:val="0"/>
        <w:widowControl w:val="0"/>
        <w:kinsoku/>
        <w:wordWrap/>
        <w:overflowPunct/>
        <w:topLinePunct w:val="0"/>
        <w:autoSpaceDE/>
        <w:autoSpaceDN/>
        <w:bidi w:val="0"/>
        <w:adjustRightInd/>
        <w:snapToGrid/>
        <w:spacing w:line="312" w:lineRule="auto"/>
        <w:ind w:firstLine="630" w:firstLineChars="300"/>
        <w:jc w:val="left"/>
        <w:textAlignment w:val="auto"/>
        <w:rPr>
          <w:color w:val="auto"/>
          <w:kern w:val="0"/>
          <w:szCs w:val="21"/>
          <w:highlight w:val="none"/>
        </w:rPr>
      </w:pPr>
      <w:r>
        <w:rPr>
          <w:rFonts w:hint="eastAsia"/>
          <w:color w:val="auto"/>
          <w:kern w:val="0"/>
          <w:szCs w:val="21"/>
          <w:highlight w:val="none"/>
        </w:rPr>
        <w:t>合同履约期限：</w:t>
      </w:r>
      <w:r>
        <w:rPr>
          <w:rFonts w:hint="eastAsia"/>
          <w:color w:val="auto"/>
          <w:kern w:val="0"/>
          <w:szCs w:val="21"/>
          <w:highlight w:val="none"/>
          <w:lang w:val="en-US" w:eastAsia="zh-CN"/>
        </w:rPr>
        <w:t>2025年12月至2026年11月。</w:t>
      </w:r>
    </w:p>
    <w:p w14:paraId="49E03967">
      <w:pPr>
        <w:keepNext w:val="0"/>
        <w:keepLines w:val="0"/>
        <w:pageBreakBefore w:val="0"/>
        <w:widowControl w:val="0"/>
        <w:kinsoku/>
        <w:wordWrap/>
        <w:overflowPunct/>
        <w:topLinePunct w:val="0"/>
        <w:autoSpaceDE/>
        <w:autoSpaceDN/>
        <w:bidi w:val="0"/>
        <w:adjustRightInd/>
        <w:snapToGrid/>
        <w:spacing w:line="312" w:lineRule="auto"/>
        <w:ind w:firstLine="630" w:firstLineChars="300"/>
        <w:jc w:val="left"/>
        <w:textAlignment w:val="auto"/>
        <w:rPr>
          <w:color w:val="auto"/>
          <w:kern w:val="0"/>
          <w:szCs w:val="21"/>
          <w:highlight w:val="none"/>
        </w:rPr>
      </w:pPr>
      <w:r>
        <w:rPr>
          <w:color w:val="auto"/>
          <w:kern w:val="0"/>
          <w:szCs w:val="21"/>
          <w:highlight w:val="none"/>
        </w:rPr>
        <w:t>本项目</w:t>
      </w:r>
      <w:r>
        <w:rPr>
          <w:rFonts w:hint="eastAsia"/>
          <w:color w:val="auto"/>
          <w:kern w:val="0"/>
          <w:szCs w:val="21"/>
          <w:highlight w:val="none"/>
          <w:lang w:val="en-US" w:eastAsia="zh-CN"/>
        </w:rPr>
        <w:t>是</w:t>
      </w:r>
      <w:r>
        <w:rPr>
          <w:rFonts w:hint="eastAsia"/>
          <w:color w:val="auto"/>
          <w:kern w:val="0"/>
          <w:szCs w:val="21"/>
          <w:highlight w:val="none"/>
        </w:rPr>
        <w:t>接受</w:t>
      </w:r>
      <w:r>
        <w:rPr>
          <w:color w:val="auto"/>
          <w:kern w:val="0"/>
          <w:szCs w:val="21"/>
          <w:highlight w:val="none"/>
        </w:rPr>
        <w:t>联合体。</w:t>
      </w:r>
    </w:p>
    <w:p w14:paraId="1F39A917">
      <w:pPr>
        <w:keepNext w:val="0"/>
        <w:keepLines w:val="0"/>
        <w:pageBreakBefore w:val="0"/>
        <w:widowControl w:val="0"/>
        <w:kinsoku/>
        <w:wordWrap/>
        <w:overflowPunct/>
        <w:topLinePunct w:val="0"/>
        <w:autoSpaceDE/>
        <w:autoSpaceDN/>
        <w:bidi w:val="0"/>
        <w:adjustRightInd/>
        <w:snapToGrid/>
        <w:spacing w:line="312" w:lineRule="auto"/>
        <w:ind w:firstLine="630" w:firstLineChars="300"/>
        <w:jc w:val="left"/>
        <w:textAlignment w:val="auto"/>
        <w:rPr>
          <w:rFonts w:hint="default"/>
          <w:color w:val="auto"/>
          <w:kern w:val="0"/>
          <w:szCs w:val="21"/>
          <w:highlight w:val="none"/>
          <w:lang w:val="en-US" w:eastAsia="zh-CN"/>
        </w:rPr>
      </w:pPr>
      <w:r>
        <w:rPr>
          <w:rFonts w:hint="eastAsia"/>
          <w:color w:val="auto"/>
          <w:kern w:val="0"/>
          <w:szCs w:val="21"/>
          <w:highlight w:val="none"/>
        </w:rPr>
        <w:t>备注：</w:t>
      </w:r>
      <w:r>
        <w:rPr>
          <w:rFonts w:hint="eastAsia"/>
          <w:color w:val="auto"/>
          <w:kern w:val="0"/>
          <w:szCs w:val="21"/>
          <w:highlight w:val="none"/>
          <w:lang w:val="en-US" w:eastAsia="zh-CN"/>
        </w:rPr>
        <w:t>采购计划号：广西政采[2025]22517号-002-001</w:t>
      </w:r>
    </w:p>
    <w:bookmarkEnd w:id="8"/>
    <w:p w14:paraId="5816ED22">
      <w:pPr>
        <w:spacing w:line="312" w:lineRule="auto"/>
        <w:ind w:firstLine="442" w:firstLineChars="200"/>
        <w:jc w:val="left"/>
        <w:rPr>
          <w:rFonts w:hint="eastAsia"/>
          <w:b/>
          <w:bCs/>
          <w:color w:val="auto"/>
          <w:kern w:val="0"/>
          <w:sz w:val="22"/>
          <w:szCs w:val="22"/>
          <w:highlight w:val="none"/>
        </w:rPr>
      </w:pPr>
      <w:r>
        <w:rPr>
          <w:rFonts w:hint="eastAsia"/>
          <w:b/>
          <w:bCs/>
          <w:color w:val="auto"/>
          <w:kern w:val="0"/>
          <w:sz w:val="22"/>
          <w:szCs w:val="22"/>
          <w:highlight w:val="none"/>
        </w:rPr>
        <w:t>二、申请人的资格要求</w:t>
      </w:r>
    </w:p>
    <w:p w14:paraId="17037D1D">
      <w:pPr>
        <w:spacing w:line="312" w:lineRule="auto"/>
        <w:ind w:firstLine="420" w:firstLineChars="200"/>
        <w:jc w:val="left"/>
        <w:rPr>
          <w:color w:val="auto"/>
          <w:szCs w:val="21"/>
          <w:highlight w:val="none"/>
        </w:rPr>
      </w:pPr>
      <w:r>
        <w:rPr>
          <w:color w:val="auto"/>
          <w:kern w:val="0"/>
          <w:szCs w:val="21"/>
          <w:highlight w:val="none"/>
        </w:rPr>
        <w:t>1</w:t>
      </w:r>
      <w:r>
        <w:rPr>
          <w:rFonts w:hint="eastAsia"/>
          <w:color w:val="auto"/>
          <w:kern w:val="0"/>
          <w:szCs w:val="21"/>
          <w:highlight w:val="none"/>
        </w:rPr>
        <w:t>.满足</w:t>
      </w:r>
      <w:r>
        <w:rPr>
          <w:color w:val="auto"/>
          <w:kern w:val="0"/>
          <w:szCs w:val="21"/>
          <w:highlight w:val="none"/>
        </w:rPr>
        <w:t>《中华人民共和国政府采购法》第二十二条规定；</w:t>
      </w:r>
      <w:r>
        <w:rPr>
          <w:color w:val="auto"/>
          <w:szCs w:val="21"/>
          <w:highlight w:val="none"/>
        </w:rPr>
        <w:t xml:space="preserve"> </w:t>
      </w:r>
    </w:p>
    <w:p w14:paraId="4E059B63">
      <w:pPr>
        <w:spacing w:line="312" w:lineRule="auto"/>
        <w:ind w:firstLine="420" w:firstLineChars="200"/>
        <w:jc w:val="left"/>
        <w:rPr>
          <w:rFonts w:hint="default" w:eastAsia="宋体"/>
          <w:strike w:val="0"/>
          <w:color w:val="auto"/>
          <w:kern w:val="0"/>
          <w:szCs w:val="21"/>
          <w:highlight w:val="none"/>
          <w:lang w:val="en-US" w:eastAsia="zh-CN"/>
        </w:rPr>
      </w:pPr>
      <w:r>
        <w:rPr>
          <w:rFonts w:hint="eastAsia"/>
          <w:color w:val="auto"/>
          <w:szCs w:val="21"/>
          <w:highlight w:val="none"/>
        </w:rPr>
        <w:t>2.落实政府采购政策需满足的资格要求：</w:t>
      </w:r>
      <w:r>
        <w:rPr>
          <w:rFonts w:hint="eastAsia"/>
          <w:color w:val="auto"/>
          <w:szCs w:val="21"/>
          <w:highlight w:val="none"/>
          <w:lang w:val="en-US" w:eastAsia="zh-CN"/>
        </w:rPr>
        <w:t>无 。</w:t>
      </w:r>
    </w:p>
    <w:p w14:paraId="0807CAF0">
      <w:pPr>
        <w:spacing w:line="312" w:lineRule="auto"/>
        <w:ind w:firstLine="420" w:firstLineChars="200"/>
        <w:jc w:val="left"/>
        <w:rPr>
          <w:rFonts w:hint="eastAsia"/>
          <w:color w:val="auto"/>
          <w:kern w:val="0"/>
          <w:szCs w:val="21"/>
          <w:highlight w:val="none"/>
        </w:rPr>
      </w:pPr>
      <w:r>
        <w:rPr>
          <w:color w:val="auto"/>
          <w:kern w:val="0"/>
          <w:szCs w:val="21"/>
          <w:highlight w:val="none"/>
        </w:rPr>
        <w:t>3</w:t>
      </w:r>
      <w:r>
        <w:rPr>
          <w:rFonts w:hint="eastAsia"/>
          <w:color w:val="auto"/>
          <w:kern w:val="0"/>
          <w:szCs w:val="21"/>
          <w:highlight w:val="none"/>
        </w:rPr>
        <w:t>.本项目的</w:t>
      </w:r>
      <w:r>
        <w:rPr>
          <w:color w:val="auto"/>
          <w:kern w:val="0"/>
          <w:szCs w:val="21"/>
          <w:highlight w:val="none"/>
        </w:rPr>
        <w:t>特定资格</w:t>
      </w:r>
      <w:r>
        <w:rPr>
          <w:rFonts w:hint="eastAsia"/>
          <w:color w:val="auto"/>
          <w:kern w:val="0"/>
          <w:szCs w:val="21"/>
          <w:highlight w:val="none"/>
        </w:rPr>
        <w:t>要求</w:t>
      </w:r>
      <w:r>
        <w:rPr>
          <w:color w:val="auto"/>
          <w:kern w:val="0"/>
          <w:szCs w:val="21"/>
          <w:highlight w:val="none"/>
        </w:rPr>
        <w:t>：</w:t>
      </w:r>
    </w:p>
    <w:p w14:paraId="0818C676">
      <w:pPr>
        <w:spacing w:line="312" w:lineRule="auto"/>
        <w:ind w:firstLine="420" w:firstLineChars="200"/>
        <w:jc w:val="left"/>
        <w:rPr>
          <w:color w:val="auto"/>
          <w:kern w:val="0"/>
          <w:szCs w:val="21"/>
          <w:highlight w:val="none"/>
        </w:rPr>
      </w:pPr>
      <w:r>
        <w:rPr>
          <w:color w:val="auto"/>
          <w:kern w:val="0"/>
          <w:szCs w:val="21"/>
          <w:highlight w:val="none"/>
        </w:rPr>
        <w:t>（1）资质要求：无</w:t>
      </w:r>
    </w:p>
    <w:p w14:paraId="1C323CE9">
      <w:pPr>
        <w:spacing w:line="312" w:lineRule="auto"/>
        <w:ind w:firstLine="420" w:firstLineChars="200"/>
        <w:jc w:val="left"/>
        <w:rPr>
          <w:rFonts w:hint="eastAsia"/>
          <w:color w:val="auto"/>
          <w:kern w:val="0"/>
          <w:szCs w:val="21"/>
          <w:highlight w:val="none"/>
        </w:rPr>
      </w:pPr>
      <w:r>
        <w:rPr>
          <w:color w:val="auto"/>
          <w:kern w:val="0"/>
          <w:szCs w:val="21"/>
          <w:highlight w:val="none"/>
        </w:rPr>
        <w:t>（2）业绩要求：</w:t>
      </w:r>
      <w:r>
        <w:rPr>
          <w:rFonts w:hint="eastAsia"/>
          <w:color w:val="auto"/>
          <w:kern w:val="0"/>
          <w:szCs w:val="21"/>
          <w:highlight w:val="none"/>
          <w:lang w:val="en-US" w:eastAsia="zh-CN"/>
        </w:rPr>
        <w:t>无。</w:t>
      </w:r>
    </w:p>
    <w:p w14:paraId="583197FC">
      <w:pPr>
        <w:spacing w:line="312" w:lineRule="auto"/>
        <w:ind w:firstLine="420" w:firstLineChars="200"/>
        <w:jc w:val="left"/>
        <w:rPr>
          <w:color w:val="auto"/>
          <w:kern w:val="0"/>
          <w:szCs w:val="21"/>
          <w:highlight w:val="none"/>
        </w:rPr>
      </w:pPr>
      <w:r>
        <w:rPr>
          <w:rFonts w:hint="eastAsia"/>
          <w:color w:val="auto"/>
          <w:kern w:val="0"/>
          <w:szCs w:val="21"/>
          <w:highlight w:val="none"/>
        </w:rPr>
        <w:t>（</w:t>
      </w:r>
      <w:r>
        <w:rPr>
          <w:color w:val="auto"/>
          <w:kern w:val="0"/>
          <w:szCs w:val="21"/>
          <w:highlight w:val="none"/>
        </w:rPr>
        <w:t>3</w:t>
      </w:r>
      <w:r>
        <w:rPr>
          <w:rFonts w:hint="eastAsia"/>
          <w:color w:val="auto"/>
          <w:kern w:val="0"/>
          <w:szCs w:val="21"/>
          <w:highlight w:val="none"/>
        </w:rPr>
        <w:t>）</w:t>
      </w:r>
      <w:r>
        <w:rPr>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color w:val="auto"/>
          <w:kern w:val="0"/>
          <w:szCs w:val="21"/>
          <w:highlight w:val="none"/>
        </w:rPr>
        <w:t>本</w:t>
      </w:r>
      <w:r>
        <w:rPr>
          <w:color w:val="auto"/>
          <w:kern w:val="0"/>
          <w:szCs w:val="21"/>
          <w:highlight w:val="none"/>
        </w:rPr>
        <w:t>项目的采购活动</w:t>
      </w:r>
      <w:r>
        <w:rPr>
          <w:rFonts w:hint="eastAsia"/>
          <w:color w:val="auto"/>
          <w:kern w:val="0"/>
          <w:szCs w:val="21"/>
          <w:highlight w:val="none"/>
        </w:rPr>
        <w:t>。</w:t>
      </w:r>
    </w:p>
    <w:p w14:paraId="125AE5AE">
      <w:pPr>
        <w:spacing w:line="312" w:lineRule="auto"/>
        <w:ind w:firstLine="420" w:firstLineChars="200"/>
        <w:jc w:val="left"/>
        <w:rPr>
          <w:color w:val="auto"/>
          <w:kern w:val="0"/>
          <w:szCs w:val="21"/>
          <w:highlight w:val="none"/>
        </w:rPr>
      </w:pPr>
      <w:r>
        <w:rPr>
          <w:rFonts w:hint="eastAsia"/>
          <w:color w:val="auto"/>
          <w:kern w:val="0"/>
          <w:szCs w:val="21"/>
          <w:highlight w:val="none"/>
        </w:rPr>
        <w:t>（</w:t>
      </w:r>
      <w:r>
        <w:rPr>
          <w:rFonts w:hint="eastAsia"/>
          <w:color w:val="auto"/>
          <w:kern w:val="0"/>
          <w:szCs w:val="21"/>
          <w:highlight w:val="none"/>
          <w:lang w:val="en-US" w:eastAsia="zh-CN"/>
        </w:rPr>
        <w:t>4</w:t>
      </w:r>
      <w:r>
        <w:rPr>
          <w:rFonts w:hint="eastAsia"/>
          <w:color w:val="auto"/>
          <w:kern w:val="0"/>
          <w:szCs w:val="21"/>
          <w:highlight w:val="none"/>
        </w:rPr>
        <w:t>）</w:t>
      </w:r>
      <w:r>
        <w:rPr>
          <w:color w:val="auto"/>
          <w:kern w:val="0"/>
          <w:szCs w:val="21"/>
          <w:highlight w:val="none"/>
        </w:rPr>
        <w:t>未被列入失信被执行人、重大税收违法失信主体、政府采购严重违法失信行为记录名单。</w:t>
      </w:r>
    </w:p>
    <w:p w14:paraId="62173C79">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w:t>
      </w:r>
      <w:r>
        <w:rPr>
          <w:rFonts w:hint="eastAsia"/>
          <w:color w:val="auto"/>
          <w:kern w:val="0"/>
          <w:szCs w:val="21"/>
          <w:highlight w:val="none"/>
          <w:lang w:val="en-US" w:eastAsia="zh-CN"/>
        </w:rPr>
        <w:t>5</w:t>
      </w:r>
      <w:r>
        <w:rPr>
          <w:rFonts w:hint="eastAsia"/>
          <w:color w:val="auto"/>
          <w:kern w:val="0"/>
          <w:szCs w:val="21"/>
          <w:highlight w:val="none"/>
        </w:rPr>
        <w:t>）本项目不允许分公司参与响应。</w:t>
      </w:r>
    </w:p>
    <w:p w14:paraId="1CDFCBF7">
      <w:pPr>
        <w:spacing w:line="312" w:lineRule="auto"/>
        <w:ind w:firstLine="420" w:firstLineChars="200"/>
        <w:jc w:val="left"/>
        <w:rPr>
          <w:color w:val="auto"/>
          <w:kern w:val="0"/>
          <w:szCs w:val="21"/>
          <w:highlight w:val="none"/>
        </w:rPr>
      </w:pPr>
      <w:r>
        <w:rPr>
          <w:rFonts w:hint="eastAsia"/>
          <w:color w:val="auto"/>
          <w:kern w:val="0"/>
          <w:szCs w:val="21"/>
          <w:highlight w:val="none"/>
        </w:rPr>
        <w:t>（</w:t>
      </w:r>
      <w:r>
        <w:rPr>
          <w:rFonts w:hint="eastAsia"/>
          <w:color w:val="auto"/>
          <w:kern w:val="0"/>
          <w:szCs w:val="21"/>
          <w:highlight w:val="none"/>
          <w:lang w:val="en-US" w:eastAsia="zh-CN"/>
        </w:rPr>
        <w:t>6</w:t>
      </w:r>
      <w:r>
        <w:rPr>
          <w:rFonts w:hint="eastAsia"/>
          <w:color w:val="auto"/>
          <w:kern w:val="0"/>
          <w:szCs w:val="21"/>
          <w:highlight w:val="none"/>
        </w:rPr>
        <w:t>）本项目</w:t>
      </w:r>
      <w:r>
        <w:rPr>
          <w:rFonts w:hint="eastAsia"/>
          <w:color w:val="auto"/>
          <w:kern w:val="0"/>
          <w:szCs w:val="21"/>
          <w:highlight w:val="none"/>
          <w:lang w:val="en-US" w:eastAsia="zh-CN"/>
        </w:rPr>
        <w:t>不允许</w:t>
      </w:r>
      <w:r>
        <w:rPr>
          <w:rFonts w:hint="eastAsia"/>
          <w:color w:val="auto"/>
          <w:kern w:val="0"/>
          <w:szCs w:val="21"/>
          <w:highlight w:val="none"/>
        </w:rPr>
        <w:t>分包。</w:t>
      </w:r>
    </w:p>
    <w:p w14:paraId="5B95114C">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w:t>
      </w:r>
      <w:r>
        <w:rPr>
          <w:rFonts w:hint="eastAsia"/>
          <w:color w:val="auto"/>
          <w:kern w:val="0"/>
          <w:szCs w:val="21"/>
          <w:highlight w:val="none"/>
          <w:lang w:val="en-US" w:eastAsia="zh-CN"/>
        </w:rPr>
        <w:t>7</w:t>
      </w:r>
      <w:r>
        <w:rPr>
          <w:rFonts w:hint="eastAsia"/>
          <w:color w:val="auto"/>
          <w:kern w:val="0"/>
          <w:szCs w:val="21"/>
          <w:highlight w:val="none"/>
        </w:rPr>
        <w:t>）</w:t>
      </w:r>
      <w:r>
        <w:rPr>
          <w:color w:val="auto"/>
          <w:kern w:val="0"/>
          <w:szCs w:val="21"/>
          <w:highlight w:val="none"/>
        </w:rPr>
        <w:t>按照</w:t>
      </w:r>
      <w:r>
        <w:rPr>
          <w:rFonts w:hint="eastAsia"/>
          <w:color w:val="auto"/>
          <w:highlight w:val="none"/>
        </w:rPr>
        <w:t>磋商</w:t>
      </w:r>
      <w:r>
        <w:rPr>
          <w:color w:val="auto"/>
          <w:kern w:val="0"/>
          <w:szCs w:val="21"/>
          <w:highlight w:val="none"/>
        </w:rPr>
        <w:t>公告的规定获得</w:t>
      </w:r>
      <w:r>
        <w:rPr>
          <w:rFonts w:hint="eastAsia"/>
          <w:color w:val="auto"/>
          <w:highlight w:val="none"/>
        </w:rPr>
        <w:t>采购文件</w:t>
      </w:r>
      <w:r>
        <w:rPr>
          <w:color w:val="auto"/>
          <w:kern w:val="0"/>
          <w:szCs w:val="21"/>
          <w:highlight w:val="none"/>
        </w:rPr>
        <w:t>。</w:t>
      </w:r>
      <w:r>
        <w:rPr>
          <w:rFonts w:hint="eastAsia"/>
          <w:color w:val="auto"/>
          <w:kern w:val="0"/>
          <w:szCs w:val="21"/>
          <w:highlight w:val="none"/>
        </w:rPr>
        <w:t>采购文件有规定时按要求提交磋商保证金。</w:t>
      </w:r>
    </w:p>
    <w:p w14:paraId="031A8A11">
      <w:pPr>
        <w:spacing w:line="312" w:lineRule="auto"/>
        <w:ind w:firstLine="442" w:firstLineChars="200"/>
        <w:jc w:val="left"/>
        <w:rPr>
          <w:rFonts w:hint="eastAsia"/>
          <w:b/>
          <w:bCs/>
          <w:color w:val="auto"/>
          <w:kern w:val="0"/>
          <w:sz w:val="22"/>
          <w:szCs w:val="22"/>
          <w:highlight w:val="none"/>
        </w:rPr>
      </w:pPr>
      <w:r>
        <w:rPr>
          <w:rFonts w:hint="eastAsia"/>
          <w:b/>
          <w:bCs/>
          <w:color w:val="auto"/>
          <w:kern w:val="0"/>
          <w:sz w:val="22"/>
          <w:szCs w:val="22"/>
          <w:highlight w:val="none"/>
        </w:rPr>
        <w:t>三、获取采购文件</w:t>
      </w:r>
    </w:p>
    <w:p w14:paraId="15B5A8D8">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时间：20</w:t>
      </w:r>
      <w:r>
        <w:rPr>
          <w:rFonts w:hint="eastAsia"/>
          <w:color w:val="auto"/>
          <w:kern w:val="0"/>
          <w:szCs w:val="21"/>
          <w:highlight w:val="none"/>
          <w:lang w:val="en-US" w:eastAsia="zh-CN"/>
        </w:rPr>
        <w:t>25</w:t>
      </w:r>
      <w:r>
        <w:rPr>
          <w:rFonts w:hint="eastAsia"/>
          <w:color w:val="auto"/>
          <w:kern w:val="0"/>
          <w:szCs w:val="21"/>
          <w:highlight w:val="none"/>
        </w:rPr>
        <w:t>年</w:t>
      </w:r>
      <w:r>
        <w:rPr>
          <w:rFonts w:hint="eastAsia"/>
          <w:color w:val="auto"/>
          <w:kern w:val="0"/>
          <w:szCs w:val="21"/>
          <w:highlight w:val="none"/>
          <w:lang w:val="en-US" w:eastAsia="zh-CN"/>
        </w:rPr>
        <w:t>12</w:t>
      </w:r>
      <w:r>
        <w:rPr>
          <w:rFonts w:hint="eastAsia"/>
          <w:color w:val="auto"/>
          <w:kern w:val="0"/>
          <w:szCs w:val="21"/>
          <w:highlight w:val="none"/>
        </w:rPr>
        <w:t>月</w:t>
      </w:r>
      <w:r>
        <w:rPr>
          <w:rFonts w:hint="eastAsia"/>
          <w:color w:val="auto"/>
          <w:kern w:val="0"/>
          <w:szCs w:val="21"/>
          <w:highlight w:val="none"/>
          <w:lang w:val="en-US" w:eastAsia="zh-CN"/>
        </w:rPr>
        <w:t>17</w:t>
      </w:r>
      <w:r>
        <w:rPr>
          <w:rFonts w:hint="eastAsia"/>
          <w:color w:val="auto"/>
          <w:kern w:val="0"/>
          <w:szCs w:val="21"/>
          <w:highlight w:val="none"/>
        </w:rPr>
        <w:t>日起至20</w:t>
      </w:r>
      <w:r>
        <w:rPr>
          <w:rFonts w:hint="eastAsia"/>
          <w:color w:val="auto"/>
          <w:kern w:val="0"/>
          <w:szCs w:val="21"/>
          <w:highlight w:val="none"/>
          <w:lang w:val="en-US" w:eastAsia="zh-CN"/>
        </w:rPr>
        <w:t>25</w:t>
      </w:r>
      <w:r>
        <w:rPr>
          <w:rFonts w:hint="eastAsia"/>
          <w:color w:val="auto"/>
          <w:kern w:val="0"/>
          <w:szCs w:val="21"/>
          <w:highlight w:val="none"/>
        </w:rPr>
        <w:t>年</w:t>
      </w:r>
      <w:r>
        <w:rPr>
          <w:rFonts w:hint="eastAsia"/>
          <w:color w:val="auto"/>
          <w:kern w:val="0"/>
          <w:szCs w:val="21"/>
          <w:highlight w:val="none"/>
          <w:lang w:val="en-US" w:eastAsia="zh-CN"/>
        </w:rPr>
        <w:t>12</w:t>
      </w:r>
      <w:r>
        <w:rPr>
          <w:rFonts w:hint="eastAsia"/>
          <w:color w:val="auto"/>
          <w:kern w:val="0"/>
          <w:szCs w:val="21"/>
          <w:highlight w:val="none"/>
        </w:rPr>
        <w:t>月</w:t>
      </w:r>
      <w:r>
        <w:rPr>
          <w:rFonts w:hint="eastAsia"/>
          <w:color w:val="auto"/>
          <w:kern w:val="0"/>
          <w:szCs w:val="21"/>
          <w:highlight w:val="none"/>
          <w:lang w:val="en-US" w:eastAsia="zh-CN"/>
        </w:rPr>
        <w:t>24</w:t>
      </w:r>
      <w:r>
        <w:rPr>
          <w:rFonts w:hint="eastAsia"/>
          <w:color w:val="auto"/>
          <w:kern w:val="0"/>
          <w:szCs w:val="21"/>
          <w:highlight w:val="none"/>
        </w:rPr>
        <w:t>日，每天上午</w:t>
      </w:r>
      <w:r>
        <w:rPr>
          <w:rFonts w:hint="eastAsia"/>
          <w:color w:val="auto"/>
          <w:kern w:val="0"/>
          <w:szCs w:val="21"/>
          <w:highlight w:val="none"/>
          <w:lang w:val="en-US" w:eastAsia="zh-CN"/>
        </w:rPr>
        <w:t>8</w:t>
      </w:r>
      <w:r>
        <w:rPr>
          <w:rFonts w:hint="eastAsia"/>
          <w:color w:val="auto"/>
          <w:kern w:val="0"/>
          <w:szCs w:val="21"/>
          <w:highlight w:val="none"/>
        </w:rPr>
        <w:t>时</w:t>
      </w:r>
      <w:r>
        <w:rPr>
          <w:rFonts w:hint="eastAsia"/>
          <w:color w:val="auto"/>
          <w:kern w:val="0"/>
          <w:szCs w:val="21"/>
          <w:highlight w:val="none"/>
          <w:lang w:val="en-US" w:eastAsia="zh-CN"/>
        </w:rPr>
        <w:t>3</w:t>
      </w:r>
      <w:r>
        <w:rPr>
          <w:rFonts w:hint="eastAsia"/>
          <w:color w:val="auto"/>
          <w:kern w:val="0"/>
          <w:szCs w:val="21"/>
          <w:highlight w:val="none"/>
        </w:rPr>
        <w:t>0分至12时00分，下午</w:t>
      </w:r>
      <w:r>
        <w:rPr>
          <w:rFonts w:hint="eastAsia"/>
          <w:color w:val="auto"/>
          <w:kern w:val="0"/>
          <w:szCs w:val="21"/>
          <w:highlight w:val="none"/>
          <w:lang w:val="en-US" w:eastAsia="zh-CN"/>
        </w:rPr>
        <w:t>14</w:t>
      </w:r>
      <w:r>
        <w:rPr>
          <w:rFonts w:hint="eastAsia"/>
          <w:color w:val="auto"/>
          <w:kern w:val="0"/>
          <w:szCs w:val="21"/>
          <w:highlight w:val="none"/>
        </w:rPr>
        <w:t>时</w:t>
      </w:r>
      <w:r>
        <w:rPr>
          <w:rFonts w:hint="eastAsia"/>
          <w:color w:val="auto"/>
          <w:kern w:val="0"/>
          <w:szCs w:val="21"/>
          <w:highlight w:val="none"/>
          <w:lang w:val="en-US" w:eastAsia="zh-CN"/>
        </w:rPr>
        <w:t>3</w:t>
      </w:r>
      <w:r>
        <w:rPr>
          <w:rFonts w:hint="eastAsia"/>
          <w:color w:val="auto"/>
          <w:kern w:val="0"/>
          <w:szCs w:val="21"/>
          <w:highlight w:val="none"/>
        </w:rPr>
        <w:t>0分至17时30分。</w:t>
      </w:r>
    </w:p>
    <w:p w14:paraId="3248F910">
      <w:pPr>
        <w:spacing w:line="312" w:lineRule="auto"/>
        <w:ind w:firstLine="420" w:firstLineChars="200"/>
        <w:jc w:val="left"/>
        <w:rPr>
          <w:rFonts w:hint="eastAsia"/>
          <w:color w:val="auto"/>
          <w:kern w:val="0"/>
          <w:szCs w:val="21"/>
          <w:highlight w:val="none"/>
        </w:rPr>
      </w:pPr>
      <w:bookmarkStart w:id="9" w:name="_Hlk46137393"/>
      <w:r>
        <w:rPr>
          <w:rFonts w:hint="eastAsia"/>
          <w:color w:val="auto"/>
          <w:kern w:val="0"/>
          <w:szCs w:val="21"/>
          <w:highlight w:val="none"/>
        </w:rPr>
        <w:t>地点（网址）：</w:t>
      </w:r>
      <w:bookmarkEnd w:id="9"/>
      <w:r>
        <w:rPr>
          <w:rFonts w:hint="eastAsia"/>
          <w:color w:val="auto"/>
          <w:kern w:val="0"/>
          <w:szCs w:val="21"/>
          <w:highlight w:val="none"/>
        </w:rPr>
        <w:t>广西政府采购云平台（https://www.gcy.zfcg.gxzf.gov.cn/）</w:t>
      </w:r>
    </w:p>
    <w:p w14:paraId="781076CD">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方式：供应商登录广西政府采购云平台在线申请获取采购文件（进入“项目采购”应用，在获取采购文件菜单中选择项目，申请获取采购文件）</w:t>
      </w:r>
    </w:p>
    <w:p w14:paraId="3021DBD3">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售价（元）：0</w:t>
      </w:r>
    </w:p>
    <w:p w14:paraId="01D43F12">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四、响应文件提交</w:t>
      </w:r>
    </w:p>
    <w:p w14:paraId="11CAE391">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截止时间：20</w:t>
      </w:r>
      <w:r>
        <w:rPr>
          <w:rFonts w:hint="eastAsia"/>
          <w:color w:val="auto"/>
          <w:kern w:val="0"/>
          <w:szCs w:val="21"/>
          <w:highlight w:val="none"/>
          <w:lang w:val="en-US" w:eastAsia="zh-CN"/>
        </w:rPr>
        <w:t>25</w:t>
      </w:r>
      <w:r>
        <w:rPr>
          <w:rFonts w:hint="eastAsia"/>
          <w:color w:val="auto"/>
          <w:kern w:val="0"/>
          <w:szCs w:val="21"/>
          <w:highlight w:val="none"/>
        </w:rPr>
        <w:t>年</w:t>
      </w:r>
      <w:r>
        <w:rPr>
          <w:rFonts w:hint="eastAsia"/>
          <w:color w:val="auto"/>
          <w:kern w:val="0"/>
          <w:szCs w:val="21"/>
          <w:highlight w:val="none"/>
          <w:lang w:val="en-US" w:eastAsia="zh-CN"/>
        </w:rPr>
        <w:t>12</w:t>
      </w:r>
      <w:r>
        <w:rPr>
          <w:rFonts w:hint="eastAsia"/>
          <w:color w:val="auto"/>
          <w:kern w:val="0"/>
          <w:szCs w:val="21"/>
          <w:highlight w:val="none"/>
        </w:rPr>
        <w:t>月</w:t>
      </w:r>
      <w:r>
        <w:rPr>
          <w:rFonts w:hint="eastAsia"/>
          <w:color w:val="auto"/>
          <w:kern w:val="0"/>
          <w:szCs w:val="21"/>
          <w:highlight w:val="none"/>
          <w:lang w:val="en-US" w:eastAsia="zh-CN"/>
        </w:rPr>
        <w:t>29</w:t>
      </w:r>
      <w:r>
        <w:rPr>
          <w:rFonts w:hint="eastAsia"/>
          <w:color w:val="auto"/>
          <w:kern w:val="0"/>
          <w:szCs w:val="21"/>
          <w:highlight w:val="none"/>
        </w:rPr>
        <w:t>日</w:t>
      </w:r>
      <w:r>
        <w:rPr>
          <w:rFonts w:hint="eastAsia"/>
          <w:color w:val="auto"/>
          <w:szCs w:val="21"/>
          <w:highlight w:val="none"/>
        </w:rPr>
        <w:t>09:30</w:t>
      </w:r>
      <w:r>
        <w:rPr>
          <w:rFonts w:hint="eastAsia"/>
          <w:color w:val="auto"/>
          <w:kern w:val="0"/>
          <w:szCs w:val="21"/>
          <w:highlight w:val="none"/>
        </w:rPr>
        <w:t>（北京时间）</w:t>
      </w:r>
    </w:p>
    <w:p w14:paraId="1D7CA8D2">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地点（网址）：本项目为全流程电子化项目，没有现场递交响应文件及现场截标环节，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A认证编制、加密响应文件后在响应截止时间前上传至广西政府采购云平台，供应商在广西政府采购云平台提交电子版响应文件时，请填写参加远程截标活动经办人联系方式。</w:t>
      </w:r>
    </w:p>
    <w:p w14:paraId="0C4B224B">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五、开启</w:t>
      </w:r>
    </w:p>
    <w:p w14:paraId="40DF7EC7">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开启时间：20</w:t>
      </w:r>
      <w:r>
        <w:rPr>
          <w:rFonts w:hint="eastAsia"/>
          <w:color w:val="auto"/>
          <w:kern w:val="0"/>
          <w:szCs w:val="21"/>
          <w:highlight w:val="none"/>
          <w:lang w:val="en-US" w:eastAsia="zh-CN"/>
        </w:rPr>
        <w:t>25</w:t>
      </w:r>
      <w:r>
        <w:rPr>
          <w:rFonts w:hint="eastAsia"/>
          <w:color w:val="auto"/>
          <w:kern w:val="0"/>
          <w:szCs w:val="21"/>
          <w:highlight w:val="none"/>
        </w:rPr>
        <w:t>年</w:t>
      </w:r>
      <w:r>
        <w:rPr>
          <w:rFonts w:hint="eastAsia"/>
          <w:color w:val="auto"/>
          <w:kern w:val="0"/>
          <w:szCs w:val="21"/>
          <w:highlight w:val="none"/>
          <w:lang w:val="en-US" w:eastAsia="zh-CN"/>
        </w:rPr>
        <w:t>12</w:t>
      </w:r>
      <w:r>
        <w:rPr>
          <w:rFonts w:hint="eastAsia"/>
          <w:color w:val="auto"/>
          <w:kern w:val="0"/>
          <w:szCs w:val="21"/>
          <w:highlight w:val="none"/>
        </w:rPr>
        <w:t>月</w:t>
      </w:r>
      <w:r>
        <w:rPr>
          <w:rFonts w:hint="eastAsia"/>
          <w:color w:val="auto"/>
          <w:kern w:val="0"/>
          <w:szCs w:val="21"/>
          <w:highlight w:val="none"/>
          <w:lang w:val="en-US" w:eastAsia="zh-CN"/>
        </w:rPr>
        <w:t>29</w:t>
      </w:r>
      <w:r>
        <w:rPr>
          <w:rFonts w:hint="eastAsia"/>
          <w:color w:val="auto"/>
          <w:kern w:val="0"/>
          <w:szCs w:val="21"/>
          <w:highlight w:val="none"/>
        </w:rPr>
        <w:t>日</w:t>
      </w:r>
      <w:r>
        <w:rPr>
          <w:rFonts w:hint="eastAsia"/>
          <w:color w:val="auto"/>
          <w:szCs w:val="21"/>
          <w:highlight w:val="none"/>
        </w:rPr>
        <w:t>09:30</w:t>
      </w:r>
      <w:r>
        <w:rPr>
          <w:rFonts w:hint="eastAsia"/>
          <w:color w:val="auto"/>
          <w:kern w:val="0"/>
          <w:szCs w:val="21"/>
          <w:highlight w:val="none"/>
        </w:rPr>
        <w:t>（北京时间）</w:t>
      </w:r>
    </w:p>
    <w:p w14:paraId="18B49870">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地点：供应商登录广西政府采购云平台电子开标大厅截标。</w:t>
      </w:r>
    </w:p>
    <w:p w14:paraId="5E054C8E">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六、公告期限</w:t>
      </w:r>
    </w:p>
    <w:p w14:paraId="523C96DE">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自本公告发布之日起5个工作日。</w:t>
      </w:r>
    </w:p>
    <w:p w14:paraId="4D6E13D5">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七、其他补充事宜</w:t>
      </w:r>
    </w:p>
    <w:p w14:paraId="2795498A">
      <w:pPr>
        <w:spacing w:line="312" w:lineRule="auto"/>
        <w:ind w:firstLine="420" w:firstLineChars="200"/>
        <w:jc w:val="left"/>
        <w:rPr>
          <w:color w:val="auto"/>
          <w:kern w:val="0"/>
          <w:szCs w:val="21"/>
          <w:highlight w:val="none"/>
        </w:rPr>
      </w:pPr>
      <w:r>
        <w:rPr>
          <w:rFonts w:hint="eastAsia"/>
          <w:color w:val="auto"/>
          <w:kern w:val="0"/>
          <w:szCs w:val="21"/>
          <w:highlight w:val="none"/>
        </w:rPr>
        <w:t>1</w:t>
      </w:r>
      <w:r>
        <w:rPr>
          <w:color w:val="auto"/>
          <w:kern w:val="0"/>
          <w:szCs w:val="21"/>
          <w:highlight w:val="none"/>
        </w:rPr>
        <w:t>.</w:t>
      </w:r>
      <w:r>
        <w:rPr>
          <w:rFonts w:hint="eastAsia"/>
          <w:color w:val="auto"/>
          <w:kern w:val="0"/>
          <w:szCs w:val="21"/>
          <w:highlight w:val="none"/>
        </w:rPr>
        <w:t>公告发布媒体：广西壮族自治区政府采购网、中国政府采购网</w:t>
      </w:r>
    </w:p>
    <w:p w14:paraId="611ED920">
      <w:pPr>
        <w:spacing w:line="312" w:lineRule="auto"/>
        <w:ind w:firstLine="420" w:firstLineChars="200"/>
        <w:jc w:val="left"/>
        <w:rPr>
          <w:color w:val="auto"/>
          <w:kern w:val="0"/>
          <w:szCs w:val="21"/>
          <w:highlight w:val="none"/>
        </w:rPr>
      </w:pPr>
      <w:r>
        <w:rPr>
          <w:rFonts w:hint="eastAsia"/>
          <w:color w:val="auto"/>
          <w:kern w:val="0"/>
          <w:szCs w:val="21"/>
          <w:highlight w:val="none"/>
        </w:rPr>
        <w:t>2.需落实的政府采购政策：本项目适用政府采购促进中小企业、监狱企业发展、促进残疾人就业、节能环保等有关政策，具体详见采购文件。</w:t>
      </w:r>
    </w:p>
    <w:p w14:paraId="0711292C">
      <w:pPr>
        <w:spacing w:line="312" w:lineRule="auto"/>
        <w:ind w:firstLine="420" w:firstLineChars="200"/>
        <w:jc w:val="left"/>
        <w:rPr>
          <w:rFonts w:hint="eastAsia" w:eastAsia="宋体"/>
          <w:color w:val="auto"/>
          <w:highlight w:val="none"/>
          <w:lang w:eastAsia="zh-CN"/>
        </w:rPr>
      </w:pPr>
      <w:r>
        <w:rPr>
          <w:color w:val="auto"/>
          <w:kern w:val="0"/>
          <w:szCs w:val="21"/>
          <w:highlight w:val="none"/>
        </w:rPr>
        <w:t>3</w:t>
      </w:r>
      <w:r>
        <w:rPr>
          <w:rFonts w:hint="eastAsia"/>
          <w:color w:val="auto"/>
          <w:kern w:val="0"/>
          <w:szCs w:val="21"/>
          <w:highlight w:val="none"/>
        </w:rPr>
        <w:t>.本项目供应商的产生方式：</w:t>
      </w:r>
      <w:r>
        <w:rPr>
          <w:color w:val="auto"/>
          <w:highlight w:val="none"/>
        </w:rPr>
        <w:t>发布</w:t>
      </w:r>
      <w:r>
        <w:rPr>
          <w:rFonts w:hint="eastAsia"/>
          <w:color w:val="auto"/>
          <w:highlight w:val="none"/>
        </w:rPr>
        <w:t>公告征集</w:t>
      </w:r>
      <w:r>
        <w:rPr>
          <w:rFonts w:hint="eastAsia"/>
          <w:color w:val="auto"/>
          <w:highlight w:val="none"/>
          <w:lang w:eastAsia="zh-CN"/>
        </w:rPr>
        <w:t>。</w:t>
      </w:r>
    </w:p>
    <w:p w14:paraId="653517F1">
      <w:pPr>
        <w:spacing w:line="312" w:lineRule="auto"/>
        <w:ind w:firstLine="420" w:firstLineChars="200"/>
        <w:jc w:val="left"/>
        <w:rPr>
          <w:rFonts w:hint="eastAsia"/>
          <w:color w:val="auto"/>
          <w:kern w:val="0"/>
          <w:szCs w:val="21"/>
          <w:highlight w:val="none"/>
        </w:rPr>
      </w:pPr>
      <w:r>
        <w:rPr>
          <w:color w:val="auto"/>
          <w:kern w:val="0"/>
          <w:szCs w:val="21"/>
          <w:highlight w:val="none"/>
        </w:rPr>
        <w:t>4</w:t>
      </w:r>
      <w:r>
        <w:rPr>
          <w:rFonts w:hint="eastAsia"/>
          <w:color w:val="auto"/>
          <w:kern w:val="0"/>
          <w:szCs w:val="21"/>
          <w:highlight w:val="none"/>
        </w:rPr>
        <w:t>.注意事项：</w:t>
      </w:r>
    </w:p>
    <w:p w14:paraId="2E3F48CF">
      <w:pPr>
        <w:spacing w:line="276" w:lineRule="auto"/>
        <w:ind w:firstLine="420" w:firstLineChars="200"/>
        <w:rPr>
          <w:color w:val="auto"/>
          <w:szCs w:val="21"/>
          <w:highlight w:val="none"/>
        </w:rPr>
      </w:pPr>
      <w:r>
        <w:rPr>
          <w:rFonts w:hint="eastAsia"/>
          <w:color w:val="auto"/>
          <w:kern w:val="0"/>
          <w:szCs w:val="21"/>
          <w:highlight w:val="none"/>
        </w:rPr>
        <w:t>（1）</w:t>
      </w:r>
      <w:r>
        <w:rPr>
          <w:rFonts w:hint="eastAsia"/>
          <w:color w:val="auto"/>
          <w:szCs w:val="21"/>
          <w:highlight w:val="none"/>
        </w:rPr>
        <w:t>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52720CB3">
      <w:pPr>
        <w:spacing w:line="276" w:lineRule="auto"/>
        <w:ind w:firstLine="420" w:firstLineChars="200"/>
        <w:rPr>
          <w:color w:val="auto"/>
          <w:kern w:val="0"/>
          <w:szCs w:val="21"/>
          <w:highlight w:val="none"/>
        </w:rPr>
      </w:pPr>
      <w:r>
        <w:rPr>
          <w:rFonts w:hint="eastAsia"/>
          <w:color w:val="auto"/>
          <w:szCs w:val="21"/>
          <w:highlight w:val="none"/>
        </w:rPr>
        <w:t>（2）为确保网上操作合法、有效和安全，请供应商确保在电子投标过程中能够对相关数据电文进行加密和使用电子签章，妥善保管CA数字证书并使用有效的CA数字证书参与整个招标活动。</w:t>
      </w:r>
    </w:p>
    <w:p w14:paraId="679AF3FD">
      <w:pPr>
        <w:spacing w:line="276"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3</w:t>
      </w:r>
      <w:r>
        <w:rPr>
          <w:rFonts w:hint="eastAsia" w:ascii="宋体" w:hAnsi="宋体" w:cs="宋体"/>
          <w:color w:val="auto"/>
          <w:kern w:val="0"/>
          <w:szCs w:val="21"/>
          <w:highlight w:val="none"/>
        </w:rPr>
        <w:t>）若对项目采购电子交易系统操作有疑问，可登录广西政府采购云平台（https://www.gcy.zfcg.gxzf.gov.cn/），点击右侧咨询小采或帮助文档或拨打客服热线95763</w:t>
      </w:r>
    </w:p>
    <w:p w14:paraId="419A7608">
      <w:pPr>
        <w:spacing w:line="276" w:lineRule="auto"/>
        <w:ind w:firstLine="442" w:firstLineChars="200"/>
        <w:rPr>
          <w:rFonts w:hint="eastAsia"/>
          <w:b/>
          <w:bCs/>
          <w:color w:val="auto"/>
          <w:kern w:val="0"/>
          <w:sz w:val="22"/>
          <w:szCs w:val="22"/>
          <w:highlight w:val="none"/>
        </w:rPr>
      </w:pPr>
      <w:r>
        <w:rPr>
          <w:rFonts w:hint="eastAsia"/>
          <w:b/>
          <w:bCs/>
          <w:color w:val="auto"/>
          <w:kern w:val="0"/>
          <w:sz w:val="22"/>
          <w:szCs w:val="22"/>
          <w:highlight w:val="none"/>
        </w:rPr>
        <w:t>八、对本次采购提出询问，请按以下方式联系</w:t>
      </w:r>
    </w:p>
    <w:p w14:paraId="0B85E6B8">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1.采购人信息</w:t>
      </w:r>
    </w:p>
    <w:p w14:paraId="3A6EEF17">
      <w:pPr>
        <w:spacing w:line="312" w:lineRule="auto"/>
        <w:ind w:firstLine="420" w:firstLineChars="200"/>
        <w:jc w:val="left"/>
        <w:rPr>
          <w:rFonts w:hint="eastAsia"/>
          <w:color w:val="auto"/>
          <w:highlight w:val="none"/>
          <w:u w:val="single"/>
          <w:lang w:val="en-US" w:eastAsia="zh-CN"/>
        </w:rPr>
      </w:pPr>
      <w:bookmarkStart w:id="10" w:name="_Hlk19048373"/>
      <w:r>
        <w:rPr>
          <w:rFonts w:hint="eastAsia"/>
          <w:color w:val="auto"/>
          <w:kern w:val="0"/>
          <w:szCs w:val="21"/>
          <w:highlight w:val="none"/>
        </w:rPr>
        <w:t>名称</w:t>
      </w:r>
      <w:r>
        <w:rPr>
          <w:color w:val="auto"/>
          <w:kern w:val="0"/>
          <w:szCs w:val="21"/>
          <w:highlight w:val="none"/>
        </w:rPr>
        <w:t>：</w:t>
      </w:r>
      <w:r>
        <w:rPr>
          <w:rFonts w:hint="eastAsia"/>
          <w:color w:val="auto"/>
          <w:highlight w:val="none"/>
          <w:u w:val="single"/>
          <w:lang w:val="en-US" w:eastAsia="zh-CN"/>
        </w:rPr>
        <w:t>广西壮族自治区交通运输厅</w:t>
      </w:r>
    </w:p>
    <w:p w14:paraId="04AA419D">
      <w:pPr>
        <w:spacing w:line="312" w:lineRule="auto"/>
        <w:ind w:firstLine="420" w:firstLineChars="200"/>
        <w:jc w:val="left"/>
        <w:rPr>
          <w:rFonts w:hint="eastAsia"/>
          <w:color w:val="auto"/>
          <w:highlight w:val="none"/>
          <w:u w:val="single"/>
          <w:lang w:val="en-US" w:eastAsia="zh-CN"/>
        </w:rPr>
      </w:pPr>
      <w:r>
        <w:rPr>
          <w:color w:val="auto"/>
          <w:kern w:val="0"/>
          <w:szCs w:val="21"/>
          <w:highlight w:val="none"/>
        </w:rPr>
        <w:t>地址：</w:t>
      </w:r>
      <w:r>
        <w:rPr>
          <w:rFonts w:hint="eastAsia"/>
          <w:color w:val="auto"/>
          <w:highlight w:val="none"/>
          <w:u w:val="single"/>
          <w:lang w:val="en-US" w:eastAsia="zh-CN"/>
        </w:rPr>
        <w:t>广西壮族自治区南宁市新民路67号</w:t>
      </w:r>
    </w:p>
    <w:p w14:paraId="2D5C5288">
      <w:pPr>
        <w:spacing w:line="312" w:lineRule="auto"/>
        <w:ind w:firstLine="420" w:firstLineChars="200"/>
        <w:jc w:val="left"/>
        <w:rPr>
          <w:rFonts w:hint="default" w:eastAsia="宋体"/>
          <w:color w:val="auto"/>
          <w:kern w:val="0"/>
          <w:szCs w:val="21"/>
          <w:highlight w:val="none"/>
          <w:u w:val="single"/>
          <w:lang w:val="en-US" w:eastAsia="zh-CN"/>
        </w:rPr>
      </w:pPr>
      <w:r>
        <w:rPr>
          <w:rFonts w:hint="eastAsia"/>
          <w:color w:val="auto"/>
          <w:kern w:val="0"/>
          <w:szCs w:val="21"/>
          <w:highlight w:val="none"/>
        </w:rPr>
        <w:t>项目联系人：</w:t>
      </w:r>
      <w:r>
        <w:rPr>
          <w:rFonts w:hint="eastAsia"/>
          <w:color w:val="auto"/>
          <w:highlight w:val="none"/>
          <w:u w:val="single"/>
          <w:lang w:val="en-US" w:eastAsia="zh-CN"/>
        </w:rPr>
        <w:t>李思伦、刘平安</w:t>
      </w:r>
    </w:p>
    <w:p w14:paraId="318B297A">
      <w:pPr>
        <w:spacing w:line="312" w:lineRule="auto"/>
        <w:ind w:firstLine="420" w:firstLineChars="200"/>
        <w:jc w:val="left"/>
        <w:rPr>
          <w:rFonts w:hint="default"/>
          <w:color w:val="auto"/>
          <w:kern w:val="0"/>
          <w:szCs w:val="21"/>
          <w:highlight w:val="none"/>
          <w:u w:val="single"/>
          <w:lang w:val="en-US"/>
        </w:rPr>
      </w:pPr>
      <w:r>
        <w:rPr>
          <w:rFonts w:hint="eastAsia"/>
          <w:color w:val="auto"/>
          <w:kern w:val="0"/>
          <w:szCs w:val="21"/>
          <w:highlight w:val="none"/>
        </w:rPr>
        <w:t>项目联系方式：</w:t>
      </w:r>
      <w:r>
        <w:rPr>
          <w:rFonts w:hint="eastAsia"/>
          <w:color w:val="auto"/>
          <w:highlight w:val="none"/>
          <w:u w:val="single"/>
          <w:lang w:eastAsia="zh-CN"/>
        </w:rPr>
        <w:t>0771-</w:t>
      </w:r>
      <w:r>
        <w:rPr>
          <w:rFonts w:hint="eastAsia"/>
          <w:color w:val="auto"/>
          <w:highlight w:val="none"/>
          <w:u w:val="single"/>
          <w:lang w:val="en-US" w:eastAsia="zh-CN"/>
        </w:rPr>
        <w:t xml:space="preserve">2115793 </w:t>
      </w:r>
    </w:p>
    <w:p w14:paraId="06B9A331">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2.采购代理机构信息</w:t>
      </w:r>
    </w:p>
    <w:p w14:paraId="37319125">
      <w:pPr>
        <w:spacing w:line="312" w:lineRule="auto"/>
        <w:ind w:firstLine="420" w:firstLineChars="200"/>
        <w:jc w:val="left"/>
        <w:rPr>
          <w:color w:val="auto"/>
          <w:kern w:val="0"/>
          <w:szCs w:val="21"/>
          <w:highlight w:val="none"/>
          <w:u w:val="single"/>
        </w:rPr>
      </w:pPr>
      <w:r>
        <w:rPr>
          <w:rFonts w:hint="eastAsia"/>
          <w:color w:val="auto"/>
          <w:kern w:val="0"/>
          <w:szCs w:val="21"/>
          <w:highlight w:val="none"/>
        </w:rPr>
        <w:t>名称</w:t>
      </w:r>
      <w:r>
        <w:rPr>
          <w:color w:val="auto"/>
          <w:kern w:val="0"/>
          <w:szCs w:val="21"/>
          <w:highlight w:val="none"/>
        </w:rPr>
        <w:t>：</w:t>
      </w:r>
      <w:r>
        <w:rPr>
          <w:color w:val="auto"/>
          <w:kern w:val="0"/>
          <w:szCs w:val="21"/>
          <w:highlight w:val="none"/>
          <w:u w:val="single"/>
        </w:rPr>
        <w:t>广西机电设备招标有限公司</w:t>
      </w:r>
    </w:p>
    <w:p w14:paraId="55A737E9">
      <w:pPr>
        <w:spacing w:line="312" w:lineRule="auto"/>
        <w:ind w:firstLine="420" w:firstLineChars="200"/>
        <w:jc w:val="left"/>
        <w:rPr>
          <w:color w:val="auto"/>
          <w:kern w:val="0"/>
          <w:szCs w:val="21"/>
          <w:highlight w:val="none"/>
          <w:u w:val="single"/>
        </w:rPr>
      </w:pPr>
      <w:r>
        <w:rPr>
          <w:color w:val="auto"/>
          <w:kern w:val="0"/>
          <w:szCs w:val="21"/>
          <w:highlight w:val="none"/>
        </w:rPr>
        <w:t>地址：</w:t>
      </w:r>
      <w:bookmarkStart w:id="11" w:name="_Hlk43198245"/>
      <w:r>
        <w:rPr>
          <w:color w:val="auto"/>
          <w:highlight w:val="none"/>
          <w:u w:val="single"/>
        </w:rPr>
        <w:t>广西南宁市金湖路63号金源CBD现代城B座7层</w:t>
      </w:r>
      <w:bookmarkEnd w:id="11"/>
    </w:p>
    <w:bookmarkEnd w:id="10"/>
    <w:p w14:paraId="7D3845C8">
      <w:pPr>
        <w:spacing w:line="312" w:lineRule="auto"/>
        <w:ind w:firstLine="420" w:firstLineChars="200"/>
        <w:jc w:val="left"/>
        <w:rPr>
          <w:rFonts w:hint="eastAsia"/>
          <w:color w:val="auto"/>
          <w:highlight w:val="none"/>
          <w:u w:val="single"/>
          <w:lang w:eastAsia="zh-CN"/>
        </w:rPr>
      </w:pPr>
      <w:r>
        <w:rPr>
          <w:rFonts w:hint="eastAsia"/>
          <w:color w:val="auto"/>
          <w:kern w:val="0"/>
          <w:szCs w:val="21"/>
          <w:highlight w:val="none"/>
        </w:rPr>
        <w:t>项目联系人：</w:t>
      </w:r>
      <w:r>
        <w:rPr>
          <w:rFonts w:hint="eastAsia"/>
          <w:color w:val="auto"/>
          <w:highlight w:val="none"/>
          <w:u w:val="single"/>
          <w:lang w:val="en-US" w:eastAsia="zh-CN"/>
        </w:rPr>
        <w:t>梁艳冰</w:t>
      </w:r>
      <w:r>
        <w:rPr>
          <w:rFonts w:hint="eastAsia"/>
          <w:color w:val="auto"/>
          <w:highlight w:val="none"/>
          <w:u w:val="single"/>
          <w:lang w:eastAsia="zh-CN"/>
        </w:rPr>
        <w:t>、</w:t>
      </w:r>
      <w:r>
        <w:rPr>
          <w:rFonts w:hint="eastAsia"/>
          <w:color w:val="auto"/>
          <w:highlight w:val="none"/>
          <w:u w:val="single"/>
          <w:lang w:val="en-US" w:eastAsia="zh-CN"/>
        </w:rPr>
        <w:t>陈健达</w:t>
      </w:r>
      <w:r>
        <w:rPr>
          <w:rFonts w:hint="eastAsia"/>
          <w:color w:val="auto"/>
          <w:highlight w:val="none"/>
          <w:u w:val="single"/>
          <w:lang w:eastAsia="zh-CN"/>
        </w:rPr>
        <w:t>、梅莹</w:t>
      </w:r>
    </w:p>
    <w:p w14:paraId="38E2BDA3">
      <w:pPr>
        <w:spacing w:line="312" w:lineRule="auto"/>
        <w:ind w:right="420" w:firstLine="420" w:firstLineChars="200"/>
        <w:rPr>
          <w:color w:val="auto"/>
          <w:kern w:val="0"/>
          <w:szCs w:val="21"/>
          <w:highlight w:val="none"/>
        </w:rPr>
      </w:pPr>
      <w:r>
        <w:rPr>
          <w:rFonts w:hint="eastAsia"/>
          <w:color w:val="auto"/>
          <w:kern w:val="0"/>
          <w:szCs w:val="21"/>
          <w:highlight w:val="none"/>
        </w:rPr>
        <w:t>项目联系方式：</w:t>
      </w:r>
      <w:r>
        <w:rPr>
          <w:rFonts w:hint="eastAsia"/>
          <w:color w:val="auto"/>
          <w:highlight w:val="none"/>
          <w:u w:val="single"/>
          <w:lang w:eastAsia="zh-CN"/>
        </w:rPr>
        <w:t>0771-2808981</w:t>
      </w:r>
      <w:r>
        <w:rPr>
          <w:color w:val="auto"/>
          <w:kern w:val="0"/>
          <w:szCs w:val="21"/>
          <w:highlight w:val="none"/>
          <w:u w:val="single"/>
        </w:rPr>
        <w:t xml:space="preserve"> </w:t>
      </w:r>
    </w:p>
    <w:p w14:paraId="54CFE430">
      <w:pPr>
        <w:spacing w:line="312" w:lineRule="auto"/>
        <w:ind w:firstLine="420" w:firstLineChars="200"/>
        <w:jc w:val="right"/>
        <w:rPr>
          <w:color w:val="auto"/>
          <w:kern w:val="0"/>
          <w:szCs w:val="21"/>
          <w:highlight w:val="none"/>
        </w:rPr>
      </w:pPr>
    </w:p>
    <w:p w14:paraId="200BBC5E">
      <w:pPr>
        <w:spacing w:line="312" w:lineRule="auto"/>
        <w:ind w:firstLine="420" w:firstLineChars="200"/>
        <w:jc w:val="right"/>
        <w:rPr>
          <w:color w:val="auto"/>
          <w:kern w:val="0"/>
          <w:szCs w:val="21"/>
          <w:highlight w:val="none"/>
        </w:rPr>
      </w:pPr>
    </w:p>
    <w:p w14:paraId="767C07E5">
      <w:pPr>
        <w:spacing w:line="312" w:lineRule="auto"/>
        <w:ind w:firstLine="420" w:firstLineChars="200"/>
        <w:jc w:val="right"/>
        <w:rPr>
          <w:color w:val="auto"/>
          <w:kern w:val="0"/>
          <w:szCs w:val="21"/>
          <w:highlight w:val="none"/>
        </w:rPr>
      </w:pPr>
    </w:p>
    <w:p w14:paraId="0043888B">
      <w:pPr>
        <w:spacing w:line="312" w:lineRule="auto"/>
        <w:ind w:firstLine="420" w:firstLineChars="200"/>
        <w:jc w:val="right"/>
        <w:rPr>
          <w:color w:val="auto"/>
          <w:kern w:val="0"/>
          <w:szCs w:val="21"/>
          <w:highlight w:val="none"/>
        </w:rPr>
      </w:pPr>
      <w:r>
        <w:rPr>
          <w:color w:val="auto"/>
          <w:kern w:val="0"/>
          <w:szCs w:val="21"/>
          <w:highlight w:val="none"/>
        </w:rPr>
        <w:t>广西机电设备招标有限公司</w:t>
      </w:r>
    </w:p>
    <w:p w14:paraId="5872A94F">
      <w:pPr>
        <w:spacing w:line="312" w:lineRule="auto"/>
        <w:ind w:firstLine="420" w:firstLineChars="200"/>
        <w:jc w:val="right"/>
        <w:rPr>
          <w:color w:val="auto"/>
          <w:kern w:val="0"/>
          <w:szCs w:val="21"/>
          <w:highlight w:val="none"/>
        </w:rPr>
      </w:pPr>
      <w:r>
        <w:rPr>
          <w:color w:val="auto"/>
          <w:kern w:val="0"/>
          <w:szCs w:val="21"/>
          <w:highlight w:val="none"/>
        </w:rPr>
        <w:t>20</w:t>
      </w:r>
      <w:r>
        <w:rPr>
          <w:rFonts w:hint="eastAsia"/>
          <w:color w:val="auto"/>
          <w:kern w:val="0"/>
          <w:szCs w:val="21"/>
          <w:highlight w:val="none"/>
          <w:lang w:val="en-US" w:eastAsia="zh-CN"/>
        </w:rPr>
        <w:t>25</w:t>
      </w:r>
      <w:r>
        <w:rPr>
          <w:color w:val="auto"/>
          <w:kern w:val="0"/>
          <w:szCs w:val="21"/>
          <w:highlight w:val="none"/>
        </w:rPr>
        <w:t>年</w:t>
      </w:r>
      <w:r>
        <w:rPr>
          <w:rFonts w:hint="eastAsia"/>
          <w:color w:val="auto"/>
          <w:kern w:val="0"/>
          <w:szCs w:val="21"/>
          <w:highlight w:val="none"/>
          <w:lang w:val="en-US" w:eastAsia="zh-CN"/>
        </w:rPr>
        <w:t>12</w:t>
      </w:r>
      <w:r>
        <w:rPr>
          <w:color w:val="auto"/>
          <w:kern w:val="0"/>
          <w:szCs w:val="21"/>
          <w:highlight w:val="none"/>
        </w:rPr>
        <w:t>月</w:t>
      </w:r>
      <w:r>
        <w:rPr>
          <w:rFonts w:hint="eastAsia"/>
          <w:color w:val="auto"/>
          <w:kern w:val="0"/>
          <w:szCs w:val="21"/>
          <w:highlight w:val="none"/>
          <w:lang w:val="en-US" w:eastAsia="zh-CN"/>
        </w:rPr>
        <w:t>17</w:t>
      </w:r>
      <w:r>
        <w:rPr>
          <w:color w:val="auto"/>
          <w:kern w:val="0"/>
          <w:szCs w:val="21"/>
          <w:highlight w:val="none"/>
        </w:rPr>
        <w:t>日</w:t>
      </w:r>
    </w:p>
    <w:p w14:paraId="6ADDE90A">
      <w:pPr>
        <w:ind w:firstLine="409" w:firstLineChars="195"/>
        <w:jc w:val="left"/>
        <w:rPr>
          <w:color w:val="auto"/>
          <w:kern w:val="0"/>
          <w:szCs w:val="21"/>
          <w:highlight w:val="none"/>
        </w:rPr>
      </w:pPr>
    </w:p>
    <w:p w14:paraId="26272978">
      <w:pPr>
        <w:spacing w:line="312" w:lineRule="auto"/>
        <w:ind w:right="105" w:firstLine="360" w:firstLineChars="200"/>
        <w:jc w:val="right"/>
        <w:rPr>
          <w:rFonts w:hint="eastAsia"/>
          <w:color w:val="auto"/>
          <w:kern w:val="0"/>
          <w:sz w:val="18"/>
          <w:szCs w:val="18"/>
          <w:highlight w:val="none"/>
        </w:rPr>
      </w:pPr>
    </w:p>
    <w:p w14:paraId="57B6F23D">
      <w:pPr>
        <w:pStyle w:val="26"/>
        <w:snapToGrid w:val="0"/>
        <w:spacing w:before="120" w:after="120" w:line="320" w:lineRule="exact"/>
        <w:jc w:val="center"/>
        <w:outlineLvl w:val="0"/>
        <w:rPr>
          <w:rFonts w:ascii="Times New Roman" w:hAnsi="Times New Roman" w:cs="Times New Roman"/>
          <w:color w:val="auto"/>
          <w:highlight w:val="none"/>
        </w:rPr>
        <w:sectPr>
          <w:headerReference r:id="rId9" w:type="first"/>
          <w:footerReference r:id="rId11" w:type="first"/>
          <w:headerReference r:id="rId8" w:type="default"/>
          <w:footerReference r:id="rId10" w:type="default"/>
          <w:pgSz w:w="11906" w:h="16838"/>
          <w:pgMar w:top="1135" w:right="1133" w:bottom="1246" w:left="1418" w:header="851" w:footer="903" w:gutter="0"/>
          <w:pgNumType w:start="1"/>
          <w:cols w:space="720" w:num="1"/>
          <w:docGrid w:linePitch="312" w:charSpace="0"/>
        </w:sectPr>
      </w:pPr>
    </w:p>
    <w:p w14:paraId="6194093B">
      <w:pPr>
        <w:rPr>
          <w:color w:val="auto"/>
          <w:highlight w:val="none"/>
        </w:rPr>
      </w:pPr>
    </w:p>
    <w:p w14:paraId="5FF7DA4A">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12" w:name="_Toc8343"/>
      <w:r>
        <w:rPr>
          <w:rFonts w:ascii="Times New Roman" w:hAnsi="Times New Roman" w:cs="Times New Roman"/>
          <w:color w:val="auto"/>
          <w:sz w:val="32"/>
          <w:szCs w:val="32"/>
          <w:highlight w:val="none"/>
        </w:rPr>
        <w:t>第二章  采购需求</w:t>
      </w:r>
      <w:bookmarkEnd w:id="12"/>
    </w:p>
    <w:p w14:paraId="7B0B06C3">
      <w:pPr>
        <w:spacing w:before="120"/>
        <w:rPr>
          <w:rFonts w:ascii="宋体" w:hAnsi="宋体" w:cs="宋体"/>
          <w:b/>
          <w:bCs/>
          <w:color w:val="auto"/>
          <w:sz w:val="28"/>
          <w:szCs w:val="28"/>
          <w:highlight w:val="none"/>
        </w:rPr>
      </w:pPr>
      <w:bookmarkStart w:id="13" w:name="_Toc254970490"/>
      <w:bookmarkStart w:id="14" w:name="_Toc254970631"/>
    </w:p>
    <w:p w14:paraId="3A83F2A1">
      <w:pPr>
        <w:spacing w:line="360" w:lineRule="auto"/>
        <w:rPr>
          <w:rFonts w:ascii="黑体" w:hAnsi="黑体" w:eastAsia="黑体" w:cs="Arial"/>
          <w:b/>
          <w:color w:val="auto"/>
          <w:kern w:val="0"/>
          <w:sz w:val="28"/>
          <w:szCs w:val="28"/>
          <w:highlight w:val="none"/>
        </w:rPr>
      </w:pPr>
      <w:r>
        <w:rPr>
          <w:rFonts w:ascii="黑体" w:hAnsi="黑体" w:eastAsia="黑体" w:cs="Arial"/>
          <w:b/>
          <w:color w:val="auto"/>
          <w:kern w:val="0"/>
          <w:sz w:val="28"/>
          <w:szCs w:val="28"/>
          <w:highlight w:val="none"/>
        </w:rPr>
        <w:t>一、</w:t>
      </w:r>
      <w:r>
        <w:rPr>
          <w:rFonts w:hint="eastAsia" w:ascii="黑体" w:hAnsi="黑体" w:eastAsia="黑体" w:cs="Arial"/>
          <w:b/>
          <w:color w:val="auto"/>
          <w:kern w:val="0"/>
          <w:sz w:val="28"/>
          <w:szCs w:val="28"/>
          <w:highlight w:val="none"/>
        </w:rPr>
        <w:t>总体</w:t>
      </w:r>
      <w:r>
        <w:rPr>
          <w:rFonts w:ascii="黑体" w:hAnsi="黑体" w:eastAsia="黑体" w:cs="Arial"/>
          <w:b/>
          <w:color w:val="auto"/>
          <w:kern w:val="0"/>
          <w:sz w:val="28"/>
          <w:szCs w:val="28"/>
          <w:highlight w:val="none"/>
        </w:rPr>
        <w:t>要求</w:t>
      </w:r>
    </w:p>
    <w:p w14:paraId="46EC4E96">
      <w:pPr>
        <w:spacing w:line="360" w:lineRule="auto"/>
        <w:rPr>
          <w:color w:val="auto"/>
          <w:szCs w:val="21"/>
          <w:highlight w:val="none"/>
        </w:rPr>
      </w:pPr>
      <w:r>
        <w:rPr>
          <w:color w:val="auto"/>
          <w:szCs w:val="21"/>
          <w:highlight w:val="none"/>
        </w:rPr>
        <w:t>1</w:t>
      </w:r>
      <w:r>
        <w:rPr>
          <w:rFonts w:hint="eastAsia"/>
          <w:color w:val="auto"/>
          <w:szCs w:val="21"/>
          <w:highlight w:val="none"/>
        </w:rPr>
        <w:t>.政府采购政策的应用</w:t>
      </w:r>
    </w:p>
    <w:p w14:paraId="2A1CD3E2">
      <w:pPr>
        <w:spacing w:line="360" w:lineRule="auto"/>
        <w:rPr>
          <w:rFonts w:hint="eastAsia"/>
          <w:color w:val="auto"/>
          <w:szCs w:val="21"/>
          <w:highlight w:val="none"/>
        </w:rPr>
      </w:pPr>
      <w:r>
        <w:rPr>
          <w:rFonts w:hint="eastAsia"/>
          <w:color w:val="auto"/>
          <w:szCs w:val="21"/>
          <w:highlight w:val="none"/>
        </w:rPr>
        <w:t>详见采购文件“评审方法及标准/政府采购政策应用说明”。</w:t>
      </w:r>
    </w:p>
    <w:p w14:paraId="1B557C0C">
      <w:pPr>
        <w:spacing w:line="360" w:lineRule="auto"/>
        <w:rPr>
          <w:color w:val="auto"/>
          <w:szCs w:val="21"/>
          <w:highlight w:val="none"/>
        </w:rPr>
      </w:pPr>
      <w:r>
        <w:rPr>
          <w:color w:val="auto"/>
          <w:szCs w:val="21"/>
          <w:highlight w:val="none"/>
        </w:rPr>
        <w:t>2</w:t>
      </w:r>
      <w:r>
        <w:rPr>
          <w:rFonts w:hint="eastAsia"/>
          <w:color w:val="auto"/>
          <w:szCs w:val="21"/>
          <w:highlight w:val="none"/>
        </w:rPr>
        <w:t>.采购需求要求未尽事宜</w:t>
      </w:r>
      <w:r>
        <w:rPr>
          <w:color w:val="auto"/>
          <w:szCs w:val="21"/>
          <w:highlight w:val="none"/>
        </w:rPr>
        <w:t>由</w:t>
      </w:r>
      <w:r>
        <w:rPr>
          <w:rFonts w:hint="eastAsia"/>
          <w:color w:val="auto"/>
          <w:szCs w:val="21"/>
          <w:highlight w:val="none"/>
        </w:rPr>
        <w:t>采购人与成交供应商</w:t>
      </w:r>
      <w:r>
        <w:rPr>
          <w:color w:val="auto"/>
          <w:szCs w:val="21"/>
          <w:highlight w:val="none"/>
        </w:rPr>
        <w:t>在采购合同中约定。</w:t>
      </w:r>
    </w:p>
    <w:p w14:paraId="7BB85B90">
      <w:pPr>
        <w:spacing w:line="360" w:lineRule="auto"/>
        <w:rPr>
          <w:color w:val="auto"/>
          <w:szCs w:val="21"/>
          <w:highlight w:val="none"/>
        </w:rPr>
      </w:pPr>
      <w:r>
        <w:rPr>
          <w:color w:val="auto"/>
          <w:szCs w:val="21"/>
          <w:highlight w:val="none"/>
        </w:rPr>
        <w:t>3</w:t>
      </w:r>
      <w:r>
        <w:rPr>
          <w:rFonts w:hint="eastAsia"/>
          <w:color w:val="auto"/>
          <w:szCs w:val="21"/>
          <w:highlight w:val="none"/>
        </w:rPr>
        <w:t>.</w:t>
      </w:r>
      <w:r>
        <w:rPr>
          <w:color w:val="auto"/>
          <w:szCs w:val="21"/>
          <w:highlight w:val="none"/>
        </w:rPr>
        <w:t>标注“▲”的条款或要求系指实质性条款或实质性要求，必须满足，如存在负偏离将导致响应被否决。</w:t>
      </w:r>
    </w:p>
    <w:p w14:paraId="56162AD1">
      <w:pPr>
        <w:spacing w:line="360" w:lineRule="auto"/>
        <w:rPr>
          <w:rFonts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t>二、技术要求</w:t>
      </w:r>
    </w:p>
    <w:p w14:paraId="1F2F3416">
      <w:pPr>
        <w:spacing w:line="360" w:lineRule="auto"/>
        <w:rPr>
          <w:color w:val="auto"/>
          <w:szCs w:val="21"/>
          <w:highlight w:val="none"/>
        </w:rPr>
      </w:pPr>
      <w:r>
        <w:rPr>
          <w:rFonts w:hint="eastAsia"/>
          <w:color w:val="auto"/>
          <w:szCs w:val="21"/>
          <w:highlight w:val="none"/>
        </w:rPr>
        <w:t>1.需实现的功能、目标及应用场景</w:t>
      </w:r>
    </w:p>
    <w:p w14:paraId="2C9F721C">
      <w:pPr>
        <w:spacing w:line="360" w:lineRule="auto"/>
        <w:rPr>
          <w:rFonts w:hint="eastAsia"/>
          <w:color w:val="auto"/>
          <w:szCs w:val="21"/>
          <w:highlight w:val="none"/>
        </w:rPr>
      </w:pPr>
      <w:r>
        <w:rPr>
          <w:rFonts w:hint="eastAsia"/>
          <w:color w:val="auto"/>
          <w:szCs w:val="21"/>
          <w:highlight w:val="none"/>
        </w:rPr>
        <w:t>满足采购文件要求，验收达到合格标准。</w:t>
      </w:r>
    </w:p>
    <w:p w14:paraId="5D0E9EFF">
      <w:pPr>
        <w:spacing w:line="360" w:lineRule="auto"/>
        <w:rPr>
          <w:color w:val="auto"/>
          <w:szCs w:val="21"/>
          <w:highlight w:val="none"/>
        </w:rPr>
      </w:pPr>
      <w:bookmarkStart w:id="15" w:name="_Hlk89170486"/>
      <w:r>
        <w:rPr>
          <w:color w:val="auto"/>
          <w:szCs w:val="21"/>
          <w:highlight w:val="none"/>
        </w:rPr>
        <w:t>2</w:t>
      </w:r>
      <w:r>
        <w:rPr>
          <w:rFonts w:hint="eastAsia"/>
          <w:color w:val="auto"/>
          <w:szCs w:val="21"/>
          <w:highlight w:val="none"/>
        </w:rPr>
        <w:t>.</w:t>
      </w:r>
      <w:r>
        <w:rPr>
          <w:color w:val="auto"/>
          <w:szCs w:val="21"/>
          <w:highlight w:val="none"/>
        </w:rPr>
        <w:t>需执行的国家相关标准、行业标准、地方标准或者其他标准、规范</w:t>
      </w:r>
    </w:p>
    <w:p w14:paraId="78A8B0C5">
      <w:pPr>
        <w:spacing w:line="360" w:lineRule="auto"/>
        <w:rPr>
          <w:i/>
          <w:color w:val="auto"/>
          <w:szCs w:val="21"/>
          <w:highlight w:val="none"/>
          <w:u w:val="single"/>
        </w:rPr>
      </w:pPr>
      <w:r>
        <w:rPr>
          <w:rFonts w:hint="eastAsia"/>
          <w:color w:val="auto"/>
          <w:szCs w:val="21"/>
          <w:highlight w:val="none"/>
        </w:rPr>
        <w:t>本项目应执行的国家相关标准、行业标准、地方标准或者其他标准、规范为：</w:t>
      </w:r>
      <w:r>
        <w:rPr>
          <w:rFonts w:hint="eastAsia"/>
          <w:color w:val="auto"/>
          <w:szCs w:val="21"/>
          <w:highlight w:val="none"/>
          <w:u w:val="single"/>
        </w:rPr>
        <w:t>详见技术指标要求</w:t>
      </w:r>
    </w:p>
    <w:bookmarkEnd w:id="15"/>
    <w:p w14:paraId="5D50DF62">
      <w:pPr>
        <w:spacing w:line="360" w:lineRule="auto"/>
        <w:rPr>
          <w:color w:val="auto"/>
          <w:szCs w:val="21"/>
          <w:highlight w:val="none"/>
        </w:rPr>
      </w:pPr>
      <w:r>
        <w:rPr>
          <w:color w:val="auto"/>
          <w:szCs w:val="21"/>
          <w:highlight w:val="none"/>
        </w:rPr>
        <w:t>3</w:t>
      </w:r>
      <w:r>
        <w:rPr>
          <w:rFonts w:hint="eastAsia"/>
          <w:color w:val="auto"/>
          <w:szCs w:val="21"/>
          <w:highlight w:val="none"/>
        </w:rPr>
        <w:t>.标的所属行业：</w:t>
      </w:r>
      <w:r>
        <w:rPr>
          <w:rFonts w:hint="eastAsia"/>
          <w:b/>
          <w:bCs/>
          <w:color w:val="auto"/>
          <w:szCs w:val="21"/>
          <w:highlight w:val="none"/>
        </w:rPr>
        <w:t>其他未列明行业</w:t>
      </w:r>
    </w:p>
    <w:p w14:paraId="21B3F279">
      <w:pPr>
        <w:spacing w:line="360" w:lineRule="auto"/>
        <w:rPr>
          <w:rFonts w:hint="eastAsia" w:eastAsia="宋体"/>
          <w:color w:val="auto"/>
          <w:szCs w:val="21"/>
          <w:highlight w:val="none"/>
          <w:lang w:eastAsia="zh-CN"/>
        </w:rPr>
      </w:pPr>
      <w:r>
        <w:rPr>
          <w:color w:val="auto"/>
          <w:szCs w:val="21"/>
          <w:highlight w:val="none"/>
        </w:rPr>
        <w:t>4</w:t>
      </w:r>
      <w:r>
        <w:rPr>
          <w:rFonts w:hint="eastAsia"/>
          <w:color w:val="auto"/>
          <w:szCs w:val="21"/>
          <w:highlight w:val="none"/>
        </w:rPr>
        <w:t>.核心产品</w:t>
      </w:r>
      <w:r>
        <w:rPr>
          <w:rFonts w:hint="eastAsia"/>
          <w:color w:val="auto"/>
          <w:szCs w:val="21"/>
          <w:highlight w:val="none"/>
          <w:lang w:eastAsia="zh-CN"/>
        </w:rPr>
        <w:t>：</w:t>
      </w:r>
    </w:p>
    <w:p w14:paraId="13261720">
      <w:pPr>
        <w:spacing w:line="360" w:lineRule="auto"/>
        <w:rPr>
          <w:color w:val="auto"/>
          <w:szCs w:val="21"/>
          <w:highlight w:val="none"/>
        </w:rPr>
      </w:pPr>
      <w:r>
        <w:rPr>
          <w:rFonts w:hint="eastAsia"/>
          <w:color w:val="auto"/>
          <w:szCs w:val="21"/>
          <w:highlight w:val="none"/>
        </w:rPr>
        <w:t>本项目为服务项目，不适用核心产品规定。</w:t>
      </w:r>
    </w:p>
    <w:p w14:paraId="1385CDCA">
      <w:pPr>
        <w:numPr>
          <w:ilvl w:val="0"/>
          <w:numId w:val="1"/>
        </w:numPr>
        <w:spacing w:line="360" w:lineRule="auto"/>
        <w:rPr>
          <w:rFonts w:hint="eastAsia"/>
          <w:color w:val="auto"/>
          <w:szCs w:val="21"/>
          <w:highlight w:val="none"/>
          <w:lang w:eastAsia="zh-CN"/>
        </w:rPr>
      </w:pPr>
      <w:r>
        <w:rPr>
          <w:rFonts w:hint="eastAsia"/>
          <w:color w:val="auto"/>
          <w:szCs w:val="21"/>
          <w:highlight w:val="none"/>
        </w:rPr>
        <w:t>服务内容和标准</w:t>
      </w:r>
      <w:r>
        <w:rPr>
          <w:rFonts w:hint="eastAsia"/>
          <w:color w:val="auto"/>
          <w:szCs w:val="21"/>
          <w:highlight w:val="none"/>
          <w:lang w:eastAsia="zh-CN"/>
        </w:rPr>
        <w:t>：</w:t>
      </w:r>
    </w:p>
    <w:tbl>
      <w:tblPr>
        <w:tblStyle w:val="51"/>
        <w:tblW w:w="95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71"/>
        <w:gridCol w:w="1422"/>
        <w:gridCol w:w="1320"/>
        <w:gridCol w:w="6380"/>
      </w:tblGrid>
      <w:tr w14:paraId="3B384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2" w:hRule="atLeast"/>
          <w:jc w:val="center"/>
        </w:trPr>
        <w:tc>
          <w:tcPr>
            <w:tcW w:w="471" w:type="dxa"/>
            <w:noWrap w:val="0"/>
            <w:vAlign w:val="center"/>
          </w:tcPr>
          <w:p w14:paraId="37386F9B">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60" w:lineRule="auto"/>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422" w:type="dxa"/>
            <w:noWrap w:val="0"/>
            <w:vAlign w:val="center"/>
          </w:tcPr>
          <w:p w14:paraId="33251FF4">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60" w:lineRule="auto"/>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标的的名称</w:t>
            </w:r>
          </w:p>
        </w:tc>
        <w:tc>
          <w:tcPr>
            <w:tcW w:w="1320" w:type="dxa"/>
            <w:noWrap w:val="0"/>
            <w:vAlign w:val="center"/>
          </w:tcPr>
          <w:p w14:paraId="696A4E6D">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60" w:lineRule="auto"/>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数量及单位</w:t>
            </w:r>
          </w:p>
        </w:tc>
        <w:tc>
          <w:tcPr>
            <w:tcW w:w="6380" w:type="dxa"/>
            <w:noWrap w:val="0"/>
            <w:vAlign w:val="center"/>
          </w:tcPr>
          <w:p w14:paraId="3A3B8980">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60" w:lineRule="auto"/>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技术要求</w:t>
            </w:r>
          </w:p>
        </w:tc>
      </w:tr>
      <w:tr w14:paraId="49B68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3" w:hRule="atLeast"/>
          <w:jc w:val="center"/>
        </w:trPr>
        <w:tc>
          <w:tcPr>
            <w:tcW w:w="471" w:type="dxa"/>
            <w:noWrap w:val="0"/>
            <w:vAlign w:val="center"/>
          </w:tcPr>
          <w:p w14:paraId="56EED3F7">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422" w:type="dxa"/>
            <w:noWrap w:val="0"/>
            <w:vAlign w:val="center"/>
          </w:tcPr>
          <w:p w14:paraId="004B616F">
            <w:pPr>
              <w:keepNext w:val="0"/>
              <w:keepLines w:val="0"/>
              <w:numPr>
                <w:ilvl w:val="-1"/>
                <w:numId w:val="0"/>
              </w:numPr>
              <w:suppressLineNumbers w:val="0"/>
              <w:spacing w:before="0" w:beforeAutospacing="0" w:after="0" w:afterAutospacing="0" w:line="360" w:lineRule="auto"/>
              <w:ind w:left="0" w:right="0" w:firstLine="0" w:firstLineChars="0"/>
              <w:rPr>
                <w:rFonts w:hint="default"/>
                <w:b/>
                <w:bCs/>
                <w:color w:val="auto"/>
                <w:sz w:val="32"/>
                <w:szCs w:val="32"/>
                <w:highlight w:val="none"/>
                <w:lang w:val="en-US" w:eastAsia="zh-CN"/>
              </w:rPr>
            </w:pPr>
            <w:r>
              <w:rPr>
                <w:rFonts w:hint="default"/>
                <w:b/>
                <w:bCs/>
                <w:color w:val="auto"/>
                <w:sz w:val="21"/>
                <w:szCs w:val="21"/>
                <w:highlight w:val="none"/>
                <w:lang w:val="en-US" w:eastAsia="zh-CN"/>
              </w:rPr>
              <w:t>监理服务</w:t>
            </w:r>
          </w:p>
          <w:p w14:paraId="05C9DF7B">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auto"/>
                <w:szCs w:val="21"/>
                <w:highlight w:val="none"/>
                <w:lang w:eastAsia="zh-CN"/>
              </w:rPr>
            </w:pPr>
          </w:p>
        </w:tc>
        <w:tc>
          <w:tcPr>
            <w:tcW w:w="1320" w:type="dxa"/>
            <w:noWrap w:val="0"/>
            <w:vAlign w:val="center"/>
          </w:tcPr>
          <w:p w14:paraId="48774D99">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60" w:lineRule="auto"/>
              <w:ind w:left="0" w:right="0"/>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1项</w:t>
            </w:r>
          </w:p>
        </w:tc>
        <w:tc>
          <w:tcPr>
            <w:tcW w:w="6380" w:type="dxa"/>
            <w:noWrap w:val="0"/>
            <w:vAlign w:val="center"/>
          </w:tcPr>
          <w:p w14:paraId="324B42A8">
            <w:pPr>
              <w:keepNext w:val="0"/>
              <w:keepLines w:val="0"/>
              <w:numPr>
                <w:ilvl w:val="-1"/>
                <w:numId w:val="0"/>
              </w:numPr>
              <w:suppressLineNumbers w:val="0"/>
              <w:spacing w:before="0" w:beforeAutospacing="0" w:after="0" w:afterAutospacing="0" w:line="360" w:lineRule="auto"/>
              <w:ind w:left="0" w:right="0" w:firstLine="210" w:firstLineChars="100"/>
              <w:rPr>
                <w:rFonts w:hint="eastAsia" w:ascii="宋体" w:hAnsi="宋体" w:eastAsia="宋体" w:cs="宋体"/>
                <w:b w:val="0"/>
                <w:bCs w:val="0"/>
                <w:color w:val="auto"/>
                <w:sz w:val="21"/>
                <w:szCs w:val="21"/>
                <w:highlight w:val="none"/>
              </w:rPr>
            </w:pPr>
            <w:r>
              <w:rPr>
                <w:rFonts w:hint="default"/>
                <w:b w:val="0"/>
                <w:bCs w:val="0"/>
                <w:color w:val="auto"/>
                <w:sz w:val="21"/>
                <w:szCs w:val="21"/>
                <w:highlight w:val="none"/>
                <w:lang w:val="en-US" w:eastAsia="zh-CN"/>
              </w:rPr>
              <w:t>本项目需要开展项目建设监理服务工作，为全程监理服务，主要包括项目采购、实施至验收阶段的质量、进度、费用控制、安全生产监督、合同、信息等方面全过程的协调管理服务。提供不少于2人的监理服务，人员要求大专及以上学历，并具备不少于2年的相关项目监理服务经验。</w:t>
            </w:r>
          </w:p>
        </w:tc>
      </w:tr>
      <w:tr w14:paraId="7A71C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3" w:hRule="atLeast"/>
          <w:jc w:val="center"/>
        </w:trPr>
        <w:tc>
          <w:tcPr>
            <w:tcW w:w="471" w:type="dxa"/>
            <w:noWrap w:val="0"/>
            <w:vAlign w:val="center"/>
          </w:tcPr>
          <w:p w14:paraId="2B416AD9">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w:t>
            </w:r>
          </w:p>
        </w:tc>
        <w:tc>
          <w:tcPr>
            <w:tcW w:w="1422" w:type="dxa"/>
            <w:noWrap w:val="0"/>
            <w:vAlign w:val="center"/>
          </w:tcPr>
          <w:p w14:paraId="28A59685">
            <w:pPr>
              <w:keepNext w:val="0"/>
              <w:keepLines w:val="0"/>
              <w:numPr>
                <w:ilvl w:val="-1"/>
                <w:numId w:val="0"/>
              </w:numPr>
              <w:suppressLineNumbers w:val="0"/>
              <w:spacing w:before="0" w:beforeAutospacing="0" w:after="0" w:afterAutospacing="0" w:line="360" w:lineRule="auto"/>
              <w:ind w:left="0" w:right="0" w:firstLine="0" w:firstLineChars="0"/>
              <w:rPr>
                <w:rFonts w:hint="default"/>
                <w:b/>
                <w:bCs/>
                <w:color w:val="auto"/>
                <w:sz w:val="21"/>
                <w:szCs w:val="21"/>
                <w:highlight w:val="none"/>
                <w:lang w:val="en-US" w:eastAsia="zh-CN"/>
              </w:rPr>
            </w:pPr>
            <w:r>
              <w:rPr>
                <w:rFonts w:hint="default"/>
                <w:b/>
                <w:bCs/>
                <w:color w:val="auto"/>
                <w:sz w:val="21"/>
                <w:szCs w:val="21"/>
                <w:highlight w:val="none"/>
                <w:lang w:val="en-US" w:eastAsia="zh-CN"/>
              </w:rPr>
              <w:t>网络安全等级保护测评服务</w:t>
            </w:r>
          </w:p>
          <w:p w14:paraId="2FCACE04">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auto"/>
                <w:szCs w:val="21"/>
                <w:highlight w:val="none"/>
                <w:lang w:eastAsia="zh-CN"/>
              </w:rPr>
            </w:pPr>
          </w:p>
        </w:tc>
        <w:tc>
          <w:tcPr>
            <w:tcW w:w="1320" w:type="dxa"/>
            <w:noWrap w:val="0"/>
            <w:vAlign w:val="center"/>
          </w:tcPr>
          <w:p w14:paraId="654E14EB">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1项</w:t>
            </w:r>
          </w:p>
        </w:tc>
        <w:tc>
          <w:tcPr>
            <w:tcW w:w="6380" w:type="dxa"/>
            <w:noWrap w:val="0"/>
            <w:vAlign w:val="center"/>
          </w:tcPr>
          <w:p w14:paraId="73A75CDF">
            <w:pPr>
              <w:keepNext w:val="0"/>
              <w:keepLines w:val="0"/>
              <w:numPr>
                <w:ilvl w:val="-1"/>
                <w:numId w:val="0"/>
              </w:numPr>
              <w:suppressLineNumbers w:val="0"/>
              <w:spacing w:before="0" w:beforeAutospacing="0" w:after="0" w:afterAutospacing="0" w:line="360" w:lineRule="auto"/>
              <w:ind w:left="0" w:right="0" w:firstLine="210" w:firstLineChars="100"/>
              <w:rPr>
                <w:rFonts w:hint="eastAsia" w:ascii="宋体" w:hAnsi="宋体" w:eastAsia="宋体" w:cs="宋体"/>
                <w:b w:val="0"/>
                <w:bCs w:val="0"/>
                <w:color w:val="auto"/>
                <w:sz w:val="21"/>
                <w:szCs w:val="21"/>
                <w:highlight w:val="none"/>
              </w:rPr>
            </w:pPr>
            <w:r>
              <w:rPr>
                <w:rFonts w:hint="default"/>
                <w:b w:val="0"/>
                <w:bCs w:val="0"/>
                <w:color w:val="auto"/>
                <w:sz w:val="21"/>
                <w:szCs w:val="21"/>
                <w:highlight w:val="none"/>
                <w:lang w:val="en-US" w:eastAsia="zh-CN"/>
              </w:rPr>
              <w:t>本项目需要按照《信息安全技术网络安全等级保护基本要求》（GB/T22239-2019）等相关标准，完成安全生产三类人员管理系统网络安全二级等保的定级、备案、测评、整改与监督检查等工作并形成安全测评报告。</w:t>
            </w:r>
          </w:p>
        </w:tc>
      </w:tr>
      <w:tr w14:paraId="44BBF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3" w:hRule="atLeast"/>
          <w:jc w:val="center"/>
        </w:trPr>
        <w:tc>
          <w:tcPr>
            <w:tcW w:w="471" w:type="dxa"/>
            <w:noWrap w:val="0"/>
            <w:vAlign w:val="center"/>
          </w:tcPr>
          <w:p w14:paraId="63705E57">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w:t>
            </w:r>
          </w:p>
        </w:tc>
        <w:tc>
          <w:tcPr>
            <w:tcW w:w="1422" w:type="dxa"/>
            <w:noWrap w:val="0"/>
            <w:vAlign w:val="center"/>
          </w:tcPr>
          <w:p w14:paraId="1CDD02A5">
            <w:pPr>
              <w:keepNext w:val="0"/>
              <w:keepLines w:val="0"/>
              <w:numPr>
                <w:ilvl w:val="-1"/>
                <w:numId w:val="0"/>
              </w:numPr>
              <w:suppressLineNumbers w:val="0"/>
              <w:spacing w:before="0" w:beforeAutospacing="0" w:after="0" w:afterAutospacing="0" w:line="360" w:lineRule="auto"/>
              <w:ind w:left="0" w:right="0" w:firstLine="0" w:firstLineChars="0"/>
              <w:rPr>
                <w:rFonts w:hint="default"/>
                <w:b/>
                <w:bCs/>
                <w:color w:val="auto"/>
                <w:sz w:val="21"/>
                <w:szCs w:val="21"/>
                <w:highlight w:val="none"/>
                <w:lang w:val="en-US" w:eastAsia="zh-CN"/>
              </w:rPr>
            </w:pPr>
            <w:r>
              <w:rPr>
                <w:rFonts w:hint="default"/>
                <w:b/>
                <w:bCs/>
                <w:color w:val="auto"/>
                <w:sz w:val="21"/>
                <w:szCs w:val="21"/>
                <w:highlight w:val="none"/>
                <w:lang w:val="en-US" w:eastAsia="zh-CN"/>
              </w:rPr>
              <w:t>商用密码应用建设方案编制及安全性评估服务</w:t>
            </w:r>
          </w:p>
          <w:p w14:paraId="4B6EED74">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auto"/>
                <w:szCs w:val="21"/>
                <w:highlight w:val="none"/>
                <w:lang w:eastAsia="zh-CN"/>
              </w:rPr>
            </w:pPr>
          </w:p>
        </w:tc>
        <w:tc>
          <w:tcPr>
            <w:tcW w:w="1320" w:type="dxa"/>
            <w:noWrap w:val="0"/>
            <w:vAlign w:val="center"/>
          </w:tcPr>
          <w:p w14:paraId="0543B5BE">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1项</w:t>
            </w:r>
          </w:p>
        </w:tc>
        <w:tc>
          <w:tcPr>
            <w:tcW w:w="6380" w:type="dxa"/>
            <w:noWrap w:val="0"/>
            <w:vAlign w:val="center"/>
          </w:tcPr>
          <w:p w14:paraId="6C07154D">
            <w:pPr>
              <w:keepNext w:val="0"/>
              <w:keepLines w:val="0"/>
              <w:pageBreakBefore w:val="0"/>
              <w:widowControl w:val="0"/>
              <w:suppressLineNumbers w:val="0"/>
              <w:kinsoku/>
              <w:wordWrap/>
              <w:overflowPunct/>
              <w:topLinePunct w:val="0"/>
              <w:bidi w:val="0"/>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color w:val="auto"/>
                <w:sz w:val="21"/>
                <w:szCs w:val="21"/>
                <w:highlight w:val="none"/>
              </w:rPr>
            </w:pPr>
            <w:r>
              <w:rPr>
                <w:rFonts w:hint="default"/>
                <w:b w:val="0"/>
                <w:bCs w:val="0"/>
                <w:color w:val="auto"/>
                <w:sz w:val="21"/>
                <w:szCs w:val="21"/>
                <w:highlight w:val="none"/>
                <w:lang w:val="en-US" w:eastAsia="zh-CN"/>
              </w:rPr>
              <w:t>本项目需要委托第三方密评机构对商用密码应用建设方案及按照密码应用方案实际开发改造后的应用系统进行评估和测试，出具《方案密码应用安全性评估报告》和《系统密码应用安全性评估报告》。</w:t>
            </w:r>
          </w:p>
        </w:tc>
      </w:tr>
      <w:tr w14:paraId="1210C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3" w:hRule="atLeast"/>
          <w:jc w:val="center"/>
        </w:trPr>
        <w:tc>
          <w:tcPr>
            <w:tcW w:w="471" w:type="dxa"/>
            <w:noWrap w:val="0"/>
            <w:vAlign w:val="center"/>
          </w:tcPr>
          <w:p w14:paraId="4E00A406">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w:t>
            </w:r>
          </w:p>
        </w:tc>
        <w:tc>
          <w:tcPr>
            <w:tcW w:w="1422" w:type="dxa"/>
            <w:noWrap w:val="0"/>
            <w:vAlign w:val="center"/>
          </w:tcPr>
          <w:p w14:paraId="77BE0994">
            <w:pPr>
              <w:keepNext w:val="0"/>
              <w:keepLines w:val="0"/>
              <w:numPr>
                <w:ilvl w:val="-1"/>
                <w:numId w:val="0"/>
              </w:numPr>
              <w:suppressLineNumbers w:val="0"/>
              <w:spacing w:before="0" w:beforeAutospacing="0" w:after="0" w:afterAutospacing="0" w:line="360" w:lineRule="auto"/>
              <w:ind w:left="0" w:right="0" w:firstLine="0" w:firstLineChars="0"/>
              <w:rPr>
                <w:rFonts w:hint="default"/>
                <w:b/>
                <w:bCs/>
                <w:color w:val="auto"/>
                <w:sz w:val="21"/>
                <w:szCs w:val="21"/>
                <w:highlight w:val="none"/>
                <w:lang w:val="en-US" w:eastAsia="zh-CN"/>
              </w:rPr>
            </w:pPr>
            <w:r>
              <w:rPr>
                <w:rFonts w:hint="default"/>
                <w:b/>
                <w:bCs/>
                <w:color w:val="auto"/>
                <w:sz w:val="21"/>
                <w:szCs w:val="21"/>
                <w:highlight w:val="none"/>
                <w:lang w:val="en-US" w:eastAsia="zh-CN"/>
              </w:rPr>
              <w:t>验收测评服务</w:t>
            </w:r>
          </w:p>
          <w:p w14:paraId="322A9F10">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auto"/>
                <w:szCs w:val="21"/>
                <w:highlight w:val="none"/>
                <w:lang w:eastAsia="zh-CN"/>
              </w:rPr>
            </w:pPr>
          </w:p>
        </w:tc>
        <w:tc>
          <w:tcPr>
            <w:tcW w:w="1320" w:type="dxa"/>
            <w:noWrap w:val="0"/>
            <w:vAlign w:val="center"/>
          </w:tcPr>
          <w:p w14:paraId="4D558C1D">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1项</w:t>
            </w:r>
          </w:p>
        </w:tc>
        <w:tc>
          <w:tcPr>
            <w:tcW w:w="6380" w:type="dxa"/>
            <w:noWrap w:val="0"/>
            <w:vAlign w:val="center"/>
          </w:tcPr>
          <w:p w14:paraId="39F1CE59">
            <w:pPr>
              <w:keepNext w:val="0"/>
              <w:keepLines w:val="0"/>
              <w:numPr>
                <w:ilvl w:val="-1"/>
                <w:numId w:val="0"/>
              </w:numPr>
              <w:suppressLineNumbers w:val="0"/>
              <w:spacing w:before="0" w:beforeAutospacing="0" w:after="0" w:afterAutospacing="0" w:line="360" w:lineRule="auto"/>
              <w:ind w:left="0" w:right="0" w:firstLine="210" w:firstLineChars="100"/>
              <w:rPr>
                <w:rFonts w:hint="default"/>
                <w:b w:val="0"/>
                <w:bCs w:val="0"/>
                <w:color w:val="auto"/>
                <w:sz w:val="21"/>
                <w:szCs w:val="21"/>
                <w:highlight w:val="none"/>
                <w:lang w:val="en-US" w:eastAsia="zh-CN"/>
              </w:rPr>
            </w:pPr>
            <w:r>
              <w:rPr>
                <w:rFonts w:hint="default"/>
                <w:b w:val="0"/>
                <w:bCs w:val="0"/>
                <w:color w:val="auto"/>
                <w:sz w:val="21"/>
                <w:szCs w:val="21"/>
                <w:highlight w:val="none"/>
                <w:lang w:val="en-US" w:eastAsia="zh-CN"/>
              </w:rPr>
              <w:t>本项目需要委托第三方具备相关资质的测评机构针对项目验收要求提供的测评服务，包括功能测评、性能测评、系统整合共享互联互通相关测评、软件开发功能点评估等服务，并出具验收测评报告。</w:t>
            </w:r>
          </w:p>
          <w:p w14:paraId="0864E5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color w:val="auto"/>
                <w:sz w:val="21"/>
                <w:szCs w:val="21"/>
                <w:highlight w:val="none"/>
              </w:rPr>
            </w:pPr>
          </w:p>
        </w:tc>
      </w:tr>
      <w:tr w14:paraId="47CE34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3" w:hRule="atLeast"/>
          <w:jc w:val="center"/>
        </w:trPr>
        <w:tc>
          <w:tcPr>
            <w:tcW w:w="471" w:type="dxa"/>
            <w:noWrap w:val="0"/>
            <w:vAlign w:val="center"/>
          </w:tcPr>
          <w:p w14:paraId="0C6B2B36">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60" w:lineRule="auto"/>
              <w:ind w:left="0" w:right="0"/>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w:t>
            </w:r>
          </w:p>
        </w:tc>
        <w:tc>
          <w:tcPr>
            <w:tcW w:w="1422" w:type="dxa"/>
            <w:noWrap w:val="0"/>
            <w:vAlign w:val="center"/>
          </w:tcPr>
          <w:p w14:paraId="3D89CA42">
            <w:pPr>
              <w:keepNext w:val="0"/>
              <w:keepLines w:val="0"/>
              <w:numPr>
                <w:ilvl w:val="-1"/>
                <w:numId w:val="0"/>
              </w:numPr>
              <w:suppressLineNumbers w:val="0"/>
              <w:spacing w:before="0" w:beforeAutospacing="0" w:after="0" w:afterAutospacing="0" w:line="360" w:lineRule="auto"/>
              <w:ind w:left="0" w:right="0" w:firstLine="0" w:firstLineChars="0"/>
              <w:rPr>
                <w:rFonts w:hint="default"/>
                <w:b/>
                <w:bCs/>
                <w:color w:val="auto"/>
                <w:sz w:val="21"/>
                <w:szCs w:val="21"/>
                <w:highlight w:val="none"/>
                <w:lang w:val="en-US" w:eastAsia="zh-CN"/>
              </w:rPr>
            </w:pPr>
            <w:r>
              <w:rPr>
                <w:rFonts w:hint="default"/>
                <w:b/>
                <w:bCs/>
                <w:color w:val="auto"/>
                <w:sz w:val="21"/>
                <w:szCs w:val="21"/>
                <w:highlight w:val="none"/>
                <w:lang w:val="en-US" w:eastAsia="zh-CN"/>
              </w:rPr>
              <w:t>财务决算审计服务</w:t>
            </w:r>
          </w:p>
          <w:p w14:paraId="11201916">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auto"/>
                <w:szCs w:val="21"/>
                <w:highlight w:val="none"/>
                <w:lang w:eastAsia="zh-CN"/>
              </w:rPr>
            </w:pPr>
          </w:p>
        </w:tc>
        <w:tc>
          <w:tcPr>
            <w:tcW w:w="1320" w:type="dxa"/>
            <w:noWrap w:val="0"/>
            <w:vAlign w:val="center"/>
          </w:tcPr>
          <w:p w14:paraId="4C8FACAB">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1项</w:t>
            </w:r>
          </w:p>
        </w:tc>
        <w:tc>
          <w:tcPr>
            <w:tcW w:w="6380" w:type="dxa"/>
            <w:noWrap w:val="0"/>
            <w:vAlign w:val="center"/>
          </w:tcPr>
          <w:p w14:paraId="2CA6D6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color w:val="auto"/>
                <w:sz w:val="21"/>
                <w:szCs w:val="21"/>
                <w:highlight w:val="none"/>
              </w:rPr>
            </w:pPr>
            <w:r>
              <w:rPr>
                <w:rFonts w:hint="default"/>
                <w:b w:val="0"/>
                <w:bCs w:val="0"/>
                <w:color w:val="auto"/>
                <w:sz w:val="21"/>
                <w:szCs w:val="21"/>
                <w:highlight w:val="none"/>
                <w:lang w:val="en-US" w:eastAsia="zh-CN"/>
              </w:rPr>
              <w:t>本项目需要采购财务决算审计服务，内容包括对财务决算报表、财务情况表及报表附注、资产减值准备计提及财务核销情况、资本经营收益和预算拨款管理情况进行审计或复核，并出具相应的审计报告、复核报告和专项报告。</w:t>
            </w:r>
          </w:p>
        </w:tc>
      </w:tr>
    </w:tbl>
    <w:p w14:paraId="3F975C31">
      <w:pPr>
        <w:spacing w:line="360" w:lineRule="auto"/>
        <w:rPr>
          <w:rFonts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t>三、商务要求</w:t>
      </w:r>
    </w:p>
    <w:p w14:paraId="7F2FF531">
      <w:pPr>
        <w:spacing w:line="360" w:lineRule="auto"/>
        <w:rPr>
          <w:color w:val="auto"/>
          <w:szCs w:val="21"/>
          <w:highlight w:val="none"/>
        </w:rPr>
      </w:pPr>
      <w:r>
        <w:rPr>
          <w:rFonts w:hint="eastAsia" w:ascii="宋体" w:hAnsi="宋体" w:eastAsia="宋体" w:cs="宋体"/>
          <w:color w:val="auto"/>
          <w:kern w:val="2"/>
          <w:sz w:val="24"/>
          <w:szCs w:val="24"/>
          <w:highlight w:val="none"/>
          <w:lang w:val="en-US" w:eastAsia="zh-CN" w:bidi="ar"/>
        </w:rPr>
        <w:t>▲</w:t>
      </w:r>
      <w:r>
        <w:rPr>
          <w:rFonts w:hint="eastAsia"/>
          <w:color w:val="auto"/>
          <w:szCs w:val="21"/>
          <w:highlight w:val="none"/>
        </w:rPr>
        <w:t>1．报价要求</w:t>
      </w:r>
    </w:p>
    <w:p w14:paraId="6A167AED">
      <w:pPr>
        <w:spacing w:line="360" w:lineRule="auto"/>
        <w:ind w:firstLine="420" w:firstLineChars="200"/>
        <w:rPr>
          <w:rFonts w:hint="eastAsia"/>
          <w:color w:val="auto"/>
          <w:szCs w:val="21"/>
          <w:highlight w:val="none"/>
        </w:rPr>
      </w:pPr>
      <w:r>
        <w:rPr>
          <w:rFonts w:hint="eastAsia"/>
          <w:color w:val="auto"/>
          <w:szCs w:val="21"/>
          <w:highlight w:val="none"/>
        </w:rPr>
        <w:t>本次报价须为人民币报价，供应商就全部服务内容作完整唯一报价，且总价不能超过采购预算金额。</w:t>
      </w:r>
    </w:p>
    <w:p w14:paraId="55FA516C">
      <w:pPr>
        <w:spacing w:line="360" w:lineRule="auto"/>
        <w:ind w:firstLine="420" w:firstLineChars="200"/>
        <w:rPr>
          <w:color w:val="auto"/>
          <w:szCs w:val="21"/>
          <w:highlight w:val="none"/>
        </w:rPr>
      </w:pPr>
      <w:r>
        <w:rPr>
          <w:rFonts w:hint="eastAsia"/>
          <w:color w:val="auto"/>
          <w:szCs w:val="21"/>
          <w:highlight w:val="none"/>
        </w:rPr>
        <w:t>响应报价必须包含完成本项目所有服务内容所涉及的专家费、咨询、调研、知识产权、劳务、旅差、管理、材料、保险等相关服务费用、验收专家劳务费（如有）、验收会务费（如有）、利润、税金、政策性文件规定及合同包含的应有风险、责任及其它所有成本费用的总和，采购人不再另行支付任何费用。（采购需求另有约定的，从其约定。）</w:t>
      </w:r>
    </w:p>
    <w:p w14:paraId="739E2E18">
      <w:pPr>
        <w:spacing w:line="360" w:lineRule="auto"/>
        <w:rPr>
          <w:color w:val="auto"/>
          <w:szCs w:val="21"/>
          <w:highlight w:val="none"/>
        </w:rPr>
      </w:pPr>
      <w:r>
        <w:rPr>
          <w:rFonts w:hint="eastAsia" w:ascii="宋体" w:hAnsi="宋体" w:eastAsia="宋体" w:cs="宋体"/>
          <w:color w:val="auto"/>
          <w:kern w:val="2"/>
          <w:sz w:val="24"/>
          <w:szCs w:val="24"/>
          <w:highlight w:val="none"/>
          <w:lang w:val="en-US" w:eastAsia="zh-CN" w:bidi="ar"/>
        </w:rPr>
        <w:t>▲</w:t>
      </w:r>
      <w:r>
        <w:rPr>
          <w:rFonts w:hint="eastAsia"/>
          <w:color w:val="auto"/>
          <w:szCs w:val="21"/>
          <w:highlight w:val="none"/>
        </w:rPr>
        <w:t>2.合同签订日期</w:t>
      </w:r>
    </w:p>
    <w:p w14:paraId="47CC4BB5">
      <w:pPr>
        <w:spacing w:line="360" w:lineRule="auto"/>
        <w:rPr>
          <w:rFonts w:ascii="宋体" w:hAnsi="宋体"/>
          <w:i/>
          <w:color w:val="auto"/>
          <w:sz w:val="28"/>
          <w:szCs w:val="28"/>
          <w:highlight w:val="none"/>
        </w:rPr>
      </w:pPr>
      <w:r>
        <w:rPr>
          <w:rFonts w:hint="eastAsia"/>
          <w:color w:val="auto"/>
          <w:szCs w:val="21"/>
          <w:highlight w:val="none"/>
        </w:rPr>
        <w:t>成交通知书发出后25日内。</w:t>
      </w:r>
    </w:p>
    <w:p w14:paraId="255E4126">
      <w:pPr>
        <w:spacing w:line="360" w:lineRule="auto"/>
        <w:rPr>
          <w:rFonts w:hint="eastAsia"/>
          <w:color w:val="auto"/>
          <w:szCs w:val="21"/>
          <w:highlight w:val="none"/>
          <w:lang w:val="en-US" w:eastAsia="zh-CN"/>
        </w:rPr>
      </w:pPr>
      <w:r>
        <w:rPr>
          <w:rFonts w:hint="eastAsia" w:ascii="宋体" w:hAnsi="宋体" w:eastAsia="宋体" w:cs="宋体"/>
          <w:color w:val="auto"/>
          <w:kern w:val="2"/>
          <w:sz w:val="24"/>
          <w:szCs w:val="24"/>
          <w:highlight w:val="none"/>
          <w:lang w:val="en-US" w:eastAsia="zh-CN" w:bidi="ar"/>
        </w:rPr>
        <w:t>▲</w:t>
      </w:r>
      <w:r>
        <w:rPr>
          <w:rFonts w:hint="eastAsia"/>
          <w:color w:val="auto"/>
          <w:szCs w:val="21"/>
          <w:highlight w:val="none"/>
        </w:rPr>
        <w:t>3.</w:t>
      </w:r>
      <w:r>
        <w:rPr>
          <w:rFonts w:hint="eastAsia"/>
          <w:color w:val="auto"/>
          <w:szCs w:val="21"/>
          <w:highlight w:val="none"/>
          <w:lang w:val="en-US" w:eastAsia="zh-CN"/>
        </w:rPr>
        <w:t>合同履行期限</w:t>
      </w:r>
    </w:p>
    <w:p w14:paraId="54229CCF">
      <w:pPr>
        <w:spacing w:line="360" w:lineRule="auto"/>
        <w:rPr>
          <w:rFonts w:hint="default"/>
          <w:color w:val="auto"/>
          <w:szCs w:val="21"/>
          <w:highlight w:val="none"/>
          <w:lang w:val="en-US" w:eastAsia="zh-CN"/>
        </w:rPr>
      </w:pPr>
      <w:r>
        <w:rPr>
          <w:rFonts w:hint="eastAsia"/>
          <w:color w:val="auto"/>
          <w:kern w:val="0"/>
          <w:szCs w:val="21"/>
          <w:highlight w:val="none"/>
          <w:lang w:val="en-US" w:eastAsia="zh-CN"/>
        </w:rPr>
        <w:t>2025年12月至2026年11月。</w:t>
      </w:r>
    </w:p>
    <w:p w14:paraId="2257F934">
      <w:pPr>
        <w:spacing w:line="360" w:lineRule="auto"/>
        <w:rPr>
          <w:rFonts w:hint="eastAsia"/>
          <w:color w:val="auto"/>
          <w:szCs w:val="21"/>
          <w:highlight w:val="none"/>
        </w:rPr>
      </w:pPr>
      <w:r>
        <w:rPr>
          <w:rFonts w:hint="eastAsia" w:ascii="宋体" w:hAnsi="宋体" w:eastAsia="宋体" w:cs="宋体"/>
          <w:color w:val="auto"/>
          <w:kern w:val="2"/>
          <w:sz w:val="24"/>
          <w:szCs w:val="24"/>
          <w:highlight w:val="none"/>
          <w:lang w:val="en-US" w:eastAsia="zh-CN" w:bidi="ar"/>
        </w:rPr>
        <w:t>▲</w:t>
      </w:r>
      <w:r>
        <w:rPr>
          <w:rFonts w:hint="eastAsia"/>
          <w:color w:val="auto"/>
          <w:szCs w:val="21"/>
          <w:highlight w:val="none"/>
        </w:rPr>
        <w:t>4.服务地点</w:t>
      </w:r>
    </w:p>
    <w:p w14:paraId="79D5AA8D">
      <w:pPr>
        <w:spacing w:line="360" w:lineRule="auto"/>
        <w:rPr>
          <w:rFonts w:hint="eastAsia"/>
          <w:color w:val="auto"/>
          <w:szCs w:val="21"/>
          <w:highlight w:val="none"/>
        </w:rPr>
      </w:pPr>
      <w:r>
        <w:rPr>
          <w:rFonts w:hint="eastAsia"/>
          <w:color w:val="auto"/>
          <w:szCs w:val="21"/>
          <w:highlight w:val="none"/>
          <w:lang w:val="en-US" w:eastAsia="zh-CN"/>
        </w:rPr>
        <w:t>南宁市内</w:t>
      </w:r>
      <w:r>
        <w:rPr>
          <w:rFonts w:hint="eastAsia"/>
          <w:color w:val="auto"/>
          <w:szCs w:val="21"/>
          <w:highlight w:val="none"/>
        </w:rPr>
        <w:t>采购人指定地点。</w:t>
      </w:r>
    </w:p>
    <w:p w14:paraId="18453DB2">
      <w:pPr>
        <w:spacing w:line="360" w:lineRule="auto"/>
        <w:rPr>
          <w:rFonts w:hint="eastAsia"/>
          <w:color w:val="auto"/>
          <w:szCs w:val="21"/>
          <w:highlight w:val="none"/>
        </w:rPr>
      </w:pPr>
      <w:r>
        <w:rPr>
          <w:rFonts w:hint="eastAsia" w:ascii="宋体" w:hAnsi="宋体" w:eastAsia="宋体" w:cs="宋体"/>
          <w:color w:val="auto"/>
          <w:kern w:val="2"/>
          <w:sz w:val="24"/>
          <w:szCs w:val="24"/>
          <w:highlight w:val="none"/>
          <w:lang w:val="en-US" w:eastAsia="zh-CN" w:bidi="ar"/>
        </w:rPr>
        <w:t>▲</w:t>
      </w:r>
      <w:r>
        <w:rPr>
          <w:rFonts w:hint="eastAsia"/>
          <w:color w:val="auto"/>
          <w:szCs w:val="21"/>
          <w:highlight w:val="none"/>
        </w:rPr>
        <w:t>5.验收标准</w:t>
      </w:r>
    </w:p>
    <w:p w14:paraId="7674CE6D">
      <w:pPr>
        <w:spacing w:line="360" w:lineRule="auto"/>
        <w:rPr>
          <w:rFonts w:hint="eastAsia"/>
          <w:color w:val="auto"/>
          <w:szCs w:val="21"/>
          <w:highlight w:val="none"/>
        </w:rPr>
      </w:pPr>
      <w:r>
        <w:rPr>
          <w:rFonts w:hint="eastAsia"/>
          <w:color w:val="auto"/>
          <w:szCs w:val="21"/>
          <w:highlight w:val="none"/>
        </w:rPr>
        <w:t>详见采购文件合同主要条款格式部分</w:t>
      </w:r>
    </w:p>
    <w:p w14:paraId="6266BE74">
      <w:pPr>
        <w:spacing w:line="360" w:lineRule="auto"/>
        <w:rPr>
          <w:rFonts w:hint="eastAsia"/>
          <w:color w:val="auto"/>
          <w:szCs w:val="21"/>
          <w:highlight w:val="none"/>
        </w:rPr>
      </w:pPr>
      <w:r>
        <w:rPr>
          <w:rFonts w:hint="eastAsia"/>
          <w:color w:val="auto"/>
          <w:szCs w:val="21"/>
          <w:highlight w:val="none"/>
        </w:rPr>
        <w:t>6.服务标准、期限、效率</w:t>
      </w:r>
    </w:p>
    <w:p w14:paraId="2B78A281">
      <w:pPr>
        <w:spacing w:line="360" w:lineRule="auto"/>
        <w:rPr>
          <w:rFonts w:hint="eastAsia"/>
          <w:color w:val="auto"/>
          <w:szCs w:val="21"/>
          <w:highlight w:val="none"/>
        </w:rPr>
      </w:pPr>
      <w:r>
        <w:rPr>
          <w:rFonts w:hint="eastAsia"/>
          <w:color w:val="auto"/>
          <w:szCs w:val="21"/>
          <w:highlight w:val="none"/>
        </w:rPr>
        <w:t>6.1成交供应商在质量保证期内应当为采购人提供以下技术支持和服务：</w:t>
      </w:r>
    </w:p>
    <w:p w14:paraId="35AE5576">
      <w:pPr>
        <w:spacing w:line="360" w:lineRule="auto"/>
        <w:rPr>
          <w:rFonts w:hint="eastAsia"/>
          <w:color w:val="auto"/>
          <w:szCs w:val="21"/>
          <w:highlight w:val="none"/>
        </w:rPr>
      </w:pPr>
      <w:r>
        <w:rPr>
          <w:rFonts w:hint="eastAsia"/>
          <w:color w:val="auto"/>
          <w:szCs w:val="21"/>
          <w:highlight w:val="none"/>
        </w:rPr>
        <w:t>6.1.1电话咨询</w:t>
      </w:r>
    </w:p>
    <w:p w14:paraId="7E6F6FB2">
      <w:pPr>
        <w:spacing w:line="360" w:lineRule="auto"/>
        <w:rPr>
          <w:rFonts w:hint="eastAsia"/>
          <w:color w:val="auto"/>
          <w:szCs w:val="21"/>
          <w:highlight w:val="none"/>
        </w:rPr>
      </w:pPr>
      <w:r>
        <w:rPr>
          <w:rFonts w:hint="eastAsia"/>
          <w:color w:val="auto"/>
          <w:szCs w:val="21"/>
          <w:highlight w:val="none"/>
        </w:rPr>
        <w:t>成交供应商应当为采购人提供技术援助电话，解答采购人在使用中遇到的问题，及时为采购人提出解决问题的建议。</w:t>
      </w:r>
    </w:p>
    <w:p w14:paraId="70ABDF00">
      <w:pPr>
        <w:spacing w:line="360" w:lineRule="auto"/>
        <w:rPr>
          <w:rFonts w:hint="eastAsia"/>
          <w:color w:val="auto"/>
          <w:szCs w:val="21"/>
          <w:highlight w:val="none"/>
        </w:rPr>
      </w:pPr>
      <w:r>
        <w:rPr>
          <w:rFonts w:hint="eastAsia"/>
          <w:color w:val="auto"/>
          <w:szCs w:val="21"/>
          <w:highlight w:val="none"/>
        </w:rPr>
        <w:t>6.1.</w:t>
      </w:r>
      <w:r>
        <w:rPr>
          <w:rFonts w:hint="eastAsia"/>
          <w:color w:val="auto"/>
          <w:szCs w:val="21"/>
          <w:highlight w:val="none"/>
          <w:lang w:val="en-US" w:eastAsia="zh-CN"/>
        </w:rPr>
        <w:t>2</w:t>
      </w:r>
      <w:r>
        <w:rPr>
          <w:rFonts w:hint="eastAsia"/>
          <w:color w:val="auto"/>
          <w:szCs w:val="21"/>
          <w:highlight w:val="none"/>
        </w:rPr>
        <w:t>技术升级</w:t>
      </w:r>
    </w:p>
    <w:p w14:paraId="7578174A">
      <w:pPr>
        <w:spacing w:line="360" w:lineRule="auto"/>
        <w:rPr>
          <w:rFonts w:hint="eastAsia"/>
          <w:color w:val="auto"/>
          <w:szCs w:val="21"/>
          <w:highlight w:val="none"/>
        </w:rPr>
      </w:pPr>
      <w:r>
        <w:rPr>
          <w:rFonts w:hint="eastAsia"/>
          <w:color w:val="auto"/>
          <w:szCs w:val="21"/>
          <w:highlight w:val="none"/>
        </w:rPr>
        <w:t>在</w:t>
      </w:r>
      <w:r>
        <w:rPr>
          <w:rFonts w:hint="eastAsia"/>
          <w:color w:val="auto"/>
          <w:szCs w:val="21"/>
          <w:highlight w:val="none"/>
          <w:lang w:val="en-US" w:eastAsia="zh-CN"/>
        </w:rPr>
        <w:t>服务</w:t>
      </w:r>
      <w:r>
        <w:rPr>
          <w:rFonts w:hint="eastAsia"/>
          <w:color w:val="auto"/>
          <w:szCs w:val="21"/>
          <w:highlight w:val="none"/>
        </w:rPr>
        <w:t>期内，如果成交供应商的产品或服务升级，成交供应商应及时通知采购人，如采购人有相应要求，成交供应商应对采购人购买的产品或服务进行升级。</w:t>
      </w:r>
    </w:p>
    <w:p w14:paraId="09D6774A">
      <w:pPr>
        <w:spacing w:line="360" w:lineRule="auto"/>
        <w:rPr>
          <w:rFonts w:hint="eastAsia"/>
          <w:color w:val="auto"/>
          <w:szCs w:val="21"/>
          <w:highlight w:val="none"/>
        </w:rPr>
      </w:pPr>
      <w:r>
        <w:rPr>
          <w:rFonts w:hint="eastAsia"/>
          <w:color w:val="auto"/>
          <w:szCs w:val="21"/>
          <w:highlight w:val="none"/>
        </w:rPr>
        <w:t>7.培训</w:t>
      </w:r>
    </w:p>
    <w:p w14:paraId="7FF93798">
      <w:pPr>
        <w:spacing w:line="360" w:lineRule="auto"/>
        <w:rPr>
          <w:rFonts w:hint="eastAsia"/>
          <w:color w:val="auto"/>
          <w:szCs w:val="21"/>
          <w:highlight w:val="none"/>
        </w:rPr>
      </w:pPr>
      <w:r>
        <w:rPr>
          <w:rFonts w:hint="eastAsia"/>
          <w:color w:val="auto"/>
          <w:szCs w:val="21"/>
          <w:highlight w:val="none"/>
        </w:rPr>
        <w:t>供应商对其提供产品或服务的使用和操作应尽培训义务。供应商应提供对采购人的基本培训，使采购人使用人员熟练掌握所培训内容，熟练掌握全部功能，培训的相关费用包括在响应报价中，采购人不再另行支付。</w:t>
      </w:r>
    </w:p>
    <w:p w14:paraId="015118EA">
      <w:pPr>
        <w:spacing w:line="360" w:lineRule="auto"/>
        <w:rPr>
          <w:rFonts w:hint="eastAsia"/>
          <w:color w:val="auto"/>
          <w:szCs w:val="21"/>
          <w:highlight w:val="none"/>
        </w:rPr>
      </w:pPr>
      <w:r>
        <w:rPr>
          <w:rFonts w:hint="eastAsia" w:ascii="宋体" w:hAnsi="宋体" w:eastAsia="宋体" w:cs="宋体"/>
          <w:color w:val="auto"/>
          <w:kern w:val="2"/>
          <w:sz w:val="24"/>
          <w:szCs w:val="24"/>
          <w:highlight w:val="none"/>
          <w:lang w:val="en-US" w:eastAsia="zh-CN" w:bidi="ar"/>
        </w:rPr>
        <w:t>▲</w:t>
      </w:r>
      <w:r>
        <w:rPr>
          <w:rFonts w:hint="eastAsia"/>
          <w:color w:val="auto"/>
          <w:szCs w:val="21"/>
          <w:highlight w:val="none"/>
        </w:rPr>
        <w:t>8.付款方式、时间及条件</w:t>
      </w:r>
    </w:p>
    <w:p w14:paraId="2DF24916">
      <w:pPr>
        <w:widowControl/>
        <w:spacing w:line="500" w:lineRule="exact"/>
        <w:ind w:firstLine="420"/>
        <w:jc w:val="left"/>
        <w:rPr>
          <w:rFonts w:hint="eastAsia" w:ascii="宋体" w:hAnsi="宋体"/>
          <w:color w:val="auto"/>
          <w:sz w:val="22"/>
          <w:szCs w:val="22"/>
          <w:highlight w:val="none"/>
          <w:lang w:val="en-US" w:eastAsia="zh-CN"/>
        </w:rPr>
      </w:pPr>
      <w:r>
        <w:rPr>
          <w:rFonts w:hint="eastAsia" w:ascii="宋体" w:hAnsi="宋体"/>
          <w:color w:val="auto"/>
          <w:sz w:val="22"/>
          <w:szCs w:val="22"/>
          <w:highlight w:val="none"/>
          <w:lang w:val="en-US" w:eastAsia="zh-CN"/>
        </w:rPr>
        <w:t>8.1.2026年第一季度支付合同价的20%；第二季度支付合同价的30%，累计支付至合同价的50%；第三季度支付合同价的30%，累计支付至合同价的80%；第四季度支付合同价的20%，累计支付至合同价的100%。</w:t>
      </w:r>
    </w:p>
    <w:p w14:paraId="0D441D94">
      <w:pPr>
        <w:widowControl/>
        <w:spacing w:line="500" w:lineRule="exact"/>
        <w:ind w:firstLine="420"/>
        <w:jc w:val="left"/>
        <w:rPr>
          <w:rFonts w:hint="eastAsia" w:ascii="宋体" w:hAnsi="宋体"/>
          <w:color w:val="auto"/>
          <w:sz w:val="22"/>
          <w:szCs w:val="22"/>
          <w:highlight w:val="none"/>
        </w:rPr>
      </w:pPr>
      <w:r>
        <w:rPr>
          <w:rFonts w:hint="eastAsia" w:ascii="宋体" w:hAnsi="宋体"/>
          <w:color w:val="auto"/>
          <w:sz w:val="22"/>
          <w:szCs w:val="22"/>
          <w:highlight w:val="none"/>
          <w:lang w:val="en-US" w:eastAsia="zh-CN"/>
        </w:rPr>
        <w:t>8.2.</w:t>
      </w:r>
      <w:r>
        <w:rPr>
          <w:rFonts w:hint="eastAsia" w:ascii="宋体" w:hAnsi="宋体"/>
          <w:color w:val="auto"/>
          <w:sz w:val="22"/>
          <w:szCs w:val="22"/>
          <w:highlight w:val="none"/>
        </w:rPr>
        <w:t>前三季度提供第1个月服务后，</w:t>
      </w:r>
      <w:r>
        <w:rPr>
          <w:rFonts w:hint="eastAsia" w:ascii="宋体" w:hAnsi="宋体"/>
          <w:color w:val="auto"/>
          <w:sz w:val="22"/>
          <w:szCs w:val="22"/>
          <w:highlight w:val="none"/>
          <w:lang w:val="en-US" w:eastAsia="zh-CN"/>
        </w:rPr>
        <w:t>成交供应商向采购人提出书面申请，经采购人审核通过后10个工作日内支付</w:t>
      </w:r>
      <w:r>
        <w:rPr>
          <w:rFonts w:hint="eastAsia" w:ascii="宋体" w:hAnsi="宋体"/>
          <w:color w:val="auto"/>
          <w:sz w:val="22"/>
          <w:szCs w:val="22"/>
          <w:highlight w:val="none"/>
        </w:rPr>
        <w:t>；第四季度，</w:t>
      </w:r>
      <w:r>
        <w:rPr>
          <w:rFonts w:hint="eastAsia" w:ascii="宋体" w:hAnsi="宋体"/>
          <w:color w:val="auto"/>
          <w:sz w:val="22"/>
          <w:szCs w:val="22"/>
          <w:highlight w:val="none"/>
          <w:lang w:val="en-US" w:eastAsia="zh-CN"/>
        </w:rPr>
        <w:t>成交供应商完成最终成果并通过验收后</w:t>
      </w:r>
      <w:r>
        <w:rPr>
          <w:rFonts w:hint="eastAsia" w:ascii="宋体" w:hAnsi="宋体"/>
          <w:color w:val="auto"/>
          <w:sz w:val="22"/>
          <w:szCs w:val="22"/>
          <w:highlight w:val="none"/>
        </w:rPr>
        <w:t>，</w:t>
      </w:r>
      <w:r>
        <w:rPr>
          <w:rFonts w:hint="eastAsia" w:ascii="宋体" w:hAnsi="宋体"/>
          <w:color w:val="auto"/>
          <w:sz w:val="22"/>
          <w:szCs w:val="22"/>
          <w:highlight w:val="none"/>
          <w:lang w:val="en-US" w:eastAsia="zh-CN"/>
        </w:rPr>
        <w:t>成交供应商向采购人提出书面申请，经采购人审核通过后10个工作日内支付</w:t>
      </w:r>
      <w:r>
        <w:rPr>
          <w:rFonts w:hint="eastAsia" w:ascii="宋体" w:hAnsi="宋体"/>
          <w:color w:val="auto"/>
          <w:sz w:val="22"/>
          <w:szCs w:val="22"/>
          <w:highlight w:val="none"/>
        </w:rPr>
        <w:t>。</w:t>
      </w:r>
    </w:p>
    <w:p w14:paraId="47547EDD">
      <w:pPr>
        <w:widowControl/>
        <w:spacing w:line="500" w:lineRule="exact"/>
        <w:ind w:firstLine="420"/>
        <w:jc w:val="left"/>
        <w:rPr>
          <w:rFonts w:hint="eastAsia"/>
          <w:color w:val="auto"/>
          <w:szCs w:val="21"/>
          <w:highlight w:val="none"/>
        </w:rPr>
      </w:pPr>
      <w:r>
        <w:rPr>
          <w:rFonts w:hint="eastAsia" w:ascii="宋体" w:hAnsi="宋体"/>
          <w:color w:val="auto"/>
          <w:sz w:val="22"/>
          <w:szCs w:val="22"/>
          <w:highlight w:val="none"/>
          <w:lang w:val="en-US" w:eastAsia="zh-CN"/>
        </w:rPr>
        <w:t>8.3每次支付前，成交供应商须向采购人提供与当期计量支付金额等额的增值税普通发票。</w:t>
      </w:r>
    </w:p>
    <w:p w14:paraId="741C8B6B">
      <w:pPr>
        <w:spacing w:line="360" w:lineRule="auto"/>
        <w:rPr>
          <w:rFonts w:hint="eastAsia"/>
          <w:color w:val="auto"/>
          <w:szCs w:val="21"/>
          <w:highlight w:val="none"/>
        </w:rPr>
      </w:pPr>
      <w:r>
        <w:rPr>
          <w:rFonts w:hint="eastAsia"/>
          <w:color w:val="auto"/>
          <w:szCs w:val="21"/>
          <w:highlight w:val="none"/>
        </w:rPr>
        <w:t>9.履约保证金</w:t>
      </w:r>
    </w:p>
    <w:p w14:paraId="4816F61F">
      <w:pPr>
        <w:spacing w:line="360" w:lineRule="auto"/>
        <w:rPr>
          <w:rFonts w:hint="eastAsia"/>
          <w:color w:val="auto"/>
          <w:szCs w:val="21"/>
          <w:highlight w:val="none"/>
        </w:rPr>
      </w:pPr>
      <w:r>
        <w:rPr>
          <w:rFonts w:hint="eastAsia"/>
          <w:color w:val="auto"/>
          <w:szCs w:val="21"/>
          <w:highlight w:val="none"/>
        </w:rPr>
        <w:t>详见采购文件合同主要条款格式部分</w:t>
      </w:r>
    </w:p>
    <w:p w14:paraId="1B1FE358">
      <w:pPr>
        <w:spacing w:line="360" w:lineRule="auto"/>
        <w:rPr>
          <w:rFonts w:hint="eastAsia" w:eastAsia="宋体"/>
          <w:color w:val="auto"/>
          <w:szCs w:val="21"/>
          <w:highlight w:val="none"/>
          <w:lang w:val="en-US" w:eastAsia="zh-CN"/>
        </w:rPr>
      </w:pPr>
      <w:r>
        <w:rPr>
          <w:rFonts w:hint="eastAsia" w:ascii="宋体" w:hAnsi="宋体" w:eastAsia="宋体" w:cs="宋体"/>
          <w:color w:val="auto"/>
          <w:kern w:val="2"/>
          <w:sz w:val="24"/>
          <w:szCs w:val="24"/>
          <w:highlight w:val="none"/>
          <w:lang w:val="en-US" w:eastAsia="zh-CN" w:bidi="ar"/>
        </w:rPr>
        <w:t>▲</w:t>
      </w:r>
      <w:r>
        <w:rPr>
          <w:rFonts w:hint="eastAsia"/>
          <w:color w:val="auto"/>
          <w:szCs w:val="21"/>
          <w:highlight w:val="none"/>
        </w:rPr>
        <w:t>1</w:t>
      </w:r>
      <w:r>
        <w:rPr>
          <w:rFonts w:hint="eastAsia"/>
          <w:color w:val="auto"/>
          <w:szCs w:val="21"/>
          <w:highlight w:val="none"/>
          <w:lang w:val="en-US" w:eastAsia="zh-CN"/>
        </w:rPr>
        <w:t>0</w:t>
      </w:r>
      <w:r>
        <w:rPr>
          <w:rFonts w:hint="eastAsia"/>
          <w:color w:val="auto"/>
          <w:szCs w:val="21"/>
          <w:highlight w:val="none"/>
        </w:rPr>
        <w:t>.售后服务</w:t>
      </w:r>
      <w:r>
        <w:rPr>
          <w:rFonts w:hint="eastAsia"/>
          <w:color w:val="auto"/>
          <w:szCs w:val="21"/>
          <w:highlight w:val="none"/>
          <w:lang w:val="en-US" w:eastAsia="zh-CN"/>
        </w:rPr>
        <w:t>要求</w:t>
      </w:r>
    </w:p>
    <w:p w14:paraId="72C213C0">
      <w:pPr>
        <w:spacing w:line="360" w:lineRule="auto"/>
        <w:rPr>
          <w:rFonts w:hint="eastAsia"/>
          <w:color w:val="auto"/>
          <w:szCs w:val="21"/>
          <w:highlight w:val="none"/>
        </w:rPr>
      </w:pPr>
      <w:r>
        <w:rPr>
          <w:rFonts w:hint="eastAsia"/>
          <w:color w:val="auto"/>
          <w:szCs w:val="21"/>
          <w:highlight w:val="none"/>
          <w:lang w:val="en-US" w:eastAsia="zh-CN"/>
        </w:rPr>
        <w:t>10.1</w:t>
      </w:r>
      <w:r>
        <w:rPr>
          <w:rFonts w:hint="eastAsia"/>
          <w:color w:val="auto"/>
          <w:szCs w:val="21"/>
          <w:highlight w:val="none"/>
        </w:rPr>
        <w:t>跟踪服务1年（自最终成果交付之日起计）</w:t>
      </w:r>
    </w:p>
    <w:p w14:paraId="6F850A73">
      <w:pPr>
        <w:spacing w:line="360" w:lineRule="auto"/>
        <w:rPr>
          <w:rFonts w:hint="eastAsia"/>
          <w:color w:val="auto"/>
          <w:szCs w:val="21"/>
          <w:highlight w:val="none"/>
        </w:rPr>
      </w:pPr>
      <w:r>
        <w:rPr>
          <w:rFonts w:hint="eastAsia"/>
          <w:color w:val="auto"/>
          <w:szCs w:val="21"/>
          <w:highlight w:val="none"/>
          <w:lang w:val="en-US" w:eastAsia="zh-CN"/>
        </w:rPr>
        <w:t>10.2</w:t>
      </w:r>
      <w:r>
        <w:rPr>
          <w:rFonts w:hint="eastAsia"/>
          <w:color w:val="auto"/>
          <w:szCs w:val="21"/>
          <w:highlight w:val="none"/>
        </w:rPr>
        <w:t>处理问题响应时间：接到采购人处理问题通知后24小时内到达采购人指定现场，对于一般性问题，应在24小时内解决；对于特殊性问题，双方具体协商，原则上应在不超过3个工作日内解决。</w:t>
      </w:r>
    </w:p>
    <w:p w14:paraId="4B469014">
      <w:pPr>
        <w:spacing w:line="360" w:lineRule="auto"/>
        <w:rPr>
          <w:rFonts w:hint="eastAsia"/>
          <w:color w:val="auto"/>
          <w:szCs w:val="21"/>
          <w:highlight w:val="none"/>
        </w:rPr>
      </w:pPr>
      <w:r>
        <w:rPr>
          <w:rFonts w:hint="eastAsia"/>
          <w:color w:val="auto"/>
          <w:szCs w:val="21"/>
          <w:highlight w:val="none"/>
          <w:lang w:val="en-US" w:eastAsia="zh-CN"/>
        </w:rPr>
        <w:t>10.3服务要求</w:t>
      </w:r>
      <w:r>
        <w:rPr>
          <w:rFonts w:hint="eastAsia"/>
          <w:color w:val="auto"/>
          <w:szCs w:val="21"/>
          <w:highlight w:val="none"/>
        </w:rPr>
        <w:t>：</w:t>
      </w:r>
      <w:r>
        <w:rPr>
          <w:rFonts w:hint="eastAsia"/>
          <w:color w:val="auto"/>
          <w:szCs w:val="21"/>
          <w:highlight w:val="none"/>
          <w:lang w:val="en-US" w:eastAsia="zh-CN"/>
        </w:rPr>
        <w:t>提供7*24小时电话技术支持（包含电话、邮件、远程桌面协助）</w:t>
      </w:r>
      <w:r>
        <w:rPr>
          <w:rFonts w:hint="eastAsia"/>
          <w:color w:val="auto"/>
          <w:szCs w:val="21"/>
          <w:highlight w:val="none"/>
        </w:rPr>
        <w:t>。</w:t>
      </w:r>
    </w:p>
    <w:p w14:paraId="3EB6A861">
      <w:pPr>
        <w:numPr>
          <w:ilvl w:val="0"/>
          <w:numId w:val="2"/>
        </w:numPr>
        <w:spacing w:line="360" w:lineRule="auto"/>
        <w:rPr>
          <w:rFonts w:hint="eastAsia"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t>其他要求</w:t>
      </w:r>
    </w:p>
    <w:p w14:paraId="6F6C2CDF">
      <w:pPr>
        <w:numPr>
          <w:ilvl w:val="0"/>
          <w:numId w:val="0"/>
        </w:numPr>
        <w:spacing w:line="360" w:lineRule="auto"/>
        <w:rPr>
          <w:rFonts w:hint="eastAsia" w:ascii="黑体" w:hAnsi="黑体" w:eastAsia="黑体" w:cs="Arial"/>
          <w:b w:val="0"/>
          <w:bCs/>
          <w:color w:val="auto"/>
          <w:kern w:val="0"/>
          <w:sz w:val="28"/>
          <w:szCs w:val="28"/>
          <w:highlight w:val="none"/>
          <w:lang w:val="en-US" w:eastAsia="zh-CN"/>
        </w:rPr>
      </w:pPr>
      <w:r>
        <w:rPr>
          <w:rFonts w:hint="eastAsia" w:ascii="黑体" w:hAnsi="黑体" w:eastAsia="黑体" w:cs="Arial"/>
          <w:b w:val="0"/>
          <w:bCs/>
          <w:color w:val="auto"/>
          <w:kern w:val="0"/>
          <w:sz w:val="28"/>
          <w:szCs w:val="28"/>
          <w:highlight w:val="none"/>
          <w:lang w:val="en-US" w:eastAsia="zh-CN"/>
        </w:rPr>
        <w:t>无</w:t>
      </w:r>
    </w:p>
    <w:p w14:paraId="14F453E8">
      <w:pPr>
        <w:rPr>
          <w:rFonts w:hint="eastAsia"/>
          <w:color w:val="auto"/>
          <w:sz w:val="28"/>
          <w:szCs w:val="28"/>
          <w:highlight w:val="none"/>
        </w:rPr>
      </w:pPr>
      <w:r>
        <w:rPr>
          <w:rFonts w:hint="eastAsia"/>
          <w:color w:val="auto"/>
          <w:sz w:val="28"/>
          <w:szCs w:val="28"/>
          <w:highlight w:val="none"/>
        </w:rPr>
        <w:br w:type="page"/>
      </w:r>
    </w:p>
    <w:p w14:paraId="21EBB744">
      <w:pPr>
        <w:rPr>
          <w:rFonts w:hint="eastAsia"/>
          <w:color w:val="auto"/>
          <w:sz w:val="28"/>
          <w:szCs w:val="28"/>
          <w:highlight w:val="none"/>
        </w:rPr>
      </w:pPr>
    </w:p>
    <w:p w14:paraId="24010B02">
      <w:pPr>
        <w:spacing w:line="360" w:lineRule="auto"/>
        <w:ind w:firstLine="280" w:firstLineChars="100"/>
        <w:rPr>
          <w:color w:val="auto"/>
          <w:sz w:val="28"/>
          <w:szCs w:val="28"/>
          <w:highlight w:val="none"/>
        </w:rPr>
      </w:pPr>
      <w:r>
        <w:rPr>
          <w:rFonts w:hint="eastAsia"/>
          <w:color w:val="auto"/>
          <w:sz w:val="28"/>
          <w:szCs w:val="28"/>
          <w:highlight w:val="none"/>
        </w:rPr>
        <w:t xml:space="preserve">附件1： </w:t>
      </w:r>
      <w:r>
        <w:rPr>
          <w:color w:val="auto"/>
          <w:sz w:val="28"/>
          <w:szCs w:val="28"/>
          <w:highlight w:val="none"/>
        </w:rPr>
        <w:t xml:space="preserve">               </w:t>
      </w:r>
    </w:p>
    <w:p w14:paraId="2BE1816D">
      <w:pPr>
        <w:spacing w:line="528" w:lineRule="exact"/>
        <w:ind w:firstLine="280" w:firstLineChars="100"/>
        <w:jc w:val="center"/>
        <w:rPr>
          <w:color w:val="auto"/>
          <w:sz w:val="28"/>
          <w:szCs w:val="28"/>
          <w:highlight w:val="none"/>
        </w:rPr>
      </w:pPr>
      <w:r>
        <w:rPr>
          <w:rFonts w:hint="eastAsia"/>
          <w:color w:val="auto"/>
          <w:sz w:val="28"/>
          <w:szCs w:val="28"/>
          <w:highlight w:val="none"/>
        </w:rPr>
        <w:t>中小微企业划型标准</w:t>
      </w:r>
    </w:p>
    <w:tbl>
      <w:tblPr>
        <w:tblStyle w:val="51"/>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708AA85D">
        <w:tblPrEx>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noWrap w:val="0"/>
            <w:vAlign w:val="center"/>
          </w:tcPr>
          <w:p w14:paraId="0FADFF55">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行业名称</w:t>
            </w:r>
          </w:p>
        </w:tc>
        <w:tc>
          <w:tcPr>
            <w:tcW w:w="1701" w:type="dxa"/>
            <w:tcBorders>
              <w:top w:val="single" w:color="auto" w:sz="4" w:space="0"/>
              <w:left w:val="nil"/>
              <w:bottom w:val="single" w:color="auto" w:sz="4" w:space="0"/>
              <w:right w:val="single" w:color="auto" w:sz="4" w:space="0"/>
            </w:tcBorders>
            <w:noWrap w:val="0"/>
            <w:vAlign w:val="center"/>
          </w:tcPr>
          <w:p w14:paraId="163A2CE6">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指标名称</w:t>
            </w:r>
          </w:p>
        </w:tc>
        <w:tc>
          <w:tcPr>
            <w:tcW w:w="1134" w:type="dxa"/>
            <w:tcBorders>
              <w:top w:val="single" w:color="auto" w:sz="4" w:space="0"/>
              <w:left w:val="nil"/>
              <w:bottom w:val="single" w:color="auto" w:sz="4" w:space="0"/>
              <w:right w:val="single" w:color="auto" w:sz="4" w:space="0"/>
            </w:tcBorders>
            <w:noWrap w:val="0"/>
            <w:vAlign w:val="center"/>
          </w:tcPr>
          <w:p w14:paraId="4984EAFA">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计量单位</w:t>
            </w:r>
          </w:p>
        </w:tc>
        <w:tc>
          <w:tcPr>
            <w:tcW w:w="1846" w:type="dxa"/>
            <w:tcBorders>
              <w:top w:val="single" w:color="auto" w:sz="4" w:space="0"/>
              <w:left w:val="nil"/>
              <w:bottom w:val="single" w:color="auto" w:sz="4" w:space="0"/>
              <w:right w:val="single" w:color="auto" w:sz="4" w:space="0"/>
            </w:tcBorders>
            <w:noWrap w:val="0"/>
            <w:vAlign w:val="center"/>
          </w:tcPr>
          <w:p w14:paraId="59ACCD8E">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中型</w:t>
            </w:r>
          </w:p>
        </w:tc>
        <w:tc>
          <w:tcPr>
            <w:tcW w:w="1570" w:type="dxa"/>
            <w:tcBorders>
              <w:top w:val="single" w:color="auto" w:sz="4" w:space="0"/>
              <w:left w:val="nil"/>
              <w:bottom w:val="single" w:color="auto" w:sz="4" w:space="0"/>
              <w:right w:val="single" w:color="auto" w:sz="4" w:space="0"/>
            </w:tcBorders>
            <w:noWrap w:val="0"/>
            <w:vAlign w:val="center"/>
          </w:tcPr>
          <w:p w14:paraId="60D8F38D">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小型</w:t>
            </w:r>
          </w:p>
        </w:tc>
        <w:tc>
          <w:tcPr>
            <w:tcW w:w="1009" w:type="dxa"/>
            <w:tcBorders>
              <w:top w:val="single" w:color="auto" w:sz="4" w:space="0"/>
              <w:left w:val="nil"/>
              <w:bottom w:val="single" w:color="auto" w:sz="4" w:space="0"/>
              <w:right w:val="single" w:color="auto" w:sz="4" w:space="0"/>
            </w:tcBorders>
            <w:noWrap w:val="0"/>
            <w:vAlign w:val="center"/>
          </w:tcPr>
          <w:p w14:paraId="3F54EFB6">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微型</w:t>
            </w:r>
          </w:p>
        </w:tc>
      </w:tr>
      <w:tr w14:paraId="13001333">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75344511">
            <w:pPr>
              <w:keepNext w:val="0"/>
              <w:keepLines w:val="0"/>
              <w:widowControl/>
              <w:suppressLineNumbers w:val="0"/>
              <w:spacing w:before="0" w:beforeAutospacing="0" w:after="0" w:afterAutospacing="0"/>
              <w:ind w:left="0" w:right="0"/>
              <w:jc w:val="center"/>
              <w:rPr>
                <w:rFonts w:hint="default"/>
                <w:color w:val="auto"/>
                <w:szCs w:val="21"/>
                <w:highlight w:val="none"/>
              </w:rPr>
            </w:pPr>
            <w:r>
              <w:rPr>
                <w:rFonts w:hint="eastAsia"/>
                <w:color w:val="auto"/>
                <w:szCs w:val="21"/>
                <w:highlight w:val="none"/>
              </w:rPr>
              <w:t>农、林、牧、渔</w:t>
            </w:r>
          </w:p>
        </w:tc>
        <w:tc>
          <w:tcPr>
            <w:tcW w:w="1701" w:type="dxa"/>
            <w:tcBorders>
              <w:top w:val="nil"/>
              <w:left w:val="nil"/>
              <w:bottom w:val="single" w:color="auto" w:sz="4" w:space="0"/>
              <w:right w:val="single" w:color="auto" w:sz="4" w:space="0"/>
            </w:tcBorders>
            <w:noWrap w:val="0"/>
            <w:vAlign w:val="center"/>
          </w:tcPr>
          <w:p w14:paraId="3AC5BA06">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4CF38EB">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AA1CFE6">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07955A8B">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50≤Y＜500</w:t>
            </w:r>
          </w:p>
        </w:tc>
        <w:tc>
          <w:tcPr>
            <w:tcW w:w="1009" w:type="dxa"/>
            <w:tcBorders>
              <w:top w:val="nil"/>
              <w:left w:val="nil"/>
              <w:bottom w:val="single" w:color="auto" w:sz="4" w:space="0"/>
              <w:right w:val="single" w:color="auto" w:sz="4" w:space="0"/>
            </w:tcBorders>
            <w:noWrap w:val="0"/>
            <w:vAlign w:val="center"/>
          </w:tcPr>
          <w:p w14:paraId="4DAE7724">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Y＜50</w:t>
            </w:r>
          </w:p>
        </w:tc>
      </w:tr>
      <w:tr w14:paraId="375FA46F">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79C8B79B">
            <w:pPr>
              <w:keepNext w:val="0"/>
              <w:keepLines w:val="0"/>
              <w:widowControl/>
              <w:suppressLineNumbers w:val="0"/>
              <w:spacing w:before="0" w:beforeAutospacing="0" w:after="0" w:afterAutospacing="0"/>
              <w:ind w:left="0" w:right="0"/>
              <w:jc w:val="center"/>
              <w:rPr>
                <w:rFonts w:hint="default"/>
                <w:color w:val="auto"/>
                <w:szCs w:val="21"/>
                <w:highlight w:val="none"/>
              </w:rPr>
            </w:pPr>
            <w:r>
              <w:rPr>
                <w:rFonts w:hint="eastAsia"/>
                <w:color w:val="auto"/>
                <w:szCs w:val="21"/>
                <w:highlight w:val="none"/>
              </w:rPr>
              <w:t>工业</w:t>
            </w:r>
          </w:p>
        </w:tc>
        <w:tc>
          <w:tcPr>
            <w:tcW w:w="1701" w:type="dxa"/>
            <w:tcBorders>
              <w:top w:val="nil"/>
              <w:left w:val="nil"/>
              <w:bottom w:val="single" w:color="auto" w:sz="4" w:space="0"/>
              <w:right w:val="single" w:color="auto" w:sz="4" w:space="0"/>
            </w:tcBorders>
            <w:noWrap w:val="0"/>
            <w:vAlign w:val="center"/>
          </w:tcPr>
          <w:p w14:paraId="286DE002">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443F2667">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B4D1D66">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0FB82292">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2D208878">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X＜20</w:t>
            </w:r>
          </w:p>
        </w:tc>
      </w:tr>
      <w:tr w14:paraId="2C129D26">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36C0CCE9">
            <w:pPr>
              <w:keepNext w:val="0"/>
              <w:keepLines w:val="0"/>
              <w:widowControl/>
              <w:suppressLineNumbers w:val="0"/>
              <w:spacing w:before="0" w:beforeAutospacing="0" w:after="0" w:afterAutospacing="0"/>
              <w:ind w:left="0" w:right="0"/>
              <w:jc w:val="left"/>
              <w:rPr>
                <w:rFonts w:hint="default"/>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5145EFB">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5E3C186">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3C000DF">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2000≤Y＜40000</w:t>
            </w:r>
          </w:p>
        </w:tc>
        <w:tc>
          <w:tcPr>
            <w:tcW w:w="1570" w:type="dxa"/>
            <w:tcBorders>
              <w:top w:val="nil"/>
              <w:left w:val="nil"/>
              <w:bottom w:val="single" w:color="auto" w:sz="4" w:space="0"/>
              <w:right w:val="single" w:color="auto" w:sz="4" w:space="0"/>
            </w:tcBorders>
            <w:noWrap w:val="0"/>
            <w:vAlign w:val="center"/>
          </w:tcPr>
          <w:p w14:paraId="398BD2D5">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300≤Y＜2000</w:t>
            </w:r>
          </w:p>
        </w:tc>
        <w:tc>
          <w:tcPr>
            <w:tcW w:w="1009" w:type="dxa"/>
            <w:tcBorders>
              <w:top w:val="nil"/>
              <w:left w:val="nil"/>
              <w:bottom w:val="single" w:color="auto" w:sz="4" w:space="0"/>
              <w:right w:val="single" w:color="auto" w:sz="4" w:space="0"/>
            </w:tcBorders>
            <w:noWrap w:val="0"/>
            <w:vAlign w:val="center"/>
          </w:tcPr>
          <w:p w14:paraId="513A14FF">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Y＜300</w:t>
            </w:r>
          </w:p>
        </w:tc>
      </w:tr>
      <w:tr w14:paraId="05E47B12">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4A3935A">
            <w:pPr>
              <w:keepNext w:val="0"/>
              <w:keepLines w:val="0"/>
              <w:widowControl/>
              <w:suppressLineNumbers w:val="0"/>
              <w:spacing w:before="0" w:beforeAutospacing="0" w:after="0" w:afterAutospacing="0"/>
              <w:ind w:left="0" w:right="0"/>
              <w:jc w:val="center"/>
              <w:rPr>
                <w:rFonts w:hint="default"/>
                <w:color w:val="auto"/>
                <w:szCs w:val="21"/>
                <w:highlight w:val="none"/>
              </w:rPr>
            </w:pPr>
            <w:r>
              <w:rPr>
                <w:rFonts w:hint="eastAsia"/>
                <w:color w:val="auto"/>
                <w:szCs w:val="21"/>
                <w:highlight w:val="none"/>
              </w:rPr>
              <w:t>建筑业</w:t>
            </w:r>
          </w:p>
        </w:tc>
        <w:tc>
          <w:tcPr>
            <w:tcW w:w="1701" w:type="dxa"/>
            <w:tcBorders>
              <w:top w:val="nil"/>
              <w:left w:val="nil"/>
              <w:bottom w:val="single" w:color="auto" w:sz="4" w:space="0"/>
              <w:right w:val="single" w:color="auto" w:sz="4" w:space="0"/>
            </w:tcBorders>
            <w:noWrap w:val="0"/>
            <w:vAlign w:val="center"/>
          </w:tcPr>
          <w:p w14:paraId="29CFF249">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42C3ED5">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D2C0777">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6000≤Y＜80000</w:t>
            </w:r>
          </w:p>
        </w:tc>
        <w:tc>
          <w:tcPr>
            <w:tcW w:w="1570" w:type="dxa"/>
            <w:tcBorders>
              <w:top w:val="nil"/>
              <w:left w:val="nil"/>
              <w:bottom w:val="single" w:color="auto" w:sz="4" w:space="0"/>
              <w:right w:val="single" w:color="auto" w:sz="4" w:space="0"/>
            </w:tcBorders>
            <w:noWrap w:val="0"/>
            <w:vAlign w:val="center"/>
          </w:tcPr>
          <w:p w14:paraId="0F3BF315">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300≤Y＜6000</w:t>
            </w:r>
          </w:p>
        </w:tc>
        <w:tc>
          <w:tcPr>
            <w:tcW w:w="1009" w:type="dxa"/>
            <w:tcBorders>
              <w:top w:val="nil"/>
              <w:left w:val="nil"/>
              <w:bottom w:val="single" w:color="auto" w:sz="4" w:space="0"/>
              <w:right w:val="single" w:color="auto" w:sz="4" w:space="0"/>
            </w:tcBorders>
            <w:noWrap w:val="0"/>
            <w:vAlign w:val="center"/>
          </w:tcPr>
          <w:p w14:paraId="14E4178E">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Y＜300</w:t>
            </w:r>
          </w:p>
        </w:tc>
      </w:tr>
      <w:tr w14:paraId="3857A28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261F706F">
            <w:pPr>
              <w:keepNext w:val="0"/>
              <w:keepLines w:val="0"/>
              <w:widowControl/>
              <w:suppressLineNumbers w:val="0"/>
              <w:spacing w:before="0" w:beforeAutospacing="0" w:after="0" w:afterAutospacing="0"/>
              <w:ind w:left="0" w:right="0"/>
              <w:jc w:val="left"/>
              <w:rPr>
                <w:rFonts w:hint="default"/>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E2400CC">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4989CC5A">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A2F268B">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5000≤Z＜80000</w:t>
            </w:r>
          </w:p>
        </w:tc>
        <w:tc>
          <w:tcPr>
            <w:tcW w:w="1570" w:type="dxa"/>
            <w:tcBorders>
              <w:top w:val="nil"/>
              <w:left w:val="nil"/>
              <w:bottom w:val="single" w:color="auto" w:sz="4" w:space="0"/>
              <w:right w:val="single" w:color="auto" w:sz="4" w:space="0"/>
            </w:tcBorders>
            <w:noWrap w:val="0"/>
            <w:vAlign w:val="center"/>
          </w:tcPr>
          <w:p w14:paraId="4638CE94">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300≤Z＜5000</w:t>
            </w:r>
          </w:p>
        </w:tc>
        <w:tc>
          <w:tcPr>
            <w:tcW w:w="1009" w:type="dxa"/>
            <w:tcBorders>
              <w:top w:val="nil"/>
              <w:left w:val="nil"/>
              <w:bottom w:val="single" w:color="auto" w:sz="4" w:space="0"/>
              <w:right w:val="single" w:color="auto" w:sz="4" w:space="0"/>
            </w:tcBorders>
            <w:noWrap w:val="0"/>
            <w:vAlign w:val="center"/>
          </w:tcPr>
          <w:p w14:paraId="606F5438">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Z＜300</w:t>
            </w:r>
          </w:p>
        </w:tc>
      </w:tr>
      <w:tr w14:paraId="5E274C6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B82186A">
            <w:pPr>
              <w:keepNext w:val="0"/>
              <w:keepLines w:val="0"/>
              <w:widowControl/>
              <w:suppressLineNumbers w:val="0"/>
              <w:spacing w:before="0" w:beforeAutospacing="0" w:after="0" w:afterAutospacing="0"/>
              <w:ind w:left="0" w:right="0" w:firstLine="315" w:firstLineChars="150"/>
              <w:rPr>
                <w:rFonts w:hint="default"/>
                <w:color w:val="auto"/>
                <w:szCs w:val="21"/>
                <w:highlight w:val="none"/>
              </w:rPr>
            </w:pPr>
            <w:r>
              <w:rPr>
                <w:rFonts w:hint="eastAsia"/>
                <w:color w:val="auto"/>
                <w:szCs w:val="21"/>
                <w:highlight w:val="none"/>
              </w:rPr>
              <w:t>批发业</w:t>
            </w:r>
          </w:p>
        </w:tc>
        <w:tc>
          <w:tcPr>
            <w:tcW w:w="1701" w:type="dxa"/>
            <w:tcBorders>
              <w:top w:val="nil"/>
              <w:left w:val="nil"/>
              <w:bottom w:val="single" w:color="auto" w:sz="4" w:space="0"/>
              <w:right w:val="single" w:color="auto" w:sz="4" w:space="0"/>
            </w:tcBorders>
            <w:noWrap w:val="0"/>
            <w:vAlign w:val="center"/>
          </w:tcPr>
          <w:p w14:paraId="60EC3CDA">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629019D2">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2E266F82">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20≤X＜200</w:t>
            </w:r>
          </w:p>
        </w:tc>
        <w:tc>
          <w:tcPr>
            <w:tcW w:w="1570" w:type="dxa"/>
            <w:tcBorders>
              <w:top w:val="nil"/>
              <w:left w:val="nil"/>
              <w:bottom w:val="single" w:color="auto" w:sz="4" w:space="0"/>
              <w:right w:val="single" w:color="auto" w:sz="4" w:space="0"/>
            </w:tcBorders>
            <w:noWrap w:val="0"/>
            <w:vAlign w:val="center"/>
          </w:tcPr>
          <w:p w14:paraId="4DC5E233">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5≤X＜20</w:t>
            </w:r>
          </w:p>
        </w:tc>
        <w:tc>
          <w:tcPr>
            <w:tcW w:w="1009" w:type="dxa"/>
            <w:tcBorders>
              <w:top w:val="nil"/>
              <w:left w:val="nil"/>
              <w:bottom w:val="single" w:color="auto" w:sz="4" w:space="0"/>
              <w:right w:val="single" w:color="auto" w:sz="4" w:space="0"/>
            </w:tcBorders>
            <w:noWrap w:val="0"/>
            <w:vAlign w:val="center"/>
          </w:tcPr>
          <w:p w14:paraId="585832EF">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X＜5</w:t>
            </w:r>
          </w:p>
        </w:tc>
      </w:tr>
      <w:tr w14:paraId="5FDB2836">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2602558">
            <w:pPr>
              <w:keepNext w:val="0"/>
              <w:keepLines w:val="0"/>
              <w:widowControl/>
              <w:suppressLineNumbers w:val="0"/>
              <w:spacing w:before="0" w:beforeAutospacing="0" w:after="0" w:afterAutospacing="0"/>
              <w:ind w:left="0" w:right="0"/>
              <w:jc w:val="left"/>
              <w:rPr>
                <w:rFonts w:hint="default"/>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2F744653">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0DB3B6A">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0B2CB5C">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5000≤Y＜40000</w:t>
            </w:r>
          </w:p>
        </w:tc>
        <w:tc>
          <w:tcPr>
            <w:tcW w:w="1570" w:type="dxa"/>
            <w:tcBorders>
              <w:top w:val="nil"/>
              <w:left w:val="nil"/>
              <w:bottom w:val="single" w:color="auto" w:sz="4" w:space="0"/>
              <w:right w:val="single" w:color="auto" w:sz="4" w:space="0"/>
            </w:tcBorders>
            <w:noWrap w:val="0"/>
            <w:vAlign w:val="center"/>
          </w:tcPr>
          <w:p w14:paraId="13C02C06">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1000≤Y＜5000</w:t>
            </w:r>
          </w:p>
        </w:tc>
        <w:tc>
          <w:tcPr>
            <w:tcW w:w="1009" w:type="dxa"/>
            <w:tcBorders>
              <w:top w:val="nil"/>
              <w:left w:val="nil"/>
              <w:bottom w:val="single" w:color="auto" w:sz="4" w:space="0"/>
              <w:right w:val="single" w:color="auto" w:sz="4" w:space="0"/>
            </w:tcBorders>
            <w:noWrap w:val="0"/>
            <w:vAlign w:val="center"/>
          </w:tcPr>
          <w:p w14:paraId="1D256F3B">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Y＜1000</w:t>
            </w:r>
          </w:p>
        </w:tc>
      </w:tr>
      <w:tr w14:paraId="5ABD089C">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62C2A1C2">
            <w:pPr>
              <w:keepNext w:val="0"/>
              <w:keepLines w:val="0"/>
              <w:widowControl/>
              <w:suppressLineNumbers w:val="0"/>
              <w:spacing w:before="0" w:beforeAutospacing="0" w:after="0" w:afterAutospacing="0"/>
              <w:ind w:left="0" w:right="0"/>
              <w:jc w:val="center"/>
              <w:rPr>
                <w:rFonts w:hint="default"/>
                <w:color w:val="auto"/>
                <w:szCs w:val="21"/>
                <w:highlight w:val="none"/>
              </w:rPr>
            </w:pPr>
            <w:r>
              <w:rPr>
                <w:rFonts w:hint="eastAsia"/>
                <w:color w:val="auto"/>
                <w:szCs w:val="21"/>
                <w:highlight w:val="none"/>
              </w:rPr>
              <w:t>零售业</w:t>
            </w:r>
          </w:p>
        </w:tc>
        <w:tc>
          <w:tcPr>
            <w:tcW w:w="1701" w:type="dxa"/>
            <w:tcBorders>
              <w:top w:val="nil"/>
              <w:left w:val="nil"/>
              <w:bottom w:val="single" w:color="auto" w:sz="4" w:space="0"/>
              <w:right w:val="single" w:color="auto" w:sz="4" w:space="0"/>
            </w:tcBorders>
            <w:noWrap w:val="0"/>
            <w:vAlign w:val="center"/>
          </w:tcPr>
          <w:p w14:paraId="1856B6F0">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0548985">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634F97E">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50≤X＜300</w:t>
            </w:r>
          </w:p>
        </w:tc>
        <w:tc>
          <w:tcPr>
            <w:tcW w:w="1570" w:type="dxa"/>
            <w:tcBorders>
              <w:top w:val="nil"/>
              <w:left w:val="nil"/>
              <w:bottom w:val="single" w:color="auto" w:sz="4" w:space="0"/>
              <w:right w:val="single" w:color="auto" w:sz="4" w:space="0"/>
            </w:tcBorders>
            <w:noWrap w:val="0"/>
            <w:vAlign w:val="center"/>
          </w:tcPr>
          <w:p w14:paraId="4266C572">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10≤X＜50</w:t>
            </w:r>
          </w:p>
        </w:tc>
        <w:tc>
          <w:tcPr>
            <w:tcW w:w="1009" w:type="dxa"/>
            <w:tcBorders>
              <w:top w:val="nil"/>
              <w:left w:val="nil"/>
              <w:bottom w:val="single" w:color="auto" w:sz="4" w:space="0"/>
              <w:right w:val="single" w:color="auto" w:sz="4" w:space="0"/>
            </w:tcBorders>
            <w:noWrap w:val="0"/>
            <w:vAlign w:val="center"/>
          </w:tcPr>
          <w:p w14:paraId="69B2CD1A">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X＜10</w:t>
            </w:r>
          </w:p>
        </w:tc>
      </w:tr>
      <w:tr w14:paraId="6599161F">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1D3F262">
            <w:pPr>
              <w:keepNext w:val="0"/>
              <w:keepLines w:val="0"/>
              <w:widowControl/>
              <w:suppressLineNumbers w:val="0"/>
              <w:spacing w:before="0" w:beforeAutospacing="0" w:after="0" w:afterAutospacing="0"/>
              <w:ind w:left="0" w:right="0"/>
              <w:jc w:val="left"/>
              <w:rPr>
                <w:rFonts w:hint="default"/>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645C150">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0A64E5D">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675F675">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34BD47EA">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100≤Y＜500</w:t>
            </w:r>
          </w:p>
        </w:tc>
        <w:tc>
          <w:tcPr>
            <w:tcW w:w="1009" w:type="dxa"/>
            <w:tcBorders>
              <w:top w:val="nil"/>
              <w:left w:val="nil"/>
              <w:bottom w:val="single" w:color="auto" w:sz="4" w:space="0"/>
              <w:right w:val="single" w:color="auto" w:sz="4" w:space="0"/>
            </w:tcBorders>
            <w:noWrap w:val="0"/>
            <w:vAlign w:val="center"/>
          </w:tcPr>
          <w:p w14:paraId="1B31EFED">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Y＜100</w:t>
            </w:r>
          </w:p>
        </w:tc>
      </w:tr>
      <w:tr w14:paraId="45866BC0">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471B9E41">
            <w:pPr>
              <w:keepNext w:val="0"/>
              <w:keepLines w:val="0"/>
              <w:widowControl/>
              <w:suppressLineNumbers w:val="0"/>
              <w:spacing w:before="0" w:beforeAutospacing="0" w:after="0" w:afterAutospacing="0"/>
              <w:ind w:left="0" w:right="0"/>
              <w:jc w:val="center"/>
              <w:rPr>
                <w:rFonts w:hint="default"/>
                <w:color w:val="auto"/>
                <w:szCs w:val="21"/>
                <w:highlight w:val="none"/>
              </w:rPr>
            </w:pPr>
            <w:r>
              <w:rPr>
                <w:rFonts w:hint="eastAsia"/>
                <w:color w:val="auto"/>
                <w:szCs w:val="21"/>
                <w:highlight w:val="none"/>
              </w:rPr>
              <w:t>交通运输业</w:t>
            </w:r>
          </w:p>
        </w:tc>
        <w:tc>
          <w:tcPr>
            <w:tcW w:w="1701" w:type="dxa"/>
            <w:tcBorders>
              <w:top w:val="nil"/>
              <w:left w:val="nil"/>
              <w:bottom w:val="single" w:color="auto" w:sz="4" w:space="0"/>
              <w:right w:val="single" w:color="auto" w:sz="4" w:space="0"/>
            </w:tcBorders>
            <w:noWrap w:val="0"/>
            <w:vAlign w:val="center"/>
          </w:tcPr>
          <w:p w14:paraId="3AE0A173">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83E8C84">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F0696C2">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3B3F7F42">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54641CD5">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X＜20</w:t>
            </w:r>
          </w:p>
        </w:tc>
      </w:tr>
      <w:tr w14:paraId="0515CE82">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55706A5">
            <w:pPr>
              <w:keepNext w:val="0"/>
              <w:keepLines w:val="0"/>
              <w:widowControl/>
              <w:suppressLineNumbers w:val="0"/>
              <w:spacing w:before="0" w:beforeAutospacing="0" w:after="0" w:afterAutospacing="0"/>
              <w:ind w:left="0" w:right="0"/>
              <w:jc w:val="left"/>
              <w:rPr>
                <w:rFonts w:hint="default"/>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73B58DA">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C7099F7">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E2619AF">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3000≤Y＜30000</w:t>
            </w:r>
          </w:p>
        </w:tc>
        <w:tc>
          <w:tcPr>
            <w:tcW w:w="1570" w:type="dxa"/>
            <w:tcBorders>
              <w:top w:val="nil"/>
              <w:left w:val="nil"/>
              <w:bottom w:val="single" w:color="auto" w:sz="4" w:space="0"/>
              <w:right w:val="single" w:color="auto" w:sz="4" w:space="0"/>
            </w:tcBorders>
            <w:noWrap w:val="0"/>
            <w:vAlign w:val="center"/>
          </w:tcPr>
          <w:p w14:paraId="1B0C6265">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200≤Y＜3000</w:t>
            </w:r>
          </w:p>
        </w:tc>
        <w:tc>
          <w:tcPr>
            <w:tcW w:w="1009" w:type="dxa"/>
            <w:tcBorders>
              <w:top w:val="nil"/>
              <w:left w:val="nil"/>
              <w:bottom w:val="single" w:color="auto" w:sz="4" w:space="0"/>
              <w:right w:val="single" w:color="auto" w:sz="4" w:space="0"/>
            </w:tcBorders>
            <w:noWrap w:val="0"/>
            <w:vAlign w:val="center"/>
          </w:tcPr>
          <w:p w14:paraId="31A867EF">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Y＜200</w:t>
            </w:r>
          </w:p>
        </w:tc>
      </w:tr>
      <w:tr w14:paraId="1F15BA3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62E576C9">
            <w:pPr>
              <w:keepNext w:val="0"/>
              <w:keepLines w:val="0"/>
              <w:widowControl/>
              <w:suppressLineNumbers w:val="0"/>
              <w:spacing w:before="0" w:beforeAutospacing="0" w:after="0" w:afterAutospacing="0"/>
              <w:ind w:left="0" w:right="0"/>
              <w:jc w:val="center"/>
              <w:rPr>
                <w:rFonts w:hint="default"/>
                <w:color w:val="auto"/>
                <w:szCs w:val="21"/>
                <w:highlight w:val="none"/>
              </w:rPr>
            </w:pPr>
            <w:r>
              <w:rPr>
                <w:rFonts w:hint="eastAsia"/>
                <w:color w:val="auto"/>
                <w:szCs w:val="21"/>
                <w:highlight w:val="none"/>
              </w:rPr>
              <w:t>仓储业</w:t>
            </w:r>
          </w:p>
        </w:tc>
        <w:tc>
          <w:tcPr>
            <w:tcW w:w="1701" w:type="dxa"/>
            <w:tcBorders>
              <w:top w:val="nil"/>
              <w:left w:val="nil"/>
              <w:bottom w:val="single" w:color="auto" w:sz="4" w:space="0"/>
              <w:right w:val="single" w:color="auto" w:sz="4" w:space="0"/>
            </w:tcBorders>
            <w:noWrap w:val="0"/>
            <w:vAlign w:val="center"/>
          </w:tcPr>
          <w:p w14:paraId="2FB069E2">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BABAB90">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D190142">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100≤X＜200</w:t>
            </w:r>
          </w:p>
        </w:tc>
        <w:tc>
          <w:tcPr>
            <w:tcW w:w="1570" w:type="dxa"/>
            <w:tcBorders>
              <w:top w:val="nil"/>
              <w:left w:val="nil"/>
              <w:bottom w:val="single" w:color="auto" w:sz="4" w:space="0"/>
              <w:right w:val="single" w:color="auto" w:sz="4" w:space="0"/>
            </w:tcBorders>
            <w:noWrap w:val="0"/>
            <w:vAlign w:val="center"/>
          </w:tcPr>
          <w:p w14:paraId="079E172C">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20≤X＜100</w:t>
            </w:r>
          </w:p>
        </w:tc>
        <w:tc>
          <w:tcPr>
            <w:tcW w:w="1009" w:type="dxa"/>
            <w:tcBorders>
              <w:top w:val="nil"/>
              <w:left w:val="nil"/>
              <w:bottom w:val="single" w:color="auto" w:sz="4" w:space="0"/>
              <w:right w:val="single" w:color="auto" w:sz="4" w:space="0"/>
            </w:tcBorders>
            <w:noWrap w:val="0"/>
            <w:vAlign w:val="center"/>
          </w:tcPr>
          <w:p w14:paraId="70737F69">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X＜20</w:t>
            </w:r>
          </w:p>
        </w:tc>
      </w:tr>
      <w:tr w14:paraId="2AE60344">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36892F8F">
            <w:pPr>
              <w:keepNext w:val="0"/>
              <w:keepLines w:val="0"/>
              <w:widowControl/>
              <w:suppressLineNumbers w:val="0"/>
              <w:spacing w:before="0" w:beforeAutospacing="0" w:after="0" w:afterAutospacing="0"/>
              <w:ind w:left="0" w:right="0"/>
              <w:jc w:val="left"/>
              <w:rPr>
                <w:rFonts w:hint="default"/>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FD6E442">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0EE5CDCB">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A8AE536">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1000≤Y＜30000</w:t>
            </w:r>
          </w:p>
        </w:tc>
        <w:tc>
          <w:tcPr>
            <w:tcW w:w="1570" w:type="dxa"/>
            <w:tcBorders>
              <w:top w:val="nil"/>
              <w:left w:val="nil"/>
              <w:bottom w:val="single" w:color="auto" w:sz="4" w:space="0"/>
              <w:right w:val="single" w:color="auto" w:sz="4" w:space="0"/>
            </w:tcBorders>
            <w:noWrap w:val="0"/>
            <w:vAlign w:val="center"/>
          </w:tcPr>
          <w:p w14:paraId="1FCD4035">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6665EE92">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Y＜100</w:t>
            </w:r>
          </w:p>
        </w:tc>
      </w:tr>
      <w:tr w14:paraId="52C44B2D">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E9B9FA0">
            <w:pPr>
              <w:keepNext w:val="0"/>
              <w:keepLines w:val="0"/>
              <w:widowControl/>
              <w:suppressLineNumbers w:val="0"/>
              <w:spacing w:before="0" w:beforeAutospacing="0" w:after="0" w:afterAutospacing="0"/>
              <w:ind w:left="0" w:right="0"/>
              <w:jc w:val="center"/>
              <w:rPr>
                <w:rFonts w:hint="default"/>
                <w:color w:val="auto"/>
                <w:szCs w:val="21"/>
                <w:highlight w:val="none"/>
              </w:rPr>
            </w:pPr>
            <w:r>
              <w:rPr>
                <w:rFonts w:hint="eastAsia"/>
                <w:color w:val="auto"/>
                <w:szCs w:val="21"/>
                <w:highlight w:val="none"/>
              </w:rPr>
              <w:t>邮政业</w:t>
            </w:r>
          </w:p>
        </w:tc>
        <w:tc>
          <w:tcPr>
            <w:tcW w:w="1701" w:type="dxa"/>
            <w:tcBorders>
              <w:top w:val="nil"/>
              <w:left w:val="nil"/>
              <w:bottom w:val="single" w:color="auto" w:sz="4" w:space="0"/>
              <w:right w:val="single" w:color="auto" w:sz="4" w:space="0"/>
            </w:tcBorders>
            <w:noWrap w:val="0"/>
            <w:vAlign w:val="center"/>
          </w:tcPr>
          <w:p w14:paraId="6D23D9A8">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D7E7117">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0CEE701">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4345E5B8">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1B6510F0">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X＜20</w:t>
            </w:r>
          </w:p>
        </w:tc>
      </w:tr>
      <w:tr w14:paraId="7A1563BB">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38D78D6">
            <w:pPr>
              <w:keepNext w:val="0"/>
              <w:keepLines w:val="0"/>
              <w:widowControl/>
              <w:suppressLineNumbers w:val="0"/>
              <w:spacing w:before="0" w:beforeAutospacing="0" w:after="0" w:afterAutospacing="0"/>
              <w:ind w:left="0" w:right="0"/>
              <w:jc w:val="left"/>
              <w:rPr>
                <w:rFonts w:hint="default"/>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6418EE5">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7FCE7CE4">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A6F48EE">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2000≤Y＜30000</w:t>
            </w:r>
          </w:p>
        </w:tc>
        <w:tc>
          <w:tcPr>
            <w:tcW w:w="1570" w:type="dxa"/>
            <w:tcBorders>
              <w:top w:val="nil"/>
              <w:left w:val="nil"/>
              <w:bottom w:val="single" w:color="auto" w:sz="4" w:space="0"/>
              <w:right w:val="single" w:color="auto" w:sz="4" w:space="0"/>
            </w:tcBorders>
            <w:noWrap w:val="0"/>
            <w:vAlign w:val="center"/>
          </w:tcPr>
          <w:p w14:paraId="0333EAA8">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6D54A4DB">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Y＜100</w:t>
            </w:r>
          </w:p>
        </w:tc>
      </w:tr>
      <w:tr w14:paraId="1EB456FC">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E3FF41C">
            <w:pPr>
              <w:keepNext w:val="0"/>
              <w:keepLines w:val="0"/>
              <w:widowControl/>
              <w:suppressLineNumbers w:val="0"/>
              <w:spacing w:before="0" w:beforeAutospacing="0" w:after="0" w:afterAutospacing="0"/>
              <w:ind w:left="0" w:right="0"/>
              <w:jc w:val="center"/>
              <w:rPr>
                <w:rFonts w:hint="default"/>
                <w:color w:val="auto"/>
                <w:szCs w:val="21"/>
                <w:highlight w:val="none"/>
              </w:rPr>
            </w:pPr>
            <w:r>
              <w:rPr>
                <w:rFonts w:hint="eastAsia"/>
                <w:color w:val="auto"/>
                <w:szCs w:val="21"/>
                <w:highlight w:val="none"/>
              </w:rPr>
              <w:t>住宿业</w:t>
            </w:r>
          </w:p>
        </w:tc>
        <w:tc>
          <w:tcPr>
            <w:tcW w:w="1701" w:type="dxa"/>
            <w:tcBorders>
              <w:top w:val="nil"/>
              <w:left w:val="nil"/>
              <w:bottom w:val="single" w:color="auto" w:sz="4" w:space="0"/>
              <w:right w:val="single" w:color="auto" w:sz="4" w:space="0"/>
            </w:tcBorders>
            <w:noWrap w:val="0"/>
            <w:vAlign w:val="center"/>
          </w:tcPr>
          <w:p w14:paraId="659E43B4">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4E2B8E6B">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C161734">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58528716">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61C7DC20">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X＜10</w:t>
            </w:r>
          </w:p>
        </w:tc>
      </w:tr>
      <w:tr w14:paraId="233908B1">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D2E792E">
            <w:pPr>
              <w:keepNext w:val="0"/>
              <w:keepLines w:val="0"/>
              <w:widowControl/>
              <w:suppressLineNumbers w:val="0"/>
              <w:spacing w:before="0" w:beforeAutospacing="0" w:after="0" w:afterAutospacing="0"/>
              <w:ind w:left="0" w:right="0"/>
              <w:jc w:val="left"/>
              <w:rPr>
                <w:rFonts w:hint="default"/>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1FBCA046">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E8A55C2">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DEBB9CF">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544B7016">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777CAD5B">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Y＜100</w:t>
            </w:r>
          </w:p>
        </w:tc>
      </w:tr>
      <w:tr w14:paraId="3FC2EBCA">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CB0949D">
            <w:pPr>
              <w:keepNext w:val="0"/>
              <w:keepLines w:val="0"/>
              <w:widowControl/>
              <w:suppressLineNumbers w:val="0"/>
              <w:spacing w:before="0" w:beforeAutospacing="0" w:after="0" w:afterAutospacing="0"/>
              <w:ind w:left="0" w:right="0"/>
              <w:jc w:val="center"/>
              <w:rPr>
                <w:rFonts w:hint="default"/>
                <w:color w:val="auto"/>
                <w:szCs w:val="21"/>
                <w:highlight w:val="none"/>
              </w:rPr>
            </w:pPr>
            <w:r>
              <w:rPr>
                <w:rFonts w:hint="eastAsia"/>
                <w:color w:val="auto"/>
                <w:szCs w:val="21"/>
                <w:highlight w:val="none"/>
              </w:rPr>
              <w:t>餐饮业</w:t>
            </w:r>
          </w:p>
        </w:tc>
        <w:tc>
          <w:tcPr>
            <w:tcW w:w="1701" w:type="dxa"/>
            <w:tcBorders>
              <w:top w:val="nil"/>
              <w:left w:val="nil"/>
              <w:bottom w:val="single" w:color="auto" w:sz="4" w:space="0"/>
              <w:right w:val="single" w:color="auto" w:sz="4" w:space="0"/>
            </w:tcBorders>
            <w:noWrap w:val="0"/>
            <w:vAlign w:val="center"/>
          </w:tcPr>
          <w:p w14:paraId="4AE4086D">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BE137DC">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6C6148F8">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396C55A7">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54EEB006">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X＜10</w:t>
            </w:r>
          </w:p>
        </w:tc>
      </w:tr>
      <w:tr w14:paraId="0C7C1CDA">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66F8D89">
            <w:pPr>
              <w:keepNext w:val="0"/>
              <w:keepLines w:val="0"/>
              <w:widowControl/>
              <w:suppressLineNumbers w:val="0"/>
              <w:spacing w:before="0" w:beforeAutospacing="0" w:after="0" w:afterAutospacing="0"/>
              <w:ind w:left="0" w:right="0"/>
              <w:jc w:val="left"/>
              <w:rPr>
                <w:rFonts w:hint="default"/>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FED5FDC">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077EDA7">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AFBF907">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3AD5D42A">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707F1F94">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Y＜100</w:t>
            </w:r>
          </w:p>
        </w:tc>
      </w:tr>
      <w:tr w14:paraId="70E83928">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5E20B47">
            <w:pPr>
              <w:keepNext w:val="0"/>
              <w:keepLines w:val="0"/>
              <w:widowControl/>
              <w:suppressLineNumbers w:val="0"/>
              <w:spacing w:before="0" w:beforeAutospacing="0" w:after="0" w:afterAutospacing="0"/>
              <w:ind w:left="0" w:right="0"/>
              <w:jc w:val="center"/>
              <w:rPr>
                <w:rFonts w:hint="default"/>
                <w:color w:val="auto"/>
                <w:szCs w:val="21"/>
                <w:highlight w:val="none"/>
              </w:rPr>
            </w:pPr>
            <w:r>
              <w:rPr>
                <w:rFonts w:hint="eastAsia"/>
                <w:color w:val="auto"/>
                <w:szCs w:val="21"/>
                <w:highlight w:val="none"/>
              </w:rPr>
              <w:t>信息传输业</w:t>
            </w:r>
          </w:p>
        </w:tc>
        <w:tc>
          <w:tcPr>
            <w:tcW w:w="1701" w:type="dxa"/>
            <w:tcBorders>
              <w:top w:val="nil"/>
              <w:left w:val="nil"/>
              <w:bottom w:val="single" w:color="auto" w:sz="4" w:space="0"/>
              <w:right w:val="single" w:color="auto" w:sz="4" w:space="0"/>
            </w:tcBorders>
            <w:noWrap w:val="0"/>
            <w:vAlign w:val="center"/>
          </w:tcPr>
          <w:p w14:paraId="4AB524C8">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2A72D861">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62FE422F">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100≤X＜2000</w:t>
            </w:r>
          </w:p>
        </w:tc>
        <w:tc>
          <w:tcPr>
            <w:tcW w:w="1570" w:type="dxa"/>
            <w:tcBorders>
              <w:top w:val="nil"/>
              <w:left w:val="nil"/>
              <w:bottom w:val="single" w:color="auto" w:sz="4" w:space="0"/>
              <w:right w:val="single" w:color="auto" w:sz="4" w:space="0"/>
            </w:tcBorders>
            <w:noWrap w:val="0"/>
            <w:vAlign w:val="center"/>
          </w:tcPr>
          <w:p w14:paraId="1654303E">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3D963EEC">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X＜10</w:t>
            </w:r>
          </w:p>
        </w:tc>
      </w:tr>
      <w:tr w14:paraId="7D0EACC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357E95F4">
            <w:pPr>
              <w:keepNext w:val="0"/>
              <w:keepLines w:val="0"/>
              <w:widowControl/>
              <w:suppressLineNumbers w:val="0"/>
              <w:spacing w:before="0" w:beforeAutospacing="0" w:after="0" w:afterAutospacing="0"/>
              <w:ind w:left="0" w:right="0"/>
              <w:jc w:val="left"/>
              <w:rPr>
                <w:rFonts w:hint="default"/>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27E56C45">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F0D73E1">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F289B1C">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1000≤Y＜100000</w:t>
            </w:r>
          </w:p>
        </w:tc>
        <w:tc>
          <w:tcPr>
            <w:tcW w:w="1570" w:type="dxa"/>
            <w:tcBorders>
              <w:top w:val="nil"/>
              <w:left w:val="nil"/>
              <w:bottom w:val="single" w:color="auto" w:sz="4" w:space="0"/>
              <w:right w:val="single" w:color="auto" w:sz="4" w:space="0"/>
            </w:tcBorders>
            <w:noWrap w:val="0"/>
            <w:vAlign w:val="center"/>
          </w:tcPr>
          <w:p w14:paraId="4E4473E5">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2DF3528A">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Y＜100</w:t>
            </w:r>
          </w:p>
        </w:tc>
      </w:tr>
      <w:tr w14:paraId="447A494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6348FCD9">
            <w:pPr>
              <w:keepNext w:val="0"/>
              <w:keepLines w:val="0"/>
              <w:widowControl/>
              <w:suppressLineNumbers w:val="0"/>
              <w:spacing w:before="0" w:beforeAutospacing="0" w:after="0" w:afterAutospacing="0"/>
              <w:ind w:left="0" w:right="0"/>
              <w:jc w:val="center"/>
              <w:rPr>
                <w:rFonts w:hint="default"/>
                <w:color w:val="auto"/>
                <w:szCs w:val="21"/>
                <w:highlight w:val="none"/>
              </w:rPr>
            </w:pPr>
            <w:r>
              <w:rPr>
                <w:rFonts w:hint="eastAsia"/>
                <w:color w:val="auto"/>
                <w:szCs w:val="21"/>
                <w:highlight w:val="none"/>
              </w:rPr>
              <w:t>软件和信息技术服务业</w:t>
            </w:r>
          </w:p>
        </w:tc>
        <w:tc>
          <w:tcPr>
            <w:tcW w:w="1701" w:type="dxa"/>
            <w:tcBorders>
              <w:top w:val="nil"/>
              <w:left w:val="nil"/>
              <w:bottom w:val="single" w:color="auto" w:sz="4" w:space="0"/>
              <w:right w:val="single" w:color="auto" w:sz="4" w:space="0"/>
            </w:tcBorders>
            <w:noWrap w:val="0"/>
            <w:vAlign w:val="center"/>
          </w:tcPr>
          <w:p w14:paraId="2936B8F3">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2E0D2D99">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EB17B49">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43BC9292">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E9EEF60">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X＜10</w:t>
            </w:r>
          </w:p>
        </w:tc>
      </w:tr>
      <w:tr w14:paraId="4EEBF080">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A0DCF12">
            <w:pPr>
              <w:keepNext w:val="0"/>
              <w:keepLines w:val="0"/>
              <w:widowControl/>
              <w:suppressLineNumbers w:val="0"/>
              <w:spacing w:before="0" w:beforeAutospacing="0" w:after="0" w:afterAutospacing="0"/>
              <w:ind w:left="0" w:right="0"/>
              <w:jc w:val="left"/>
              <w:rPr>
                <w:rFonts w:hint="default"/>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74E7E6E8">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28F5CD4">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3CC1D2D">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1000≤Y＜10000</w:t>
            </w:r>
          </w:p>
        </w:tc>
        <w:tc>
          <w:tcPr>
            <w:tcW w:w="1570" w:type="dxa"/>
            <w:tcBorders>
              <w:top w:val="nil"/>
              <w:left w:val="nil"/>
              <w:bottom w:val="single" w:color="auto" w:sz="4" w:space="0"/>
              <w:right w:val="single" w:color="auto" w:sz="4" w:space="0"/>
            </w:tcBorders>
            <w:noWrap w:val="0"/>
            <w:vAlign w:val="center"/>
          </w:tcPr>
          <w:p w14:paraId="70C7E9EA">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50≤Y＜1000</w:t>
            </w:r>
          </w:p>
        </w:tc>
        <w:tc>
          <w:tcPr>
            <w:tcW w:w="1009" w:type="dxa"/>
            <w:tcBorders>
              <w:top w:val="nil"/>
              <w:left w:val="nil"/>
              <w:bottom w:val="single" w:color="auto" w:sz="4" w:space="0"/>
              <w:right w:val="single" w:color="auto" w:sz="4" w:space="0"/>
            </w:tcBorders>
            <w:noWrap w:val="0"/>
            <w:vAlign w:val="center"/>
          </w:tcPr>
          <w:p w14:paraId="238D7835">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Y＜50</w:t>
            </w:r>
          </w:p>
        </w:tc>
      </w:tr>
      <w:tr w14:paraId="522C103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D9AD52F">
            <w:pPr>
              <w:keepNext w:val="0"/>
              <w:keepLines w:val="0"/>
              <w:widowControl/>
              <w:suppressLineNumbers w:val="0"/>
              <w:spacing w:before="0" w:beforeAutospacing="0" w:after="0" w:afterAutospacing="0"/>
              <w:ind w:left="0" w:right="0"/>
              <w:jc w:val="center"/>
              <w:rPr>
                <w:rFonts w:hint="default"/>
                <w:color w:val="auto"/>
                <w:szCs w:val="21"/>
                <w:highlight w:val="none"/>
              </w:rPr>
            </w:pPr>
            <w:r>
              <w:rPr>
                <w:rFonts w:hint="eastAsia"/>
                <w:color w:val="auto"/>
                <w:szCs w:val="21"/>
                <w:highlight w:val="none"/>
              </w:rPr>
              <w:t>房地产开发经营</w:t>
            </w:r>
          </w:p>
        </w:tc>
        <w:tc>
          <w:tcPr>
            <w:tcW w:w="1701" w:type="dxa"/>
            <w:tcBorders>
              <w:top w:val="nil"/>
              <w:left w:val="nil"/>
              <w:bottom w:val="single" w:color="auto" w:sz="4" w:space="0"/>
              <w:right w:val="single" w:color="auto" w:sz="4" w:space="0"/>
            </w:tcBorders>
            <w:noWrap w:val="0"/>
            <w:vAlign w:val="center"/>
          </w:tcPr>
          <w:p w14:paraId="09397BAD">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18522A8">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CB65753">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1000≤Y＜200000</w:t>
            </w:r>
          </w:p>
        </w:tc>
        <w:tc>
          <w:tcPr>
            <w:tcW w:w="1570" w:type="dxa"/>
            <w:tcBorders>
              <w:top w:val="nil"/>
              <w:left w:val="nil"/>
              <w:bottom w:val="single" w:color="auto" w:sz="4" w:space="0"/>
              <w:right w:val="single" w:color="auto" w:sz="4" w:space="0"/>
            </w:tcBorders>
            <w:noWrap w:val="0"/>
            <w:vAlign w:val="center"/>
          </w:tcPr>
          <w:p w14:paraId="50410AD9">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100≤X＜1000</w:t>
            </w:r>
          </w:p>
        </w:tc>
        <w:tc>
          <w:tcPr>
            <w:tcW w:w="1009" w:type="dxa"/>
            <w:tcBorders>
              <w:top w:val="nil"/>
              <w:left w:val="nil"/>
              <w:bottom w:val="single" w:color="auto" w:sz="4" w:space="0"/>
              <w:right w:val="single" w:color="auto" w:sz="4" w:space="0"/>
            </w:tcBorders>
            <w:noWrap w:val="0"/>
            <w:vAlign w:val="center"/>
          </w:tcPr>
          <w:p w14:paraId="3044346B">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X＜100</w:t>
            </w:r>
          </w:p>
        </w:tc>
      </w:tr>
      <w:tr w14:paraId="522502EC">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75A2907">
            <w:pPr>
              <w:keepNext w:val="0"/>
              <w:keepLines w:val="0"/>
              <w:widowControl/>
              <w:suppressLineNumbers w:val="0"/>
              <w:spacing w:before="0" w:beforeAutospacing="0" w:after="0" w:afterAutospacing="0"/>
              <w:ind w:left="0" w:right="0"/>
              <w:jc w:val="left"/>
              <w:rPr>
                <w:rFonts w:hint="default"/>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1552F106">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53FC2F18">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96D37BC">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5000≤Z＜10000</w:t>
            </w:r>
          </w:p>
        </w:tc>
        <w:tc>
          <w:tcPr>
            <w:tcW w:w="1570" w:type="dxa"/>
            <w:tcBorders>
              <w:top w:val="nil"/>
              <w:left w:val="nil"/>
              <w:bottom w:val="single" w:color="auto" w:sz="4" w:space="0"/>
              <w:right w:val="single" w:color="auto" w:sz="4" w:space="0"/>
            </w:tcBorders>
            <w:noWrap w:val="0"/>
            <w:vAlign w:val="center"/>
          </w:tcPr>
          <w:p w14:paraId="060DF5E1">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2000≤Y＜5000</w:t>
            </w:r>
          </w:p>
        </w:tc>
        <w:tc>
          <w:tcPr>
            <w:tcW w:w="1009" w:type="dxa"/>
            <w:tcBorders>
              <w:top w:val="nil"/>
              <w:left w:val="nil"/>
              <w:bottom w:val="single" w:color="auto" w:sz="4" w:space="0"/>
              <w:right w:val="single" w:color="auto" w:sz="4" w:space="0"/>
            </w:tcBorders>
            <w:noWrap w:val="0"/>
            <w:vAlign w:val="center"/>
          </w:tcPr>
          <w:p w14:paraId="75F3B0E5">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Y＜2000</w:t>
            </w:r>
          </w:p>
        </w:tc>
      </w:tr>
      <w:tr w14:paraId="643862D5">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7CE0AD95">
            <w:pPr>
              <w:keepNext w:val="0"/>
              <w:keepLines w:val="0"/>
              <w:widowControl/>
              <w:suppressLineNumbers w:val="0"/>
              <w:spacing w:before="0" w:beforeAutospacing="0" w:after="0" w:afterAutospacing="0"/>
              <w:ind w:left="0" w:right="0"/>
              <w:jc w:val="center"/>
              <w:rPr>
                <w:rFonts w:hint="default"/>
                <w:color w:val="auto"/>
                <w:szCs w:val="21"/>
                <w:highlight w:val="none"/>
              </w:rPr>
            </w:pPr>
            <w:r>
              <w:rPr>
                <w:rFonts w:hint="eastAsia"/>
                <w:color w:val="auto"/>
                <w:szCs w:val="21"/>
                <w:highlight w:val="none"/>
              </w:rPr>
              <w:t>物业管理</w:t>
            </w:r>
          </w:p>
        </w:tc>
        <w:tc>
          <w:tcPr>
            <w:tcW w:w="1701" w:type="dxa"/>
            <w:tcBorders>
              <w:top w:val="nil"/>
              <w:left w:val="nil"/>
              <w:bottom w:val="single" w:color="auto" w:sz="4" w:space="0"/>
              <w:right w:val="single" w:color="auto" w:sz="4" w:space="0"/>
            </w:tcBorders>
            <w:noWrap w:val="0"/>
            <w:vAlign w:val="center"/>
          </w:tcPr>
          <w:p w14:paraId="53886048">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24E4F49">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298C7F9D">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46D1F7FC">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100≤X＜300</w:t>
            </w:r>
          </w:p>
        </w:tc>
        <w:tc>
          <w:tcPr>
            <w:tcW w:w="1009" w:type="dxa"/>
            <w:tcBorders>
              <w:top w:val="nil"/>
              <w:left w:val="nil"/>
              <w:bottom w:val="single" w:color="auto" w:sz="4" w:space="0"/>
              <w:right w:val="single" w:color="auto" w:sz="4" w:space="0"/>
            </w:tcBorders>
            <w:noWrap w:val="0"/>
            <w:vAlign w:val="center"/>
          </w:tcPr>
          <w:p w14:paraId="4F713A40">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X＜100</w:t>
            </w:r>
          </w:p>
        </w:tc>
      </w:tr>
      <w:tr w14:paraId="5E609FFC">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A145B11">
            <w:pPr>
              <w:keepNext w:val="0"/>
              <w:keepLines w:val="0"/>
              <w:widowControl/>
              <w:suppressLineNumbers w:val="0"/>
              <w:spacing w:before="0" w:beforeAutospacing="0" w:after="0" w:afterAutospacing="0"/>
              <w:ind w:left="0" w:right="0"/>
              <w:jc w:val="left"/>
              <w:rPr>
                <w:rFonts w:hint="default"/>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1F525CC5">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1A9BF9A">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AA62B0F">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1000≤Y＜5000</w:t>
            </w:r>
          </w:p>
        </w:tc>
        <w:tc>
          <w:tcPr>
            <w:tcW w:w="1570" w:type="dxa"/>
            <w:tcBorders>
              <w:top w:val="nil"/>
              <w:left w:val="nil"/>
              <w:bottom w:val="single" w:color="auto" w:sz="4" w:space="0"/>
              <w:right w:val="single" w:color="auto" w:sz="4" w:space="0"/>
            </w:tcBorders>
            <w:noWrap w:val="0"/>
            <w:vAlign w:val="center"/>
          </w:tcPr>
          <w:p w14:paraId="5FF84F00">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500≤Y＜1000</w:t>
            </w:r>
          </w:p>
        </w:tc>
        <w:tc>
          <w:tcPr>
            <w:tcW w:w="1009" w:type="dxa"/>
            <w:tcBorders>
              <w:top w:val="nil"/>
              <w:left w:val="nil"/>
              <w:bottom w:val="single" w:color="auto" w:sz="4" w:space="0"/>
              <w:right w:val="single" w:color="auto" w:sz="4" w:space="0"/>
            </w:tcBorders>
            <w:noWrap w:val="0"/>
            <w:vAlign w:val="center"/>
          </w:tcPr>
          <w:p w14:paraId="602AF30F">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Y＜500</w:t>
            </w:r>
          </w:p>
        </w:tc>
      </w:tr>
      <w:tr w14:paraId="2BB2B977">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1C629EC">
            <w:pPr>
              <w:keepNext w:val="0"/>
              <w:keepLines w:val="0"/>
              <w:widowControl/>
              <w:suppressLineNumbers w:val="0"/>
              <w:spacing w:before="0" w:beforeAutospacing="0" w:after="0" w:afterAutospacing="0"/>
              <w:ind w:left="0" w:right="0"/>
              <w:jc w:val="center"/>
              <w:rPr>
                <w:rFonts w:hint="default"/>
                <w:color w:val="auto"/>
                <w:szCs w:val="21"/>
                <w:highlight w:val="none"/>
              </w:rPr>
            </w:pPr>
            <w:r>
              <w:rPr>
                <w:rFonts w:hint="eastAsia"/>
                <w:color w:val="auto"/>
                <w:szCs w:val="21"/>
                <w:highlight w:val="none"/>
              </w:rPr>
              <w:t>租赁和商务服务业</w:t>
            </w:r>
          </w:p>
        </w:tc>
        <w:tc>
          <w:tcPr>
            <w:tcW w:w="1701" w:type="dxa"/>
            <w:tcBorders>
              <w:top w:val="nil"/>
              <w:left w:val="nil"/>
              <w:bottom w:val="single" w:color="auto" w:sz="4" w:space="0"/>
              <w:right w:val="single" w:color="auto" w:sz="4" w:space="0"/>
            </w:tcBorders>
            <w:noWrap w:val="0"/>
            <w:vAlign w:val="center"/>
          </w:tcPr>
          <w:p w14:paraId="4E17BA7D">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176AA1E">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99A225C">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2B3A8DA4">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14E22655">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X＜10</w:t>
            </w:r>
          </w:p>
        </w:tc>
      </w:tr>
      <w:tr w14:paraId="4E68336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5AB21FC">
            <w:pPr>
              <w:keepNext w:val="0"/>
              <w:keepLines w:val="0"/>
              <w:widowControl/>
              <w:suppressLineNumbers w:val="0"/>
              <w:spacing w:before="0" w:beforeAutospacing="0" w:after="0" w:afterAutospacing="0"/>
              <w:ind w:left="0" w:right="0"/>
              <w:jc w:val="left"/>
              <w:rPr>
                <w:rFonts w:hint="default"/>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11A2518">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3930EB2A">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8D4669B">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8000≤Z＜120000</w:t>
            </w:r>
          </w:p>
        </w:tc>
        <w:tc>
          <w:tcPr>
            <w:tcW w:w="1570" w:type="dxa"/>
            <w:tcBorders>
              <w:top w:val="nil"/>
              <w:left w:val="nil"/>
              <w:bottom w:val="single" w:color="auto" w:sz="4" w:space="0"/>
              <w:right w:val="single" w:color="auto" w:sz="4" w:space="0"/>
            </w:tcBorders>
            <w:noWrap w:val="0"/>
            <w:vAlign w:val="center"/>
          </w:tcPr>
          <w:p w14:paraId="4038A95A">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100≤Z＜8000</w:t>
            </w:r>
          </w:p>
        </w:tc>
        <w:tc>
          <w:tcPr>
            <w:tcW w:w="1009" w:type="dxa"/>
            <w:tcBorders>
              <w:top w:val="nil"/>
              <w:left w:val="nil"/>
              <w:bottom w:val="single" w:color="auto" w:sz="4" w:space="0"/>
              <w:right w:val="single" w:color="auto" w:sz="4" w:space="0"/>
            </w:tcBorders>
            <w:noWrap w:val="0"/>
            <w:vAlign w:val="center"/>
          </w:tcPr>
          <w:p w14:paraId="216F6D11">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Y＜100</w:t>
            </w:r>
          </w:p>
        </w:tc>
      </w:tr>
      <w:tr w14:paraId="272F1128">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5EBAF093">
            <w:pPr>
              <w:keepNext w:val="0"/>
              <w:keepLines w:val="0"/>
              <w:widowControl/>
              <w:suppressLineNumbers w:val="0"/>
              <w:spacing w:before="0" w:beforeAutospacing="0" w:after="0" w:afterAutospacing="0"/>
              <w:ind w:left="0" w:right="0"/>
              <w:jc w:val="center"/>
              <w:rPr>
                <w:rFonts w:hint="default"/>
                <w:color w:val="auto"/>
                <w:szCs w:val="21"/>
                <w:highlight w:val="none"/>
              </w:rPr>
            </w:pPr>
            <w:r>
              <w:rPr>
                <w:rFonts w:hint="eastAsia"/>
                <w:color w:val="auto"/>
                <w:szCs w:val="21"/>
                <w:highlight w:val="none"/>
              </w:rPr>
              <w:t>其他未列明行业</w:t>
            </w:r>
          </w:p>
        </w:tc>
        <w:tc>
          <w:tcPr>
            <w:tcW w:w="1701" w:type="dxa"/>
            <w:tcBorders>
              <w:top w:val="nil"/>
              <w:left w:val="nil"/>
              <w:bottom w:val="single" w:color="auto" w:sz="4" w:space="0"/>
              <w:right w:val="single" w:color="auto" w:sz="4" w:space="0"/>
            </w:tcBorders>
            <w:noWrap w:val="0"/>
            <w:vAlign w:val="center"/>
          </w:tcPr>
          <w:p w14:paraId="32E461D8">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F8C925A">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CC60227">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71A73AB4">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6CAA54C2">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rPr>
              <w:t>X＜10</w:t>
            </w:r>
          </w:p>
        </w:tc>
      </w:tr>
    </w:tbl>
    <w:p w14:paraId="70FCA36D">
      <w:pPr>
        <w:spacing w:line="360" w:lineRule="auto"/>
        <w:ind w:firstLine="525" w:firstLineChars="250"/>
        <w:rPr>
          <w:color w:val="auto"/>
          <w:szCs w:val="21"/>
          <w:highlight w:val="none"/>
        </w:rPr>
      </w:pPr>
      <w:r>
        <w:rPr>
          <w:rFonts w:hint="eastAsia"/>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1F2D40F8">
      <w:pPr>
        <w:spacing w:line="360" w:lineRule="auto"/>
        <w:rPr>
          <w:color w:val="auto"/>
          <w:sz w:val="28"/>
          <w:szCs w:val="28"/>
          <w:highlight w:val="none"/>
        </w:rPr>
      </w:pPr>
      <w:r>
        <w:rPr>
          <w:color w:val="auto"/>
          <w:szCs w:val="21"/>
          <w:highlight w:val="none"/>
        </w:rPr>
        <w:br w:type="page"/>
      </w:r>
      <w:r>
        <w:rPr>
          <w:rFonts w:hint="eastAsia"/>
          <w:color w:val="auto"/>
          <w:sz w:val="28"/>
          <w:szCs w:val="28"/>
          <w:highlight w:val="none"/>
        </w:rPr>
        <w:t>附件2：</w:t>
      </w:r>
    </w:p>
    <w:p w14:paraId="45E4F2C3">
      <w:pPr>
        <w:spacing w:line="360" w:lineRule="auto"/>
        <w:rPr>
          <w:rFonts w:hint="eastAsia"/>
          <w:color w:val="auto"/>
          <w:szCs w:val="21"/>
          <w:highlight w:val="none"/>
        </w:rPr>
        <w:sectPr>
          <w:footerReference r:id="rId13" w:type="first"/>
          <w:headerReference r:id="rId12" w:type="default"/>
          <w:pgSz w:w="11906" w:h="16838"/>
          <w:pgMar w:top="851" w:right="1133" w:bottom="1246" w:left="1418" w:header="851" w:footer="797" w:gutter="0"/>
          <w:cols w:space="720" w:num="1"/>
          <w:docGrid w:linePitch="312" w:charSpace="0"/>
        </w:sectPr>
      </w:pPr>
      <w:r>
        <w:rPr>
          <w:rFonts w:ascii="宋体" w:hAnsi="宋体" w:cs="宋体"/>
          <w:color w:val="auto"/>
          <w:position w:val="-335"/>
          <w:sz w:val="20"/>
          <w:szCs w:val="20"/>
          <w:highlight w:val="none"/>
        </w:rPr>
        <w:drawing>
          <wp:anchor distT="0" distB="0" distL="114300" distR="114300" simplePos="0" relativeHeight="251659264" behindDoc="0" locked="0" layoutInCell="1" allowOverlap="1">
            <wp:simplePos x="0" y="0"/>
            <wp:positionH relativeFrom="column">
              <wp:posOffset>1905</wp:posOffset>
            </wp:positionH>
            <wp:positionV relativeFrom="paragraph">
              <wp:posOffset>204470</wp:posOffset>
            </wp:positionV>
            <wp:extent cx="5573395" cy="8125460"/>
            <wp:effectExtent l="0" t="0" r="4445" b="12700"/>
            <wp:wrapSquare wrapText="bothSides"/>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21"/>
                    <a:stretch>
                      <a:fillRect/>
                    </a:stretch>
                  </pic:blipFill>
                  <pic:spPr>
                    <a:xfrm>
                      <a:off x="0" y="0"/>
                      <a:ext cx="5573395" cy="8125460"/>
                    </a:xfrm>
                    <a:prstGeom prst="rect">
                      <a:avLst/>
                    </a:prstGeom>
                    <a:noFill/>
                    <a:ln>
                      <a:noFill/>
                    </a:ln>
                  </pic:spPr>
                </pic:pic>
              </a:graphicData>
            </a:graphic>
          </wp:anchor>
        </w:drawing>
      </w:r>
    </w:p>
    <w:bookmarkEnd w:id="13"/>
    <w:bookmarkEnd w:id="14"/>
    <w:p w14:paraId="37609F95">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16" w:name="_Toc30660"/>
      <w:r>
        <w:rPr>
          <w:rFonts w:ascii="Times New Roman" w:hAnsi="Times New Roman" w:cs="Times New Roman"/>
          <w:color w:val="auto"/>
          <w:sz w:val="32"/>
          <w:szCs w:val="32"/>
          <w:highlight w:val="none"/>
        </w:rPr>
        <w:t>第三章  供应商须知</w:t>
      </w:r>
      <w:bookmarkEnd w:id="16"/>
      <w:bookmarkStart w:id="17" w:name="_Toc254970526"/>
      <w:bookmarkStart w:id="18" w:name="_Toc254970667"/>
    </w:p>
    <w:p w14:paraId="0E90A4B3">
      <w:pPr>
        <w:pStyle w:val="3"/>
        <w:spacing w:before="40" w:after="40"/>
        <w:jc w:val="center"/>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供应商须知前附表</w:t>
      </w:r>
      <w:bookmarkEnd w:id="17"/>
      <w:bookmarkEnd w:id="18"/>
      <w:bookmarkStart w:id="19" w:name="_投标人须知前附表"/>
      <w:bookmarkEnd w:id="19"/>
      <w:bookmarkStart w:id="20" w:name="_Hlk19088833"/>
    </w:p>
    <w:tbl>
      <w:tblPr>
        <w:tblStyle w:val="51"/>
        <w:tblW w:w="921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7"/>
        <w:gridCol w:w="1248"/>
        <w:gridCol w:w="7229"/>
      </w:tblGrid>
      <w:tr w14:paraId="5E75E4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10A9F29D">
            <w:pPr>
              <w:keepNext w:val="0"/>
              <w:keepLines w:val="0"/>
              <w:suppressLineNumbers w:val="0"/>
              <w:spacing w:before="0" w:beforeAutospacing="0" w:after="0" w:afterAutospacing="0"/>
              <w:ind w:left="0" w:right="0"/>
              <w:jc w:val="center"/>
              <w:rPr>
                <w:rFonts w:hint="default"/>
                <w:b/>
                <w:color w:val="auto"/>
                <w:szCs w:val="21"/>
                <w:highlight w:val="none"/>
              </w:rPr>
            </w:pPr>
            <w:r>
              <w:rPr>
                <w:rFonts w:hint="default"/>
                <w:b/>
                <w:color w:val="auto"/>
                <w:szCs w:val="21"/>
                <w:highlight w:val="none"/>
              </w:rPr>
              <w:t>条款号</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42057A47">
            <w:pPr>
              <w:keepNext w:val="0"/>
              <w:keepLines w:val="0"/>
              <w:suppressLineNumbers w:val="0"/>
              <w:spacing w:before="0" w:beforeAutospacing="0" w:after="0" w:afterAutospacing="0"/>
              <w:ind w:left="0" w:right="0"/>
              <w:jc w:val="center"/>
              <w:rPr>
                <w:rFonts w:hint="default"/>
                <w:b/>
                <w:color w:val="auto"/>
                <w:szCs w:val="21"/>
                <w:highlight w:val="none"/>
              </w:rPr>
            </w:pPr>
            <w:r>
              <w:rPr>
                <w:rFonts w:hint="default"/>
                <w:b/>
                <w:color w:val="auto"/>
                <w:szCs w:val="21"/>
                <w:highlight w:val="none"/>
              </w:rPr>
              <w:t>要点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9990933">
            <w:pPr>
              <w:keepNext w:val="0"/>
              <w:keepLines w:val="0"/>
              <w:suppressLineNumbers w:val="0"/>
              <w:spacing w:before="0" w:beforeAutospacing="0" w:after="0" w:afterAutospacing="0"/>
              <w:ind w:left="0" w:right="0"/>
              <w:jc w:val="center"/>
              <w:rPr>
                <w:rFonts w:hint="default"/>
                <w:b/>
                <w:color w:val="auto"/>
                <w:szCs w:val="21"/>
                <w:highlight w:val="none"/>
              </w:rPr>
            </w:pPr>
            <w:r>
              <w:rPr>
                <w:rFonts w:hint="default"/>
                <w:b/>
                <w:color w:val="auto"/>
                <w:szCs w:val="21"/>
                <w:highlight w:val="none"/>
              </w:rPr>
              <w:t>内容、要求</w:t>
            </w:r>
          </w:p>
        </w:tc>
      </w:tr>
      <w:tr w14:paraId="3E335E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5448BB53">
            <w:pPr>
              <w:keepNext w:val="0"/>
              <w:keepLines w:val="0"/>
              <w:suppressLineNumbers w:val="0"/>
              <w:spacing w:before="0" w:beforeAutospacing="0" w:after="0" w:afterAutospacing="0" w:line="300" w:lineRule="exact"/>
              <w:ind w:left="0" w:right="0"/>
              <w:jc w:val="center"/>
              <w:rPr>
                <w:rFonts w:hint="default"/>
                <w:b/>
                <w:color w:val="auto"/>
                <w:szCs w:val="21"/>
                <w:highlight w:val="none"/>
              </w:rPr>
            </w:pPr>
            <w:r>
              <w:rPr>
                <w:rFonts w:hint="default"/>
                <w:b/>
                <w:color w:val="auto"/>
                <w:szCs w:val="21"/>
                <w:highlight w:val="none"/>
              </w:rPr>
              <w:t>1.3.1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212ABFB5">
            <w:pPr>
              <w:keepNext w:val="0"/>
              <w:keepLines w:val="0"/>
              <w:suppressLineNumbers w:val="0"/>
              <w:spacing w:before="0" w:beforeAutospacing="0" w:after="0" w:afterAutospacing="0" w:line="300" w:lineRule="exact"/>
              <w:ind w:left="0" w:right="0"/>
              <w:jc w:val="center"/>
              <w:rPr>
                <w:rFonts w:hint="default"/>
                <w:color w:val="auto"/>
                <w:szCs w:val="21"/>
                <w:highlight w:val="none"/>
              </w:rPr>
            </w:pPr>
            <w:r>
              <w:rPr>
                <w:rFonts w:hint="default"/>
                <w:color w:val="auto"/>
                <w:szCs w:val="21"/>
                <w:highlight w:val="none"/>
              </w:rPr>
              <w:t>项目基本信息</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E62540C">
            <w:pPr>
              <w:keepNext w:val="0"/>
              <w:keepLines w:val="0"/>
              <w:suppressLineNumbers w:val="0"/>
              <w:spacing w:before="0" w:beforeAutospacing="0" w:after="0" w:afterAutospacing="0" w:line="300" w:lineRule="exact"/>
              <w:ind w:left="0" w:right="0"/>
              <w:jc w:val="left"/>
              <w:rPr>
                <w:rFonts w:hint="eastAsia"/>
                <w:color w:val="auto"/>
                <w:szCs w:val="21"/>
                <w:highlight w:val="none"/>
              </w:rPr>
            </w:pPr>
            <w:r>
              <w:rPr>
                <w:rFonts w:hint="default"/>
                <w:color w:val="auto"/>
                <w:szCs w:val="21"/>
                <w:highlight w:val="none"/>
              </w:rPr>
              <w:t>项目名称：广西交通运输治超联网系统平台服务采购项目升级建设项目（分标2重）</w:t>
            </w:r>
          </w:p>
          <w:p w14:paraId="793EF639">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default"/>
                <w:color w:val="auto"/>
                <w:szCs w:val="21"/>
                <w:highlight w:val="none"/>
              </w:rPr>
              <w:t>项目编号：GXZC2025-C3-003929-JDZB</w:t>
            </w:r>
            <w:r>
              <w:rPr>
                <w:rFonts w:hint="default"/>
                <w:color w:val="auto"/>
                <w:szCs w:val="21"/>
                <w:highlight w:val="none"/>
                <w:lang w:val="en-US" w:eastAsia="zh-CN"/>
              </w:rPr>
              <w:t xml:space="preserve"> </w:t>
            </w:r>
          </w:p>
        </w:tc>
      </w:tr>
      <w:tr w14:paraId="13F9D3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3A11207E">
            <w:pPr>
              <w:keepNext w:val="0"/>
              <w:keepLines w:val="0"/>
              <w:suppressLineNumbers w:val="0"/>
              <w:spacing w:before="0" w:beforeAutospacing="0" w:after="0" w:afterAutospacing="0" w:line="300" w:lineRule="exact"/>
              <w:ind w:left="0" w:right="0"/>
              <w:jc w:val="center"/>
              <w:rPr>
                <w:rFonts w:hint="default"/>
                <w:b/>
                <w:color w:val="auto"/>
                <w:szCs w:val="21"/>
                <w:highlight w:val="none"/>
              </w:rPr>
            </w:pPr>
            <w:r>
              <w:rPr>
                <w:rFonts w:hint="default"/>
                <w:b/>
                <w:color w:val="auto"/>
                <w:szCs w:val="21"/>
                <w:highlight w:val="none"/>
              </w:rPr>
              <w:t>1.3.2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52AA5B7">
            <w:pPr>
              <w:keepNext w:val="0"/>
              <w:keepLines w:val="0"/>
              <w:suppressLineNumbers w:val="0"/>
              <w:spacing w:before="0" w:beforeAutospacing="0" w:after="0" w:afterAutospacing="0" w:line="300" w:lineRule="exact"/>
              <w:ind w:left="0" w:right="0"/>
              <w:jc w:val="center"/>
              <w:rPr>
                <w:rFonts w:hint="default"/>
                <w:color w:val="auto"/>
                <w:szCs w:val="21"/>
                <w:highlight w:val="none"/>
                <w:lang w:val="zh-CN"/>
              </w:rPr>
            </w:pPr>
            <w:r>
              <w:rPr>
                <w:rFonts w:hint="eastAsia"/>
                <w:color w:val="auto"/>
                <w:szCs w:val="21"/>
                <w:highlight w:val="none"/>
                <w:lang w:val="zh-CN"/>
              </w:rPr>
              <w:t>采购方式</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824DDC8">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eastAsia"/>
                <w:color w:val="auto"/>
                <w:szCs w:val="21"/>
                <w:highlight w:val="none"/>
              </w:rPr>
              <w:t>竞争性磋商。</w:t>
            </w:r>
          </w:p>
        </w:tc>
      </w:tr>
      <w:tr w14:paraId="49116C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006B82EC">
            <w:pPr>
              <w:keepNext w:val="0"/>
              <w:keepLines w:val="0"/>
              <w:suppressLineNumbers w:val="0"/>
              <w:spacing w:before="0" w:beforeAutospacing="0" w:after="0" w:afterAutospacing="0" w:line="300" w:lineRule="exact"/>
              <w:ind w:left="0" w:right="0"/>
              <w:jc w:val="center"/>
              <w:rPr>
                <w:rFonts w:hint="default"/>
                <w:b/>
                <w:color w:val="auto"/>
                <w:szCs w:val="21"/>
                <w:highlight w:val="none"/>
              </w:rPr>
            </w:pPr>
            <w:r>
              <w:rPr>
                <w:rFonts w:hint="default"/>
                <w:b/>
                <w:color w:val="auto"/>
                <w:szCs w:val="21"/>
                <w:highlight w:val="none"/>
              </w:rPr>
              <w:t>1.4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2ECB74FC">
            <w:pPr>
              <w:keepNext w:val="0"/>
              <w:keepLines w:val="0"/>
              <w:suppressLineNumbers w:val="0"/>
              <w:spacing w:before="0" w:beforeAutospacing="0" w:after="0" w:afterAutospacing="0" w:line="300" w:lineRule="exact"/>
              <w:ind w:left="0" w:right="0"/>
              <w:jc w:val="center"/>
              <w:rPr>
                <w:rFonts w:hint="eastAsia"/>
                <w:color w:val="auto"/>
                <w:szCs w:val="21"/>
                <w:highlight w:val="none"/>
                <w:lang w:val="zh-CN"/>
              </w:rPr>
            </w:pPr>
            <w:r>
              <w:rPr>
                <w:rFonts w:hint="eastAsia"/>
                <w:color w:val="auto"/>
                <w:szCs w:val="21"/>
                <w:highlight w:val="none"/>
                <w:lang w:val="zh-CN"/>
              </w:rPr>
              <w:t>促进中小企业发展措施</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B51E7E5">
            <w:pPr>
              <w:keepNext w:val="0"/>
              <w:keepLines w:val="0"/>
              <w:suppressLineNumbers w:val="0"/>
              <w:spacing w:before="0" w:beforeAutospacing="0" w:after="0" w:afterAutospacing="0" w:line="300" w:lineRule="exact"/>
              <w:ind w:left="0" w:right="0"/>
              <w:jc w:val="left"/>
              <w:rPr>
                <w:rFonts w:hint="eastAsia"/>
                <w:color w:val="auto"/>
                <w:szCs w:val="21"/>
                <w:highlight w:val="none"/>
              </w:rPr>
            </w:pPr>
            <w:r>
              <w:rPr>
                <w:rFonts w:hint="eastAsia"/>
                <w:color w:val="auto"/>
                <w:kern w:val="0"/>
                <w:szCs w:val="21"/>
                <w:highlight w:val="none"/>
                <w:lang w:val="en-US" w:eastAsia="zh-CN"/>
              </w:rPr>
              <w:t>无</w:t>
            </w:r>
            <w:r>
              <w:rPr>
                <w:rFonts w:hint="eastAsia"/>
                <w:color w:val="auto"/>
                <w:highlight w:val="none"/>
                <w:lang w:eastAsia="zh-CN"/>
              </w:rPr>
              <w:t>。</w:t>
            </w:r>
          </w:p>
        </w:tc>
      </w:tr>
      <w:tr w14:paraId="0EFB01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35194685">
            <w:pPr>
              <w:keepNext w:val="0"/>
              <w:keepLines w:val="0"/>
              <w:suppressLineNumbers w:val="0"/>
              <w:spacing w:before="0" w:beforeAutospacing="0" w:after="0" w:afterAutospacing="0" w:line="300" w:lineRule="exact"/>
              <w:ind w:left="0" w:right="0"/>
              <w:jc w:val="center"/>
              <w:rPr>
                <w:rFonts w:hint="default"/>
                <w:b/>
                <w:color w:val="auto"/>
                <w:szCs w:val="21"/>
                <w:highlight w:val="none"/>
              </w:rPr>
            </w:pPr>
            <w:r>
              <w:rPr>
                <w:rFonts w:hint="default"/>
                <w:b/>
                <w:color w:val="auto"/>
                <w:szCs w:val="21"/>
                <w:highlight w:val="none"/>
              </w:rPr>
              <w:t>1.5.1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40262764">
            <w:pPr>
              <w:keepNext w:val="0"/>
              <w:keepLines w:val="0"/>
              <w:suppressLineNumbers w:val="0"/>
              <w:spacing w:before="0" w:beforeAutospacing="0" w:after="0" w:afterAutospacing="0" w:line="300" w:lineRule="exact"/>
              <w:ind w:left="0" w:right="0"/>
              <w:jc w:val="center"/>
              <w:rPr>
                <w:rFonts w:hint="default"/>
                <w:color w:val="auto"/>
                <w:szCs w:val="21"/>
                <w:highlight w:val="none"/>
              </w:rPr>
            </w:pPr>
            <w:r>
              <w:rPr>
                <w:rFonts w:hint="default"/>
                <w:color w:val="auto"/>
                <w:szCs w:val="21"/>
                <w:highlight w:val="none"/>
                <w:lang w:val="zh-CN"/>
              </w:rPr>
              <w:t>供应商资格条件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5AD0373">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eastAsia"/>
                <w:color w:val="auto"/>
                <w:szCs w:val="21"/>
                <w:highlight w:val="none"/>
              </w:rPr>
              <w:t>详</w:t>
            </w:r>
            <w:r>
              <w:rPr>
                <w:rFonts w:hint="default"/>
                <w:color w:val="auto"/>
                <w:szCs w:val="21"/>
                <w:highlight w:val="none"/>
              </w:rPr>
              <w:t>见</w:t>
            </w:r>
            <w:r>
              <w:rPr>
                <w:rFonts w:hint="eastAsia"/>
                <w:color w:val="auto"/>
                <w:szCs w:val="21"/>
                <w:highlight w:val="none"/>
              </w:rPr>
              <w:t>磋商</w:t>
            </w:r>
            <w:r>
              <w:rPr>
                <w:rFonts w:hint="default"/>
                <w:color w:val="auto"/>
                <w:szCs w:val="21"/>
                <w:highlight w:val="none"/>
              </w:rPr>
              <w:t>公告</w:t>
            </w:r>
            <w:r>
              <w:rPr>
                <w:rFonts w:hint="eastAsia"/>
                <w:color w:val="auto"/>
                <w:szCs w:val="21"/>
                <w:highlight w:val="none"/>
              </w:rPr>
              <w:t>。</w:t>
            </w:r>
          </w:p>
        </w:tc>
      </w:tr>
      <w:tr w14:paraId="4CE898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737" w:type="dxa"/>
            <w:tcBorders>
              <w:top w:val="single" w:color="auto" w:sz="4" w:space="0"/>
              <w:left w:val="single" w:color="auto" w:sz="4" w:space="0"/>
              <w:right w:val="single" w:color="auto" w:sz="4" w:space="0"/>
            </w:tcBorders>
            <w:noWrap w:val="0"/>
            <w:vAlign w:val="center"/>
          </w:tcPr>
          <w:p w14:paraId="0B4CF2FA">
            <w:pPr>
              <w:keepNext w:val="0"/>
              <w:keepLines w:val="0"/>
              <w:suppressLineNumbers w:val="0"/>
              <w:spacing w:before="0" w:beforeAutospacing="0" w:after="0" w:afterAutospacing="0" w:line="300" w:lineRule="exact"/>
              <w:ind w:left="0" w:right="0"/>
              <w:jc w:val="center"/>
              <w:rPr>
                <w:rFonts w:hint="default"/>
                <w:b/>
                <w:color w:val="auto"/>
                <w:szCs w:val="21"/>
                <w:highlight w:val="none"/>
              </w:rPr>
            </w:pPr>
            <w:bookmarkStart w:id="21" w:name="_Hlk85555568"/>
            <w:r>
              <w:rPr>
                <w:rFonts w:hint="default"/>
                <w:b/>
                <w:color w:val="auto"/>
                <w:szCs w:val="21"/>
                <w:highlight w:val="none"/>
              </w:rPr>
              <w:t>1.5.3</w:t>
            </w:r>
          </w:p>
        </w:tc>
        <w:tc>
          <w:tcPr>
            <w:tcW w:w="1248" w:type="dxa"/>
            <w:tcBorders>
              <w:top w:val="single" w:color="auto" w:sz="4" w:space="0"/>
              <w:left w:val="single" w:color="auto" w:sz="4" w:space="0"/>
              <w:right w:val="single" w:color="auto" w:sz="4" w:space="0"/>
            </w:tcBorders>
            <w:noWrap w:val="0"/>
            <w:vAlign w:val="center"/>
          </w:tcPr>
          <w:p w14:paraId="676443EE">
            <w:pPr>
              <w:keepNext w:val="0"/>
              <w:keepLines w:val="0"/>
              <w:suppressLineNumbers w:val="0"/>
              <w:spacing w:before="0" w:beforeAutospacing="0" w:after="0" w:afterAutospacing="0" w:line="300" w:lineRule="exact"/>
              <w:ind w:left="0" w:right="0"/>
              <w:jc w:val="center"/>
              <w:rPr>
                <w:rFonts w:hint="default"/>
                <w:color w:val="auto"/>
                <w:szCs w:val="21"/>
                <w:highlight w:val="none"/>
              </w:rPr>
            </w:pPr>
            <w:r>
              <w:rPr>
                <w:rFonts w:hint="eastAsia"/>
                <w:color w:val="auto"/>
                <w:szCs w:val="21"/>
                <w:highlight w:val="none"/>
              </w:rPr>
              <w:t>联合体</w:t>
            </w:r>
          </w:p>
        </w:tc>
        <w:tc>
          <w:tcPr>
            <w:tcW w:w="7229" w:type="dxa"/>
            <w:tcBorders>
              <w:top w:val="single" w:color="auto" w:sz="4" w:space="0"/>
              <w:left w:val="single" w:color="auto" w:sz="4" w:space="0"/>
              <w:right w:val="single" w:color="auto" w:sz="4" w:space="0"/>
            </w:tcBorders>
            <w:noWrap w:val="0"/>
            <w:vAlign w:val="center"/>
          </w:tcPr>
          <w:p w14:paraId="76DA6CAE">
            <w:pPr>
              <w:keepNext w:val="0"/>
              <w:keepLines w:val="0"/>
              <w:suppressLineNumbers w:val="0"/>
              <w:spacing w:before="0" w:beforeAutospacing="0" w:after="0" w:afterAutospacing="0" w:line="360" w:lineRule="auto"/>
              <w:ind w:left="0" w:right="0"/>
              <w:rPr>
                <w:rFonts w:hint="eastAsia"/>
                <w:color w:val="auto"/>
                <w:szCs w:val="21"/>
                <w:highlight w:val="none"/>
                <w:lang w:eastAsia="zh-CN"/>
              </w:rPr>
            </w:pPr>
            <w:r>
              <w:rPr>
                <w:rFonts w:hint="eastAsia"/>
                <w:color w:val="auto"/>
                <w:szCs w:val="21"/>
                <w:highlight w:val="none"/>
              </w:rPr>
              <w:t>是否接受联合体详见磋商公告</w:t>
            </w:r>
            <w:r>
              <w:rPr>
                <w:rFonts w:hint="eastAsia"/>
                <w:color w:val="auto"/>
                <w:szCs w:val="21"/>
                <w:highlight w:val="none"/>
                <w:lang w:eastAsia="zh-CN"/>
              </w:rPr>
              <w:t>。</w:t>
            </w:r>
          </w:p>
          <w:p w14:paraId="1DFBDCEB">
            <w:pPr>
              <w:keepNext w:val="0"/>
              <w:keepLines w:val="0"/>
              <w:suppressLineNumbers w:val="0"/>
              <w:spacing w:before="0" w:beforeAutospacing="0" w:after="0" w:afterAutospacing="0" w:line="360" w:lineRule="auto"/>
              <w:ind w:left="0" w:right="0"/>
              <w:rPr>
                <w:rFonts w:hint="default" w:ascii="宋体" w:hAnsi="宋体" w:cs="宋体"/>
                <w:color w:val="auto"/>
                <w:szCs w:val="21"/>
                <w:highlight w:val="none"/>
              </w:rPr>
            </w:pPr>
            <w:r>
              <w:rPr>
                <w:rFonts w:hint="eastAsia" w:ascii="宋体" w:hAnsi="宋体"/>
                <w:color w:val="auto"/>
                <w:szCs w:val="21"/>
                <w:highlight w:val="none"/>
              </w:rPr>
              <w:t>如接受联合体竞标，联合体竞标要求如下：</w:t>
            </w:r>
          </w:p>
          <w:p w14:paraId="7591A65C">
            <w:pPr>
              <w:keepNext w:val="0"/>
              <w:keepLines w:val="0"/>
              <w:suppressLineNumbers w:val="0"/>
              <w:autoSpaceDE w:val="0"/>
              <w:autoSpaceDN w:val="0"/>
              <w:snapToGrid w:val="0"/>
              <w:spacing w:before="0" w:beforeAutospacing="0" w:after="0" w:afterAutospacing="0" w:line="360" w:lineRule="auto"/>
              <w:ind w:left="0" w:right="0"/>
              <w:textAlignment w:val="bottom"/>
              <w:rPr>
                <w:rFonts w:hint="eastAsia" w:ascii="宋体" w:hAnsi="宋体"/>
                <w:color w:val="auto"/>
                <w:szCs w:val="21"/>
                <w:highlight w:val="none"/>
              </w:rPr>
            </w:pPr>
            <w:r>
              <w:rPr>
                <w:rFonts w:hint="eastAsia" w:ascii="宋体" w:hAnsi="宋体"/>
                <w:color w:val="auto"/>
                <w:szCs w:val="21"/>
                <w:highlight w:val="none"/>
              </w:rPr>
              <w:t>1、两个或两个以上供应商可以组成一个竞标联合体，以一个供应商的身份共同参加竞标，联合体供应商的名称应统一按“XXX 公司与 XXX 公司的联合体”的规则填写。</w:t>
            </w:r>
          </w:p>
          <w:p w14:paraId="16727F46">
            <w:pPr>
              <w:keepNext w:val="0"/>
              <w:keepLines w:val="0"/>
              <w:suppressLineNumbers w:val="0"/>
              <w:autoSpaceDE w:val="0"/>
              <w:autoSpaceDN w:val="0"/>
              <w:snapToGrid w:val="0"/>
              <w:spacing w:before="0" w:beforeAutospacing="0" w:after="0" w:afterAutospacing="0" w:line="360" w:lineRule="auto"/>
              <w:ind w:left="0" w:right="0"/>
              <w:textAlignment w:val="bottom"/>
              <w:rPr>
                <w:rFonts w:hint="eastAsia" w:ascii="宋体" w:hAnsi="宋体"/>
                <w:color w:val="auto"/>
                <w:szCs w:val="21"/>
                <w:highlight w:val="none"/>
              </w:rPr>
            </w:pPr>
            <w:r>
              <w:rPr>
                <w:rFonts w:hint="eastAsia" w:ascii="宋体" w:hAnsi="宋体"/>
                <w:color w:val="auto"/>
                <w:szCs w:val="21"/>
                <w:highlight w:val="none"/>
              </w:rPr>
              <w:t>2、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本项目竞争性磋商公告“申请人的资格条件”第3点“3、本项目的特定资格要求”的要求。</w:t>
            </w:r>
          </w:p>
          <w:p w14:paraId="3053B573">
            <w:pPr>
              <w:keepNext w:val="0"/>
              <w:keepLines w:val="0"/>
              <w:suppressLineNumbers w:val="0"/>
              <w:autoSpaceDE w:val="0"/>
              <w:autoSpaceDN w:val="0"/>
              <w:snapToGrid w:val="0"/>
              <w:spacing w:before="0" w:beforeAutospacing="0" w:after="0" w:afterAutospacing="0" w:line="360" w:lineRule="auto"/>
              <w:ind w:left="0" w:right="0"/>
              <w:textAlignment w:val="bottom"/>
              <w:rPr>
                <w:rFonts w:hint="eastAsia" w:ascii="宋体" w:hAnsi="宋体"/>
                <w:color w:val="auto"/>
                <w:szCs w:val="21"/>
                <w:highlight w:val="none"/>
              </w:rPr>
            </w:pPr>
            <w:r>
              <w:rPr>
                <w:rFonts w:hint="eastAsia" w:ascii="宋体" w:hAnsi="宋体"/>
                <w:color w:val="auto"/>
                <w:szCs w:val="21"/>
                <w:highlight w:val="none"/>
              </w:rPr>
              <w:t>3、联合体竞标的，须提供《联合体竞标协议书》（格式后附），协议书必须明确主体方（或者牵头方）并明确约定联合体各方承担的工作和相应的责任（各方承担责任与义务的分工必须符合采购需求，否则，联合体响应无效），并将联合竞标协议放入响应文件。联合体各方必须共同与采购人签订采购合同，就采购合同约定的事项对采购人承担连带责任。</w:t>
            </w:r>
          </w:p>
          <w:p w14:paraId="747A07D1">
            <w:pPr>
              <w:keepNext w:val="0"/>
              <w:keepLines w:val="0"/>
              <w:suppressLineNumbers w:val="0"/>
              <w:autoSpaceDE w:val="0"/>
              <w:autoSpaceDN w:val="0"/>
              <w:snapToGrid w:val="0"/>
              <w:spacing w:before="0" w:beforeAutospacing="0" w:after="0" w:afterAutospacing="0" w:line="360" w:lineRule="auto"/>
              <w:ind w:left="0" w:right="0"/>
              <w:textAlignment w:val="bottom"/>
              <w:rPr>
                <w:rFonts w:hint="eastAsia" w:ascii="宋体" w:hAnsi="宋体"/>
                <w:color w:val="auto"/>
                <w:szCs w:val="21"/>
                <w:highlight w:val="none"/>
              </w:rPr>
            </w:pPr>
            <w:r>
              <w:rPr>
                <w:rFonts w:hint="eastAsia" w:ascii="宋体" w:hAnsi="宋体"/>
                <w:color w:val="auto"/>
                <w:szCs w:val="21"/>
                <w:highlight w:val="none"/>
              </w:rPr>
              <w:t>4、以联合体形式参加政府采购活动的，联合体各方不得再单独参加或者与其他供应商另外组成联合体参加同一合同项下的政府采购活动，否则与之相关的响应文件作废。</w:t>
            </w:r>
          </w:p>
          <w:p w14:paraId="55E5C924">
            <w:pPr>
              <w:keepNext w:val="0"/>
              <w:keepLines w:val="0"/>
              <w:suppressLineNumbers w:val="0"/>
              <w:autoSpaceDE w:val="0"/>
              <w:autoSpaceDN w:val="0"/>
              <w:snapToGrid w:val="0"/>
              <w:spacing w:before="0" w:beforeAutospacing="0" w:after="0" w:afterAutospacing="0" w:line="360" w:lineRule="auto"/>
              <w:ind w:left="0" w:right="0"/>
              <w:textAlignment w:val="bottom"/>
              <w:rPr>
                <w:rFonts w:hint="eastAsia" w:ascii="宋体" w:hAnsi="宋体"/>
                <w:color w:val="auto"/>
                <w:szCs w:val="21"/>
                <w:highlight w:val="none"/>
              </w:rPr>
            </w:pPr>
            <w:r>
              <w:rPr>
                <w:rFonts w:hint="eastAsia" w:ascii="宋体" w:hAnsi="宋体"/>
                <w:color w:val="auto"/>
                <w:szCs w:val="21"/>
                <w:highlight w:val="none"/>
              </w:rPr>
              <w:t>5、联合体中有同类资质的供应商按照联合体分工承担相同工作的，应当按照资质等级较低的供应商确定资质等级。</w:t>
            </w:r>
          </w:p>
          <w:p w14:paraId="036AA21A">
            <w:pPr>
              <w:keepNext w:val="0"/>
              <w:keepLines w:val="0"/>
              <w:suppressLineNumbers w:val="0"/>
              <w:autoSpaceDE w:val="0"/>
              <w:autoSpaceDN w:val="0"/>
              <w:snapToGrid w:val="0"/>
              <w:spacing w:before="0" w:beforeAutospacing="0" w:after="0" w:afterAutospacing="0" w:line="360" w:lineRule="auto"/>
              <w:ind w:left="0" w:right="0"/>
              <w:textAlignment w:val="bottom"/>
              <w:rPr>
                <w:rFonts w:hint="eastAsia" w:ascii="宋体" w:hAnsi="宋体"/>
                <w:color w:val="auto"/>
                <w:szCs w:val="21"/>
                <w:highlight w:val="none"/>
              </w:rPr>
            </w:pPr>
            <w:r>
              <w:rPr>
                <w:rFonts w:hint="eastAsia" w:ascii="宋体" w:hAnsi="宋体"/>
                <w:color w:val="auto"/>
                <w:szCs w:val="21"/>
                <w:highlight w:val="none"/>
              </w:rPr>
              <w:t>6、联合体竞标业绩、履约能力按照联合体各方其中较高的一方认定并计算（竞争性磋商文件另有规定的除外）。</w:t>
            </w:r>
          </w:p>
          <w:p w14:paraId="74E2FC19">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r>
              <w:rPr>
                <w:rFonts w:hint="eastAsia" w:ascii="宋体" w:hAnsi="宋体"/>
                <w:color w:val="auto"/>
                <w:szCs w:val="21"/>
                <w:highlight w:val="none"/>
              </w:rPr>
              <w:t>7、联合体各方均应按照竞争性磋商文件的规定提交资格证明文件。</w:t>
            </w:r>
          </w:p>
          <w:p w14:paraId="6B8D05F3">
            <w:pPr>
              <w:keepNext w:val="0"/>
              <w:keepLines w:val="0"/>
              <w:suppressLineNumbers w:val="0"/>
              <w:spacing w:before="0" w:beforeAutospacing="0" w:after="0" w:afterAutospacing="0" w:line="300" w:lineRule="exact"/>
              <w:ind w:left="0" w:right="0"/>
              <w:jc w:val="left"/>
              <w:rPr>
                <w:rFonts w:hint="eastAsia" w:eastAsia="宋体"/>
                <w:color w:val="auto"/>
                <w:szCs w:val="21"/>
                <w:highlight w:val="none"/>
                <w:lang w:eastAsia="zh-CN"/>
              </w:rPr>
            </w:pPr>
            <w:r>
              <w:rPr>
                <w:rFonts w:hint="eastAsia" w:ascii="宋体" w:hAnsi="宋体"/>
                <w:color w:val="auto"/>
                <w:szCs w:val="21"/>
                <w:highlight w:val="none"/>
              </w:rPr>
              <w:t>8、联合体竞标的，除联合体协议书及特定备注要求需要双方盖法人单位章（可采用纸质版盖联合体各方法人单位章后扫描上传），其他只需盖联合体</w:t>
            </w:r>
            <w:r>
              <w:rPr>
                <w:rFonts w:hint="eastAsia" w:ascii="宋体" w:hAnsi="宋体"/>
                <w:color w:val="auto"/>
                <w:szCs w:val="21"/>
                <w:highlight w:val="none"/>
                <w:lang w:val="en-US" w:eastAsia="zh-CN"/>
              </w:rPr>
              <w:t>牵头人</w:t>
            </w:r>
            <w:r>
              <w:rPr>
                <w:rFonts w:hint="eastAsia" w:ascii="宋体" w:hAnsi="宋体"/>
                <w:color w:val="auto"/>
                <w:szCs w:val="21"/>
                <w:highlight w:val="none"/>
              </w:rPr>
              <w:t>的电子印章</w:t>
            </w:r>
            <w:r>
              <w:rPr>
                <w:rFonts w:hint="eastAsia" w:ascii="宋体" w:hAnsi="宋体"/>
                <w:color w:val="auto"/>
                <w:szCs w:val="21"/>
                <w:highlight w:val="none"/>
                <w:lang w:eastAsia="zh-CN"/>
              </w:rPr>
              <w:t>。</w:t>
            </w:r>
          </w:p>
        </w:tc>
      </w:tr>
      <w:bookmarkEnd w:id="21"/>
      <w:tr w14:paraId="6BA7EC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7E45D86E">
            <w:pPr>
              <w:keepNext w:val="0"/>
              <w:keepLines w:val="0"/>
              <w:suppressLineNumbers w:val="0"/>
              <w:spacing w:before="0" w:beforeAutospacing="0" w:after="0" w:afterAutospacing="0" w:line="300" w:lineRule="exact"/>
              <w:ind w:left="0" w:right="0"/>
              <w:jc w:val="center"/>
              <w:rPr>
                <w:rFonts w:hint="default"/>
                <w:b/>
                <w:color w:val="auto"/>
                <w:szCs w:val="21"/>
                <w:highlight w:val="none"/>
              </w:rPr>
            </w:pPr>
            <w:r>
              <w:rPr>
                <w:rFonts w:hint="default"/>
                <w:b/>
                <w:color w:val="auto"/>
                <w:szCs w:val="21"/>
                <w:highlight w:val="none"/>
              </w:rPr>
              <w:t>1.6</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2F63D8A5">
            <w:pPr>
              <w:keepNext w:val="0"/>
              <w:keepLines w:val="0"/>
              <w:suppressLineNumbers w:val="0"/>
              <w:spacing w:before="0" w:beforeAutospacing="0" w:after="0" w:afterAutospacing="0" w:line="300" w:lineRule="exact"/>
              <w:ind w:left="0" w:right="0"/>
              <w:jc w:val="center"/>
              <w:rPr>
                <w:rFonts w:hint="default"/>
                <w:color w:val="auto"/>
                <w:szCs w:val="21"/>
                <w:highlight w:val="none"/>
              </w:rPr>
            </w:pPr>
            <w:r>
              <w:rPr>
                <w:rFonts w:hint="eastAsia"/>
                <w:color w:val="auto"/>
                <w:szCs w:val="21"/>
                <w:highlight w:val="none"/>
              </w:rPr>
              <w:t>踏勘</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C10A70B">
            <w:pPr>
              <w:pStyle w:val="17"/>
              <w:keepNext w:val="0"/>
              <w:keepLines w:val="0"/>
              <w:widowControl/>
              <w:suppressLineNumbers w:val="0"/>
              <w:spacing w:before="0" w:beforeAutospacing="0" w:after="0" w:afterAutospacing="0" w:line="300" w:lineRule="exact"/>
              <w:ind w:left="0" w:right="0"/>
              <w:jc w:val="left"/>
              <w:rPr>
                <w:rFonts w:hint="default"/>
                <w:color w:val="auto"/>
                <w:szCs w:val="21"/>
                <w:highlight w:val="none"/>
              </w:rPr>
            </w:pPr>
            <w:r>
              <w:rPr>
                <w:rFonts w:hint="default"/>
                <w:color w:val="auto"/>
                <w:szCs w:val="21"/>
                <w:highlight w:val="none"/>
              </w:rPr>
              <w:sym w:font="Wingdings 2" w:char="F052"/>
            </w:r>
            <w:r>
              <w:rPr>
                <w:rFonts w:hint="eastAsia" w:ascii="Times New Roman" w:hAnsi="Times New Roman" w:eastAsia="宋体" w:cs="宋体"/>
                <w:color w:val="auto"/>
                <w:szCs w:val="21"/>
                <w:highlight w:val="none"/>
                <w:lang w:eastAsia="zh-CN"/>
              </w:rPr>
              <w:t>不组织</w:t>
            </w:r>
            <w:r>
              <w:rPr>
                <w:color w:val="auto"/>
                <w:szCs w:val="21"/>
                <w:highlight w:val="none"/>
                <w:lang w:eastAsia="zh-CN"/>
              </w:rPr>
              <w:t xml:space="preserve"> </w:t>
            </w:r>
          </w:p>
        </w:tc>
      </w:tr>
      <w:tr w14:paraId="018F64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35F81768">
            <w:pPr>
              <w:keepNext w:val="0"/>
              <w:keepLines w:val="0"/>
              <w:suppressLineNumbers w:val="0"/>
              <w:spacing w:before="0" w:beforeAutospacing="0" w:after="0" w:afterAutospacing="0" w:line="300" w:lineRule="exact"/>
              <w:ind w:left="0" w:right="0"/>
              <w:jc w:val="center"/>
              <w:rPr>
                <w:rFonts w:hint="default"/>
                <w:b/>
                <w:color w:val="auto"/>
                <w:szCs w:val="21"/>
                <w:highlight w:val="none"/>
              </w:rPr>
            </w:pPr>
            <w:r>
              <w:rPr>
                <w:rFonts w:hint="default"/>
                <w:b/>
                <w:color w:val="auto"/>
                <w:szCs w:val="21"/>
                <w:highlight w:val="none"/>
              </w:rPr>
              <w:t>1.7.2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D5BEBE5">
            <w:pPr>
              <w:keepNext w:val="0"/>
              <w:keepLines w:val="0"/>
              <w:suppressLineNumbers w:val="0"/>
              <w:spacing w:before="0" w:beforeAutospacing="0" w:after="0" w:afterAutospacing="0" w:line="300" w:lineRule="exact"/>
              <w:ind w:left="0" w:right="0"/>
              <w:jc w:val="center"/>
              <w:rPr>
                <w:rFonts w:hint="default"/>
                <w:color w:val="auto"/>
                <w:szCs w:val="21"/>
                <w:highlight w:val="none"/>
              </w:rPr>
            </w:pPr>
            <w:r>
              <w:rPr>
                <w:rFonts w:hint="default"/>
                <w:color w:val="auto"/>
                <w:szCs w:val="21"/>
                <w:highlight w:val="none"/>
              </w:rPr>
              <w:t>分包</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847C5FA">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eastAsia"/>
                <w:color w:val="auto"/>
                <w:szCs w:val="21"/>
                <w:highlight w:val="none"/>
                <w:lang w:val="en-US" w:eastAsia="zh-CN"/>
              </w:rPr>
              <w:t>本项目不允许分包</w:t>
            </w:r>
          </w:p>
        </w:tc>
      </w:tr>
      <w:tr w14:paraId="15D16B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7E5D74DC">
            <w:pPr>
              <w:keepNext w:val="0"/>
              <w:keepLines w:val="0"/>
              <w:suppressLineNumbers w:val="0"/>
              <w:spacing w:before="0" w:beforeAutospacing="0" w:after="0" w:afterAutospacing="0" w:line="300" w:lineRule="exact"/>
              <w:ind w:left="0" w:right="0"/>
              <w:jc w:val="center"/>
              <w:rPr>
                <w:rFonts w:hint="default"/>
                <w:b/>
                <w:color w:val="auto"/>
                <w:szCs w:val="21"/>
                <w:highlight w:val="none"/>
              </w:rPr>
            </w:pPr>
            <w:r>
              <w:rPr>
                <w:rFonts w:hint="default"/>
                <w:b/>
                <w:color w:val="auto"/>
                <w:szCs w:val="21"/>
                <w:highlight w:val="none"/>
              </w:rPr>
              <w:t>2.3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6129528">
            <w:pPr>
              <w:keepNext w:val="0"/>
              <w:keepLines w:val="0"/>
              <w:suppressLineNumbers w:val="0"/>
              <w:spacing w:before="0" w:beforeAutospacing="0" w:after="0" w:afterAutospacing="0" w:line="300" w:lineRule="exact"/>
              <w:ind w:left="0" w:right="0"/>
              <w:jc w:val="center"/>
              <w:rPr>
                <w:rFonts w:hint="default"/>
                <w:color w:val="auto"/>
                <w:szCs w:val="21"/>
                <w:highlight w:val="none"/>
              </w:rPr>
            </w:pPr>
            <w:r>
              <w:rPr>
                <w:rFonts w:hint="eastAsia"/>
                <w:color w:val="auto"/>
                <w:szCs w:val="21"/>
                <w:highlight w:val="none"/>
              </w:rPr>
              <w:t>采购文件</w:t>
            </w:r>
            <w:r>
              <w:rPr>
                <w:rFonts w:hint="default"/>
                <w:color w:val="auto"/>
                <w:szCs w:val="21"/>
                <w:highlight w:val="none"/>
              </w:rPr>
              <w:t>澄清、修改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945680C">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default"/>
                <w:color w:val="auto"/>
                <w:szCs w:val="21"/>
                <w:highlight w:val="none"/>
              </w:rPr>
              <w:t>在</w:t>
            </w:r>
            <w:r>
              <w:rPr>
                <w:rFonts w:hint="eastAsia"/>
                <w:color w:val="auto"/>
                <w:szCs w:val="21"/>
                <w:highlight w:val="none"/>
              </w:rPr>
              <w:t>磋商</w:t>
            </w:r>
            <w:r>
              <w:rPr>
                <w:rFonts w:hint="default"/>
                <w:color w:val="auto"/>
                <w:szCs w:val="21"/>
                <w:highlight w:val="none"/>
              </w:rPr>
              <w:t>公告发布媒介发布</w:t>
            </w:r>
            <w:r>
              <w:rPr>
                <w:rFonts w:hint="eastAsia"/>
                <w:color w:val="auto"/>
                <w:szCs w:val="21"/>
                <w:highlight w:val="none"/>
              </w:rPr>
              <w:t>。</w:t>
            </w:r>
          </w:p>
        </w:tc>
      </w:tr>
      <w:tr w14:paraId="0190F6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209BE392">
            <w:pPr>
              <w:keepNext w:val="0"/>
              <w:keepLines w:val="0"/>
              <w:suppressLineNumbers w:val="0"/>
              <w:spacing w:before="0" w:beforeAutospacing="0" w:after="0" w:afterAutospacing="0" w:line="300" w:lineRule="exact"/>
              <w:ind w:left="0" w:right="0"/>
              <w:jc w:val="center"/>
              <w:rPr>
                <w:rFonts w:hint="default"/>
                <w:b/>
                <w:color w:val="auto"/>
                <w:szCs w:val="21"/>
                <w:highlight w:val="none"/>
              </w:rPr>
            </w:pPr>
            <w:r>
              <w:rPr>
                <w:rFonts w:hint="default"/>
                <w:b/>
                <w:color w:val="auto"/>
                <w:szCs w:val="21"/>
                <w:highlight w:val="none"/>
              </w:rPr>
              <w:t>2.3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605950B">
            <w:pPr>
              <w:keepNext w:val="0"/>
              <w:keepLines w:val="0"/>
              <w:suppressLineNumbers w:val="0"/>
              <w:spacing w:before="0" w:beforeAutospacing="0" w:after="0" w:afterAutospacing="0" w:line="300" w:lineRule="exact"/>
              <w:ind w:left="0" w:right="0"/>
              <w:jc w:val="center"/>
              <w:rPr>
                <w:rFonts w:hint="default"/>
                <w:color w:val="auto"/>
                <w:szCs w:val="21"/>
                <w:highlight w:val="none"/>
              </w:rPr>
            </w:pPr>
            <w:r>
              <w:rPr>
                <w:rFonts w:hint="default"/>
                <w:color w:val="auto"/>
                <w:szCs w:val="21"/>
                <w:highlight w:val="none"/>
              </w:rPr>
              <w:t>确认收到澄清、修改发布的方式</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3641474E">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default"/>
                <w:color w:val="auto"/>
                <w:szCs w:val="21"/>
                <w:highlight w:val="none"/>
              </w:rPr>
              <w:t>澄清、修改文件</w:t>
            </w:r>
            <w:r>
              <w:rPr>
                <w:rFonts w:hint="eastAsia"/>
                <w:color w:val="auto"/>
                <w:szCs w:val="21"/>
                <w:highlight w:val="none"/>
              </w:rPr>
              <w:t>自磋商</w:t>
            </w:r>
            <w:r>
              <w:rPr>
                <w:rFonts w:hint="default"/>
                <w:color w:val="auto"/>
                <w:szCs w:val="21"/>
                <w:highlight w:val="none"/>
              </w:rPr>
              <w:t>公告发布媒</w:t>
            </w:r>
            <w:r>
              <w:rPr>
                <w:rFonts w:hint="eastAsia"/>
                <w:color w:val="auto"/>
                <w:szCs w:val="21"/>
                <w:highlight w:val="none"/>
              </w:rPr>
              <w:t>体</w:t>
            </w:r>
            <w:r>
              <w:rPr>
                <w:rFonts w:hint="default"/>
                <w:color w:val="auto"/>
                <w:szCs w:val="21"/>
                <w:highlight w:val="none"/>
              </w:rPr>
              <w:t>发布之日起，视为供应商已收到该澄清、修改。供应商未及时关注</w:t>
            </w:r>
            <w:r>
              <w:rPr>
                <w:rFonts w:hint="eastAsia"/>
                <w:color w:val="auto"/>
                <w:szCs w:val="21"/>
                <w:highlight w:val="none"/>
              </w:rPr>
              <w:t>磋商</w:t>
            </w:r>
            <w:r>
              <w:rPr>
                <w:rFonts w:hint="default"/>
                <w:color w:val="auto"/>
                <w:szCs w:val="21"/>
                <w:highlight w:val="none"/>
              </w:rPr>
              <w:t>公告发布媒</w:t>
            </w:r>
            <w:r>
              <w:rPr>
                <w:rFonts w:hint="eastAsia"/>
                <w:color w:val="auto"/>
                <w:szCs w:val="21"/>
                <w:highlight w:val="none"/>
              </w:rPr>
              <w:t>体</w:t>
            </w:r>
            <w:r>
              <w:rPr>
                <w:rFonts w:hint="default"/>
                <w:color w:val="auto"/>
                <w:szCs w:val="21"/>
                <w:highlight w:val="none"/>
              </w:rPr>
              <w:t>造成的损失，由供应商自行负责。</w:t>
            </w:r>
          </w:p>
        </w:tc>
      </w:tr>
      <w:tr w14:paraId="643EC3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426EE8DE">
            <w:pPr>
              <w:keepNext w:val="0"/>
              <w:keepLines w:val="0"/>
              <w:suppressLineNumbers w:val="0"/>
              <w:spacing w:before="0" w:beforeAutospacing="0" w:after="0" w:afterAutospacing="0" w:line="300" w:lineRule="exact"/>
              <w:ind w:left="0" w:right="0"/>
              <w:jc w:val="center"/>
              <w:rPr>
                <w:rFonts w:hint="default"/>
                <w:b/>
                <w:color w:val="auto"/>
                <w:szCs w:val="21"/>
                <w:highlight w:val="none"/>
              </w:rPr>
            </w:pPr>
            <w:r>
              <w:rPr>
                <w:rFonts w:hint="default"/>
                <w:b/>
                <w:color w:val="auto"/>
                <w:szCs w:val="21"/>
                <w:highlight w:val="none"/>
              </w:rPr>
              <w:t>3.4.1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5E3112F">
            <w:pPr>
              <w:keepNext w:val="0"/>
              <w:keepLines w:val="0"/>
              <w:suppressLineNumbers w:val="0"/>
              <w:spacing w:before="0" w:beforeAutospacing="0" w:after="0" w:afterAutospacing="0" w:line="300" w:lineRule="exact"/>
              <w:ind w:left="0" w:right="0"/>
              <w:jc w:val="center"/>
              <w:rPr>
                <w:rFonts w:hint="default"/>
                <w:color w:val="auto"/>
                <w:szCs w:val="21"/>
                <w:highlight w:val="none"/>
              </w:rPr>
            </w:pPr>
            <w:r>
              <w:rPr>
                <w:rFonts w:hint="eastAsia"/>
                <w:color w:val="auto"/>
                <w:szCs w:val="21"/>
                <w:highlight w:val="none"/>
              </w:rPr>
              <w:t>响应</w:t>
            </w:r>
            <w:r>
              <w:rPr>
                <w:rFonts w:hint="default"/>
                <w:color w:val="auto"/>
                <w:szCs w:val="21"/>
                <w:highlight w:val="none"/>
              </w:rPr>
              <w:t>有效期</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3CB8CA30">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default"/>
                <w:color w:val="auto"/>
                <w:szCs w:val="21"/>
                <w:highlight w:val="none"/>
              </w:rPr>
              <w:t>响应截止之日起90天。</w:t>
            </w:r>
          </w:p>
        </w:tc>
      </w:tr>
      <w:tr w14:paraId="12A46F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66AD663C">
            <w:pPr>
              <w:keepNext w:val="0"/>
              <w:keepLines w:val="0"/>
              <w:suppressLineNumbers w:val="0"/>
              <w:spacing w:before="0" w:beforeAutospacing="0" w:after="0" w:afterAutospacing="0" w:line="300" w:lineRule="exact"/>
              <w:ind w:left="0" w:right="0"/>
              <w:jc w:val="center"/>
              <w:rPr>
                <w:rFonts w:hint="default"/>
                <w:b/>
                <w:color w:val="auto"/>
                <w:szCs w:val="21"/>
                <w:highlight w:val="none"/>
              </w:rPr>
            </w:pPr>
            <w:r>
              <w:rPr>
                <w:rFonts w:hint="default"/>
                <w:b/>
                <w:color w:val="auto"/>
                <w:szCs w:val="21"/>
                <w:highlight w:val="none"/>
              </w:rPr>
              <w:t>3.5</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BCE6345">
            <w:pPr>
              <w:keepNext w:val="0"/>
              <w:keepLines w:val="0"/>
              <w:suppressLineNumbers w:val="0"/>
              <w:spacing w:before="0" w:beforeAutospacing="0" w:after="0" w:afterAutospacing="0" w:line="300" w:lineRule="exact"/>
              <w:ind w:left="0" w:right="0"/>
              <w:jc w:val="center"/>
              <w:rPr>
                <w:rFonts w:hint="default"/>
                <w:color w:val="auto"/>
                <w:szCs w:val="21"/>
                <w:highlight w:val="none"/>
              </w:rPr>
            </w:pPr>
            <w:r>
              <w:rPr>
                <w:rFonts w:hint="eastAsia"/>
                <w:color w:val="auto"/>
                <w:szCs w:val="21"/>
                <w:highlight w:val="none"/>
              </w:rPr>
              <w:t>磋商</w:t>
            </w:r>
            <w:r>
              <w:rPr>
                <w:rFonts w:hint="default"/>
                <w:color w:val="auto"/>
                <w:szCs w:val="21"/>
                <w:highlight w:val="none"/>
              </w:rPr>
              <w:t>保证金</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E80D8A1">
            <w:pPr>
              <w:keepNext w:val="0"/>
              <w:keepLines w:val="0"/>
              <w:suppressLineNumbers w:val="0"/>
              <w:spacing w:before="0" w:beforeAutospacing="0" w:after="0" w:afterAutospacing="0" w:line="240" w:lineRule="auto"/>
              <w:ind w:left="0" w:right="0"/>
              <w:jc w:val="left"/>
              <w:rPr>
                <w:rFonts w:hint="eastAsia"/>
                <w:color w:val="auto"/>
                <w:kern w:val="0"/>
                <w:szCs w:val="21"/>
                <w:highlight w:val="none"/>
              </w:rPr>
            </w:pPr>
            <w:r>
              <w:rPr>
                <w:rFonts w:hint="eastAsia"/>
                <w:color w:val="auto"/>
                <w:szCs w:val="21"/>
                <w:highlight w:val="none"/>
              </w:rPr>
              <w:t>磋商</w:t>
            </w:r>
            <w:r>
              <w:rPr>
                <w:rFonts w:hint="default"/>
                <w:color w:val="auto"/>
                <w:szCs w:val="21"/>
                <w:highlight w:val="none"/>
              </w:rPr>
              <w:t>保证</w:t>
            </w:r>
            <w:r>
              <w:rPr>
                <w:rFonts w:hint="eastAsia"/>
                <w:color w:val="auto"/>
                <w:szCs w:val="21"/>
                <w:highlight w:val="none"/>
              </w:rPr>
              <w:t>金金额：</w:t>
            </w:r>
            <w:r>
              <w:rPr>
                <w:rFonts w:hint="eastAsia"/>
                <w:color w:val="auto"/>
                <w:szCs w:val="21"/>
                <w:highlight w:val="none"/>
                <w:lang w:val="en-US" w:eastAsia="zh-CN"/>
              </w:rPr>
              <w:t>人民币壹仟玖佰元整（¥1900.00）</w:t>
            </w:r>
            <w:r>
              <w:rPr>
                <w:rFonts w:hint="eastAsia"/>
                <w:color w:val="auto"/>
                <w:szCs w:val="21"/>
                <w:highlight w:val="none"/>
              </w:rPr>
              <w:t>。</w:t>
            </w:r>
          </w:p>
          <w:p w14:paraId="58A6DAB1">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eastAsia"/>
                <w:color w:val="auto"/>
                <w:szCs w:val="21"/>
                <w:highlight w:val="none"/>
              </w:rPr>
              <w:t>1、缴纳方式一：</w:t>
            </w:r>
          </w:p>
          <w:p w14:paraId="01E33DAA">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eastAsia" w:ascii="宋体" w:hAnsi="宋体"/>
                <w:color w:val="auto"/>
                <w:szCs w:val="21"/>
                <w:highlight w:val="none"/>
              </w:rPr>
              <w:t>（1）</w:t>
            </w:r>
            <w:r>
              <w:rPr>
                <w:rFonts w:hint="default"/>
                <w:color w:val="auto"/>
                <w:szCs w:val="21"/>
                <w:highlight w:val="none"/>
              </w:rPr>
              <w:t>供应商应于</w:t>
            </w:r>
            <w:r>
              <w:rPr>
                <w:rFonts w:hint="eastAsia"/>
                <w:color w:val="auto"/>
                <w:szCs w:val="21"/>
                <w:highlight w:val="none"/>
              </w:rPr>
              <w:t>响应截止</w:t>
            </w:r>
            <w:r>
              <w:rPr>
                <w:rFonts w:hint="default"/>
                <w:color w:val="auto"/>
                <w:szCs w:val="21"/>
                <w:highlight w:val="none"/>
              </w:rPr>
              <w:t>时间前将</w:t>
            </w:r>
            <w:r>
              <w:rPr>
                <w:rFonts w:hint="eastAsia"/>
                <w:color w:val="auto"/>
                <w:szCs w:val="21"/>
                <w:highlight w:val="none"/>
              </w:rPr>
              <w:t>磋商</w:t>
            </w:r>
            <w:r>
              <w:rPr>
                <w:rFonts w:hint="default"/>
                <w:color w:val="auto"/>
                <w:szCs w:val="21"/>
                <w:highlight w:val="none"/>
              </w:rPr>
              <w:t>保证金以电汇、转账形式从供应商账户一次性足额</w:t>
            </w:r>
            <w:r>
              <w:rPr>
                <w:rFonts w:hint="eastAsia"/>
                <w:color w:val="auto"/>
                <w:szCs w:val="21"/>
                <w:highlight w:val="none"/>
              </w:rPr>
              <w:t>缴</w:t>
            </w:r>
            <w:r>
              <w:rPr>
                <w:rFonts w:hint="default"/>
                <w:color w:val="auto"/>
                <w:szCs w:val="21"/>
                <w:highlight w:val="none"/>
              </w:rPr>
              <w:t>纳至本项目（各</w:t>
            </w:r>
            <w:r>
              <w:rPr>
                <w:rFonts w:hint="eastAsia"/>
                <w:color w:val="auto"/>
                <w:szCs w:val="21"/>
                <w:highlight w:val="none"/>
              </w:rPr>
              <w:t>分标</w:t>
            </w:r>
            <w:r>
              <w:rPr>
                <w:rFonts w:hint="default"/>
                <w:color w:val="auto"/>
                <w:szCs w:val="21"/>
                <w:highlight w:val="none"/>
              </w:rPr>
              <w:t>）对应的专用虚拟账号，所交纳的磋商保证金仅限当次项目（</w:t>
            </w:r>
            <w:r>
              <w:rPr>
                <w:rFonts w:hint="eastAsia"/>
                <w:color w:val="auto"/>
                <w:szCs w:val="21"/>
                <w:highlight w:val="none"/>
              </w:rPr>
              <w:t>分标</w:t>
            </w:r>
            <w:r>
              <w:rPr>
                <w:rFonts w:hint="default"/>
                <w:color w:val="auto"/>
                <w:szCs w:val="21"/>
                <w:highlight w:val="none"/>
              </w:rPr>
              <w:t>）有效，不得重复替代使用。本项目磋商保证金</w:t>
            </w:r>
            <w:r>
              <w:rPr>
                <w:rFonts w:hint="eastAsia"/>
                <w:color w:val="auto"/>
                <w:szCs w:val="21"/>
                <w:highlight w:val="none"/>
              </w:rPr>
              <w:t>缴</w:t>
            </w:r>
            <w:r>
              <w:rPr>
                <w:rFonts w:hint="default"/>
                <w:color w:val="auto"/>
                <w:szCs w:val="21"/>
                <w:highlight w:val="none"/>
              </w:rPr>
              <w:t>纳专用虚拟账号信息</w:t>
            </w:r>
            <w:r>
              <w:rPr>
                <w:rFonts w:hint="eastAsia"/>
                <w:color w:val="auto"/>
                <w:szCs w:val="21"/>
                <w:highlight w:val="none"/>
              </w:rPr>
              <w:t>如下：</w:t>
            </w:r>
          </w:p>
          <w:p w14:paraId="74726842">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default"/>
                <w:color w:val="auto"/>
                <w:szCs w:val="21"/>
                <w:highlight w:val="none"/>
              </w:rPr>
              <w:t>开户银行：平安银行南宁分行营业部</w:t>
            </w:r>
          </w:p>
          <w:p w14:paraId="5F5E7D01">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default"/>
                <w:color w:val="auto"/>
                <w:szCs w:val="21"/>
                <w:highlight w:val="none"/>
              </w:rPr>
              <w:t>开户名称：广西机电设备招标有限公司</w:t>
            </w:r>
          </w:p>
          <w:p w14:paraId="6CD655B1">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default"/>
                <w:color w:val="auto"/>
                <w:szCs w:val="21"/>
                <w:highlight w:val="none"/>
              </w:rPr>
              <w:t>开户账户：30210485918578</w:t>
            </w:r>
          </w:p>
          <w:p w14:paraId="12B70663">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default"/>
                <w:color w:val="auto"/>
                <w:szCs w:val="21"/>
                <w:highlight w:val="none"/>
              </w:rPr>
              <w:t>特别说明：本项目保证金采用虚拟账号，为保证磋商保证金与项目一一对应，供应商如</w:t>
            </w:r>
            <w:r>
              <w:rPr>
                <w:rFonts w:hint="eastAsia"/>
                <w:color w:val="auto"/>
                <w:szCs w:val="21"/>
                <w:highlight w:val="none"/>
              </w:rPr>
              <w:t>参加</w:t>
            </w:r>
            <w:r>
              <w:rPr>
                <w:rFonts w:hint="default"/>
                <w:color w:val="auto"/>
                <w:szCs w:val="21"/>
                <w:highlight w:val="none"/>
              </w:rPr>
              <w:t>本项目多个</w:t>
            </w:r>
            <w:r>
              <w:rPr>
                <w:rFonts w:hint="eastAsia"/>
                <w:color w:val="auto"/>
                <w:szCs w:val="21"/>
                <w:highlight w:val="none"/>
              </w:rPr>
              <w:t>分标</w:t>
            </w:r>
            <w:r>
              <w:rPr>
                <w:rFonts w:hint="default"/>
                <w:color w:val="auto"/>
                <w:szCs w:val="21"/>
                <w:highlight w:val="none"/>
              </w:rPr>
              <w:t>的</w:t>
            </w:r>
            <w:r>
              <w:rPr>
                <w:rFonts w:hint="eastAsia"/>
                <w:color w:val="auto"/>
                <w:szCs w:val="21"/>
                <w:highlight w:val="none"/>
              </w:rPr>
              <w:t>响应</w:t>
            </w:r>
            <w:r>
              <w:rPr>
                <w:rFonts w:hint="default"/>
                <w:color w:val="auto"/>
                <w:szCs w:val="21"/>
                <w:highlight w:val="none"/>
              </w:rPr>
              <w:t>，应按各</w:t>
            </w:r>
            <w:r>
              <w:rPr>
                <w:rFonts w:hint="eastAsia"/>
                <w:color w:val="auto"/>
                <w:szCs w:val="21"/>
                <w:highlight w:val="none"/>
              </w:rPr>
              <w:t>分标</w:t>
            </w:r>
            <w:r>
              <w:rPr>
                <w:rFonts w:hint="default"/>
                <w:color w:val="auto"/>
                <w:szCs w:val="21"/>
                <w:highlight w:val="none"/>
              </w:rPr>
              <w:t>对应的专用虚拟账号分别</w:t>
            </w:r>
            <w:r>
              <w:rPr>
                <w:rFonts w:hint="eastAsia"/>
                <w:color w:val="auto"/>
                <w:szCs w:val="21"/>
                <w:highlight w:val="none"/>
              </w:rPr>
              <w:t>缴纳</w:t>
            </w:r>
            <w:r>
              <w:rPr>
                <w:rFonts w:hint="default"/>
                <w:color w:val="auto"/>
                <w:szCs w:val="21"/>
                <w:highlight w:val="none"/>
              </w:rPr>
              <w:t>磋商保证金。</w:t>
            </w:r>
          </w:p>
          <w:p w14:paraId="042A3E3E">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eastAsia" w:ascii="宋体" w:hAnsi="宋体"/>
                <w:color w:val="auto"/>
                <w:szCs w:val="21"/>
                <w:highlight w:val="none"/>
              </w:rPr>
              <w:t>（2）</w:t>
            </w:r>
            <w:r>
              <w:rPr>
                <w:rFonts w:hint="default"/>
                <w:color w:val="auto"/>
                <w:szCs w:val="21"/>
                <w:highlight w:val="none"/>
              </w:rPr>
              <w:t>磋商保证金币种应与响应报价币种相同。</w:t>
            </w:r>
            <w:r>
              <w:rPr>
                <w:rFonts w:hint="eastAsia"/>
                <w:color w:val="auto"/>
                <w:szCs w:val="21"/>
                <w:highlight w:val="none"/>
              </w:rPr>
              <w:t>磋商保证金缴纳</w:t>
            </w:r>
            <w:r>
              <w:rPr>
                <w:rFonts w:hint="default"/>
                <w:color w:val="auto"/>
                <w:szCs w:val="21"/>
                <w:highlight w:val="none"/>
              </w:rPr>
              <w:t>后无需开具收据，</w:t>
            </w:r>
            <w:r>
              <w:rPr>
                <w:rFonts w:hint="eastAsia"/>
                <w:color w:val="auto"/>
                <w:szCs w:val="21"/>
                <w:highlight w:val="none"/>
              </w:rPr>
              <w:t>供应商应在响应文件中放入转账底单或电汇凭证的复印件，</w:t>
            </w:r>
            <w:r>
              <w:rPr>
                <w:rFonts w:hint="default"/>
                <w:color w:val="auto"/>
                <w:szCs w:val="21"/>
                <w:highlight w:val="none"/>
              </w:rPr>
              <w:t>必须在</w:t>
            </w:r>
            <w:r>
              <w:rPr>
                <w:rFonts w:hint="eastAsia"/>
                <w:color w:val="auto"/>
                <w:szCs w:val="21"/>
                <w:highlight w:val="none"/>
              </w:rPr>
              <w:t>响应</w:t>
            </w:r>
            <w:r>
              <w:rPr>
                <w:rFonts w:hint="default"/>
                <w:color w:val="auto"/>
                <w:szCs w:val="21"/>
                <w:highlight w:val="none"/>
              </w:rPr>
              <w:t>截</w:t>
            </w:r>
            <w:r>
              <w:rPr>
                <w:rFonts w:hint="eastAsia"/>
                <w:color w:val="auto"/>
                <w:szCs w:val="21"/>
                <w:highlight w:val="none"/>
              </w:rPr>
              <w:t>止</w:t>
            </w:r>
            <w:r>
              <w:rPr>
                <w:rFonts w:hint="default"/>
                <w:color w:val="auto"/>
                <w:szCs w:val="21"/>
                <w:highlight w:val="none"/>
              </w:rPr>
              <w:t>时间之前到达指定账号，其到账时间以银行确认的到账时间为准。</w:t>
            </w:r>
          </w:p>
          <w:p w14:paraId="55FC5625">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eastAsia" w:ascii="宋体" w:hAnsi="宋体"/>
                <w:color w:val="auto"/>
                <w:szCs w:val="21"/>
                <w:highlight w:val="none"/>
              </w:rPr>
              <w:t>（3）</w:t>
            </w:r>
            <w:r>
              <w:rPr>
                <w:rFonts w:hint="default"/>
                <w:color w:val="auto"/>
                <w:szCs w:val="21"/>
                <w:highlight w:val="none"/>
              </w:rPr>
              <w:t>除</w:t>
            </w:r>
            <w:r>
              <w:rPr>
                <w:rFonts w:hint="eastAsia"/>
                <w:color w:val="auto"/>
                <w:szCs w:val="21"/>
                <w:highlight w:val="none"/>
              </w:rPr>
              <w:t>采购文件</w:t>
            </w:r>
            <w:r>
              <w:rPr>
                <w:rFonts w:hint="default"/>
                <w:color w:val="auto"/>
                <w:szCs w:val="21"/>
                <w:highlight w:val="none"/>
              </w:rPr>
              <w:t>规定不予退还保证金的情形外，采购代理机构</w:t>
            </w:r>
            <w:r>
              <w:rPr>
                <w:rFonts w:hint="eastAsia"/>
                <w:color w:val="auto"/>
                <w:szCs w:val="21"/>
                <w:highlight w:val="none"/>
              </w:rPr>
              <w:t>在法定时间内通过银行原路</w:t>
            </w:r>
            <w:r>
              <w:rPr>
                <w:rFonts w:hint="default"/>
                <w:color w:val="auto"/>
                <w:szCs w:val="21"/>
                <w:highlight w:val="none"/>
              </w:rPr>
              <w:t>退</w:t>
            </w:r>
            <w:r>
              <w:rPr>
                <w:rFonts w:hint="eastAsia"/>
                <w:color w:val="auto"/>
                <w:szCs w:val="21"/>
                <w:highlight w:val="none"/>
              </w:rPr>
              <w:t>还保证金至供应商缴纳账户。供应商</w:t>
            </w:r>
            <w:r>
              <w:rPr>
                <w:rFonts w:hint="default"/>
                <w:color w:val="auto"/>
                <w:szCs w:val="21"/>
                <w:highlight w:val="none"/>
              </w:rPr>
              <w:t>自行承担</w:t>
            </w:r>
            <w:r>
              <w:rPr>
                <w:rFonts w:hint="eastAsia"/>
                <w:color w:val="auto"/>
                <w:szCs w:val="21"/>
                <w:highlight w:val="none"/>
              </w:rPr>
              <w:t>交纳保证金后未参加响应活动或磋商保证金缴纳错误而</w:t>
            </w:r>
            <w:r>
              <w:rPr>
                <w:rFonts w:hint="default"/>
                <w:color w:val="auto"/>
                <w:szCs w:val="21"/>
                <w:highlight w:val="none"/>
              </w:rPr>
              <w:t>导致</w:t>
            </w:r>
            <w:r>
              <w:rPr>
                <w:rFonts w:hint="eastAsia"/>
                <w:color w:val="auto"/>
                <w:szCs w:val="21"/>
                <w:highlight w:val="none"/>
              </w:rPr>
              <w:t>磋商保证金</w:t>
            </w:r>
            <w:r>
              <w:rPr>
                <w:rFonts w:hint="default"/>
                <w:color w:val="auto"/>
                <w:szCs w:val="21"/>
                <w:highlight w:val="none"/>
              </w:rPr>
              <w:t>无法及时退还的责任</w:t>
            </w:r>
            <w:r>
              <w:rPr>
                <w:rFonts w:hint="eastAsia"/>
                <w:color w:val="auto"/>
                <w:szCs w:val="21"/>
                <w:highlight w:val="none"/>
              </w:rPr>
              <w:t>。</w:t>
            </w:r>
          </w:p>
          <w:p w14:paraId="557BF2E0">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eastAsia"/>
                <w:color w:val="auto"/>
                <w:szCs w:val="21"/>
                <w:highlight w:val="none"/>
              </w:rPr>
              <w:t>2、缴纳方式二：</w:t>
            </w:r>
          </w:p>
          <w:p w14:paraId="449435C2">
            <w:pPr>
              <w:keepNext w:val="0"/>
              <w:keepLines w:val="0"/>
              <w:suppressLineNumbers w:val="0"/>
              <w:spacing w:before="0" w:beforeAutospacing="0" w:after="0" w:afterAutospacing="0" w:line="300" w:lineRule="exact"/>
              <w:ind w:left="0" w:right="0"/>
              <w:jc w:val="left"/>
              <w:rPr>
                <w:rFonts w:hint="eastAsia"/>
                <w:color w:val="auto"/>
                <w:szCs w:val="21"/>
                <w:highlight w:val="none"/>
              </w:rPr>
            </w:pPr>
            <w:r>
              <w:rPr>
                <w:rFonts w:hint="eastAsia"/>
                <w:color w:val="auto"/>
                <w:szCs w:val="21"/>
                <w:highlight w:val="none"/>
              </w:rPr>
              <w:t>供应商可于响应截止时间前选择支票、汇票、本票或金融机构、担保机构出具的保函等非现金形式缴纳的，供应商应在响应文件中放入支票、汇票、本票或金融机构、担保机构出具的保函的复印件，保函出具格式详见第六章响应文件格式，在响应截止时间前，供应商必须以现场提交或邮寄方式向采购代理机构递交支票、汇票、本票或者保函原件，保证金原件放入一个密封袋中，并在封口处加盖供应商公章或被授权人签字，在封套上标记“项目名称（项目编号）响应保证金”字样。具体收件地址、收件人及联系电话详见磋商公告。</w:t>
            </w:r>
          </w:p>
          <w:p w14:paraId="0B611D19">
            <w:pPr>
              <w:keepNext w:val="0"/>
              <w:keepLines w:val="0"/>
              <w:suppressLineNumbers w:val="0"/>
              <w:spacing w:before="0" w:beforeAutospacing="0" w:after="0" w:afterAutospacing="0" w:line="300" w:lineRule="exact"/>
              <w:ind w:left="0" w:right="0"/>
              <w:jc w:val="left"/>
              <w:rPr>
                <w:rFonts w:hint="eastAsia"/>
                <w:color w:val="auto"/>
                <w:szCs w:val="21"/>
                <w:highlight w:val="none"/>
              </w:rPr>
            </w:pPr>
            <w:r>
              <w:rPr>
                <w:rFonts w:hint="eastAsia"/>
                <w:color w:val="auto"/>
                <w:szCs w:val="21"/>
                <w:highlight w:val="none"/>
              </w:rPr>
              <w:t>3、响应保证金有下列情形之一的，视为保证金无效：</w:t>
            </w:r>
          </w:p>
          <w:p w14:paraId="1906A8C7">
            <w:pPr>
              <w:keepNext w:val="0"/>
              <w:keepLines w:val="0"/>
              <w:suppressLineNumbers w:val="0"/>
              <w:spacing w:before="0" w:beforeAutospacing="0" w:after="0" w:afterAutospacing="0" w:line="300" w:lineRule="exact"/>
              <w:ind w:left="0" w:right="0"/>
              <w:jc w:val="left"/>
              <w:rPr>
                <w:rFonts w:hint="eastAsia"/>
                <w:color w:val="auto"/>
                <w:szCs w:val="21"/>
                <w:highlight w:val="none"/>
              </w:rPr>
            </w:pPr>
            <w:r>
              <w:rPr>
                <w:rFonts w:hint="eastAsia"/>
                <w:color w:val="auto"/>
                <w:szCs w:val="21"/>
                <w:highlight w:val="none"/>
              </w:rPr>
              <w:t>（1）保证金在响应截止时间后提交的，或者不按规定交纳方式交纳的，或者未足额交纳的（包含保函额度不足的）的；</w:t>
            </w:r>
          </w:p>
          <w:p w14:paraId="361C0F2B">
            <w:pPr>
              <w:keepNext w:val="0"/>
              <w:keepLines w:val="0"/>
              <w:suppressLineNumbers w:val="0"/>
              <w:spacing w:before="0" w:beforeAutospacing="0" w:after="0" w:afterAutospacing="0" w:line="300" w:lineRule="exact"/>
              <w:ind w:left="0" w:right="0"/>
              <w:jc w:val="left"/>
              <w:rPr>
                <w:rFonts w:hint="eastAsia"/>
                <w:color w:val="auto"/>
                <w:szCs w:val="21"/>
                <w:highlight w:val="none"/>
              </w:rPr>
            </w:pPr>
            <w:r>
              <w:rPr>
                <w:rFonts w:hint="eastAsia"/>
                <w:color w:val="auto"/>
                <w:szCs w:val="21"/>
                <w:highlight w:val="none"/>
              </w:rPr>
              <w:t>（2）支票、汇票或者本票出现无效或者背书情形的；</w:t>
            </w:r>
          </w:p>
          <w:p w14:paraId="7C2E54CC">
            <w:pPr>
              <w:keepNext w:val="0"/>
              <w:keepLines w:val="0"/>
              <w:suppressLineNumbers w:val="0"/>
              <w:spacing w:before="0" w:beforeAutospacing="0" w:after="0" w:afterAutospacing="0" w:line="300" w:lineRule="exact"/>
              <w:ind w:left="0" w:right="0"/>
              <w:jc w:val="left"/>
              <w:rPr>
                <w:rFonts w:hint="eastAsia"/>
                <w:color w:val="auto"/>
                <w:szCs w:val="21"/>
                <w:highlight w:val="none"/>
              </w:rPr>
            </w:pPr>
            <w:r>
              <w:rPr>
                <w:rFonts w:hint="eastAsia"/>
                <w:color w:val="auto"/>
                <w:szCs w:val="21"/>
                <w:highlight w:val="none"/>
              </w:rPr>
              <w:t>（3）保函有效期低于响应有效期的；</w:t>
            </w:r>
          </w:p>
          <w:p w14:paraId="3FFA0F28">
            <w:pPr>
              <w:keepNext w:val="0"/>
              <w:keepLines w:val="0"/>
              <w:suppressLineNumbers w:val="0"/>
              <w:spacing w:before="0" w:beforeAutospacing="0" w:after="0" w:afterAutospacing="0" w:line="300" w:lineRule="exact"/>
              <w:ind w:left="0" w:right="0"/>
              <w:jc w:val="left"/>
              <w:rPr>
                <w:rFonts w:hint="eastAsia"/>
                <w:color w:val="auto"/>
                <w:szCs w:val="21"/>
                <w:highlight w:val="none"/>
              </w:rPr>
            </w:pPr>
            <w:r>
              <w:rPr>
                <w:rFonts w:hint="eastAsia"/>
                <w:color w:val="auto"/>
                <w:szCs w:val="21"/>
                <w:highlight w:val="none"/>
              </w:rPr>
              <w:t>（4）非金融机构、担保机构出具保函的、非无条件保函的。</w:t>
            </w:r>
          </w:p>
          <w:p w14:paraId="3B2BD875">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eastAsia"/>
                <w:color w:val="auto"/>
                <w:szCs w:val="21"/>
                <w:highlight w:val="none"/>
              </w:rPr>
              <w:t>4、财务部联系电话：0771-2821398</w:t>
            </w:r>
          </w:p>
          <w:p w14:paraId="19543DAE">
            <w:pPr>
              <w:keepNext w:val="0"/>
              <w:keepLines w:val="0"/>
              <w:suppressLineNumbers w:val="0"/>
              <w:spacing w:before="0" w:beforeAutospacing="0" w:after="0" w:afterAutospacing="0" w:line="300" w:lineRule="exact"/>
              <w:ind w:left="0" w:right="0"/>
              <w:jc w:val="left"/>
              <w:rPr>
                <w:rFonts w:hint="default"/>
                <w:b/>
                <w:bCs/>
                <w:color w:val="auto"/>
                <w:szCs w:val="21"/>
                <w:highlight w:val="none"/>
              </w:rPr>
            </w:pPr>
            <w:r>
              <w:rPr>
                <w:rFonts w:hint="eastAsia"/>
                <w:b/>
                <w:bCs/>
                <w:color w:val="auto"/>
                <w:szCs w:val="21"/>
                <w:highlight w:val="none"/>
              </w:rPr>
              <w:t>注：为保证磋商保证金退还的及时性与便利性，鼓励优先采用方式一递交磋商保证金。</w:t>
            </w:r>
          </w:p>
        </w:tc>
      </w:tr>
      <w:tr w14:paraId="063439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737" w:type="dxa"/>
            <w:tcBorders>
              <w:left w:val="single" w:color="auto" w:sz="4" w:space="0"/>
              <w:right w:val="single" w:color="auto" w:sz="4" w:space="0"/>
            </w:tcBorders>
            <w:noWrap w:val="0"/>
            <w:vAlign w:val="center"/>
          </w:tcPr>
          <w:p w14:paraId="668006E5">
            <w:pPr>
              <w:keepNext w:val="0"/>
              <w:keepLines w:val="0"/>
              <w:suppressLineNumbers w:val="0"/>
              <w:spacing w:before="0" w:beforeAutospacing="0" w:after="0" w:afterAutospacing="0" w:line="300" w:lineRule="exact"/>
              <w:ind w:left="0" w:right="0"/>
              <w:jc w:val="center"/>
              <w:rPr>
                <w:rFonts w:hint="default"/>
                <w:b/>
                <w:color w:val="auto"/>
                <w:szCs w:val="21"/>
                <w:highlight w:val="none"/>
              </w:rPr>
            </w:pPr>
            <w:r>
              <w:rPr>
                <w:rFonts w:hint="eastAsia"/>
                <w:b/>
                <w:color w:val="auto"/>
                <w:szCs w:val="21"/>
                <w:highlight w:val="none"/>
              </w:rPr>
              <w:t>3</w:t>
            </w:r>
            <w:r>
              <w:rPr>
                <w:rFonts w:hint="default"/>
                <w:b/>
                <w:color w:val="auto"/>
                <w:szCs w:val="21"/>
                <w:highlight w:val="none"/>
              </w:rPr>
              <w:t>.6</w:t>
            </w:r>
          </w:p>
        </w:tc>
        <w:tc>
          <w:tcPr>
            <w:tcW w:w="1248" w:type="dxa"/>
            <w:tcBorders>
              <w:top w:val="single" w:color="auto" w:sz="4" w:space="0"/>
              <w:left w:val="single" w:color="auto" w:sz="4" w:space="0"/>
              <w:right w:val="single" w:color="auto" w:sz="4" w:space="0"/>
            </w:tcBorders>
            <w:noWrap w:val="0"/>
            <w:vAlign w:val="center"/>
          </w:tcPr>
          <w:p w14:paraId="593C6B93">
            <w:pPr>
              <w:keepNext w:val="0"/>
              <w:keepLines w:val="0"/>
              <w:suppressLineNumbers w:val="0"/>
              <w:spacing w:before="0" w:beforeAutospacing="0" w:after="0" w:afterAutospacing="0" w:line="300" w:lineRule="exact"/>
              <w:ind w:left="0" w:right="0"/>
              <w:jc w:val="center"/>
              <w:rPr>
                <w:rFonts w:hint="default"/>
                <w:color w:val="auto"/>
                <w:szCs w:val="21"/>
                <w:highlight w:val="none"/>
              </w:rPr>
            </w:pPr>
            <w:r>
              <w:rPr>
                <w:rFonts w:hint="eastAsia"/>
                <w:color w:val="auto"/>
                <w:szCs w:val="21"/>
                <w:highlight w:val="none"/>
              </w:rPr>
              <w:t>响应文件的编制</w:t>
            </w:r>
          </w:p>
        </w:tc>
        <w:tc>
          <w:tcPr>
            <w:tcW w:w="7229" w:type="dxa"/>
            <w:tcBorders>
              <w:top w:val="single" w:color="auto" w:sz="4" w:space="0"/>
              <w:left w:val="single" w:color="auto" w:sz="4" w:space="0"/>
              <w:right w:val="single" w:color="auto" w:sz="4" w:space="0"/>
            </w:tcBorders>
            <w:noWrap w:val="0"/>
            <w:vAlign w:val="center"/>
          </w:tcPr>
          <w:p w14:paraId="53D0BC32">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eastAsia" w:hAnsi="宋体"/>
                <w:color w:val="auto"/>
                <w:szCs w:val="21"/>
                <w:highlight w:val="none"/>
              </w:rPr>
              <w:t>响应文件应按第六章响应文件格式分别编制并使用下载的广西政府采购云平台新版客户端制作并上传。</w:t>
            </w:r>
          </w:p>
        </w:tc>
      </w:tr>
      <w:tr w14:paraId="5D5028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472551C6">
            <w:pPr>
              <w:keepNext w:val="0"/>
              <w:keepLines w:val="0"/>
              <w:suppressLineNumbers w:val="0"/>
              <w:spacing w:before="0" w:beforeAutospacing="0" w:after="0" w:afterAutospacing="0" w:line="300" w:lineRule="exact"/>
              <w:ind w:left="0" w:right="0"/>
              <w:jc w:val="center"/>
              <w:rPr>
                <w:rFonts w:hint="default"/>
                <w:b/>
                <w:color w:val="auto"/>
                <w:szCs w:val="21"/>
                <w:highlight w:val="none"/>
              </w:rPr>
            </w:pPr>
            <w:r>
              <w:rPr>
                <w:rFonts w:hint="default"/>
                <w:b/>
                <w:color w:val="auto"/>
                <w:szCs w:val="21"/>
                <w:highlight w:val="none"/>
              </w:rPr>
              <w:t>3.7</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7AF1AC66">
            <w:pPr>
              <w:keepNext w:val="0"/>
              <w:keepLines w:val="0"/>
              <w:suppressLineNumbers w:val="0"/>
              <w:spacing w:before="0" w:beforeAutospacing="0" w:after="0" w:afterAutospacing="0" w:line="300" w:lineRule="exact"/>
              <w:ind w:left="0" w:right="0"/>
              <w:jc w:val="center"/>
              <w:rPr>
                <w:rFonts w:hint="default"/>
                <w:color w:val="auto"/>
                <w:szCs w:val="21"/>
                <w:highlight w:val="none"/>
              </w:rPr>
            </w:pPr>
            <w:r>
              <w:rPr>
                <w:rFonts w:hint="default"/>
                <w:color w:val="auto"/>
                <w:szCs w:val="21"/>
                <w:highlight w:val="none"/>
              </w:rPr>
              <w:t>响应文件递交</w:t>
            </w:r>
            <w:r>
              <w:rPr>
                <w:rFonts w:hint="eastAsia"/>
                <w:color w:val="auto"/>
                <w:szCs w:val="21"/>
                <w:highlight w:val="none"/>
              </w:rPr>
              <w:t>截止时间及截标时间</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156D00F">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eastAsia"/>
                <w:color w:val="auto"/>
                <w:kern w:val="0"/>
                <w:szCs w:val="21"/>
                <w:highlight w:val="none"/>
              </w:rPr>
              <w:t>见磋商公告要求</w:t>
            </w:r>
            <w:r>
              <w:rPr>
                <w:rFonts w:hint="eastAsia"/>
                <w:color w:val="auto"/>
                <w:szCs w:val="21"/>
                <w:highlight w:val="none"/>
              </w:rPr>
              <w:t>。</w:t>
            </w:r>
          </w:p>
        </w:tc>
      </w:tr>
      <w:tr w14:paraId="19ED76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40C6A52F">
            <w:pPr>
              <w:keepNext w:val="0"/>
              <w:keepLines w:val="0"/>
              <w:suppressLineNumbers w:val="0"/>
              <w:spacing w:before="0" w:beforeAutospacing="0" w:after="0" w:afterAutospacing="0" w:line="300" w:lineRule="exact"/>
              <w:ind w:left="0" w:right="0"/>
              <w:jc w:val="center"/>
              <w:rPr>
                <w:rFonts w:hint="default"/>
                <w:b/>
                <w:color w:val="auto"/>
                <w:szCs w:val="21"/>
                <w:highlight w:val="none"/>
              </w:rPr>
            </w:pPr>
            <w:r>
              <w:rPr>
                <w:rFonts w:hint="eastAsia"/>
                <w:b/>
                <w:color w:val="auto"/>
                <w:szCs w:val="21"/>
                <w:highlight w:val="none"/>
              </w:rPr>
              <w:t>4</w:t>
            </w:r>
            <w:r>
              <w:rPr>
                <w:rFonts w:hint="default"/>
                <w:b/>
                <w:color w:val="auto"/>
                <w:szCs w:val="21"/>
                <w:highlight w:val="none"/>
              </w:rPr>
              <w:t>.2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03938237">
            <w:pPr>
              <w:keepNext w:val="0"/>
              <w:keepLines w:val="0"/>
              <w:suppressLineNumbers w:val="0"/>
              <w:spacing w:before="0" w:beforeAutospacing="0" w:after="0" w:afterAutospacing="0" w:line="300" w:lineRule="exact"/>
              <w:ind w:left="0" w:right="0"/>
              <w:jc w:val="center"/>
              <w:rPr>
                <w:rFonts w:hint="default"/>
                <w:color w:val="auto"/>
                <w:szCs w:val="20"/>
                <w:highlight w:val="none"/>
              </w:rPr>
            </w:pPr>
            <w:r>
              <w:rPr>
                <w:rFonts w:hint="eastAsia"/>
                <w:color w:val="auto"/>
                <w:szCs w:val="21"/>
                <w:highlight w:val="none"/>
              </w:rPr>
              <w:t>备份响应文件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3E0153D9">
            <w:pPr>
              <w:keepNext w:val="0"/>
              <w:keepLines w:val="0"/>
              <w:suppressLineNumbers w:val="0"/>
              <w:spacing w:before="0" w:beforeAutospacing="0" w:after="0" w:afterAutospacing="0" w:line="276" w:lineRule="auto"/>
              <w:ind w:left="0" w:right="0"/>
              <w:rPr>
                <w:rFonts w:hint="default" w:ascii="宋体" w:hAnsi="宋体"/>
                <w:color w:val="auto"/>
                <w:szCs w:val="21"/>
                <w:highlight w:val="none"/>
              </w:rPr>
            </w:pPr>
            <w:r>
              <w:rPr>
                <w:rFonts w:hint="eastAsia" w:ascii="宋体" w:hAnsi="宋体"/>
                <w:color w:val="auto"/>
                <w:szCs w:val="21"/>
                <w:highlight w:val="none"/>
              </w:rPr>
              <w:t>本项目</w:t>
            </w:r>
            <w:r>
              <w:rPr>
                <w:rFonts w:hint="default"/>
                <w:color w:val="auto"/>
                <w:sz w:val="22"/>
                <w:szCs w:val="22"/>
                <w:highlight w:val="none"/>
              </w:rPr>
              <w:sym w:font="Wingdings 2" w:char="F052"/>
            </w:r>
            <w:r>
              <w:rPr>
                <w:rFonts w:hint="eastAsia"/>
                <w:color w:val="auto"/>
                <w:szCs w:val="21"/>
                <w:highlight w:val="none"/>
              </w:rPr>
              <w:t>接受   □不接受</w:t>
            </w:r>
            <w:r>
              <w:rPr>
                <w:rFonts w:hint="eastAsia" w:ascii="宋体" w:hAnsi="宋体"/>
                <w:color w:val="auto"/>
                <w:szCs w:val="21"/>
                <w:highlight w:val="none"/>
              </w:rPr>
              <w:t>备份响应文件</w:t>
            </w:r>
          </w:p>
          <w:p w14:paraId="46967071">
            <w:pPr>
              <w:keepNext w:val="0"/>
              <w:keepLines w:val="0"/>
              <w:suppressLineNumbers w:val="0"/>
              <w:spacing w:before="0" w:beforeAutospacing="0" w:after="0" w:afterAutospacing="0" w:line="276" w:lineRule="auto"/>
              <w:ind w:left="0" w:right="0"/>
              <w:rPr>
                <w:rFonts w:hint="eastAsia"/>
                <w:color w:val="auto"/>
                <w:sz w:val="22"/>
                <w:szCs w:val="22"/>
                <w:highlight w:val="none"/>
              </w:rPr>
            </w:pPr>
            <w:r>
              <w:rPr>
                <w:rFonts w:hint="eastAsia" w:ascii="宋体" w:hAnsi="宋体"/>
                <w:color w:val="auto"/>
                <w:szCs w:val="21"/>
                <w:highlight w:val="none"/>
              </w:rPr>
              <w:t>以广西政府采购云平台自动生成的备份文件为依据，当项目允许接受备份响应文件时，供应商才可以按规定上传备份响应文件。</w:t>
            </w:r>
          </w:p>
        </w:tc>
      </w:tr>
      <w:tr w14:paraId="553843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44F72A60">
            <w:pPr>
              <w:keepNext w:val="0"/>
              <w:keepLines w:val="0"/>
              <w:suppressLineNumbers w:val="0"/>
              <w:spacing w:before="0" w:beforeAutospacing="0" w:after="0" w:afterAutospacing="0" w:line="300" w:lineRule="exact"/>
              <w:ind w:left="0" w:right="0"/>
              <w:jc w:val="center"/>
              <w:rPr>
                <w:rFonts w:hint="default"/>
                <w:b/>
                <w:color w:val="auto"/>
                <w:szCs w:val="21"/>
                <w:highlight w:val="none"/>
              </w:rPr>
            </w:pPr>
            <w:r>
              <w:rPr>
                <w:rFonts w:hint="eastAsia"/>
                <w:b/>
                <w:color w:val="auto"/>
                <w:szCs w:val="21"/>
                <w:highlight w:val="none"/>
              </w:rPr>
              <w:t>4</w:t>
            </w:r>
            <w:r>
              <w:rPr>
                <w:rFonts w:hint="default"/>
                <w:b/>
                <w:color w:val="auto"/>
                <w:szCs w:val="21"/>
                <w:highlight w:val="none"/>
              </w:rPr>
              <w:t>.3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E068A87">
            <w:pPr>
              <w:keepNext w:val="0"/>
              <w:keepLines w:val="0"/>
              <w:suppressLineNumbers w:val="0"/>
              <w:spacing w:before="0" w:beforeAutospacing="0" w:after="0" w:afterAutospacing="0" w:line="300" w:lineRule="exact"/>
              <w:ind w:left="0" w:right="0"/>
              <w:jc w:val="center"/>
              <w:rPr>
                <w:rFonts w:hint="default"/>
                <w:color w:val="auto"/>
                <w:szCs w:val="21"/>
                <w:highlight w:val="none"/>
              </w:rPr>
            </w:pPr>
            <w:r>
              <w:rPr>
                <w:rFonts w:hint="eastAsia"/>
                <w:color w:val="auto"/>
                <w:szCs w:val="20"/>
                <w:highlight w:val="none"/>
              </w:rPr>
              <w:t>演示</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2C5327A">
            <w:pPr>
              <w:keepNext w:val="0"/>
              <w:keepLines w:val="0"/>
              <w:suppressLineNumbers w:val="0"/>
              <w:spacing w:before="0" w:beforeAutospacing="0" w:after="0" w:afterAutospacing="0" w:line="276" w:lineRule="auto"/>
              <w:ind w:left="0" w:right="0"/>
              <w:rPr>
                <w:rFonts w:hint="default"/>
                <w:color w:val="auto"/>
                <w:szCs w:val="21"/>
                <w:highlight w:val="none"/>
              </w:rPr>
            </w:pPr>
            <w:r>
              <w:rPr>
                <w:rFonts w:hint="default"/>
                <w:color w:val="auto"/>
                <w:sz w:val="22"/>
                <w:szCs w:val="22"/>
                <w:highlight w:val="none"/>
              </w:rPr>
              <w:sym w:font="Wingdings 2" w:char="F052"/>
            </w:r>
            <w:r>
              <w:rPr>
                <w:rFonts w:hint="eastAsia"/>
                <w:color w:val="auto"/>
                <w:szCs w:val="21"/>
                <w:highlight w:val="none"/>
              </w:rPr>
              <w:t>否   □是</w:t>
            </w:r>
          </w:p>
          <w:p w14:paraId="6B54ABC7">
            <w:pPr>
              <w:keepNext w:val="0"/>
              <w:keepLines w:val="0"/>
              <w:suppressLineNumbers w:val="0"/>
              <w:spacing w:before="0" w:beforeAutospacing="0" w:after="0" w:afterAutospacing="0" w:line="276" w:lineRule="auto"/>
              <w:ind w:left="0" w:right="0"/>
              <w:rPr>
                <w:rFonts w:hint="default"/>
                <w:color w:val="auto"/>
                <w:szCs w:val="21"/>
                <w:highlight w:val="none"/>
                <w:u w:val="single"/>
              </w:rPr>
            </w:pPr>
            <w:r>
              <w:rPr>
                <w:rFonts w:hint="eastAsia"/>
                <w:color w:val="auto"/>
                <w:szCs w:val="21"/>
                <w:highlight w:val="none"/>
              </w:rPr>
              <w:t>演示内容：</w:t>
            </w:r>
            <w:r>
              <w:rPr>
                <w:rFonts w:hint="eastAsia"/>
                <w:color w:val="auto"/>
                <w:szCs w:val="21"/>
                <w:highlight w:val="none"/>
                <w:u w:val="single"/>
              </w:rPr>
              <w:t xml:space="preserve"> </w:t>
            </w:r>
            <w:r>
              <w:rPr>
                <w:rFonts w:hint="default"/>
                <w:color w:val="auto"/>
                <w:szCs w:val="21"/>
                <w:highlight w:val="none"/>
                <w:u w:val="single"/>
              </w:rPr>
              <w:t xml:space="preserve">   </w:t>
            </w:r>
            <w:r>
              <w:rPr>
                <w:rFonts w:hint="eastAsia"/>
                <w:color w:val="auto"/>
                <w:szCs w:val="21"/>
                <w:highlight w:val="none"/>
                <w:u w:val="single"/>
                <w:lang w:val="en-US" w:eastAsia="zh-CN"/>
              </w:rPr>
              <w:t>/</w:t>
            </w:r>
            <w:r>
              <w:rPr>
                <w:rFonts w:hint="default"/>
                <w:color w:val="auto"/>
                <w:szCs w:val="21"/>
                <w:highlight w:val="none"/>
                <w:u w:val="single"/>
              </w:rPr>
              <w:t xml:space="preserve">        </w:t>
            </w:r>
          </w:p>
          <w:p w14:paraId="22D9AA23">
            <w:pPr>
              <w:keepNext w:val="0"/>
              <w:keepLines w:val="0"/>
              <w:suppressLineNumbers w:val="0"/>
              <w:spacing w:before="0" w:beforeAutospacing="0" w:after="0" w:afterAutospacing="0" w:line="276" w:lineRule="auto"/>
              <w:ind w:left="0" w:right="0"/>
              <w:rPr>
                <w:rFonts w:hint="eastAsia" w:eastAsia="宋体"/>
                <w:color w:val="auto"/>
                <w:szCs w:val="21"/>
                <w:highlight w:val="none"/>
                <w:lang w:val="en-US" w:eastAsia="zh-CN"/>
              </w:rPr>
            </w:pPr>
            <w:r>
              <w:rPr>
                <w:rFonts w:hint="eastAsia"/>
                <w:color w:val="auto"/>
                <w:szCs w:val="21"/>
                <w:highlight w:val="none"/>
              </w:rPr>
              <w:t>演示形式：</w:t>
            </w:r>
            <w:r>
              <w:rPr>
                <w:rFonts w:hint="default"/>
                <w:color w:val="auto"/>
                <w:szCs w:val="21"/>
                <w:highlight w:val="none"/>
                <w:u w:val="single"/>
              </w:rPr>
              <w:t xml:space="preserve"> </w:t>
            </w:r>
            <w:r>
              <w:rPr>
                <w:rFonts w:hint="eastAsia"/>
                <w:color w:val="auto"/>
                <w:szCs w:val="21"/>
                <w:highlight w:val="none"/>
                <w:u w:val="single"/>
                <w:lang w:val="en-US" w:eastAsia="zh-CN"/>
              </w:rPr>
              <w:t>/</w:t>
            </w:r>
          </w:p>
        </w:tc>
      </w:tr>
      <w:tr w14:paraId="2E77BA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78533652">
            <w:pPr>
              <w:keepNext w:val="0"/>
              <w:keepLines w:val="0"/>
              <w:suppressLineNumbers w:val="0"/>
              <w:spacing w:before="0" w:beforeAutospacing="0" w:after="0" w:afterAutospacing="0" w:line="300" w:lineRule="exact"/>
              <w:ind w:left="0" w:right="0"/>
              <w:jc w:val="center"/>
              <w:rPr>
                <w:rFonts w:hint="default"/>
                <w:b/>
                <w:color w:val="auto"/>
                <w:szCs w:val="21"/>
                <w:highlight w:val="none"/>
              </w:rPr>
            </w:pPr>
            <w:r>
              <w:rPr>
                <w:rFonts w:hint="eastAsia"/>
                <w:b/>
                <w:color w:val="auto"/>
                <w:szCs w:val="21"/>
                <w:highlight w:val="none"/>
              </w:rPr>
              <w:t>4</w:t>
            </w:r>
            <w:r>
              <w:rPr>
                <w:rFonts w:hint="default"/>
                <w:b/>
                <w:color w:val="auto"/>
                <w:szCs w:val="21"/>
                <w:highlight w:val="none"/>
              </w:rPr>
              <w:t>.4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1BD69553">
            <w:pPr>
              <w:keepNext w:val="0"/>
              <w:keepLines w:val="0"/>
              <w:suppressLineNumbers w:val="0"/>
              <w:spacing w:before="0" w:beforeAutospacing="0" w:after="0" w:afterAutospacing="0" w:line="300" w:lineRule="exact"/>
              <w:ind w:left="0" w:right="0"/>
              <w:jc w:val="center"/>
              <w:rPr>
                <w:rFonts w:hint="default"/>
                <w:color w:val="auto"/>
                <w:szCs w:val="21"/>
                <w:highlight w:val="none"/>
              </w:rPr>
            </w:pPr>
            <w:r>
              <w:rPr>
                <w:rFonts w:hint="eastAsia"/>
                <w:color w:val="auto"/>
                <w:szCs w:val="20"/>
                <w:highlight w:val="none"/>
              </w:rPr>
              <w:t>样品</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8F639BB">
            <w:pPr>
              <w:keepNext w:val="0"/>
              <w:keepLines w:val="0"/>
              <w:suppressLineNumbers w:val="0"/>
              <w:spacing w:before="0" w:beforeAutospacing="0" w:after="0" w:afterAutospacing="0" w:line="276" w:lineRule="auto"/>
              <w:ind w:left="0" w:right="0"/>
              <w:rPr>
                <w:rFonts w:hint="default"/>
                <w:color w:val="auto"/>
                <w:szCs w:val="21"/>
                <w:highlight w:val="none"/>
              </w:rPr>
            </w:pPr>
            <w:r>
              <w:rPr>
                <w:rFonts w:hint="default"/>
                <w:color w:val="auto"/>
                <w:sz w:val="24"/>
                <w:highlight w:val="none"/>
              </w:rPr>
              <w:sym w:font="Wingdings 2" w:char="F052"/>
            </w:r>
            <w:r>
              <w:rPr>
                <w:rFonts w:hint="eastAsia"/>
                <w:color w:val="auto"/>
                <w:szCs w:val="21"/>
                <w:highlight w:val="none"/>
              </w:rPr>
              <w:t>否   □是</w:t>
            </w:r>
          </w:p>
          <w:p w14:paraId="758A3FA3">
            <w:pPr>
              <w:keepNext w:val="0"/>
              <w:keepLines w:val="0"/>
              <w:suppressLineNumbers w:val="0"/>
              <w:spacing w:before="0" w:beforeAutospacing="0" w:after="0" w:afterAutospacing="0" w:line="276" w:lineRule="auto"/>
              <w:ind w:left="0" w:right="0"/>
              <w:rPr>
                <w:rFonts w:hint="default"/>
                <w:color w:val="auto"/>
                <w:szCs w:val="21"/>
                <w:highlight w:val="none"/>
                <w:u w:val="single"/>
              </w:rPr>
            </w:pPr>
            <w:r>
              <w:rPr>
                <w:rFonts w:hint="eastAsia"/>
                <w:color w:val="auto"/>
                <w:szCs w:val="21"/>
                <w:highlight w:val="none"/>
              </w:rPr>
              <w:t>样品制作的标准和要求：</w:t>
            </w:r>
            <w:r>
              <w:rPr>
                <w:rFonts w:hint="eastAsia"/>
                <w:color w:val="auto"/>
                <w:szCs w:val="21"/>
                <w:highlight w:val="none"/>
                <w:u w:val="single"/>
              </w:rPr>
              <w:t xml:space="preserve"> </w:t>
            </w:r>
            <w:r>
              <w:rPr>
                <w:rFonts w:hint="default"/>
                <w:color w:val="auto"/>
                <w:szCs w:val="21"/>
                <w:highlight w:val="none"/>
                <w:u w:val="single"/>
              </w:rPr>
              <w:t xml:space="preserve">    </w:t>
            </w:r>
            <w:r>
              <w:rPr>
                <w:rFonts w:hint="eastAsia"/>
                <w:color w:val="auto"/>
                <w:szCs w:val="21"/>
                <w:highlight w:val="none"/>
                <w:u w:val="single"/>
                <w:lang w:val="en-US" w:eastAsia="zh-CN"/>
              </w:rPr>
              <w:t>/</w:t>
            </w:r>
            <w:r>
              <w:rPr>
                <w:rFonts w:hint="default"/>
                <w:color w:val="auto"/>
                <w:szCs w:val="21"/>
                <w:highlight w:val="none"/>
                <w:u w:val="single"/>
              </w:rPr>
              <w:t xml:space="preserve">      </w:t>
            </w:r>
          </w:p>
          <w:p w14:paraId="0C7B235C">
            <w:pPr>
              <w:keepNext w:val="0"/>
              <w:keepLines w:val="0"/>
              <w:suppressLineNumbers w:val="0"/>
              <w:spacing w:before="0" w:beforeAutospacing="0" w:after="0" w:afterAutospacing="0" w:line="276" w:lineRule="auto"/>
              <w:ind w:left="0" w:right="0"/>
              <w:rPr>
                <w:rFonts w:hint="default"/>
                <w:color w:val="auto"/>
                <w:szCs w:val="21"/>
                <w:highlight w:val="none"/>
                <w:u w:val="single"/>
              </w:rPr>
            </w:pPr>
            <w:r>
              <w:rPr>
                <w:rFonts w:hint="eastAsia"/>
                <w:color w:val="auto"/>
                <w:szCs w:val="21"/>
                <w:highlight w:val="none"/>
              </w:rPr>
              <w:t>样品检测机构的要求：</w:t>
            </w:r>
            <w:r>
              <w:rPr>
                <w:rFonts w:hint="eastAsia"/>
                <w:color w:val="auto"/>
                <w:szCs w:val="21"/>
                <w:highlight w:val="none"/>
                <w:u w:val="single"/>
              </w:rPr>
              <w:t xml:space="preserve"> </w:t>
            </w:r>
            <w:r>
              <w:rPr>
                <w:rFonts w:hint="default"/>
                <w:color w:val="auto"/>
                <w:szCs w:val="21"/>
                <w:highlight w:val="none"/>
                <w:u w:val="single"/>
              </w:rPr>
              <w:t xml:space="preserve">     </w:t>
            </w:r>
            <w:r>
              <w:rPr>
                <w:rFonts w:hint="eastAsia"/>
                <w:color w:val="auto"/>
                <w:szCs w:val="21"/>
                <w:highlight w:val="none"/>
                <w:u w:val="single"/>
                <w:lang w:val="en-US" w:eastAsia="zh-CN"/>
              </w:rPr>
              <w:t>/</w:t>
            </w:r>
            <w:r>
              <w:rPr>
                <w:rFonts w:hint="default"/>
                <w:color w:val="auto"/>
                <w:szCs w:val="21"/>
                <w:highlight w:val="none"/>
                <w:u w:val="single"/>
              </w:rPr>
              <w:t xml:space="preserve">       </w:t>
            </w:r>
          </w:p>
          <w:p w14:paraId="7ED46BAE">
            <w:pPr>
              <w:keepNext w:val="0"/>
              <w:keepLines w:val="0"/>
              <w:suppressLineNumbers w:val="0"/>
              <w:spacing w:before="0" w:beforeAutospacing="0" w:after="0" w:afterAutospacing="0" w:line="276" w:lineRule="auto"/>
              <w:ind w:left="0" w:right="0"/>
              <w:rPr>
                <w:rFonts w:hint="default"/>
                <w:color w:val="auto"/>
                <w:szCs w:val="21"/>
                <w:highlight w:val="none"/>
                <w:u w:val="single"/>
              </w:rPr>
            </w:pPr>
            <w:r>
              <w:rPr>
                <w:rFonts w:hint="eastAsia"/>
                <w:color w:val="auto"/>
                <w:szCs w:val="21"/>
                <w:highlight w:val="none"/>
              </w:rPr>
              <w:t>检测内容：</w:t>
            </w:r>
            <w:r>
              <w:rPr>
                <w:rFonts w:hint="eastAsia"/>
                <w:color w:val="auto"/>
                <w:szCs w:val="21"/>
                <w:highlight w:val="none"/>
                <w:u w:val="single"/>
              </w:rPr>
              <w:t xml:space="preserve"> </w:t>
            </w:r>
            <w:r>
              <w:rPr>
                <w:rFonts w:hint="default"/>
                <w:color w:val="auto"/>
                <w:szCs w:val="21"/>
                <w:highlight w:val="none"/>
                <w:u w:val="single"/>
              </w:rPr>
              <w:t xml:space="preserve">       </w:t>
            </w:r>
            <w:r>
              <w:rPr>
                <w:rFonts w:hint="eastAsia"/>
                <w:color w:val="auto"/>
                <w:szCs w:val="21"/>
                <w:highlight w:val="none"/>
                <w:u w:val="single"/>
                <w:lang w:val="en-US" w:eastAsia="zh-CN"/>
              </w:rPr>
              <w:t>/</w:t>
            </w:r>
            <w:r>
              <w:rPr>
                <w:rFonts w:hint="default"/>
                <w:color w:val="auto"/>
                <w:szCs w:val="21"/>
                <w:highlight w:val="none"/>
                <w:u w:val="single"/>
              </w:rPr>
              <w:t xml:space="preserve">         </w:t>
            </w:r>
          </w:p>
          <w:p w14:paraId="57C0F083">
            <w:pPr>
              <w:keepNext w:val="0"/>
              <w:keepLines w:val="0"/>
              <w:suppressLineNumbers w:val="0"/>
              <w:spacing w:before="0" w:beforeAutospacing="0" w:after="0" w:afterAutospacing="0" w:line="276" w:lineRule="auto"/>
              <w:ind w:left="0" w:right="0"/>
              <w:rPr>
                <w:rFonts w:hint="eastAsia" w:eastAsia="宋体"/>
                <w:color w:val="auto"/>
                <w:szCs w:val="21"/>
                <w:highlight w:val="none"/>
                <w:lang w:val="en-US" w:eastAsia="zh-CN"/>
              </w:rPr>
            </w:pPr>
            <w:r>
              <w:rPr>
                <w:rFonts w:hint="eastAsia"/>
                <w:color w:val="auto"/>
                <w:szCs w:val="21"/>
                <w:highlight w:val="none"/>
              </w:rPr>
              <w:t>样品递交方式：</w:t>
            </w:r>
            <w:r>
              <w:rPr>
                <w:rFonts w:hint="default"/>
                <w:color w:val="auto"/>
                <w:szCs w:val="21"/>
                <w:highlight w:val="none"/>
                <w:u w:val="single"/>
              </w:rPr>
              <w:t xml:space="preserve"> </w:t>
            </w:r>
            <w:r>
              <w:rPr>
                <w:rFonts w:hint="eastAsia"/>
                <w:color w:val="auto"/>
                <w:szCs w:val="21"/>
                <w:highlight w:val="none"/>
                <w:u w:val="single"/>
                <w:lang w:val="en-US" w:eastAsia="zh-CN"/>
              </w:rPr>
              <w:t>/</w:t>
            </w:r>
          </w:p>
        </w:tc>
      </w:tr>
      <w:tr w14:paraId="6B5014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031FE752">
            <w:pPr>
              <w:keepNext w:val="0"/>
              <w:keepLines w:val="0"/>
              <w:widowControl w:val="0"/>
              <w:suppressLineNumbers w:val="0"/>
              <w:spacing w:before="0" w:beforeAutospacing="0" w:after="0" w:afterAutospacing="0" w:line="300" w:lineRule="exact"/>
              <w:ind w:left="0" w:leftChars="0" w:right="0" w:rightChars="0"/>
              <w:jc w:val="center"/>
              <w:rPr>
                <w:rFonts w:hint="eastAsia"/>
                <w:b/>
                <w:color w:val="auto"/>
                <w:szCs w:val="21"/>
                <w:highlight w:val="none"/>
              </w:rPr>
            </w:pPr>
            <w:r>
              <w:rPr>
                <w:rFonts w:hint="default" w:ascii="Times New Roman" w:hAnsi="Times New Roman" w:eastAsia="宋体" w:cs="Times New Roman"/>
                <w:b/>
                <w:bCs w:val="0"/>
                <w:color w:val="auto"/>
                <w:kern w:val="2"/>
                <w:sz w:val="21"/>
                <w:szCs w:val="21"/>
                <w:highlight w:val="none"/>
                <w:lang w:val="en-US" w:eastAsia="zh-CN" w:bidi="ar"/>
              </w:rPr>
              <w:t>6.3.5</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7ACF6CDC">
            <w:pPr>
              <w:keepNext w:val="0"/>
              <w:keepLines w:val="0"/>
              <w:widowControl w:val="0"/>
              <w:suppressLineNumbers w:val="0"/>
              <w:spacing w:before="0" w:beforeAutospacing="0" w:after="0" w:afterAutospacing="0" w:line="300" w:lineRule="exact"/>
              <w:ind w:left="0" w:leftChars="0" w:right="0" w:rightChars="0"/>
              <w:jc w:val="center"/>
              <w:rPr>
                <w:rFonts w:hint="eastAsia"/>
                <w:color w:val="auto"/>
                <w:szCs w:val="20"/>
                <w:highlight w:val="none"/>
              </w:rPr>
            </w:pPr>
            <w:r>
              <w:rPr>
                <w:rFonts w:hint="eastAsia" w:ascii="Times New Roman" w:hAnsi="Times New Roman" w:eastAsia="宋体" w:cs="宋体"/>
                <w:color w:val="auto"/>
                <w:kern w:val="2"/>
                <w:sz w:val="21"/>
                <w:szCs w:val="21"/>
                <w:highlight w:val="none"/>
                <w:lang w:val="en-US" w:eastAsia="zh-CN" w:bidi="ar"/>
              </w:rPr>
              <w:t>异常低价审查</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E89082F">
            <w:pPr>
              <w:keepNext w:val="0"/>
              <w:keepLines w:val="0"/>
              <w:widowControl w:val="0"/>
              <w:suppressLineNumbers w:val="0"/>
              <w:spacing w:before="120" w:beforeAutospacing="0" w:after="0" w:afterAutospacing="0" w:line="320" w:lineRule="atLeast"/>
              <w:ind w:left="0" w:right="0"/>
              <w:jc w:val="both"/>
              <w:rPr>
                <w:rFonts w:hint="default"/>
                <w:color w:val="auto"/>
                <w:szCs w:val="21"/>
                <w:highlight w:val="none"/>
                <w:lang w:val="en-US"/>
              </w:rPr>
            </w:pPr>
            <w:r>
              <w:rPr>
                <w:rFonts w:hint="default" w:ascii="Times New Roman" w:hAnsi="Times New Roman" w:eastAsia="Wingdings 2" w:cs="Wingdings 2"/>
                <w:color w:val="auto"/>
                <w:kern w:val="2"/>
                <w:sz w:val="22"/>
                <w:szCs w:val="22"/>
                <w:highlight w:val="none"/>
                <w:lang w:val="en-US" w:eastAsia="zh-CN" w:bidi="ar"/>
              </w:rPr>
              <w:sym w:font="Wingdings 2" w:char="0052"/>
            </w:r>
            <w:r>
              <w:rPr>
                <w:rFonts w:hint="eastAsia" w:ascii="Times New Roman" w:hAnsi="Times New Roman" w:eastAsia="宋体" w:cs="宋体"/>
                <w:color w:val="auto"/>
                <w:kern w:val="2"/>
                <w:sz w:val="21"/>
                <w:szCs w:val="21"/>
                <w:highlight w:val="none"/>
                <w:lang w:val="en-US" w:eastAsia="zh-CN" w:bidi="ar"/>
              </w:rPr>
              <w:t>评审委员会认为投标人的报价明显低于其他通过符合性审查投标人的报价，有可能影响产品质量或者不能诚信履约的；</w:t>
            </w:r>
          </w:p>
          <w:p w14:paraId="7FBD57A2">
            <w:pPr>
              <w:keepNext w:val="0"/>
              <w:keepLines w:val="0"/>
              <w:widowControl w:val="0"/>
              <w:suppressLineNumbers w:val="0"/>
              <w:spacing w:before="0" w:beforeAutospacing="0" w:after="0" w:afterAutospacing="0" w:line="300" w:lineRule="exact"/>
              <w:ind w:left="0" w:right="0"/>
              <w:jc w:val="left"/>
              <w:rPr>
                <w:rFonts w:hint="default"/>
                <w:color w:val="auto"/>
                <w:szCs w:val="21"/>
                <w:highlight w:val="none"/>
                <w:lang w:val="en-US"/>
              </w:rPr>
            </w:pPr>
            <w:r>
              <w:rPr>
                <w:rFonts w:hint="eastAsia" w:ascii="Times New Roman" w:hAnsi="Times New Roman" w:eastAsia="宋体" w:cs="宋体"/>
                <w:color w:val="auto"/>
                <w:kern w:val="2"/>
                <w:sz w:val="21"/>
                <w:szCs w:val="21"/>
                <w:highlight w:val="none"/>
                <w:lang w:val="en-US" w:eastAsia="zh-CN" w:bidi="ar"/>
              </w:rPr>
              <w:t>□评审中出现下列情形之一的，评审委员会应当启动异常低价响应审查程序：</w:t>
            </w:r>
          </w:p>
          <w:p w14:paraId="6BA6488C">
            <w:pPr>
              <w:keepNext w:val="0"/>
              <w:keepLines w:val="0"/>
              <w:widowControl w:val="0"/>
              <w:suppressLineNumbers w:val="0"/>
              <w:spacing w:before="0" w:beforeAutospacing="0" w:after="0" w:afterAutospacing="0" w:line="300" w:lineRule="exact"/>
              <w:ind w:left="0" w:right="0"/>
              <w:jc w:val="left"/>
              <w:rPr>
                <w:rFonts w:hint="default"/>
                <w:color w:val="auto"/>
                <w:szCs w:val="21"/>
                <w:highlight w:val="none"/>
                <w:lang w:val="en-US"/>
              </w:rPr>
            </w:pPr>
            <w:r>
              <w:rPr>
                <w:rFonts w:hint="default" w:ascii="Times New Roman" w:hAnsi="Times New Roman" w:eastAsia="宋体" w:cs="Times New Roman"/>
                <w:color w:val="auto"/>
                <w:kern w:val="2"/>
                <w:sz w:val="21"/>
                <w:szCs w:val="21"/>
                <w:highlight w:val="none"/>
                <w:lang w:val="en-US" w:eastAsia="zh-CN" w:bidi="ar"/>
              </w:rPr>
              <w:t xml:space="preserve"> </w:t>
            </w:r>
            <w:r>
              <w:rPr>
                <w:rFonts w:hint="eastAsia" w:ascii="Times New Roman" w:hAnsi="Times New Roman" w:eastAsia="宋体" w:cs="宋体"/>
                <w:color w:val="auto"/>
                <w:kern w:val="2"/>
                <w:sz w:val="21"/>
                <w:szCs w:val="21"/>
                <w:highlight w:val="none"/>
                <w:lang w:val="en-US" w:eastAsia="zh-CN" w:bidi="ar"/>
              </w:rPr>
              <w:t>（</w:t>
            </w:r>
            <w:r>
              <w:rPr>
                <w:rFonts w:hint="default" w:ascii="Times New Roman" w:hAnsi="Times New Roman" w:eastAsia="宋体" w:cs="Times New Roman"/>
                <w:color w:val="auto"/>
                <w:kern w:val="2"/>
                <w:sz w:val="21"/>
                <w:szCs w:val="21"/>
                <w:highlight w:val="none"/>
                <w:lang w:val="en-US" w:eastAsia="zh-CN" w:bidi="ar"/>
              </w:rPr>
              <w:t>1</w:t>
            </w:r>
            <w:r>
              <w:rPr>
                <w:rFonts w:hint="eastAsia" w:ascii="Times New Roman" w:hAnsi="Times New Roman" w:eastAsia="宋体" w:cs="宋体"/>
                <w:color w:val="auto"/>
                <w:kern w:val="2"/>
                <w:sz w:val="21"/>
                <w:szCs w:val="21"/>
                <w:highlight w:val="none"/>
                <w:lang w:val="en-US" w:eastAsia="zh-CN" w:bidi="ar"/>
              </w:rPr>
              <w:t>）响应报价低于全部通过符合性审查供应商响应报价平均值</w:t>
            </w:r>
            <w:r>
              <w:rPr>
                <w:rFonts w:hint="default" w:ascii="Times New Roman" w:hAnsi="Times New Roman" w:eastAsia="宋体" w:cs="Times New Roman"/>
                <w:color w:val="auto"/>
                <w:kern w:val="2"/>
                <w:sz w:val="21"/>
                <w:szCs w:val="21"/>
                <w:highlight w:val="none"/>
                <w:lang w:val="en-US" w:eastAsia="zh-CN" w:bidi="ar"/>
              </w:rPr>
              <w:t>50%</w:t>
            </w:r>
            <w:r>
              <w:rPr>
                <w:rFonts w:hint="eastAsia" w:ascii="Times New Roman" w:hAnsi="Times New Roman" w:eastAsia="宋体" w:cs="宋体"/>
                <w:color w:val="auto"/>
                <w:kern w:val="2"/>
                <w:sz w:val="21"/>
                <w:szCs w:val="21"/>
                <w:highlight w:val="none"/>
                <w:lang w:val="en-US" w:eastAsia="zh-CN" w:bidi="ar"/>
              </w:rPr>
              <w:t>的，即响应报价</w:t>
            </w:r>
            <w:r>
              <w:rPr>
                <w:rFonts w:hint="default" w:ascii="Times New Roman" w:hAnsi="Times New Roman" w:eastAsia="宋体" w:cs="Times New Roman"/>
                <w:color w:val="auto"/>
                <w:kern w:val="2"/>
                <w:sz w:val="21"/>
                <w:szCs w:val="21"/>
                <w:highlight w:val="none"/>
                <w:lang w:val="en-US" w:eastAsia="zh-CN" w:bidi="ar"/>
              </w:rPr>
              <w:t>&lt;</w:t>
            </w:r>
            <w:r>
              <w:rPr>
                <w:rFonts w:hint="eastAsia" w:ascii="Times New Roman" w:hAnsi="Times New Roman" w:eastAsia="宋体" w:cs="宋体"/>
                <w:color w:val="auto"/>
                <w:kern w:val="2"/>
                <w:sz w:val="21"/>
                <w:szCs w:val="21"/>
                <w:highlight w:val="none"/>
                <w:lang w:val="en-US" w:eastAsia="zh-CN" w:bidi="ar"/>
              </w:rPr>
              <w:t>全部通过符合性审查供应商响应报价平均值×</w:t>
            </w:r>
            <w:r>
              <w:rPr>
                <w:rFonts w:hint="default" w:ascii="Times New Roman" w:hAnsi="Times New Roman" w:eastAsia="宋体" w:cs="Times New Roman"/>
                <w:color w:val="auto"/>
                <w:kern w:val="2"/>
                <w:sz w:val="21"/>
                <w:szCs w:val="21"/>
                <w:highlight w:val="none"/>
                <w:lang w:val="en-US" w:eastAsia="zh-CN" w:bidi="ar"/>
              </w:rPr>
              <w:t>50%</w:t>
            </w:r>
            <w:r>
              <w:rPr>
                <w:rFonts w:hint="eastAsia" w:ascii="Times New Roman" w:hAnsi="Times New Roman" w:eastAsia="宋体" w:cs="宋体"/>
                <w:color w:val="auto"/>
                <w:kern w:val="2"/>
                <w:sz w:val="21"/>
                <w:szCs w:val="21"/>
                <w:highlight w:val="none"/>
                <w:lang w:val="en-US" w:eastAsia="zh-CN" w:bidi="ar"/>
              </w:rPr>
              <w:t>；</w:t>
            </w:r>
          </w:p>
          <w:p w14:paraId="12C528AA">
            <w:pPr>
              <w:keepNext w:val="0"/>
              <w:keepLines w:val="0"/>
              <w:widowControl w:val="0"/>
              <w:suppressLineNumbers w:val="0"/>
              <w:spacing w:before="0" w:beforeAutospacing="0" w:after="0" w:afterAutospacing="0" w:line="300" w:lineRule="exact"/>
              <w:ind w:left="0" w:right="0"/>
              <w:jc w:val="left"/>
              <w:rPr>
                <w:rFonts w:hint="default"/>
                <w:color w:val="auto"/>
                <w:szCs w:val="21"/>
                <w:highlight w:val="none"/>
                <w:lang w:val="en-US"/>
              </w:rPr>
            </w:pPr>
            <w:r>
              <w:rPr>
                <w:rFonts w:hint="eastAsia" w:ascii="Times New Roman" w:hAnsi="Times New Roman" w:eastAsia="宋体" w:cs="宋体"/>
                <w:color w:val="auto"/>
                <w:kern w:val="2"/>
                <w:sz w:val="21"/>
                <w:szCs w:val="21"/>
                <w:highlight w:val="none"/>
                <w:lang w:val="en-US" w:eastAsia="zh-CN" w:bidi="ar"/>
              </w:rPr>
              <w:t>（</w:t>
            </w:r>
            <w:r>
              <w:rPr>
                <w:rFonts w:hint="default" w:ascii="Times New Roman" w:hAnsi="Times New Roman" w:eastAsia="宋体" w:cs="Times New Roman"/>
                <w:color w:val="auto"/>
                <w:kern w:val="2"/>
                <w:sz w:val="21"/>
                <w:szCs w:val="21"/>
                <w:highlight w:val="none"/>
                <w:lang w:val="en-US" w:eastAsia="zh-CN" w:bidi="ar"/>
              </w:rPr>
              <w:t>2</w:t>
            </w:r>
            <w:r>
              <w:rPr>
                <w:rFonts w:hint="eastAsia" w:ascii="Times New Roman" w:hAnsi="Times New Roman" w:eastAsia="宋体" w:cs="宋体"/>
                <w:color w:val="auto"/>
                <w:kern w:val="2"/>
                <w:sz w:val="21"/>
                <w:szCs w:val="21"/>
                <w:highlight w:val="none"/>
                <w:lang w:val="en-US" w:eastAsia="zh-CN" w:bidi="ar"/>
              </w:rPr>
              <w:t>）响应报价低于通过符合性审查且报价次低供应商响应报价</w:t>
            </w:r>
            <w:r>
              <w:rPr>
                <w:rFonts w:hint="default" w:ascii="Times New Roman" w:hAnsi="Times New Roman" w:eastAsia="宋体" w:cs="Times New Roman"/>
                <w:color w:val="auto"/>
                <w:kern w:val="2"/>
                <w:sz w:val="21"/>
                <w:szCs w:val="21"/>
                <w:highlight w:val="none"/>
                <w:lang w:val="en-US" w:eastAsia="zh-CN" w:bidi="ar"/>
              </w:rPr>
              <w:t>50%</w:t>
            </w:r>
            <w:r>
              <w:rPr>
                <w:rFonts w:hint="eastAsia" w:ascii="Times New Roman" w:hAnsi="Times New Roman" w:eastAsia="宋体" w:cs="宋体"/>
                <w:color w:val="auto"/>
                <w:kern w:val="2"/>
                <w:sz w:val="21"/>
                <w:szCs w:val="21"/>
                <w:highlight w:val="none"/>
                <w:lang w:val="en-US" w:eastAsia="zh-CN" w:bidi="ar"/>
              </w:rPr>
              <w:t>的，即响应报价</w:t>
            </w:r>
            <w:r>
              <w:rPr>
                <w:rFonts w:hint="default" w:ascii="Times New Roman" w:hAnsi="Times New Roman" w:eastAsia="宋体" w:cs="Times New Roman"/>
                <w:color w:val="auto"/>
                <w:kern w:val="2"/>
                <w:sz w:val="21"/>
                <w:szCs w:val="21"/>
                <w:highlight w:val="none"/>
                <w:lang w:val="en-US" w:eastAsia="zh-CN" w:bidi="ar"/>
              </w:rPr>
              <w:t>&lt;</w:t>
            </w:r>
            <w:r>
              <w:rPr>
                <w:rFonts w:hint="eastAsia" w:ascii="Times New Roman" w:hAnsi="Times New Roman" w:eastAsia="宋体" w:cs="宋体"/>
                <w:color w:val="auto"/>
                <w:kern w:val="2"/>
                <w:sz w:val="21"/>
                <w:szCs w:val="21"/>
                <w:highlight w:val="none"/>
                <w:lang w:val="en-US" w:eastAsia="zh-CN" w:bidi="ar"/>
              </w:rPr>
              <w:t>通过符合性审查且报价次低供应商响应报价×</w:t>
            </w:r>
            <w:r>
              <w:rPr>
                <w:rFonts w:hint="default" w:ascii="Times New Roman" w:hAnsi="Times New Roman" w:eastAsia="宋体" w:cs="Times New Roman"/>
                <w:color w:val="auto"/>
                <w:kern w:val="2"/>
                <w:sz w:val="21"/>
                <w:szCs w:val="21"/>
                <w:highlight w:val="none"/>
                <w:lang w:val="en-US" w:eastAsia="zh-CN" w:bidi="ar"/>
              </w:rPr>
              <w:t>50%</w:t>
            </w:r>
            <w:r>
              <w:rPr>
                <w:rFonts w:hint="eastAsia" w:ascii="Times New Roman" w:hAnsi="Times New Roman" w:eastAsia="宋体" w:cs="宋体"/>
                <w:color w:val="auto"/>
                <w:kern w:val="2"/>
                <w:sz w:val="21"/>
                <w:szCs w:val="21"/>
                <w:highlight w:val="none"/>
                <w:lang w:val="en-US" w:eastAsia="zh-CN" w:bidi="ar"/>
              </w:rPr>
              <w:t>；</w:t>
            </w:r>
          </w:p>
          <w:p w14:paraId="0BFCD7DE">
            <w:pPr>
              <w:keepNext w:val="0"/>
              <w:keepLines w:val="0"/>
              <w:widowControl w:val="0"/>
              <w:suppressLineNumbers w:val="0"/>
              <w:spacing w:before="0" w:beforeAutospacing="0" w:after="0" w:afterAutospacing="0" w:line="300" w:lineRule="exact"/>
              <w:ind w:left="0" w:right="0"/>
              <w:jc w:val="left"/>
              <w:rPr>
                <w:rFonts w:hint="default"/>
                <w:color w:val="auto"/>
                <w:szCs w:val="21"/>
                <w:highlight w:val="none"/>
                <w:lang w:val="en-US"/>
              </w:rPr>
            </w:pPr>
            <w:r>
              <w:rPr>
                <w:rFonts w:hint="eastAsia" w:ascii="Times New Roman" w:hAnsi="Times New Roman" w:eastAsia="宋体" w:cs="宋体"/>
                <w:color w:val="auto"/>
                <w:kern w:val="2"/>
                <w:sz w:val="21"/>
                <w:szCs w:val="21"/>
                <w:highlight w:val="none"/>
                <w:lang w:val="en-US" w:eastAsia="zh-CN" w:bidi="ar"/>
              </w:rPr>
              <w:t>（</w:t>
            </w:r>
            <w:r>
              <w:rPr>
                <w:rFonts w:hint="default" w:ascii="Times New Roman" w:hAnsi="Times New Roman" w:eastAsia="宋体" w:cs="Times New Roman"/>
                <w:color w:val="auto"/>
                <w:kern w:val="2"/>
                <w:sz w:val="21"/>
                <w:szCs w:val="21"/>
                <w:highlight w:val="none"/>
                <w:lang w:val="en-US" w:eastAsia="zh-CN" w:bidi="ar"/>
              </w:rPr>
              <w:t>3</w:t>
            </w:r>
            <w:r>
              <w:rPr>
                <w:rFonts w:hint="eastAsia" w:ascii="Times New Roman" w:hAnsi="Times New Roman" w:eastAsia="宋体" w:cs="宋体"/>
                <w:color w:val="auto"/>
                <w:kern w:val="2"/>
                <w:sz w:val="21"/>
                <w:szCs w:val="21"/>
                <w:highlight w:val="none"/>
                <w:lang w:val="en-US" w:eastAsia="zh-CN" w:bidi="ar"/>
              </w:rPr>
              <w:t>）响应报价低于采购项目最高限价</w:t>
            </w:r>
            <w:r>
              <w:rPr>
                <w:rFonts w:hint="default" w:ascii="Times New Roman" w:hAnsi="Times New Roman" w:eastAsia="宋体" w:cs="Times New Roman"/>
                <w:color w:val="auto"/>
                <w:kern w:val="2"/>
                <w:sz w:val="21"/>
                <w:szCs w:val="21"/>
                <w:highlight w:val="none"/>
                <w:lang w:val="en-US" w:eastAsia="zh-CN" w:bidi="ar"/>
              </w:rPr>
              <w:t>45%</w:t>
            </w:r>
            <w:r>
              <w:rPr>
                <w:rFonts w:hint="eastAsia" w:ascii="Times New Roman" w:hAnsi="Times New Roman" w:eastAsia="宋体" w:cs="宋体"/>
                <w:color w:val="auto"/>
                <w:kern w:val="2"/>
                <w:sz w:val="21"/>
                <w:szCs w:val="21"/>
                <w:highlight w:val="none"/>
                <w:lang w:val="en-US" w:eastAsia="zh-CN" w:bidi="ar"/>
              </w:rPr>
              <w:t>的，即响应报价</w:t>
            </w:r>
            <w:r>
              <w:rPr>
                <w:rFonts w:hint="default" w:ascii="Times New Roman" w:hAnsi="Times New Roman" w:eastAsia="宋体" w:cs="Times New Roman"/>
                <w:color w:val="auto"/>
                <w:kern w:val="2"/>
                <w:sz w:val="21"/>
                <w:szCs w:val="21"/>
                <w:highlight w:val="none"/>
                <w:lang w:val="en-US" w:eastAsia="zh-CN" w:bidi="ar"/>
              </w:rPr>
              <w:t>&lt;</w:t>
            </w:r>
            <w:r>
              <w:rPr>
                <w:rFonts w:hint="eastAsia" w:ascii="Times New Roman" w:hAnsi="Times New Roman" w:eastAsia="宋体" w:cs="宋体"/>
                <w:color w:val="auto"/>
                <w:kern w:val="2"/>
                <w:sz w:val="21"/>
                <w:szCs w:val="21"/>
                <w:highlight w:val="none"/>
                <w:lang w:val="en-US" w:eastAsia="zh-CN" w:bidi="ar"/>
              </w:rPr>
              <w:t>采购项目最高限价×</w:t>
            </w:r>
            <w:r>
              <w:rPr>
                <w:rFonts w:hint="default" w:ascii="Times New Roman" w:hAnsi="Times New Roman" w:eastAsia="宋体" w:cs="Times New Roman"/>
                <w:color w:val="auto"/>
                <w:kern w:val="2"/>
                <w:sz w:val="21"/>
                <w:szCs w:val="21"/>
                <w:highlight w:val="none"/>
                <w:lang w:val="en-US" w:eastAsia="zh-CN" w:bidi="ar"/>
              </w:rPr>
              <w:t>45%</w:t>
            </w:r>
            <w:r>
              <w:rPr>
                <w:rFonts w:hint="eastAsia" w:ascii="Times New Roman" w:hAnsi="Times New Roman" w:eastAsia="宋体" w:cs="宋体"/>
                <w:color w:val="auto"/>
                <w:kern w:val="2"/>
                <w:sz w:val="21"/>
                <w:szCs w:val="21"/>
                <w:highlight w:val="none"/>
                <w:lang w:val="en-US" w:eastAsia="zh-CN" w:bidi="ar"/>
              </w:rPr>
              <w:t>；</w:t>
            </w:r>
          </w:p>
          <w:p w14:paraId="7BE61837">
            <w:pPr>
              <w:keepNext w:val="0"/>
              <w:keepLines w:val="0"/>
              <w:widowControl w:val="0"/>
              <w:suppressLineNumbers w:val="0"/>
              <w:spacing w:before="0" w:beforeAutospacing="0" w:after="0" w:afterAutospacing="0" w:line="276" w:lineRule="auto"/>
              <w:ind w:left="0" w:leftChars="0" w:right="0" w:rightChars="0"/>
              <w:jc w:val="both"/>
              <w:rPr>
                <w:rFonts w:hint="eastAsia"/>
                <w:color w:val="auto"/>
                <w:szCs w:val="21"/>
                <w:highlight w:val="none"/>
              </w:rPr>
            </w:pPr>
            <w:r>
              <w:rPr>
                <w:rFonts w:hint="eastAsia" w:ascii="Times New Roman" w:hAnsi="Times New Roman" w:eastAsia="宋体" w:cs="宋体"/>
                <w:color w:val="auto"/>
                <w:kern w:val="2"/>
                <w:sz w:val="21"/>
                <w:szCs w:val="21"/>
                <w:highlight w:val="none"/>
                <w:lang w:val="en-US" w:eastAsia="zh-CN" w:bidi="ar"/>
              </w:rPr>
              <w:t>（</w:t>
            </w:r>
            <w:r>
              <w:rPr>
                <w:rFonts w:hint="default" w:ascii="Times New Roman" w:hAnsi="Times New Roman" w:eastAsia="宋体" w:cs="Times New Roman"/>
                <w:color w:val="auto"/>
                <w:kern w:val="2"/>
                <w:sz w:val="21"/>
                <w:szCs w:val="21"/>
                <w:highlight w:val="none"/>
                <w:lang w:val="en-US" w:eastAsia="zh-CN" w:bidi="ar"/>
              </w:rPr>
              <w:t>4</w:t>
            </w:r>
            <w:r>
              <w:rPr>
                <w:rFonts w:hint="eastAsia" w:ascii="Times New Roman" w:hAnsi="Times New Roman" w:eastAsia="宋体" w:cs="宋体"/>
                <w:color w:val="auto"/>
                <w:kern w:val="2"/>
                <w:sz w:val="21"/>
                <w:szCs w:val="21"/>
                <w:highlight w:val="none"/>
                <w:lang w:val="en-US" w:eastAsia="zh-CN" w:bidi="ar"/>
              </w:rPr>
              <w:t>）其他评审委员会认为供应商报价过低，有可能影响产品质量或者不能诚信履约的情形。</w:t>
            </w:r>
          </w:p>
        </w:tc>
      </w:tr>
      <w:tr w14:paraId="23425C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49461835">
            <w:pPr>
              <w:keepNext w:val="0"/>
              <w:keepLines w:val="0"/>
              <w:suppressLineNumbers w:val="0"/>
              <w:spacing w:before="0" w:beforeAutospacing="0" w:after="0" w:afterAutospacing="0" w:line="300" w:lineRule="exact"/>
              <w:ind w:left="0" w:right="0"/>
              <w:jc w:val="center"/>
              <w:rPr>
                <w:rFonts w:hint="default"/>
                <w:b/>
                <w:color w:val="auto"/>
                <w:szCs w:val="21"/>
                <w:highlight w:val="none"/>
              </w:rPr>
            </w:pPr>
            <w:r>
              <w:rPr>
                <w:rFonts w:hint="default"/>
                <w:b/>
                <w:color w:val="auto"/>
                <w:szCs w:val="21"/>
                <w:highlight w:val="none"/>
              </w:rPr>
              <w:t>6.5</w:t>
            </w:r>
            <w:r>
              <w:rPr>
                <w:rFonts w:hint="eastAsia"/>
                <w:b/>
                <w:color w:val="auto"/>
                <w:szCs w:val="21"/>
                <w:highlight w:val="none"/>
              </w:rPr>
              <w:t>.1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5120A62">
            <w:pPr>
              <w:keepNext w:val="0"/>
              <w:keepLines w:val="0"/>
              <w:suppressLineNumbers w:val="0"/>
              <w:spacing w:before="0" w:beforeAutospacing="0" w:after="0" w:afterAutospacing="0" w:line="300" w:lineRule="exact"/>
              <w:ind w:left="0" w:right="0"/>
              <w:jc w:val="center"/>
              <w:rPr>
                <w:rFonts w:hint="default"/>
                <w:color w:val="auto"/>
                <w:szCs w:val="21"/>
                <w:highlight w:val="none"/>
              </w:rPr>
            </w:pPr>
            <w:r>
              <w:rPr>
                <w:rFonts w:hint="eastAsia"/>
                <w:color w:val="auto"/>
                <w:szCs w:val="21"/>
                <w:highlight w:val="none"/>
              </w:rPr>
              <w:t>结果</w:t>
            </w:r>
            <w:r>
              <w:rPr>
                <w:rFonts w:hint="default"/>
                <w:color w:val="auto"/>
                <w:szCs w:val="21"/>
                <w:highlight w:val="none"/>
              </w:rPr>
              <w:t>公告</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1A6933A">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default"/>
                <w:color w:val="auto"/>
                <w:szCs w:val="21"/>
                <w:highlight w:val="none"/>
              </w:rPr>
              <w:t>采购代理机构在采购人依法确认成交供应商后2个工作日内在磋商公告发布的媒体上发布</w:t>
            </w:r>
            <w:r>
              <w:rPr>
                <w:rFonts w:hint="eastAsia"/>
                <w:color w:val="auto"/>
                <w:szCs w:val="21"/>
                <w:highlight w:val="none"/>
              </w:rPr>
              <w:t>结果</w:t>
            </w:r>
            <w:r>
              <w:rPr>
                <w:rFonts w:hint="default"/>
                <w:color w:val="auto"/>
                <w:szCs w:val="21"/>
                <w:highlight w:val="none"/>
              </w:rPr>
              <w:t>公告</w:t>
            </w:r>
            <w:r>
              <w:rPr>
                <w:rFonts w:hint="eastAsia"/>
                <w:color w:val="auto"/>
                <w:szCs w:val="21"/>
                <w:highlight w:val="none"/>
              </w:rPr>
              <w:t>。</w:t>
            </w:r>
          </w:p>
        </w:tc>
      </w:tr>
      <w:tr w14:paraId="02C639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561CC621">
            <w:pPr>
              <w:keepNext w:val="0"/>
              <w:keepLines w:val="0"/>
              <w:suppressLineNumbers w:val="0"/>
              <w:spacing w:before="0" w:beforeAutospacing="0" w:after="0" w:afterAutospacing="0" w:line="300" w:lineRule="exact"/>
              <w:ind w:left="0" w:right="0"/>
              <w:jc w:val="center"/>
              <w:rPr>
                <w:rFonts w:hint="default"/>
                <w:b/>
                <w:color w:val="auto"/>
                <w:szCs w:val="21"/>
                <w:highlight w:val="none"/>
              </w:rPr>
            </w:pPr>
            <w:r>
              <w:rPr>
                <w:rFonts w:hint="default"/>
                <w:b/>
                <w:color w:val="auto"/>
                <w:szCs w:val="21"/>
                <w:highlight w:val="none"/>
              </w:rPr>
              <w:t>6.5.2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BAF13BF">
            <w:pPr>
              <w:keepNext w:val="0"/>
              <w:keepLines w:val="0"/>
              <w:suppressLineNumbers w:val="0"/>
              <w:spacing w:before="0" w:beforeAutospacing="0" w:after="0" w:afterAutospacing="0" w:line="300" w:lineRule="exact"/>
              <w:ind w:left="0" w:right="0"/>
              <w:jc w:val="center"/>
              <w:rPr>
                <w:rFonts w:hint="default"/>
                <w:color w:val="auto"/>
                <w:szCs w:val="21"/>
                <w:highlight w:val="none"/>
              </w:rPr>
            </w:pPr>
            <w:r>
              <w:rPr>
                <w:rFonts w:hint="eastAsia"/>
                <w:color w:val="auto"/>
                <w:szCs w:val="21"/>
                <w:highlight w:val="none"/>
              </w:rPr>
              <w:t>成交通知书</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6652896">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eastAsia"/>
                <w:color w:val="auto"/>
                <w:szCs w:val="21"/>
                <w:highlight w:val="none"/>
              </w:rPr>
              <w:t>采购代理机构通过广西政府采购云平台发出</w:t>
            </w:r>
            <w:r>
              <w:rPr>
                <w:rFonts w:hint="default"/>
                <w:color w:val="auto"/>
                <w:szCs w:val="21"/>
                <w:highlight w:val="none"/>
              </w:rPr>
              <w:t>成交通知书。</w:t>
            </w:r>
          </w:p>
          <w:p w14:paraId="1D31FFBC">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eastAsia"/>
                <w:color w:val="auto"/>
                <w:szCs w:val="21"/>
                <w:highlight w:val="none"/>
              </w:rPr>
              <w:t>成交通知书在广西政府采购云平台推送之日起，视为成交供应商已收到，成交供应商自行承担未及时查收的后果。</w:t>
            </w:r>
          </w:p>
        </w:tc>
      </w:tr>
      <w:tr w14:paraId="382746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57148D33">
            <w:pPr>
              <w:keepNext w:val="0"/>
              <w:keepLines w:val="0"/>
              <w:suppressLineNumbers w:val="0"/>
              <w:spacing w:before="0" w:beforeAutospacing="0" w:after="0" w:afterAutospacing="0" w:line="300" w:lineRule="exact"/>
              <w:ind w:left="0" w:right="0"/>
              <w:jc w:val="center"/>
              <w:rPr>
                <w:rFonts w:hint="default"/>
                <w:b/>
                <w:color w:val="auto"/>
                <w:szCs w:val="21"/>
                <w:highlight w:val="none"/>
              </w:rPr>
            </w:pPr>
            <w:r>
              <w:rPr>
                <w:rFonts w:hint="default"/>
                <w:b/>
                <w:color w:val="auto"/>
                <w:szCs w:val="21"/>
                <w:highlight w:val="none"/>
              </w:rPr>
              <w:t>8.1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09ADC3B0">
            <w:pPr>
              <w:keepNext w:val="0"/>
              <w:keepLines w:val="0"/>
              <w:suppressLineNumbers w:val="0"/>
              <w:spacing w:before="0" w:beforeAutospacing="0" w:after="0" w:afterAutospacing="0" w:line="300" w:lineRule="exact"/>
              <w:ind w:left="0" w:right="0"/>
              <w:jc w:val="center"/>
              <w:rPr>
                <w:rFonts w:hint="default"/>
                <w:color w:val="auto"/>
                <w:szCs w:val="21"/>
                <w:highlight w:val="none"/>
              </w:rPr>
            </w:pPr>
            <w:r>
              <w:rPr>
                <w:rFonts w:hint="eastAsia"/>
                <w:color w:val="auto"/>
                <w:szCs w:val="21"/>
                <w:highlight w:val="none"/>
              </w:rPr>
              <w:t>质疑</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7F6166F">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eastAsia"/>
                <w:color w:val="auto"/>
                <w:szCs w:val="21"/>
                <w:highlight w:val="none"/>
              </w:rPr>
              <w:t>（1）供应商</w:t>
            </w:r>
            <w:r>
              <w:rPr>
                <w:rFonts w:hint="default"/>
                <w:color w:val="auto"/>
                <w:szCs w:val="21"/>
                <w:highlight w:val="none"/>
              </w:rPr>
              <w:t>认为</w:t>
            </w:r>
            <w:r>
              <w:rPr>
                <w:rFonts w:hint="eastAsia"/>
                <w:color w:val="auto"/>
                <w:szCs w:val="21"/>
                <w:highlight w:val="none"/>
              </w:rPr>
              <w:t>采购文件</w:t>
            </w:r>
            <w:r>
              <w:rPr>
                <w:rFonts w:hint="default"/>
                <w:color w:val="auto"/>
                <w:szCs w:val="21"/>
                <w:highlight w:val="none"/>
              </w:rPr>
              <w:t>、</w:t>
            </w:r>
            <w:r>
              <w:rPr>
                <w:rFonts w:hint="eastAsia"/>
                <w:color w:val="auto"/>
                <w:szCs w:val="21"/>
                <w:highlight w:val="none"/>
              </w:rPr>
              <w:t>采购</w:t>
            </w:r>
            <w:r>
              <w:rPr>
                <w:rFonts w:hint="default"/>
                <w:color w:val="auto"/>
                <w:szCs w:val="21"/>
                <w:highlight w:val="none"/>
              </w:rPr>
              <w:t>过程、</w:t>
            </w:r>
            <w:r>
              <w:rPr>
                <w:rFonts w:hint="eastAsia"/>
                <w:color w:val="auto"/>
                <w:szCs w:val="21"/>
                <w:highlight w:val="none"/>
              </w:rPr>
              <w:t>中标或者成交</w:t>
            </w:r>
            <w:r>
              <w:rPr>
                <w:rFonts w:hint="default"/>
                <w:color w:val="auto"/>
                <w:szCs w:val="21"/>
                <w:highlight w:val="none"/>
              </w:rPr>
              <w:t>结果使自己的权益受到损害的，可以在知道或者应知其权益受到损害之日起7个工作日内，</w:t>
            </w:r>
            <w:r>
              <w:rPr>
                <w:rFonts w:hint="eastAsia"/>
                <w:color w:val="auto"/>
                <w:szCs w:val="21"/>
                <w:highlight w:val="none"/>
              </w:rPr>
              <w:t>通过以下方式</w:t>
            </w:r>
            <w:r>
              <w:rPr>
                <w:rFonts w:hint="default"/>
                <w:color w:val="auto"/>
                <w:szCs w:val="21"/>
                <w:highlight w:val="none"/>
              </w:rPr>
              <w:t>向采购人、采购代理机构提出质疑。提出质疑的</w:t>
            </w:r>
            <w:r>
              <w:rPr>
                <w:rFonts w:hint="eastAsia"/>
                <w:color w:val="auto"/>
                <w:szCs w:val="21"/>
                <w:highlight w:val="none"/>
              </w:rPr>
              <w:t>供应商</w:t>
            </w:r>
            <w:r>
              <w:rPr>
                <w:rFonts w:hint="default"/>
                <w:color w:val="auto"/>
                <w:szCs w:val="21"/>
                <w:highlight w:val="none"/>
              </w:rPr>
              <w:t>必须是参与本项目采购活动的供应商</w:t>
            </w:r>
            <w:r>
              <w:rPr>
                <w:rFonts w:hint="eastAsia"/>
                <w:color w:val="auto"/>
                <w:szCs w:val="21"/>
                <w:highlight w:val="none"/>
              </w:rPr>
              <w:t>，并须在</w:t>
            </w:r>
            <w:r>
              <w:rPr>
                <w:rFonts w:hint="default"/>
                <w:color w:val="auto"/>
                <w:szCs w:val="21"/>
                <w:highlight w:val="none"/>
              </w:rPr>
              <w:t>法定质疑期内一次性提出针对同一采购程序环节的质疑。质疑函应使用财政部发布的</w:t>
            </w:r>
            <w:r>
              <w:rPr>
                <w:rFonts w:hint="eastAsia"/>
                <w:color w:val="auto"/>
                <w:szCs w:val="21"/>
                <w:highlight w:val="none"/>
              </w:rPr>
              <w:t>政府采购供应商质疑函范本，并应按照“质疑函制作说明”进行制作。</w:t>
            </w:r>
          </w:p>
          <w:p w14:paraId="641F6E27">
            <w:pPr>
              <w:keepNext w:val="0"/>
              <w:keepLines w:val="0"/>
              <w:suppressLineNumbers w:val="0"/>
              <w:spacing w:before="0" w:beforeAutospacing="0" w:after="0" w:afterAutospacing="0" w:line="300" w:lineRule="exact"/>
              <w:ind w:left="0" w:right="0"/>
              <w:jc w:val="left"/>
              <w:rPr>
                <w:rFonts w:hint="eastAsia"/>
                <w:color w:val="auto"/>
                <w:szCs w:val="21"/>
                <w:highlight w:val="none"/>
              </w:rPr>
            </w:pPr>
            <w:r>
              <w:rPr>
                <w:rFonts w:hint="eastAsia"/>
                <w:color w:val="auto"/>
                <w:szCs w:val="21"/>
                <w:highlight w:val="none"/>
              </w:rPr>
              <w:t>（2）</w:t>
            </w:r>
            <w:r>
              <w:rPr>
                <w:rFonts w:hint="default"/>
                <w:color w:val="auto"/>
                <w:szCs w:val="21"/>
                <w:highlight w:val="none"/>
              </w:rPr>
              <w:t>本项目不接受传真、移动通信</w:t>
            </w:r>
            <w:r>
              <w:rPr>
                <w:rFonts w:hint="eastAsia"/>
                <w:color w:val="auto"/>
                <w:szCs w:val="21"/>
                <w:highlight w:val="none"/>
              </w:rPr>
              <w:t>、广西政府采购云平台</w:t>
            </w:r>
            <w:r>
              <w:rPr>
                <w:rFonts w:hint="default"/>
                <w:color w:val="auto"/>
                <w:szCs w:val="21"/>
                <w:highlight w:val="none"/>
              </w:rPr>
              <w:t>等</w:t>
            </w:r>
            <w:r>
              <w:rPr>
                <w:rFonts w:hint="eastAsia"/>
                <w:color w:val="auto"/>
                <w:szCs w:val="21"/>
                <w:highlight w:val="none"/>
              </w:rPr>
              <w:t>方式</w:t>
            </w:r>
            <w:r>
              <w:rPr>
                <w:rFonts w:hint="default"/>
                <w:color w:val="auto"/>
                <w:szCs w:val="21"/>
                <w:highlight w:val="none"/>
              </w:rPr>
              <w:t>送达的质疑材料</w:t>
            </w:r>
            <w:r>
              <w:rPr>
                <w:rFonts w:hint="eastAsia"/>
                <w:color w:val="auto"/>
                <w:szCs w:val="21"/>
                <w:highlight w:val="none"/>
              </w:rPr>
              <w:t>，供应商可通过现场或邮寄方式递交书面质疑材料。供应商应于质疑有效期内将质疑函原件递交或邮寄至磋商公告中采购代理机构信息中的联系人。</w:t>
            </w:r>
          </w:p>
        </w:tc>
      </w:tr>
      <w:tr w14:paraId="45A829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42D7E795">
            <w:pPr>
              <w:keepNext w:val="0"/>
              <w:keepLines w:val="0"/>
              <w:suppressLineNumbers w:val="0"/>
              <w:spacing w:before="0" w:beforeAutospacing="0" w:after="0" w:afterAutospacing="0" w:line="300" w:lineRule="exact"/>
              <w:ind w:left="0" w:right="0"/>
              <w:jc w:val="center"/>
              <w:rPr>
                <w:rFonts w:hint="default"/>
                <w:b/>
                <w:color w:val="auto"/>
                <w:szCs w:val="21"/>
                <w:highlight w:val="none"/>
              </w:rPr>
            </w:pPr>
            <w:r>
              <w:rPr>
                <w:rFonts w:hint="default"/>
                <w:b/>
                <w:color w:val="auto"/>
                <w:szCs w:val="21"/>
                <w:highlight w:val="none"/>
              </w:rPr>
              <w:t>9.1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0BAE94D">
            <w:pPr>
              <w:keepNext w:val="0"/>
              <w:keepLines w:val="0"/>
              <w:suppressLineNumbers w:val="0"/>
              <w:spacing w:before="0" w:beforeAutospacing="0" w:after="0" w:afterAutospacing="0" w:line="300" w:lineRule="exact"/>
              <w:ind w:left="0" w:right="0"/>
              <w:jc w:val="center"/>
              <w:rPr>
                <w:rFonts w:hint="default"/>
                <w:color w:val="auto"/>
                <w:szCs w:val="21"/>
                <w:highlight w:val="none"/>
              </w:rPr>
            </w:pPr>
            <w:r>
              <w:rPr>
                <w:rFonts w:hint="default"/>
                <w:color w:val="auto"/>
                <w:szCs w:val="20"/>
                <w:highlight w:val="none"/>
              </w:rPr>
              <w:t>代理服务费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2F85F32">
            <w:pPr>
              <w:keepNext w:val="0"/>
              <w:keepLines w:val="0"/>
              <w:suppressLineNumbers w:val="0"/>
              <w:spacing w:before="0" w:beforeAutospacing="0" w:after="0" w:afterAutospacing="0"/>
              <w:ind w:left="0" w:right="0"/>
              <w:rPr>
                <w:rFonts w:hint="default"/>
                <w:color w:val="auto"/>
                <w:szCs w:val="21"/>
                <w:highlight w:val="none"/>
              </w:rPr>
            </w:pPr>
            <w:r>
              <w:rPr>
                <w:rFonts w:hint="default"/>
                <w:color w:val="auto"/>
                <w:szCs w:val="21"/>
                <w:highlight w:val="none"/>
              </w:rPr>
              <w:t>（1）</w:t>
            </w:r>
            <w:r>
              <w:rPr>
                <w:rFonts w:hint="default"/>
                <w:color w:val="auto"/>
                <w:szCs w:val="20"/>
                <w:highlight w:val="none"/>
              </w:rPr>
              <w:t>代理服务费</w:t>
            </w:r>
          </w:p>
          <w:p w14:paraId="0B8BF9CD">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default"/>
                <w:color w:val="auto"/>
                <w:szCs w:val="21"/>
                <w:highlight w:val="none"/>
              </w:rPr>
              <w:sym w:font="Wingdings 2" w:char="F052"/>
            </w:r>
            <w:r>
              <w:rPr>
                <w:rFonts w:hint="default"/>
                <w:color w:val="auto"/>
                <w:szCs w:val="21"/>
                <w:highlight w:val="none"/>
              </w:rPr>
              <w:t>采购代理机构向成交供应商收取代理服务费。本项目代理服务费</w:t>
            </w:r>
            <w:r>
              <w:rPr>
                <w:rFonts w:hint="eastAsia"/>
                <w:color w:val="auto"/>
                <w:szCs w:val="21"/>
                <w:highlight w:val="none"/>
              </w:rPr>
              <w:t>按照</w:t>
            </w:r>
            <w:r>
              <w:rPr>
                <w:rFonts w:hint="default"/>
                <w:color w:val="auto"/>
                <w:szCs w:val="21"/>
                <w:highlight w:val="none"/>
              </w:rPr>
              <w:t>《招标代理服务费管理暂行办法》 (计价格﹝2002﹞1980号)、《国家发展改革委关于降低部分建设项目收费标准规范收费行为等有关问题的通知》(发改价格﹝2011﹞534号)</w:t>
            </w:r>
            <w:r>
              <w:rPr>
                <w:rFonts w:hint="eastAsia"/>
                <w:color w:val="auto"/>
                <w:szCs w:val="21"/>
                <w:highlight w:val="none"/>
              </w:rPr>
              <w:t>的</w:t>
            </w:r>
            <w:r>
              <w:rPr>
                <w:rFonts w:hint="default"/>
                <w:color w:val="auto"/>
                <w:szCs w:val="21"/>
                <w:highlight w:val="none"/>
              </w:rPr>
              <w:t>规定</w:t>
            </w:r>
            <w:r>
              <w:rPr>
                <w:rFonts w:hint="eastAsia"/>
                <w:color w:val="auto"/>
                <w:szCs w:val="21"/>
                <w:highlight w:val="none"/>
              </w:rPr>
              <w:t>采用</w:t>
            </w:r>
            <w:r>
              <w:rPr>
                <w:rFonts w:hint="default"/>
                <w:color w:val="auto"/>
                <w:szCs w:val="21"/>
                <w:highlight w:val="none"/>
              </w:rPr>
              <w:t>差额定率累进</w:t>
            </w:r>
            <w:r>
              <w:rPr>
                <w:rFonts w:hint="eastAsia"/>
                <w:color w:val="auto"/>
                <w:szCs w:val="21"/>
                <w:highlight w:val="none"/>
              </w:rPr>
              <w:t>法</w:t>
            </w:r>
            <w:r>
              <w:rPr>
                <w:rFonts w:hint="default"/>
                <w:color w:val="auto"/>
                <w:szCs w:val="21"/>
                <w:highlight w:val="none"/>
              </w:rPr>
              <w:t>计算</w:t>
            </w:r>
            <w:r>
              <w:rPr>
                <w:rFonts w:hint="eastAsia"/>
                <w:color w:val="auto"/>
                <w:szCs w:val="21"/>
                <w:highlight w:val="none"/>
              </w:rPr>
              <w:t>。</w:t>
            </w:r>
            <w:r>
              <w:rPr>
                <w:rFonts w:hint="default"/>
                <w:color w:val="auto"/>
                <w:szCs w:val="21"/>
                <w:highlight w:val="none"/>
              </w:rPr>
              <w:t>具体费率</w:t>
            </w:r>
            <w:r>
              <w:rPr>
                <w:rFonts w:hint="eastAsia"/>
                <w:color w:val="auto"/>
                <w:szCs w:val="21"/>
                <w:highlight w:val="none"/>
              </w:rPr>
              <w:t>如下：</w:t>
            </w:r>
          </w:p>
          <w:p w14:paraId="22CC837E">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eastAsia"/>
                <w:color w:val="auto"/>
                <w:szCs w:val="21"/>
                <w:highlight w:val="none"/>
              </w:rPr>
              <w:t>①成交金额在1</w:t>
            </w:r>
            <w:r>
              <w:rPr>
                <w:rFonts w:hint="default"/>
                <w:color w:val="auto"/>
                <w:szCs w:val="21"/>
                <w:highlight w:val="none"/>
              </w:rPr>
              <w:t>00</w:t>
            </w:r>
            <w:r>
              <w:rPr>
                <w:rFonts w:hint="eastAsia"/>
                <w:color w:val="auto"/>
                <w:szCs w:val="21"/>
                <w:highlight w:val="none"/>
              </w:rPr>
              <w:t>万元以下的：</w:t>
            </w:r>
          </w:p>
          <w:p w14:paraId="2D4EE58B">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eastAsia"/>
                <w:color w:val="auto"/>
                <w:szCs w:val="21"/>
                <w:highlight w:val="none"/>
              </w:rPr>
              <w:t>货物</w:t>
            </w:r>
            <w:r>
              <w:rPr>
                <w:rFonts w:hint="default"/>
                <w:color w:val="auto"/>
                <w:szCs w:val="21"/>
                <w:highlight w:val="none"/>
              </w:rPr>
              <w:t>1.5％</w:t>
            </w:r>
            <w:r>
              <w:rPr>
                <w:rFonts w:hint="eastAsia"/>
                <w:color w:val="auto"/>
                <w:szCs w:val="21"/>
                <w:highlight w:val="none"/>
              </w:rPr>
              <w:t>；</w:t>
            </w:r>
            <w:r>
              <w:rPr>
                <w:rFonts w:hint="default"/>
                <w:color w:val="auto"/>
                <w:szCs w:val="21"/>
                <w:highlight w:val="none"/>
              </w:rPr>
              <w:t>服务招标1.5％</w:t>
            </w:r>
            <w:r>
              <w:rPr>
                <w:rFonts w:hint="eastAsia"/>
                <w:color w:val="auto"/>
                <w:szCs w:val="21"/>
                <w:highlight w:val="none"/>
              </w:rPr>
              <w:t>；</w:t>
            </w:r>
            <w:r>
              <w:rPr>
                <w:rFonts w:hint="default"/>
                <w:color w:val="auto"/>
                <w:szCs w:val="21"/>
                <w:highlight w:val="none"/>
              </w:rPr>
              <w:t>工程招标1.0％</w:t>
            </w:r>
            <w:r>
              <w:rPr>
                <w:rFonts w:hint="eastAsia"/>
                <w:color w:val="auto"/>
                <w:szCs w:val="21"/>
                <w:highlight w:val="none"/>
              </w:rPr>
              <w:t>；</w:t>
            </w:r>
          </w:p>
          <w:p w14:paraId="0B0CF006">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eastAsia"/>
                <w:color w:val="auto"/>
                <w:szCs w:val="21"/>
                <w:highlight w:val="none"/>
              </w:rPr>
              <w:t>②成交金额在</w:t>
            </w:r>
            <w:r>
              <w:rPr>
                <w:rFonts w:hint="default"/>
                <w:color w:val="auto"/>
                <w:szCs w:val="21"/>
                <w:highlight w:val="none"/>
              </w:rPr>
              <w:t>100-500</w:t>
            </w:r>
            <w:r>
              <w:rPr>
                <w:rFonts w:hint="eastAsia"/>
                <w:color w:val="auto"/>
                <w:szCs w:val="21"/>
                <w:highlight w:val="none"/>
              </w:rPr>
              <w:t>万元之间：</w:t>
            </w:r>
          </w:p>
          <w:p w14:paraId="1E9102F5">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eastAsia"/>
                <w:color w:val="auto"/>
                <w:szCs w:val="21"/>
                <w:highlight w:val="none"/>
              </w:rPr>
              <w:t>货物</w:t>
            </w:r>
            <w:r>
              <w:rPr>
                <w:rFonts w:hint="default"/>
                <w:color w:val="auto"/>
                <w:szCs w:val="21"/>
                <w:highlight w:val="none"/>
              </w:rPr>
              <w:t>1.1％</w:t>
            </w:r>
            <w:r>
              <w:rPr>
                <w:rFonts w:hint="eastAsia"/>
                <w:color w:val="auto"/>
                <w:szCs w:val="21"/>
                <w:highlight w:val="none"/>
              </w:rPr>
              <w:t>；</w:t>
            </w:r>
            <w:r>
              <w:rPr>
                <w:rFonts w:hint="default"/>
                <w:color w:val="auto"/>
                <w:szCs w:val="21"/>
                <w:highlight w:val="none"/>
              </w:rPr>
              <w:t>服务招标0.8％</w:t>
            </w:r>
            <w:r>
              <w:rPr>
                <w:rFonts w:hint="eastAsia"/>
                <w:color w:val="auto"/>
                <w:szCs w:val="21"/>
                <w:highlight w:val="none"/>
              </w:rPr>
              <w:t>；</w:t>
            </w:r>
            <w:r>
              <w:rPr>
                <w:rFonts w:hint="default"/>
                <w:color w:val="auto"/>
                <w:szCs w:val="21"/>
                <w:highlight w:val="none"/>
              </w:rPr>
              <w:t>工程招标0.7％</w:t>
            </w:r>
            <w:r>
              <w:rPr>
                <w:rFonts w:hint="eastAsia"/>
                <w:color w:val="auto"/>
                <w:szCs w:val="21"/>
                <w:highlight w:val="none"/>
              </w:rPr>
              <w:t>；</w:t>
            </w:r>
          </w:p>
          <w:p w14:paraId="7ECCE84C">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eastAsia"/>
                <w:color w:val="auto"/>
                <w:szCs w:val="21"/>
                <w:highlight w:val="none"/>
              </w:rPr>
              <w:t>③成交金额在</w:t>
            </w:r>
            <w:r>
              <w:rPr>
                <w:rFonts w:hint="default"/>
                <w:color w:val="auto"/>
                <w:szCs w:val="21"/>
                <w:highlight w:val="none"/>
              </w:rPr>
              <w:t>5</w:t>
            </w:r>
            <w:r>
              <w:rPr>
                <w:rFonts w:hint="eastAsia"/>
                <w:color w:val="auto"/>
                <w:szCs w:val="21"/>
                <w:highlight w:val="none"/>
              </w:rPr>
              <w:t>0</w:t>
            </w:r>
            <w:r>
              <w:rPr>
                <w:rFonts w:hint="default"/>
                <w:color w:val="auto"/>
                <w:szCs w:val="21"/>
                <w:highlight w:val="none"/>
              </w:rPr>
              <w:t>0-1</w:t>
            </w:r>
            <w:r>
              <w:rPr>
                <w:rFonts w:hint="eastAsia"/>
                <w:color w:val="auto"/>
                <w:szCs w:val="21"/>
                <w:highlight w:val="none"/>
              </w:rPr>
              <w:t>00</w:t>
            </w:r>
            <w:r>
              <w:rPr>
                <w:rFonts w:hint="default"/>
                <w:color w:val="auto"/>
                <w:szCs w:val="21"/>
                <w:highlight w:val="none"/>
              </w:rPr>
              <w:t>0</w:t>
            </w:r>
            <w:r>
              <w:rPr>
                <w:rFonts w:hint="eastAsia"/>
                <w:color w:val="auto"/>
                <w:szCs w:val="21"/>
                <w:highlight w:val="none"/>
              </w:rPr>
              <w:t>万元之间：</w:t>
            </w:r>
          </w:p>
          <w:p w14:paraId="30D0128F">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eastAsia"/>
                <w:color w:val="auto"/>
                <w:szCs w:val="21"/>
                <w:highlight w:val="none"/>
              </w:rPr>
              <w:t>货物</w:t>
            </w:r>
            <w:r>
              <w:rPr>
                <w:rFonts w:hint="default"/>
                <w:color w:val="auto"/>
                <w:szCs w:val="21"/>
                <w:highlight w:val="none"/>
              </w:rPr>
              <w:t>0.8％</w:t>
            </w:r>
            <w:r>
              <w:rPr>
                <w:rFonts w:hint="eastAsia"/>
                <w:color w:val="auto"/>
                <w:szCs w:val="21"/>
                <w:highlight w:val="none"/>
              </w:rPr>
              <w:t>；</w:t>
            </w:r>
            <w:r>
              <w:rPr>
                <w:rFonts w:hint="default"/>
                <w:color w:val="auto"/>
                <w:szCs w:val="21"/>
                <w:highlight w:val="none"/>
              </w:rPr>
              <w:t>服务招标0.45％</w:t>
            </w:r>
            <w:r>
              <w:rPr>
                <w:rFonts w:hint="eastAsia"/>
                <w:color w:val="auto"/>
                <w:szCs w:val="21"/>
                <w:highlight w:val="none"/>
              </w:rPr>
              <w:t>；</w:t>
            </w:r>
            <w:r>
              <w:rPr>
                <w:rFonts w:hint="default"/>
                <w:color w:val="auto"/>
                <w:szCs w:val="21"/>
                <w:highlight w:val="none"/>
              </w:rPr>
              <w:t>工程招标0.55％</w:t>
            </w:r>
            <w:r>
              <w:rPr>
                <w:rFonts w:hint="eastAsia"/>
                <w:color w:val="auto"/>
                <w:szCs w:val="21"/>
                <w:highlight w:val="none"/>
              </w:rPr>
              <w:t>；</w:t>
            </w:r>
          </w:p>
          <w:p w14:paraId="0913F7F7">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eastAsia"/>
                <w:color w:val="auto"/>
                <w:szCs w:val="21"/>
                <w:highlight w:val="none"/>
              </w:rPr>
              <w:t>④成交金额在</w:t>
            </w:r>
            <w:r>
              <w:rPr>
                <w:rFonts w:hint="default"/>
                <w:color w:val="auto"/>
                <w:szCs w:val="21"/>
                <w:highlight w:val="none"/>
              </w:rPr>
              <w:t>1000-5000</w:t>
            </w:r>
            <w:r>
              <w:rPr>
                <w:rFonts w:hint="eastAsia"/>
                <w:color w:val="auto"/>
                <w:szCs w:val="21"/>
                <w:highlight w:val="none"/>
              </w:rPr>
              <w:t>万元之间：</w:t>
            </w:r>
          </w:p>
          <w:p w14:paraId="4302FA79">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eastAsia"/>
                <w:color w:val="auto"/>
                <w:szCs w:val="21"/>
                <w:highlight w:val="none"/>
              </w:rPr>
              <w:t>货物</w:t>
            </w:r>
            <w:r>
              <w:rPr>
                <w:rFonts w:hint="default"/>
                <w:color w:val="auto"/>
                <w:szCs w:val="21"/>
                <w:highlight w:val="none"/>
              </w:rPr>
              <w:t>0.5％</w:t>
            </w:r>
            <w:r>
              <w:rPr>
                <w:rFonts w:hint="eastAsia"/>
                <w:color w:val="auto"/>
                <w:szCs w:val="21"/>
                <w:highlight w:val="none"/>
              </w:rPr>
              <w:t>；</w:t>
            </w:r>
            <w:r>
              <w:rPr>
                <w:rFonts w:hint="default"/>
                <w:color w:val="auto"/>
                <w:szCs w:val="21"/>
                <w:highlight w:val="none"/>
              </w:rPr>
              <w:t>服务招标0.25％</w:t>
            </w:r>
            <w:r>
              <w:rPr>
                <w:rFonts w:hint="eastAsia"/>
                <w:color w:val="auto"/>
                <w:szCs w:val="21"/>
                <w:highlight w:val="none"/>
              </w:rPr>
              <w:t>；</w:t>
            </w:r>
            <w:r>
              <w:rPr>
                <w:rFonts w:hint="default"/>
                <w:color w:val="auto"/>
                <w:szCs w:val="21"/>
                <w:highlight w:val="none"/>
              </w:rPr>
              <w:t>工程招标0.35％</w:t>
            </w:r>
            <w:r>
              <w:rPr>
                <w:rFonts w:hint="eastAsia"/>
                <w:color w:val="auto"/>
                <w:szCs w:val="21"/>
                <w:highlight w:val="none"/>
              </w:rPr>
              <w:t>；</w:t>
            </w:r>
          </w:p>
          <w:p w14:paraId="42832415">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eastAsia"/>
                <w:color w:val="auto"/>
                <w:szCs w:val="21"/>
                <w:highlight w:val="none"/>
              </w:rPr>
              <w:t>……</w:t>
            </w:r>
          </w:p>
          <w:p w14:paraId="36180EB4">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default"/>
                <w:color w:val="auto"/>
                <w:szCs w:val="21"/>
                <w:highlight w:val="none"/>
              </w:rPr>
              <w:t>差额定率累进</w:t>
            </w:r>
            <w:r>
              <w:rPr>
                <w:rFonts w:hint="eastAsia"/>
                <w:color w:val="auto"/>
                <w:szCs w:val="21"/>
                <w:highlight w:val="none"/>
              </w:rPr>
              <w:t>法</w:t>
            </w:r>
            <w:r>
              <w:rPr>
                <w:rFonts w:hint="default"/>
                <w:color w:val="auto"/>
                <w:szCs w:val="21"/>
                <w:highlight w:val="none"/>
              </w:rPr>
              <w:t>计算</w:t>
            </w:r>
            <w:r>
              <w:rPr>
                <w:rFonts w:hint="eastAsia"/>
                <w:color w:val="auto"/>
                <w:szCs w:val="21"/>
                <w:highlight w:val="none"/>
              </w:rPr>
              <w:t>过程示例：</w:t>
            </w:r>
          </w:p>
          <w:p w14:paraId="2AF027B5">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default"/>
                <w:color w:val="auto"/>
                <w:szCs w:val="21"/>
                <w:highlight w:val="none"/>
              </w:rPr>
              <w:t>例如：某货物招标代理业务成交金额为300万元，招标代理服务费金额按如下计算：</w:t>
            </w:r>
          </w:p>
          <w:p w14:paraId="677A09A7">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default"/>
                <w:color w:val="auto"/>
                <w:szCs w:val="21"/>
                <w:highlight w:val="none"/>
              </w:rPr>
              <w:t>100万元×1.5%＝1.5万元</w:t>
            </w:r>
          </w:p>
          <w:p w14:paraId="34B006FD">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default"/>
                <w:color w:val="auto"/>
                <w:szCs w:val="21"/>
                <w:highlight w:val="none"/>
              </w:rPr>
              <w:t>（300－100）万元×1.1%＝2.2万元</w:t>
            </w:r>
          </w:p>
          <w:p w14:paraId="03377AE8">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default"/>
                <w:color w:val="auto"/>
                <w:szCs w:val="21"/>
                <w:highlight w:val="none"/>
              </w:rPr>
              <w:t>合计收费＝1.5＋2.2=3.7万元</w:t>
            </w:r>
          </w:p>
          <w:p w14:paraId="370A9314">
            <w:pPr>
              <w:keepNext w:val="0"/>
              <w:keepLines w:val="0"/>
              <w:suppressLineNumbers w:val="0"/>
              <w:spacing w:before="0" w:beforeAutospacing="0" w:after="0" w:afterAutospacing="0" w:line="300" w:lineRule="exact"/>
              <w:ind w:left="0" w:right="0"/>
              <w:jc w:val="left"/>
              <w:rPr>
                <w:rFonts w:hint="default"/>
                <w:color w:val="auto"/>
                <w:szCs w:val="21"/>
                <w:highlight w:val="none"/>
                <w:u w:val="single"/>
              </w:rPr>
            </w:pPr>
            <w:r>
              <w:rPr>
                <w:rFonts w:hint="default"/>
                <w:color w:val="auto"/>
                <w:szCs w:val="21"/>
                <w:highlight w:val="none"/>
              </w:rPr>
              <w:sym w:font="Wingdings 2" w:char="F0A3"/>
            </w:r>
            <w:r>
              <w:rPr>
                <w:rFonts w:hint="default"/>
                <w:color w:val="auto"/>
                <w:szCs w:val="21"/>
                <w:highlight w:val="none"/>
              </w:rPr>
              <w:t>采购代理机构</w:t>
            </w:r>
            <w:r>
              <w:rPr>
                <w:rFonts w:hint="default"/>
                <w:color w:val="auto"/>
                <w:szCs w:val="20"/>
                <w:highlight w:val="none"/>
              </w:rPr>
              <w:t>向成交供应商收取代理服务费</w:t>
            </w:r>
            <w:r>
              <w:rPr>
                <w:rFonts w:hint="eastAsia"/>
                <w:color w:val="auto"/>
                <w:szCs w:val="20"/>
                <w:highlight w:val="none"/>
              </w:rPr>
              <w:t>，</w:t>
            </w:r>
            <w:r>
              <w:rPr>
                <w:rFonts w:hint="default"/>
                <w:color w:val="auto"/>
                <w:szCs w:val="20"/>
                <w:highlight w:val="none"/>
              </w:rPr>
              <w:t>具体金额为</w:t>
            </w:r>
            <w:r>
              <w:rPr>
                <w:rFonts w:hint="eastAsia"/>
                <w:color w:val="auto"/>
                <w:szCs w:val="20"/>
                <w:highlight w:val="none"/>
                <w:u w:val="single"/>
              </w:rPr>
              <w:t xml:space="preserve">  </w:t>
            </w:r>
            <w:r>
              <w:rPr>
                <w:rFonts w:hint="eastAsia"/>
                <w:color w:val="auto"/>
                <w:szCs w:val="20"/>
                <w:highlight w:val="none"/>
                <w:u w:val="single"/>
                <w:lang w:val="en-US" w:eastAsia="zh-CN"/>
              </w:rPr>
              <w:t>/</w:t>
            </w:r>
            <w:r>
              <w:rPr>
                <w:rFonts w:hint="eastAsia"/>
                <w:color w:val="auto"/>
                <w:szCs w:val="20"/>
                <w:highlight w:val="none"/>
                <w:u w:val="single"/>
              </w:rPr>
              <w:t xml:space="preserve">     </w:t>
            </w:r>
            <w:r>
              <w:rPr>
                <w:rFonts w:hint="eastAsia"/>
                <w:color w:val="auto"/>
                <w:szCs w:val="20"/>
                <w:highlight w:val="none"/>
              </w:rPr>
              <w:t>。</w:t>
            </w:r>
          </w:p>
          <w:p w14:paraId="79D55F77">
            <w:pPr>
              <w:keepNext w:val="0"/>
              <w:keepLines w:val="0"/>
              <w:suppressLineNumbers w:val="0"/>
              <w:spacing w:before="0" w:beforeAutospacing="0" w:after="0" w:afterAutospacing="0" w:line="300" w:lineRule="exact"/>
              <w:ind w:left="0" w:right="0"/>
              <w:jc w:val="left"/>
              <w:rPr>
                <w:rFonts w:hint="default"/>
                <w:color w:val="auto"/>
                <w:szCs w:val="21"/>
                <w:highlight w:val="none"/>
              </w:rPr>
            </w:pPr>
            <w:r>
              <w:rPr>
                <w:rFonts w:hint="default"/>
                <w:color w:val="auto"/>
                <w:szCs w:val="21"/>
                <w:highlight w:val="none"/>
              </w:rPr>
              <w:t>（2）成交供应商在成交通知书发出前以银行转账或现金形式支付代理服务费；采购代理机构也可以从成交供应商的磋商保证金中扣除上述金额的代理服务费，余款按供应商所汇入磋商保证金的账户原路退回，如无法原路返回，则按《代理服务费承诺书》列明的账户退回。</w:t>
            </w:r>
          </w:p>
          <w:p w14:paraId="78EAA208">
            <w:pPr>
              <w:keepNext w:val="0"/>
              <w:keepLines w:val="0"/>
              <w:suppressLineNumbers w:val="0"/>
              <w:spacing w:before="0" w:beforeAutospacing="0" w:after="0" w:afterAutospacing="0" w:line="300" w:lineRule="exact"/>
              <w:ind w:left="0" w:right="0"/>
              <w:jc w:val="left"/>
              <w:rPr>
                <w:rFonts w:hint="eastAsia"/>
                <w:color w:val="auto"/>
                <w:kern w:val="0"/>
                <w:szCs w:val="21"/>
                <w:highlight w:val="none"/>
              </w:rPr>
            </w:pPr>
            <w:r>
              <w:rPr>
                <w:rFonts w:hint="eastAsia"/>
                <w:color w:val="auto"/>
                <w:kern w:val="0"/>
                <w:szCs w:val="21"/>
                <w:highlight w:val="none"/>
              </w:rPr>
              <w:t>开户银行：广西北部湾银行南宁市金湖支行</w:t>
            </w:r>
          </w:p>
          <w:p w14:paraId="441078E5">
            <w:pPr>
              <w:keepNext w:val="0"/>
              <w:keepLines w:val="0"/>
              <w:suppressLineNumbers w:val="0"/>
              <w:spacing w:before="0" w:beforeAutospacing="0" w:after="0" w:afterAutospacing="0" w:line="300" w:lineRule="exact"/>
              <w:ind w:left="0" w:right="0"/>
              <w:jc w:val="left"/>
              <w:rPr>
                <w:rFonts w:hint="eastAsia"/>
                <w:color w:val="auto"/>
                <w:kern w:val="0"/>
                <w:szCs w:val="21"/>
                <w:highlight w:val="none"/>
              </w:rPr>
            </w:pPr>
            <w:r>
              <w:rPr>
                <w:rFonts w:hint="eastAsia"/>
                <w:color w:val="auto"/>
                <w:kern w:val="0"/>
                <w:szCs w:val="21"/>
                <w:highlight w:val="none"/>
              </w:rPr>
              <w:t>（银行地址：南宁市金湖路57号文德大厦1楼）</w:t>
            </w:r>
          </w:p>
          <w:p w14:paraId="36396441">
            <w:pPr>
              <w:keepNext w:val="0"/>
              <w:keepLines w:val="0"/>
              <w:suppressLineNumbers w:val="0"/>
              <w:spacing w:before="0" w:beforeAutospacing="0" w:after="0" w:afterAutospacing="0" w:line="300" w:lineRule="exact"/>
              <w:ind w:left="0" w:right="0"/>
              <w:jc w:val="left"/>
              <w:rPr>
                <w:rFonts w:hint="eastAsia"/>
                <w:color w:val="auto"/>
                <w:kern w:val="0"/>
                <w:szCs w:val="21"/>
                <w:highlight w:val="none"/>
              </w:rPr>
            </w:pPr>
            <w:r>
              <w:rPr>
                <w:rFonts w:hint="eastAsia"/>
                <w:color w:val="auto"/>
                <w:kern w:val="0"/>
                <w:szCs w:val="21"/>
                <w:highlight w:val="none"/>
              </w:rPr>
              <w:t>开户名称：广西机电设备招标有限公司</w:t>
            </w:r>
          </w:p>
          <w:p w14:paraId="32D14E17">
            <w:pPr>
              <w:keepNext w:val="0"/>
              <w:keepLines w:val="0"/>
              <w:suppressLineNumbers w:val="0"/>
              <w:spacing w:before="0" w:beforeAutospacing="0" w:after="0" w:afterAutospacing="0" w:line="300" w:lineRule="exact"/>
              <w:ind w:left="0" w:right="0"/>
              <w:jc w:val="left"/>
              <w:rPr>
                <w:rFonts w:hint="eastAsia"/>
                <w:color w:val="auto"/>
                <w:kern w:val="0"/>
                <w:szCs w:val="21"/>
                <w:highlight w:val="none"/>
              </w:rPr>
            </w:pPr>
            <w:r>
              <w:rPr>
                <w:rFonts w:hint="eastAsia"/>
                <w:color w:val="auto"/>
                <w:kern w:val="0"/>
                <w:szCs w:val="21"/>
                <w:highlight w:val="none"/>
              </w:rPr>
              <w:t>银行账号：1705012090027723 (联行号 313611017053)</w:t>
            </w:r>
          </w:p>
          <w:p w14:paraId="373D2B38">
            <w:pPr>
              <w:keepNext w:val="0"/>
              <w:keepLines w:val="0"/>
              <w:suppressLineNumbers w:val="0"/>
              <w:spacing w:before="0" w:beforeAutospacing="0" w:after="0" w:afterAutospacing="0" w:line="300" w:lineRule="exact"/>
              <w:ind w:left="0" w:right="0"/>
              <w:jc w:val="left"/>
              <w:rPr>
                <w:rFonts w:hint="eastAsia"/>
                <w:color w:val="auto"/>
                <w:kern w:val="0"/>
                <w:szCs w:val="21"/>
                <w:highlight w:val="none"/>
              </w:rPr>
            </w:pPr>
            <w:r>
              <w:rPr>
                <w:rFonts w:hint="eastAsia"/>
                <w:color w:val="auto"/>
                <w:kern w:val="0"/>
                <w:szCs w:val="21"/>
                <w:highlight w:val="none"/>
              </w:rPr>
              <w:t>财务联系人：吴茜（电话：0771-2821398）</w:t>
            </w:r>
          </w:p>
        </w:tc>
      </w:tr>
      <w:tr w14:paraId="3F15C7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3B9293BE">
            <w:pPr>
              <w:keepNext w:val="0"/>
              <w:keepLines w:val="0"/>
              <w:suppressLineNumbers w:val="0"/>
              <w:spacing w:before="0" w:beforeAutospacing="0" w:after="0" w:afterAutospacing="0" w:line="300" w:lineRule="exact"/>
              <w:ind w:left="0" w:right="0"/>
              <w:jc w:val="center"/>
              <w:rPr>
                <w:rFonts w:hint="default"/>
                <w:b/>
                <w:color w:val="auto"/>
                <w:szCs w:val="21"/>
                <w:highlight w:val="none"/>
              </w:rPr>
            </w:pPr>
            <w:r>
              <w:rPr>
                <w:rFonts w:hint="default"/>
                <w:b/>
                <w:color w:val="auto"/>
                <w:szCs w:val="21"/>
                <w:highlight w:val="none"/>
              </w:rPr>
              <w:t>9.3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2E6485FD">
            <w:pPr>
              <w:keepNext w:val="0"/>
              <w:keepLines w:val="0"/>
              <w:suppressLineNumbers w:val="0"/>
              <w:spacing w:before="0" w:beforeAutospacing="0" w:after="0" w:afterAutospacing="0" w:line="300" w:lineRule="exact"/>
              <w:ind w:left="0" w:right="0"/>
              <w:jc w:val="center"/>
              <w:rPr>
                <w:rFonts w:hint="default"/>
                <w:color w:val="auto"/>
                <w:szCs w:val="20"/>
                <w:highlight w:val="none"/>
              </w:rPr>
            </w:pPr>
            <w:r>
              <w:rPr>
                <w:rFonts w:hint="eastAsia"/>
                <w:color w:val="auto"/>
                <w:szCs w:val="20"/>
                <w:highlight w:val="none"/>
              </w:rPr>
              <w:t>附件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4AB9E97A">
            <w:pPr>
              <w:keepNext w:val="0"/>
              <w:keepLines w:val="0"/>
              <w:suppressLineNumbers w:val="0"/>
              <w:spacing w:before="0" w:beforeAutospacing="0" w:after="0" w:afterAutospacing="0" w:line="276" w:lineRule="auto"/>
              <w:ind w:left="0" w:right="0"/>
              <w:rPr>
                <w:rFonts w:hint="default"/>
                <w:color w:val="auto"/>
                <w:szCs w:val="21"/>
                <w:highlight w:val="none"/>
              </w:rPr>
            </w:pPr>
            <w:r>
              <w:rPr>
                <w:rFonts w:hint="default"/>
                <w:color w:val="auto"/>
                <w:sz w:val="22"/>
                <w:szCs w:val="22"/>
                <w:highlight w:val="none"/>
              </w:rPr>
              <w:sym w:font="Wingdings 2" w:char="F052"/>
            </w:r>
            <w:r>
              <w:rPr>
                <w:rFonts w:hint="eastAsia"/>
                <w:color w:val="auto"/>
                <w:szCs w:val="21"/>
                <w:highlight w:val="none"/>
              </w:rPr>
              <w:t>无</w:t>
            </w:r>
          </w:p>
          <w:p w14:paraId="3B0703A1">
            <w:pPr>
              <w:keepNext w:val="0"/>
              <w:keepLines w:val="0"/>
              <w:suppressLineNumbers w:val="0"/>
              <w:spacing w:before="0" w:beforeAutospacing="0" w:after="0" w:afterAutospacing="0" w:line="276" w:lineRule="auto"/>
              <w:ind w:left="0" w:right="0"/>
              <w:rPr>
                <w:rFonts w:hint="default"/>
                <w:color w:val="auto"/>
                <w:szCs w:val="21"/>
                <w:highlight w:val="none"/>
                <w:u w:val="single"/>
              </w:rPr>
            </w:pPr>
            <w:r>
              <w:rPr>
                <w:rFonts w:hint="eastAsia"/>
                <w:color w:val="auto"/>
                <w:szCs w:val="21"/>
                <w:highlight w:val="none"/>
              </w:rPr>
              <w:t>□有，详见：</w:t>
            </w:r>
            <w:r>
              <w:rPr>
                <w:rFonts w:hint="eastAsia"/>
                <w:color w:val="auto"/>
                <w:szCs w:val="21"/>
                <w:highlight w:val="none"/>
                <w:u w:val="single"/>
              </w:rPr>
              <w:t xml:space="preserve"> </w:t>
            </w:r>
            <w:r>
              <w:rPr>
                <w:rFonts w:hint="default"/>
                <w:color w:val="auto"/>
                <w:szCs w:val="21"/>
                <w:highlight w:val="none"/>
                <w:u w:val="single"/>
              </w:rPr>
              <w:t xml:space="preserve"> </w:t>
            </w:r>
            <w:r>
              <w:rPr>
                <w:rFonts w:hint="eastAsia"/>
                <w:color w:val="auto"/>
                <w:szCs w:val="21"/>
                <w:highlight w:val="none"/>
                <w:u w:val="single"/>
                <w:lang w:val="en-US" w:eastAsia="zh-CN"/>
              </w:rPr>
              <w:t>/</w:t>
            </w:r>
            <w:r>
              <w:rPr>
                <w:rFonts w:hint="default"/>
                <w:color w:val="auto"/>
                <w:szCs w:val="21"/>
                <w:highlight w:val="none"/>
                <w:u w:val="single"/>
              </w:rPr>
              <w:t xml:space="preserve">   </w:t>
            </w:r>
          </w:p>
        </w:tc>
      </w:tr>
      <w:tr w14:paraId="580958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330AA2E0">
            <w:pPr>
              <w:keepNext w:val="0"/>
              <w:keepLines w:val="0"/>
              <w:suppressLineNumbers w:val="0"/>
              <w:spacing w:before="0" w:beforeAutospacing="0" w:after="0" w:afterAutospacing="0" w:line="300" w:lineRule="exact"/>
              <w:ind w:left="0" w:right="0"/>
              <w:jc w:val="center"/>
              <w:rPr>
                <w:rFonts w:hint="default"/>
                <w:b/>
                <w:color w:val="auto"/>
                <w:szCs w:val="21"/>
                <w:highlight w:val="none"/>
              </w:rPr>
            </w:pPr>
            <w:r>
              <w:rPr>
                <w:rFonts w:hint="default"/>
                <w:b/>
                <w:color w:val="auto"/>
                <w:szCs w:val="21"/>
                <w:highlight w:val="none"/>
              </w:rPr>
              <w:t>9.3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2DA35104">
            <w:pPr>
              <w:keepNext w:val="0"/>
              <w:keepLines w:val="0"/>
              <w:suppressLineNumbers w:val="0"/>
              <w:spacing w:before="0" w:beforeAutospacing="0" w:after="0" w:afterAutospacing="0" w:line="300" w:lineRule="exact"/>
              <w:ind w:left="0" w:right="0"/>
              <w:jc w:val="center"/>
              <w:rPr>
                <w:rFonts w:hint="default"/>
                <w:color w:val="auto"/>
                <w:szCs w:val="20"/>
                <w:highlight w:val="none"/>
              </w:rPr>
            </w:pPr>
            <w:r>
              <w:rPr>
                <w:rFonts w:hint="eastAsia"/>
                <w:color w:val="auto"/>
                <w:szCs w:val="20"/>
                <w:highlight w:val="none"/>
              </w:rPr>
              <w:t>图纸</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8A8F93B">
            <w:pPr>
              <w:keepNext w:val="0"/>
              <w:keepLines w:val="0"/>
              <w:suppressLineNumbers w:val="0"/>
              <w:spacing w:before="0" w:beforeAutospacing="0" w:after="0" w:afterAutospacing="0" w:line="276" w:lineRule="auto"/>
              <w:ind w:left="0" w:right="0"/>
              <w:rPr>
                <w:rFonts w:hint="default"/>
                <w:color w:val="auto"/>
                <w:szCs w:val="21"/>
                <w:highlight w:val="none"/>
              </w:rPr>
            </w:pPr>
            <w:r>
              <w:rPr>
                <w:rFonts w:hint="default"/>
                <w:color w:val="auto"/>
                <w:sz w:val="22"/>
                <w:szCs w:val="22"/>
                <w:highlight w:val="none"/>
              </w:rPr>
              <w:sym w:font="Wingdings 2" w:char="F052"/>
            </w:r>
            <w:r>
              <w:rPr>
                <w:rFonts w:hint="eastAsia"/>
                <w:color w:val="auto"/>
                <w:szCs w:val="21"/>
                <w:highlight w:val="none"/>
              </w:rPr>
              <w:t>无</w:t>
            </w:r>
          </w:p>
          <w:p w14:paraId="68196E07">
            <w:pPr>
              <w:keepNext w:val="0"/>
              <w:keepLines w:val="0"/>
              <w:suppressLineNumbers w:val="0"/>
              <w:spacing w:before="0" w:beforeAutospacing="0" w:after="0" w:afterAutospacing="0" w:line="276" w:lineRule="auto"/>
              <w:ind w:left="0" w:right="0"/>
              <w:rPr>
                <w:rFonts w:hint="default"/>
                <w:color w:val="auto"/>
                <w:szCs w:val="21"/>
                <w:highlight w:val="none"/>
                <w:u w:val="single"/>
              </w:rPr>
            </w:pPr>
            <w:r>
              <w:rPr>
                <w:rFonts w:hint="eastAsia"/>
                <w:color w:val="auto"/>
                <w:szCs w:val="21"/>
                <w:highlight w:val="none"/>
              </w:rPr>
              <w:t>□有，详见：</w:t>
            </w:r>
            <w:r>
              <w:rPr>
                <w:rFonts w:hint="eastAsia"/>
                <w:color w:val="auto"/>
                <w:szCs w:val="21"/>
                <w:highlight w:val="none"/>
                <w:u w:val="single"/>
              </w:rPr>
              <w:t xml:space="preserve"> </w:t>
            </w:r>
            <w:r>
              <w:rPr>
                <w:rFonts w:hint="default"/>
                <w:color w:val="auto"/>
                <w:szCs w:val="21"/>
                <w:highlight w:val="none"/>
                <w:u w:val="single"/>
              </w:rPr>
              <w:t xml:space="preserve">  </w:t>
            </w:r>
            <w:r>
              <w:rPr>
                <w:rFonts w:hint="eastAsia"/>
                <w:color w:val="auto"/>
                <w:szCs w:val="21"/>
                <w:highlight w:val="none"/>
                <w:u w:val="single"/>
                <w:lang w:val="en-US" w:eastAsia="zh-CN"/>
              </w:rPr>
              <w:t>/</w:t>
            </w:r>
            <w:r>
              <w:rPr>
                <w:rFonts w:hint="default"/>
                <w:color w:val="auto"/>
                <w:szCs w:val="21"/>
                <w:highlight w:val="none"/>
                <w:u w:val="single"/>
              </w:rPr>
              <w:t xml:space="preserve">     </w:t>
            </w:r>
          </w:p>
        </w:tc>
      </w:tr>
      <w:tr w14:paraId="435238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3502D538">
            <w:pPr>
              <w:keepNext w:val="0"/>
              <w:keepLines w:val="0"/>
              <w:suppressLineNumbers w:val="0"/>
              <w:spacing w:before="0" w:beforeAutospacing="0" w:after="0" w:afterAutospacing="0" w:line="300" w:lineRule="exact"/>
              <w:ind w:left="0" w:right="0"/>
              <w:jc w:val="center"/>
              <w:rPr>
                <w:rFonts w:hint="default"/>
                <w:b/>
                <w:color w:val="auto"/>
                <w:szCs w:val="21"/>
                <w:highlight w:val="none"/>
              </w:rPr>
            </w:pPr>
            <w:r>
              <w:rPr>
                <w:rFonts w:hint="default"/>
                <w:b/>
                <w:color w:val="auto"/>
                <w:szCs w:val="21"/>
                <w:highlight w:val="none"/>
              </w:rPr>
              <w:t>9.4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1BFC6B35">
            <w:pPr>
              <w:keepNext w:val="0"/>
              <w:keepLines w:val="0"/>
              <w:suppressLineNumbers w:val="0"/>
              <w:spacing w:before="0" w:beforeAutospacing="0" w:after="0" w:afterAutospacing="0" w:line="300" w:lineRule="exact"/>
              <w:ind w:left="0" w:right="0"/>
              <w:jc w:val="center"/>
              <w:rPr>
                <w:rFonts w:hint="default"/>
                <w:color w:val="auto"/>
                <w:szCs w:val="20"/>
                <w:highlight w:val="none"/>
              </w:rPr>
            </w:pPr>
            <w:r>
              <w:rPr>
                <w:rFonts w:hint="eastAsia"/>
                <w:color w:val="auto"/>
                <w:szCs w:val="20"/>
                <w:highlight w:val="none"/>
              </w:rPr>
              <w:t>其他事项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14B751D">
            <w:pPr>
              <w:keepNext w:val="0"/>
              <w:keepLines w:val="0"/>
              <w:suppressLineNumbers w:val="0"/>
              <w:spacing w:before="0" w:beforeAutospacing="0" w:after="0" w:afterAutospacing="0" w:line="276" w:lineRule="auto"/>
              <w:ind w:left="0" w:right="0"/>
              <w:rPr>
                <w:rFonts w:hint="eastAsia"/>
                <w:color w:val="auto"/>
                <w:szCs w:val="21"/>
                <w:highlight w:val="none"/>
              </w:rPr>
            </w:pPr>
            <w:r>
              <w:rPr>
                <w:rFonts w:hint="eastAsia"/>
                <w:color w:val="auto"/>
                <w:szCs w:val="21"/>
                <w:highlight w:val="none"/>
              </w:rPr>
              <w:t>构成本采购文件的各个组成文件应互为解释，互为说明：</w:t>
            </w:r>
          </w:p>
          <w:p w14:paraId="2C009D1E">
            <w:pPr>
              <w:keepNext w:val="0"/>
              <w:keepLines w:val="0"/>
              <w:suppressLineNumbers w:val="0"/>
              <w:spacing w:before="0" w:beforeAutospacing="0" w:after="0" w:afterAutospacing="0" w:line="276" w:lineRule="auto"/>
              <w:ind w:left="0" w:right="0"/>
              <w:rPr>
                <w:rFonts w:hint="default"/>
                <w:color w:val="auto"/>
                <w:sz w:val="24"/>
                <w:highlight w:val="none"/>
              </w:rPr>
            </w:pPr>
            <w:r>
              <w:rPr>
                <w:rFonts w:hint="eastAsia"/>
                <w:color w:val="auto"/>
                <w:szCs w:val="21"/>
                <w:highlight w:val="none"/>
              </w:rPr>
              <w:t>除采购文件中有特别规定外，仅适用于招标投标阶段的规定，按更正公告（澄清公告）、磋商公告、采购需求、供应商须知、评审方法及标准、合同条款格式、响应文件格式的先后顺序解释；同一组成文件中就同一事项的规定或者约定不一致的，以编排顺序在后者为准；同一组成文件不同版本之间有不一致的，以形成时间在后者为准；更正公告（澄清公告）与同步更新的采购文件不一致时以更正公告（澄清公告）为准。按本款前述规定仍不能形成结论的，由采购人或者采购代理机构负责解释。</w:t>
            </w:r>
          </w:p>
        </w:tc>
      </w:tr>
    </w:tbl>
    <w:p w14:paraId="6F1BDED5">
      <w:pPr>
        <w:rPr>
          <w:rFonts w:hint="eastAsia"/>
          <w:color w:val="auto"/>
          <w:highlight w:val="none"/>
        </w:rPr>
      </w:pPr>
    </w:p>
    <w:bookmarkEnd w:id="20"/>
    <w:p w14:paraId="03ACCE13">
      <w:pPr>
        <w:spacing w:before="120" w:line="320" w:lineRule="atLeast"/>
        <w:outlineLvl w:val="1"/>
        <w:rPr>
          <w:b/>
          <w:bCs/>
          <w:color w:val="auto"/>
          <w:kern w:val="0"/>
          <w:szCs w:val="21"/>
          <w:highlight w:val="none"/>
        </w:rPr>
      </w:pPr>
      <w:r>
        <w:rPr>
          <w:color w:val="auto"/>
          <w:szCs w:val="21"/>
          <w:highlight w:val="none"/>
        </w:rPr>
        <w:br w:type="page"/>
      </w:r>
      <w:r>
        <w:rPr>
          <w:b/>
          <w:bCs/>
          <w:color w:val="auto"/>
          <w:kern w:val="0"/>
          <w:szCs w:val="21"/>
          <w:highlight w:val="none"/>
        </w:rPr>
        <w:t>1．总则</w:t>
      </w:r>
    </w:p>
    <w:p w14:paraId="77F3F5A2">
      <w:pPr>
        <w:spacing w:before="120" w:line="320" w:lineRule="atLeast"/>
        <w:ind w:firstLine="422" w:firstLineChars="200"/>
        <w:outlineLvl w:val="2"/>
        <w:rPr>
          <w:b/>
          <w:bCs/>
          <w:color w:val="auto"/>
          <w:kern w:val="0"/>
          <w:szCs w:val="21"/>
          <w:highlight w:val="none"/>
        </w:rPr>
      </w:pPr>
      <w:bookmarkStart w:id="22" w:name="_Toc254970668"/>
      <w:bookmarkStart w:id="23" w:name="_Toc254970527"/>
      <w:r>
        <w:rPr>
          <w:b/>
          <w:bCs/>
          <w:color w:val="auto"/>
          <w:kern w:val="0"/>
          <w:szCs w:val="21"/>
          <w:highlight w:val="none"/>
        </w:rPr>
        <w:t>1.1适用范围</w:t>
      </w:r>
      <w:bookmarkEnd w:id="22"/>
      <w:bookmarkEnd w:id="23"/>
    </w:p>
    <w:p w14:paraId="7AEAFCE0">
      <w:pPr>
        <w:spacing w:before="120" w:line="320" w:lineRule="atLeast"/>
        <w:ind w:firstLine="420" w:firstLineChars="200"/>
        <w:rPr>
          <w:color w:val="auto"/>
          <w:szCs w:val="21"/>
          <w:highlight w:val="none"/>
        </w:rPr>
      </w:pPr>
      <w:r>
        <w:rPr>
          <w:color w:val="auto"/>
          <w:szCs w:val="21"/>
          <w:highlight w:val="none"/>
        </w:rPr>
        <w:t>本采购文件适用于供应商须知前附表所述项目的</w:t>
      </w:r>
      <w:r>
        <w:rPr>
          <w:rFonts w:hint="eastAsia"/>
          <w:color w:val="auto"/>
          <w:szCs w:val="21"/>
          <w:highlight w:val="none"/>
        </w:rPr>
        <w:t>政府采购活动。</w:t>
      </w:r>
    </w:p>
    <w:p w14:paraId="432C22A3">
      <w:pPr>
        <w:spacing w:before="120" w:line="320" w:lineRule="atLeast"/>
        <w:ind w:firstLine="422" w:firstLineChars="200"/>
        <w:outlineLvl w:val="2"/>
        <w:rPr>
          <w:b/>
          <w:bCs/>
          <w:color w:val="auto"/>
          <w:kern w:val="0"/>
          <w:szCs w:val="21"/>
          <w:highlight w:val="none"/>
        </w:rPr>
      </w:pPr>
      <w:bookmarkStart w:id="24" w:name="_Toc254970669"/>
      <w:bookmarkStart w:id="25" w:name="_Toc254970528"/>
      <w:r>
        <w:rPr>
          <w:b/>
          <w:bCs/>
          <w:color w:val="auto"/>
          <w:kern w:val="0"/>
          <w:szCs w:val="21"/>
          <w:highlight w:val="none"/>
        </w:rPr>
        <w:t>1.2定义</w:t>
      </w:r>
      <w:bookmarkEnd w:id="24"/>
      <w:bookmarkEnd w:id="25"/>
    </w:p>
    <w:p w14:paraId="18F4AD0C">
      <w:pPr>
        <w:spacing w:before="120" w:line="320" w:lineRule="atLeast"/>
        <w:ind w:firstLine="420" w:firstLineChars="200"/>
        <w:rPr>
          <w:color w:val="auto"/>
          <w:szCs w:val="21"/>
          <w:highlight w:val="none"/>
        </w:rPr>
      </w:pPr>
      <w:r>
        <w:rPr>
          <w:color w:val="auto"/>
          <w:szCs w:val="21"/>
          <w:highlight w:val="none"/>
        </w:rPr>
        <w:t>1.2.1“采购人”系指依法进行政府采购的国家机关、事业单位、团体组织。</w:t>
      </w:r>
    </w:p>
    <w:p w14:paraId="42F99277">
      <w:pPr>
        <w:spacing w:before="120" w:line="320" w:lineRule="atLeast"/>
        <w:ind w:firstLine="420" w:firstLineChars="200"/>
        <w:rPr>
          <w:color w:val="auto"/>
          <w:szCs w:val="21"/>
          <w:highlight w:val="none"/>
        </w:rPr>
      </w:pPr>
      <w:r>
        <w:rPr>
          <w:color w:val="auto"/>
          <w:szCs w:val="21"/>
          <w:highlight w:val="none"/>
        </w:rPr>
        <w:t>1.2.2“供应商”系</w:t>
      </w:r>
      <w:r>
        <w:rPr>
          <w:color w:val="auto"/>
          <w:highlight w:val="none"/>
        </w:rPr>
        <w:t>指响应招标、参加投标竞争的法人、其他组织或者自然人</w:t>
      </w:r>
      <w:r>
        <w:rPr>
          <w:color w:val="auto"/>
          <w:szCs w:val="21"/>
          <w:highlight w:val="none"/>
        </w:rPr>
        <w:t>。</w:t>
      </w:r>
    </w:p>
    <w:p w14:paraId="6021B8B7">
      <w:pPr>
        <w:spacing w:before="120" w:line="360" w:lineRule="auto"/>
        <w:ind w:firstLine="420" w:firstLineChars="200"/>
        <w:rPr>
          <w:rFonts w:hint="eastAsia"/>
          <w:color w:val="auto"/>
          <w:highlight w:val="none"/>
        </w:rPr>
      </w:pPr>
      <w:r>
        <w:rPr>
          <w:rFonts w:hint="eastAsia"/>
          <w:color w:val="auto"/>
          <w:highlight w:val="none"/>
        </w:rPr>
        <w:t>1.2.3</w:t>
      </w:r>
      <w:r>
        <w:rPr>
          <w:color w:val="auto"/>
          <w:highlight w:val="none"/>
        </w:rPr>
        <w:t>本</w:t>
      </w:r>
      <w:r>
        <w:rPr>
          <w:rFonts w:hint="eastAsia"/>
          <w:color w:val="auto"/>
          <w:highlight w:val="none"/>
        </w:rPr>
        <w:t>文件</w:t>
      </w:r>
      <w:r>
        <w:rPr>
          <w:color w:val="auto"/>
          <w:highlight w:val="none"/>
        </w:rPr>
        <w:t>中的</w:t>
      </w:r>
      <w:r>
        <w:rPr>
          <w:rFonts w:hint="eastAsia"/>
          <w:color w:val="auto"/>
          <w:highlight w:val="none"/>
        </w:rPr>
        <w:t>“法定代表人”若无特别说明，当</w:t>
      </w:r>
      <w:r>
        <w:rPr>
          <w:color w:val="auto"/>
          <w:highlight w:val="none"/>
        </w:rPr>
        <w:t>供应商是</w:t>
      </w:r>
      <w:r>
        <w:rPr>
          <w:rFonts w:hint="eastAsia"/>
          <w:color w:val="auto"/>
          <w:highlight w:val="none"/>
        </w:rPr>
        <w:t>企业的，是指企业法人营业执照上的法定代表人；当</w:t>
      </w:r>
      <w:r>
        <w:rPr>
          <w:color w:val="auto"/>
          <w:highlight w:val="none"/>
        </w:rPr>
        <w:t>供应商是</w:t>
      </w:r>
      <w:r>
        <w:rPr>
          <w:rFonts w:hint="eastAsia"/>
          <w:color w:val="auto"/>
          <w:highlight w:val="none"/>
        </w:rPr>
        <w:t>事业单位的，是指事业单位法人证书上的法定代表人；当</w:t>
      </w:r>
      <w:r>
        <w:rPr>
          <w:color w:val="auto"/>
          <w:highlight w:val="none"/>
        </w:rPr>
        <w:t>供应商是</w:t>
      </w:r>
      <w:r>
        <w:rPr>
          <w:rFonts w:hint="eastAsia"/>
          <w:color w:val="auto"/>
          <w:highlight w:val="none"/>
        </w:rPr>
        <w:t>社会团体、民办非企业的，是指法人登记证书中的法定代表人；当</w:t>
      </w:r>
      <w:r>
        <w:rPr>
          <w:color w:val="auto"/>
          <w:highlight w:val="none"/>
        </w:rPr>
        <w:t>供应商是</w:t>
      </w:r>
      <w:r>
        <w:rPr>
          <w:rFonts w:hint="eastAsia"/>
          <w:color w:val="auto"/>
          <w:highlight w:val="none"/>
        </w:rPr>
        <w:t>个体工商户的，是指个体工商户营业执照上的经营者；</w:t>
      </w:r>
      <w:r>
        <w:rPr>
          <w:color w:val="auto"/>
          <w:highlight w:val="none"/>
        </w:rPr>
        <w:t>当供应商是自然人</w:t>
      </w:r>
      <w:r>
        <w:rPr>
          <w:rFonts w:hint="eastAsia"/>
          <w:color w:val="auto"/>
          <w:highlight w:val="none"/>
        </w:rPr>
        <w:t>的，是指参与本项目响应的自然人本人。</w:t>
      </w:r>
      <w:r>
        <w:rPr>
          <w:color w:val="auto"/>
          <w:highlight w:val="none"/>
        </w:rPr>
        <w:br w:type="textWrapping"/>
      </w:r>
      <w:r>
        <w:rPr>
          <w:color w:val="auto"/>
          <w:highlight w:val="none"/>
        </w:rPr>
        <w:t xml:space="preserve">    </w:t>
      </w:r>
      <w:r>
        <w:rPr>
          <w:rFonts w:hint="eastAsia"/>
          <w:color w:val="auto"/>
          <w:highlight w:val="none"/>
        </w:rPr>
        <w:t>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327D4E99">
      <w:pPr>
        <w:widowControl/>
        <w:spacing w:line="360" w:lineRule="auto"/>
        <w:ind w:firstLine="420" w:firstLineChars="200"/>
        <w:jc w:val="left"/>
        <w:rPr>
          <w:color w:val="auto"/>
          <w:szCs w:val="21"/>
          <w:highlight w:val="none"/>
        </w:rPr>
      </w:pPr>
      <w:r>
        <w:rPr>
          <w:color w:val="auto"/>
          <w:szCs w:val="21"/>
          <w:highlight w:val="none"/>
        </w:rPr>
        <w:t>1.2.</w:t>
      </w:r>
      <w:r>
        <w:rPr>
          <w:rFonts w:hint="eastAsia"/>
          <w:color w:val="auto"/>
          <w:szCs w:val="21"/>
          <w:highlight w:val="none"/>
        </w:rPr>
        <w:t>5</w:t>
      </w:r>
      <w:r>
        <w:rPr>
          <w:color w:val="auto"/>
          <w:szCs w:val="21"/>
          <w:highlight w:val="none"/>
        </w:rPr>
        <w:t>“书面形式”如无特殊规定，</w:t>
      </w:r>
      <w:r>
        <w:rPr>
          <w:rFonts w:hint="eastAsia"/>
          <w:color w:val="auto"/>
          <w:szCs w:val="21"/>
          <w:highlight w:val="none"/>
        </w:rPr>
        <w:t>书面形式是合同书、信件、电报、电传等可以有形地表现所载内容的形式。以电子数据交换、电子邮件等方式能够有形地表现所载内容，并可以随时调取查用的数据电文，视为书面形式。</w:t>
      </w:r>
      <w:r>
        <w:rPr>
          <w:color w:val="auto"/>
          <w:szCs w:val="21"/>
          <w:highlight w:val="none"/>
        </w:rPr>
        <w:t xml:space="preserve">采购文件如有特殊规定，以采购文件规定为准。 </w:t>
      </w:r>
    </w:p>
    <w:p w14:paraId="4EF27858">
      <w:pPr>
        <w:spacing w:before="120" w:line="320" w:lineRule="atLeast"/>
        <w:ind w:firstLine="420" w:firstLineChars="200"/>
        <w:rPr>
          <w:color w:val="auto"/>
          <w:szCs w:val="21"/>
          <w:highlight w:val="none"/>
        </w:rPr>
      </w:pPr>
      <w:r>
        <w:rPr>
          <w:color w:val="auto"/>
          <w:szCs w:val="21"/>
          <w:highlight w:val="none"/>
        </w:rPr>
        <w:t>1.2.</w:t>
      </w:r>
      <w:r>
        <w:rPr>
          <w:rFonts w:hint="eastAsia"/>
          <w:color w:val="auto"/>
          <w:szCs w:val="21"/>
          <w:highlight w:val="none"/>
        </w:rPr>
        <w:t>6本项目的技术商务要求重要性分为“▲”（如有）、“#”（如有）和一般无标识指标。▲代表实质性要求指标，</w:t>
      </w:r>
      <w:r>
        <w:rPr>
          <w:rFonts w:hint="eastAsia"/>
          <w:b/>
          <w:bCs/>
          <w:color w:val="auto"/>
          <w:szCs w:val="21"/>
          <w:highlight w:val="none"/>
        </w:rPr>
        <w:t>不满足该指标项将导致响应被否决</w:t>
      </w:r>
      <w:r>
        <w:rPr>
          <w:rFonts w:hint="eastAsia"/>
          <w:color w:val="auto"/>
          <w:szCs w:val="21"/>
          <w:highlight w:val="none"/>
        </w:rPr>
        <w:t>，#代表重要指标，无标识则表示一般指标项。</w:t>
      </w:r>
    </w:p>
    <w:p w14:paraId="00AAEB70">
      <w:pPr>
        <w:spacing w:before="120" w:line="320" w:lineRule="atLeast"/>
        <w:ind w:firstLine="420" w:firstLineChars="200"/>
        <w:rPr>
          <w:color w:val="auto"/>
          <w:szCs w:val="21"/>
          <w:highlight w:val="none"/>
        </w:rPr>
      </w:pPr>
      <w:r>
        <w:rPr>
          <w:color w:val="auto"/>
          <w:szCs w:val="21"/>
          <w:highlight w:val="none"/>
        </w:rPr>
        <w:t>1.2.</w:t>
      </w:r>
      <w:r>
        <w:rPr>
          <w:rFonts w:hint="eastAsia"/>
          <w:color w:val="auto"/>
          <w:szCs w:val="21"/>
          <w:highlight w:val="none"/>
        </w:rPr>
        <w:t>7 本</w:t>
      </w:r>
      <w:r>
        <w:rPr>
          <w:color w:val="auto"/>
          <w:szCs w:val="21"/>
          <w:highlight w:val="none"/>
        </w:rPr>
        <w:t>采购文件</w:t>
      </w:r>
      <w:r>
        <w:rPr>
          <w:rFonts w:hint="eastAsia"/>
          <w:color w:val="auto"/>
          <w:szCs w:val="21"/>
          <w:highlight w:val="none"/>
        </w:rPr>
        <w:t>出现多种选项的条款，以“</w:t>
      </w:r>
      <w:r>
        <w:rPr>
          <w:color w:val="auto"/>
          <w:highlight w:val="none"/>
        </w:rPr>
        <w:sym w:font="Wingdings 2" w:char="F052"/>
      </w:r>
      <w:r>
        <w:rPr>
          <w:rFonts w:hint="eastAsia"/>
          <w:color w:val="auto"/>
          <w:szCs w:val="21"/>
          <w:highlight w:val="none"/>
        </w:rPr>
        <w:t>”表示本条款所选择的方式。</w:t>
      </w:r>
    </w:p>
    <w:p w14:paraId="3F0E0C46">
      <w:pPr>
        <w:spacing w:before="120" w:line="320" w:lineRule="atLeast"/>
        <w:ind w:firstLine="420" w:firstLineChars="200"/>
        <w:rPr>
          <w:rFonts w:hint="eastAsia"/>
          <w:color w:val="auto"/>
          <w:szCs w:val="21"/>
          <w:highlight w:val="none"/>
        </w:rPr>
      </w:pPr>
      <w:r>
        <w:rPr>
          <w:rFonts w:hint="eastAsia"/>
          <w:color w:val="auto"/>
          <w:szCs w:val="21"/>
          <w:highlight w:val="none"/>
        </w:rPr>
        <w:t>1.</w:t>
      </w:r>
      <w:r>
        <w:rPr>
          <w:color w:val="auto"/>
          <w:szCs w:val="21"/>
          <w:highlight w:val="none"/>
        </w:rPr>
        <w:t>2</w:t>
      </w:r>
      <w:r>
        <w:rPr>
          <w:rFonts w:hint="eastAsia"/>
          <w:color w:val="auto"/>
          <w:szCs w:val="21"/>
          <w:highlight w:val="none"/>
        </w:rPr>
        <w:t>.</w:t>
      </w:r>
      <w:r>
        <w:rPr>
          <w:color w:val="auto"/>
          <w:szCs w:val="21"/>
          <w:highlight w:val="none"/>
        </w:rPr>
        <w:t>8 “</w:t>
      </w:r>
      <w:r>
        <w:rPr>
          <w:rFonts w:hint="eastAsia"/>
          <w:color w:val="auto"/>
          <w:szCs w:val="21"/>
          <w:highlight w:val="none"/>
        </w:rPr>
        <w:t>电子交易平台</w:t>
      </w:r>
      <w:r>
        <w:rPr>
          <w:color w:val="auto"/>
          <w:szCs w:val="21"/>
          <w:highlight w:val="none"/>
        </w:rPr>
        <w:t>”</w:t>
      </w:r>
      <w:r>
        <w:rPr>
          <w:rFonts w:hint="eastAsia"/>
          <w:color w:val="auto"/>
          <w:szCs w:val="21"/>
          <w:highlight w:val="none"/>
        </w:rPr>
        <w:t>是指以数据电文形式在线完成采购活动的信息平台，本采购文件中也称</w:t>
      </w:r>
      <w:r>
        <w:rPr>
          <w:color w:val="auto"/>
          <w:szCs w:val="21"/>
          <w:highlight w:val="none"/>
        </w:rPr>
        <w:t>“</w:t>
      </w:r>
      <w:r>
        <w:rPr>
          <w:rFonts w:hint="eastAsia"/>
          <w:color w:val="auto"/>
          <w:szCs w:val="21"/>
          <w:highlight w:val="none"/>
        </w:rPr>
        <w:t>广西政府采购云平台</w:t>
      </w:r>
      <w:r>
        <w:rPr>
          <w:color w:val="auto"/>
          <w:szCs w:val="21"/>
          <w:highlight w:val="none"/>
        </w:rPr>
        <w:t>”</w:t>
      </w:r>
      <w:r>
        <w:rPr>
          <w:rFonts w:hint="eastAsia"/>
          <w:color w:val="auto"/>
          <w:szCs w:val="21"/>
          <w:highlight w:val="none"/>
        </w:rPr>
        <w:t>。</w:t>
      </w:r>
    </w:p>
    <w:p w14:paraId="6144ADAB">
      <w:pPr>
        <w:spacing w:before="120" w:line="320" w:lineRule="atLeast"/>
        <w:ind w:firstLine="422" w:firstLineChars="200"/>
        <w:outlineLvl w:val="2"/>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.3</w:t>
      </w:r>
      <w:r>
        <w:rPr>
          <w:rFonts w:hint="eastAsia"/>
          <w:b/>
          <w:bCs/>
          <w:color w:val="auto"/>
          <w:kern w:val="0"/>
          <w:szCs w:val="21"/>
          <w:highlight w:val="none"/>
        </w:rPr>
        <w:t>项目信息</w:t>
      </w:r>
    </w:p>
    <w:p w14:paraId="4C0E303C">
      <w:pPr>
        <w:spacing w:before="120" w:line="320" w:lineRule="atLeast"/>
        <w:ind w:firstLine="420" w:firstLineChars="200"/>
        <w:rPr>
          <w:color w:val="auto"/>
          <w:szCs w:val="21"/>
          <w:highlight w:val="none"/>
        </w:rPr>
      </w:pPr>
      <w:r>
        <w:rPr>
          <w:rFonts w:hint="eastAsia"/>
          <w:color w:val="auto"/>
          <w:szCs w:val="21"/>
          <w:highlight w:val="none"/>
        </w:rPr>
        <w:t>1</w:t>
      </w:r>
      <w:r>
        <w:rPr>
          <w:color w:val="auto"/>
          <w:szCs w:val="21"/>
          <w:highlight w:val="none"/>
        </w:rPr>
        <w:t>.3.1</w:t>
      </w:r>
      <w:r>
        <w:rPr>
          <w:rFonts w:hint="eastAsia"/>
          <w:color w:val="auto"/>
          <w:szCs w:val="21"/>
          <w:highlight w:val="none"/>
        </w:rPr>
        <w:t>项目名称及编号：详见供应商须知前附表</w:t>
      </w:r>
    </w:p>
    <w:p w14:paraId="636F590D">
      <w:pPr>
        <w:spacing w:before="120" w:line="320" w:lineRule="atLeast"/>
        <w:ind w:firstLine="420" w:firstLineChars="200"/>
        <w:rPr>
          <w:color w:val="auto"/>
          <w:szCs w:val="21"/>
          <w:highlight w:val="none"/>
        </w:rPr>
      </w:pPr>
      <w:r>
        <w:rPr>
          <w:rFonts w:hint="eastAsia"/>
          <w:color w:val="auto"/>
          <w:szCs w:val="21"/>
          <w:highlight w:val="none"/>
        </w:rPr>
        <w:t>1</w:t>
      </w:r>
      <w:r>
        <w:rPr>
          <w:color w:val="auto"/>
          <w:szCs w:val="21"/>
          <w:highlight w:val="none"/>
        </w:rPr>
        <w:t>.3.2</w:t>
      </w:r>
      <w:r>
        <w:rPr>
          <w:rFonts w:hint="eastAsia"/>
          <w:color w:val="auto"/>
          <w:szCs w:val="21"/>
          <w:highlight w:val="none"/>
        </w:rPr>
        <w:t>采购方式：详见供应商须知前附表</w:t>
      </w:r>
    </w:p>
    <w:p w14:paraId="7BAFB7B4">
      <w:pPr>
        <w:spacing w:before="120" w:line="320" w:lineRule="atLeast"/>
        <w:ind w:firstLine="422" w:firstLineChars="200"/>
        <w:outlineLvl w:val="2"/>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.4</w:t>
      </w:r>
      <w:r>
        <w:rPr>
          <w:rFonts w:hint="eastAsia"/>
          <w:b/>
          <w:bCs/>
          <w:color w:val="auto"/>
          <w:kern w:val="0"/>
          <w:szCs w:val="21"/>
          <w:highlight w:val="none"/>
        </w:rPr>
        <w:t>促进中小企业发展政策</w:t>
      </w:r>
    </w:p>
    <w:p w14:paraId="2C851241">
      <w:pPr>
        <w:spacing w:before="120" w:line="320" w:lineRule="atLeast"/>
        <w:ind w:left="2" w:leftChars="1" w:firstLine="420" w:firstLineChars="200"/>
        <w:rPr>
          <w:color w:val="auto"/>
          <w:szCs w:val="21"/>
          <w:highlight w:val="none"/>
        </w:rPr>
      </w:pPr>
      <w:r>
        <w:rPr>
          <w:color w:val="auto"/>
          <w:szCs w:val="21"/>
          <w:highlight w:val="none"/>
        </w:rPr>
        <w:t>1.4.1</w:t>
      </w:r>
      <w:r>
        <w:rPr>
          <w:rFonts w:hint="eastAsia"/>
          <w:color w:val="auto"/>
          <w:szCs w:val="21"/>
          <w:highlight w:val="none"/>
        </w:rPr>
        <w:t>本项目落实促进中小企业发展政策措施在前附表规定。依据促进中小企业发展政策获得政府采购合同的，小微企业不得将合同分包给大中型企业，中型企业不得将合同分包给大型企业。</w:t>
      </w:r>
    </w:p>
    <w:p w14:paraId="0D320365">
      <w:pPr>
        <w:spacing w:before="120" w:line="320" w:lineRule="atLeast"/>
        <w:ind w:left="2" w:leftChars="1" w:firstLine="420" w:firstLineChars="200"/>
        <w:rPr>
          <w:color w:val="auto"/>
          <w:szCs w:val="21"/>
          <w:highlight w:val="none"/>
        </w:rPr>
      </w:pPr>
      <w:bookmarkStart w:id="26" w:name="_Hlk92205820"/>
      <w:r>
        <w:rPr>
          <w:rFonts w:hint="eastAsia"/>
          <w:color w:val="auto"/>
          <w:szCs w:val="21"/>
          <w:highlight w:val="none"/>
        </w:rPr>
        <w:t>根 据《政府采购促进中小企业发展管理办法》（财库[2020]46号）第九条以及《广西壮族自治区财政厅 广西壮族自治区工业和信息化厅转发财政部 工业和信息化部政府采购促进中小企业发展管理办法的通知》（桂财采[2021]70号）规定，价格扣除比例在第四章评审方法及标准中规定，对小型企业和微型企业同等对待，不作区分。</w:t>
      </w:r>
    </w:p>
    <w:p w14:paraId="0097D58B">
      <w:pPr>
        <w:spacing w:before="120" w:line="320" w:lineRule="atLeast"/>
        <w:ind w:left="2" w:leftChars="1" w:firstLine="420" w:firstLineChars="200"/>
        <w:rPr>
          <w:color w:val="auto"/>
          <w:szCs w:val="21"/>
          <w:highlight w:val="none"/>
        </w:rPr>
      </w:pPr>
      <w:r>
        <w:rPr>
          <w:color w:val="auto"/>
          <w:szCs w:val="21"/>
          <w:highlight w:val="none"/>
        </w:rPr>
        <w:t>1.4.2</w:t>
      </w:r>
      <w:r>
        <w:rPr>
          <w:rFonts w:hint="eastAsia"/>
          <w:color w:val="auto"/>
          <w:szCs w:val="21"/>
          <w:highlight w:val="none"/>
        </w:rPr>
        <w:t>中小企业定义</w:t>
      </w:r>
    </w:p>
    <w:p w14:paraId="3BA30589">
      <w:pPr>
        <w:spacing w:before="120" w:line="320" w:lineRule="atLeast"/>
        <w:ind w:firstLine="420" w:firstLineChars="200"/>
        <w:rPr>
          <w:color w:val="auto"/>
          <w:szCs w:val="21"/>
          <w:highlight w:val="none"/>
        </w:rPr>
      </w:pPr>
      <w:r>
        <w:rPr>
          <w:color w:val="auto"/>
          <w:szCs w:val="21"/>
          <w:highlight w:val="none"/>
        </w:rPr>
        <w:t>1.4.2.1</w:t>
      </w:r>
      <w:r>
        <w:rPr>
          <w:rFonts w:hint="eastAsia"/>
          <w:color w:val="auto"/>
          <w:szCs w:val="21"/>
          <w:highlight w:val="none"/>
        </w:rPr>
        <w:t>中小企业是指在中华人民共和国境内依法设立，依据国务院批准的中小企业划分标准确定的中型企业、小型企业和微型企业，但与大企业的负责人为同一人，或者与大企业存在直接控股、管理关系的除外。</w:t>
      </w:r>
    </w:p>
    <w:p w14:paraId="521BBAF0">
      <w:pPr>
        <w:spacing w:before="120" w:line="320" w:lineRule="atLeast"/>
        <w:ind w:left="2" w:leftChars="1" w:firstLine="420" w:firstLineChars="200"/>
        <w:rPr>
          <w:color w:val="auto"/>
          <w:szCs w:val="21"/>
          <w:highlight w:val="none"/>
        </w:rPr>
      </w:pPr>
      <w:r>
        <w:rPr>
          <w:color w:val="auto"/>
          <w:szCs w:val="21"/>
          <w:highlight w:val="none"/>
        </w:rPr>
        <w:t>1.4.2.2</w:t>
      </w:r>
      <w:r>
        <w:rPr>
          <w:rFonts w:hint="eastAsia"/>
          <w:color w:val="auto"/>
          <w:szCs w:val="21"/>
          <w:highlight w:val="none"/>
        </w:rPr>
        <w:t>供应商提供的货物、工程或者服务符合下列情形的，享受本款规定的促进中小企业发展政策：</w:t>
      </w:r>
    </w:p>
    <w:p w14:paraId="5BC46BB0">
      <w:pPr>
        <w:spacing w:before="120" w:line="320" w:lineRule="atLeast"/>
        <w:ind w:left="2" w:leftChars="1" w:firstLine="420" w:firstLineChars="200"/>
        <w:rPr>
          <w:color w:val="auto"/>
          <w:szCs w:val="21"/>
          <w:highlight w:val="none"/>
        </w:rPr>
      </w:pPr>
      <w:r>
        <w:rPr>
          <w:rFonts w:hint="eastAsia"/>
          <w:color w:val="auto"/>
          <w:szCs w:val="21"/>
          <w:highlight w:val="none"/>
        </w:rPr>
        <w:t>在货物采购项目中，货物由中小企业制造，即货物由中小企业生产且使用该中小企业商号或者注册商标；</w:t>
      </w:r>
    </w:p>
    <w:p w14:paraId="17FBA638">
      <w:pPr>
        <w:spacing w:before="120" w:line="320" w:lineRule="atLeast"/>
        <w:ind w:left="2" w:leftChars="1" w:firstLine="420" w:firstLineChars="200"/>
        <w:rPr>
          <w:color w:val="auto"/>
          <w:szCs w:val="21"/>
          <w:highlight w:val="none"/>
        </w:rPr>
      </w:pPr>
      <w:r>
        <w:rPr>
          <w:rFonts w:hint="eastAsia"/>
          <w:color w:val="auto"/>
          <w:szCs w:val="21"/>
          <w:highlight w:val="none"/>
        </w:rPr>
        <w:t>在工程采购项目中，工程由中小企业承建，即工程施工单位为中小企业；</w:t>
      </w:r>
    </w:p>
    <w:p w14:paraId="6FB9BE13">
      <w:pPr>
        <w:spacing w:before="120" w:line="320" w:lineRule="atLeast"/>
        <w:ind w:left="2" w:leftChars="1" w:firstLine="420" w:firstLineChars="200"/>
        <w:rPr>
          <w:color w:val="auto"/>
          <w:szCs w:val="21"/>
          <w:highlight w:val="none"/>
        </w:rPr>
      </w:pPr>
      <w:r>
        <w:rPr>
          <w:rFonts w:hint="eastAsia"/>
          <w:color w:val="auto"/>
          <w:szCs w:val="21"/>
          <w:highlight w:val="none"/>
        </w:rPr>
        <w:t>在服务采购项目中，服务由中小企业承接，即提供服务的人员为中小企业依照《中华人民共和国劳动合同法》订立劳动合同的从业人员。</w:t>
      </w:r>
    </w:p>
    <w:p w14:paraId="3FB4B7D7">
      <w:pPr>
        <w:spacing w:before="120" w:line="320" w:lineRule="atLeast"/>
        <w:ind w:left="2" w:leftChars="1" w:firstLine="420" w:firstLineChars="200"/>
        <w:rPr>
          <w:color w:val="auto"/>
          <w:szCs w:val="21"/>
          <w:highlight w:val="none"/>
        </w:rPr>
      </w:pPr>
      <w:r>
        <w:rPr>
          <w:rFonts w:hint="eastAsia"/>
          <w:color w:val="auto"/>
          <w:szCs w:val="21"/>
          <w:highlight w:val="none"/>
        </w:rPr>
        <w:t>在货物采购项目中，供应商提供的货物既有中小企业制造货物，也有大型企业制造货物的，不享受本款规定的促进中小企业发展政策。</w:t>
      </w:r>
    </w:p>
    <w:p w14:paraId="28C5A19F">
      <w:pPr>
        <w:spacing w:before="120" w:line="320" w:lineRule="atLeast"/>
        <w:ind w:firstLine="420" w:firstLineChars="200"/>
        <w:rPr>
          <w:color w:val="auto"/>
          <w:szCs w:val="21"/>
          <w:highlight w:val="none"/>
        </w:rPr>
      </w:pPr>
      <w:r>
        <w:rPr>
          <w:color w:val="auto"/>
          <w:szCs w:val="21"/>
          <w:highlight w:val="none"/>
        </w:rPr>
        <w:t>1.4.2</w:t>
      </w:r>
      <w:r>
        <w:rPr>
          <w:rFonts w:hint="eastAsia"/>
          <w:color w:val="auto"/>
          <w:szCs w:val="21"/>
          <w:highlight w:val="none"/>
        </w:rPr>
        <w:t>.</w:t>
      </w:r>
      <w:r>
        <w:rPr>
          <w:color w:val="auto"/>
          <w:szCs w:val="21"/>
          <w:highlight w:val="none"/>
        </w:rPr>
        <w:t>3</w:t>
      </w:r>
      <w:r>
        <w:rPr>
          <w:rFonts w:hint="eastAsia"/>
          <w:color w:val="auto"/>
          <w:szCs w:val="21"/>
          <w:highlight w:val="none"/>
        </w:rPr>
        <w:t>本项目标的所属行业在第二章采购需求中规定。供应商根据中小企业划分标准（《关于印发中小企业划型标准规定的通知》（工信部联企业〔2011〕300号）判断是否为中小企业。（见附件）</w:t>
      </w:r>
    </w:p>
    <w:p w14:paraId="463193BA">
      <w:pPr>
        <w:spacing w:before="120" w:line="320" w:lineRule="atLeast"/>
        <w:ind w:firstLine="420" w:firstLineChars="200"/>
        <w:rPr>
          <w:color w:val="auto"/>
          <w:szCs w:val="21"/>
          <w:highlight w:val="none"/>
        </w:rPr>
      </w:pPr>
      <w:r>
        <w:rPr>
          <w:rFonts w:hint="eastAsia"/>
          <w:color w:val="auto"/>
          <w:szCs w:val="21"/>
          <w:highlight w:val="none"/>
        </w:rPr>
        <w:t>符合条件的货物制造商、工程施工单位、服务承接单位为中小企业的，应按采购文件规定在响应文件中提供声明函。</w:t>
      </w:r>
    </w:p>
    <w:p w14:paraId="3FC0DAD0">
      <w:pPr>
        <w:spacing w:before="120" w:line="320" w:lineRule="atLeast"/>
        <w:ind w:firstLine="420" w:firstLineChars="200"/>
        <w:rPr>
          <w:color w:val="auto"/>
          <w:szCs w:val="21"/>
          <w:highlight w:val="none"/>
        </w:rPr>
      </w:pPr>
      <w:r>
        <w:rPr>
          <w:color w:val="auto"/>
          <w:szCs w:val="21"/>
          <w:highlight w:val="none"/>
        </w:rPr>
        <w:t>1.4</w:t>
      </w:r>
      <w:r>
        <w:rPr>
          <w:rFonts w:hint="eastAsia"/>
          <w:color w:val="auto"/>
          <w:szCs w:val="21"/>
          <w:highlight w:val="none"/>
        </w:rPr>
        <w:t>.</w:t>
      </w:r>
      <w:r>
        <w:rPr>
          <w:color w:val="auto"/>
          <w:szCs w:val="21"/>
          <w:highlight w:val="none"/>
        </w:rPr>
        <w:t>2</w:t>
      </w:r>
      <w:r>
        <w:rPr>
          <w:rFonts w:hint="eastAsia"/>
          <w:color w:val="auto"/>
          <w:szCs w:val="21"/>
          <w:highlight w:val="none"/>
        </w:rPr>
        <w:t>.</w:t>
      </w:r>
      <w:r>
        <w:rPr>
          <w:color w:val="auto"/>
          <w:szCs w:val="21"/>
          <w:highlight w:val="none"/>
        </w:rPr>
        <w:t>4</w:t>
      </w:r>
      <w:r>
        <w:rPr>
          <w:rFonts w:hint="eastAsia"/>
          <w:color w:val="auto"/>
          <w:szCs w:val="21"/>
          <w:highlight w:val="none"/>
        </w:rPr>
        <w:t>视同中小企业情形</w:t>
      </w:r>
    </w:p>
    <w:p w14:paraId="3DF5344A">
      <w:pPr>
        <w:spacing w:before="120" w:line="320" w:lineRule="atLeast"/>
        <w:ind w:firstLine="420" w:firstLineChars="200"/>
        <w:rPr>
          <w:color w:val="auto"/>
          <w:szCs w:val="21"/>
          <w:highlight w:val="none"/>
        </w:rPr>
      </w:pPr>
      <w:r>
        <w:rPr>
          <w:rFonts w:hint="eastAsia"/>
          <w:color w:val="auto"/>
          <w:szCs w:val="21"/>
          <w:highlight w:val="none"/>
        </w:rPr>
        <w:t>（1）符合中小企业划分标准的个体工商户，视同中小企业。</w:t>
      </w:r>
    </w:p>
    <w:p w14:paraId="0AC3F974">
      <w:pPr>
        <w:spacing w:before="120" w:line="320" w:lineRule="atLeast"/>
        <w:ind w:firstLine="420" w:firstLineChars="200"/>
        <w:rPr>
          <w:color w:val="auto"/>
          <w:szCs w:val="21"/>
          <w:highlight w:val="none"/>
        </w:rPr>
      </w:pPr>
      <w:r>
        <w:rPr>
          <w:rFonts w:hint="eastAsia"/>
          <w:color w:val="auto"/>
          <w:szCs w:val="21"/>
          <w:highlight w:val="none"/>
        </w:rPr>
        <w:t>（2）以联合体形式参加政府采购活动，联合体各方均为中小企业的，联合体视同中小企业。其中，联合体各方均为小微企业的，联合体视同小微企业。</w:t>
      </w:r>
    </w:p>
    <w:p w14:paraId="17D477FC">
      <w:pPr>
        <w:spacing w:before="120" w:line="320" w:lineRule="atLeast"/>
        <w:ind w:firstLine="420" w:firstLineChars="200"/>
        <w:rPr>
          <w:color w:val="auto"/>
          <w:szCs w:val="21"/>
          <w:highlight w:val="none"/>
        </w:rPr>
      </w:pPr>
      <w:r>
        <w:rPr>
          <w:rFonts w:hint="eastAsia"/>
          <w:color w:val="auto"/>
          <w:szCs w:val="21"/>
          <w:highlight w:val="none"/>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102B8468">
      <w:pPr>
        <w:spacing w:before="120" w:line="320" w:lineRule="atLeast"/>
        <w:ind w:left="2" w:leftChars="1" w:firstLine="420" w:firstLineChars="200"/>
        <w:rPr>
          <w:rFonts w:hint="eastAsia"/>
          <w:color w:val="auto"/>
          <w:szCs w:val="21"/>
          <w:highlight w:val="none"/>
        </w:rPr>
      </w:pPr>
      <w:r>
        <w:rPr>
          <w:rFonts w:hint="eastAsia"/>
          <w:color w:val="auto"/>
          <w:szCs w:val="21"/>
          <w:highlight w:val="none"/>
        </w:rPr>
        <w:t>符合条件的货物制造商、工程施工单位、服务承接单位为监狱企业或残疾人福利性单位的，应按采购文件规定在响应文件中提供相关证明文件。</w:t>
      </w:r>
      <w:bookmarkEnd w:id="26"/>
    </w:p>
    <w:p w14:paraId="335C353C">
      <w:pPr>
        <w:spacing w:before="120" w:line="320" w:lineRule="atLeast"/>
        <w:ind w:firstLine="422" w:firstLineChars="200"/>
        <w:outlineLvl w:val="2"/>
        <w:rPr>
          <w:b/>
          <w:bCs/>
          <w:color w:val="auto"/>
          <w:kern w:val="0"/>
          <w:szCs w:val="21"/>
          <w:highlight w:val="none"/>
        </w:rPr>
      </w:pPr>
      <w:r>
        <w:rPr>
          <w:b/>
          <w:bCs/>
          <w:color w:val="auto"/>
          <w:kern w:val="0"/>
          <w:szCs w:val="21"/>
          <w:highlight w:val="none"/>
        </w:rPr>
        <w:t>1.5供应商资格</w:t>
      </w:r>
      <w:r>
        <w:rPr>
          <w:rFonts w:hint="eastAsia"/>
          <w:b/>
          <w:bCs/>
          <w:color w:val="auto"/>
          <w:kern w:val="0"/>
          <w:szCs w:val="21"/>
          <w:highlight w:val="none"/>
        </w:rPr>
        <w:t>要求</w:t>
      </w:r>
    </w:p>
    <w:p w14:paraId="440D1BFD">
      <w:pPr>
        <w:spacing w:before="120" w:line="320" w:lineRule="atLeast"/>
        <w:ind w:firstLine="420" w:firstLineChars="200"/>
        <w:rPr>
          <w:color w:val="auto"/>
          <w:szCs w:val="21"/>
          <w:highlight w:val="none"/>
        </w:rPr>
      </w:pPr>
      <w:r>
        <w:rPr>
          <w:color w:val="auto"/>
          <w:szCs w:val="21"/>
          <w:highlight w:val="none"/>
        </w:rPr>
        <w:t>1.5.1</w:t>
      </w:r>
      <w:r>
        <w:rPr>
          <w:rFonts w:hint="eastAsia"/>
          <w:color w:val="auto"/>
          <w:szCs w:val="21"/>
          <w:highlight w:val="none"/>
        </w:rPr>
        <w:t>供应商资格要求：详见供应商须知前附表</w:t>
      </w:r>
    </w:p>
    <w:p w14:paraId="19D15A89">
      <w:pPr>
        <w:spacing w:before="120" w:line="320" w:lineRule="atLeast"/>
        <w:ind w:firstLine="420" w:firstLineChars="200"/>
        <w:rPr>
          <w:color w:val="auto"/>
          <w:szCs w:val="21"/>
          <w:highlight w:val="none"/>
        </w:rPr>
      </w:pPr>
      <w:r>
        <w:rPr>
          <w:color w:val="auto"/>
          <w:szCs w:val="21"/>
          <w:highlight w:val="none"/>
        </w:rPr>
        <w:t>1.5.2按照磋商公告的规定获得采购文件。</w:t>
      </w:r>
    </w:p>
    <w:p w14:paraId="465582BC">
      <w:pPr>
        <w:spacing w:before="120" w:line="320" w:lineRule="atLeast"/>
        <w:ind w:firstLine="420" w:firstLineChars="200"/>
        <w:rPr>
          <w:color w:val="auto"/>
          <w:szCs w:val="21"/>
          <w:highlight w:val="none"/>
        </w:rPr>
      </w:pPr>
      <w:r>
        <w:rPr>
          <w:color w:val="auto"/>
          <w:szCs w:val="21"/>
          <w:highlight w:val="none"/>
        </w:rPr>
        <w:t>1.5.3本项目是否接受联合体响应，见“供应商须知前附表”规定。</w:t>
      </w:r>
    </w:p>
    <w:p w14:paraId="33885A8F">
      <w:pPr>
        <w:spacing w:before="120" w:line="320" w:lineRule="atLeast"/>
        <w:ind w:firstLine="420" w:firstLineChars="200"/>
        <w:rPr>
          <w:color w:val="auto"/>
          <w:szCs w:val="21"/>
          <w:highlight w:val="none"/>
        </w:rPr>
      </w:pPr>
      <w:r>
        <w:rPr>
          <w:rFonts w:hint="eastAsia"/>
          <w:color w:val="auto"/>
          <w:szCs w:val="21"/>
          <w:highlight w:val="none"/>
        </w:rPr>
        <w:t xml:space="preserve">如接受联合体响应，联合体响应要求如下： </w:t>
      </w:r>
    </w:p>
    <w:p w14:paraId="0834ECD1">
      <w:pPr>
        <w:spacing w:before="120" w:line="320" w:lineRule="atLeast"/>
        <w:ind w:firstLine="420" w:firstLineChars="200"/>
        <w:rPr>
          <w:color w:val="auto"/>
          <w:szCs w:val="21"/>
          <w:highlight w:val="none"/>
        </w:rPr>
      </w:pPr>
      <w:r>
        <w:rPr>
          <w:rFonts w:hint="eastAsia"/>
          <w:color w:val="auto"/>
          <w:szCs w:val="21"/>
          <w:highlight w:val="none"/>
        </w:rPr>
        <w:t>（1）供应商可以组成一个响应联合体，以一个供应商的身份共同参加响应。联合体响应的，须提供《联合体协议书》（格式后附）</w:t>
      </w:r>
    </w:p>
    <w:p w14:paraId="399C23D0">
      <w:pPr>
        <w:spacing w:before="120" w:line="320" w:lineRule="atLeast"/>
        <w:ind w:firstLine="420" w:firstLineChars="200"/>
        <w:rPr>
          <w:color w:val="auto"/>
          <w:szCs w:val="21"/>
          <w:highlight w:val="none"/>
        </w:rPr>
      </w:pPr>
      <w:r>
        <w:rPr>
          <w:rFonts w:hint="eastAsia"/>
          <w:color w:val="auto"/>
          <w:szCs w:val="21"/>
          <w:highlight w:val="none"/>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5A0F5128">
      <w:pPr>
        <w:spacing w:before="120" w:line="320" w:lineRule="atLeast"/>
        <w:ind w:firstLine="420" w:firstLineChars="200"/>
        <w:rPr>
          <w:color w:val="auto"/>
          <w:szCs w:val="21"/>
          <w:highlight w:val="none"/>
        </w:rPr>
      </w:pPr>
      <w:r>
        <w:rPr>
          <w:rFonts w:hint="eastAsia"/>
          <w:color w:val="auto"/>
          <w:szCs w:val="21"/>
          <w:highlight w:val="none"/>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7D0116DC">
      <w:pPr>
        <w:spacing w:before="120" w:line="320" w:lineRule="atLeast"/>
        <w:ind w:firstLine="420" w:firstLineChars="200"/>
        <w:rPr>
          <w:color w:val="auto"/>
          <w:szCs w:val="21"/>
          <w:highlight w:val="none"/>
        </w:rPr>
      </w:pPr>
      <w:r>
        <w:rPr>
          <w:rFonts w:hint="eastAsia"/>
          <w:color w:val="auto"/>
          <w:szCs w:val="21"/>
          <w:highlight w:val="none"/>
        </w:rPr>
        <w:t>（4）以联合体形式参加政府采购活动的，联合体各方不得再单独参加或者与其他供应商另外组成联合体参加同一合同项下的政府采购活动。</w:t>
      </w:r>
    </w:p>
    <w:p w14:paraId="368BC5B0">
      <w:pPr>
        <w:spacing w:before="120" w:line="320" w:lineRule="atLeast"/>
        <w:ind w:firstLine="420" w:firstLineChars="200"/>
        <w:rPr>
          <w:color w:val="auto"/>
          <w:szCs w:val="21"/>
          <w:highlight w:val="none"/>
        </w:rPr>
      </w:pPr>
      <w:r>
        <w:rPr>
          <w:rFonts w:hint="eastAsia"/>
          <w:color w:val="auto"/>
          <w:szCs w:val="21"/>
          <w:highlight w:val="none"/>
        </w:rPr>
        <w:t>（5）联合体中有同类资质的供应商按照联合体分工承担相同工作的，应当按照资质等级较低的供应商确定资质等级。</w:t>
      </w:r>
    </w:p>
    <w:p w14:paraId="226E78AD">
      <w:pPr>
        <w:spacing w:before="120" w:line="320" w:lineRule="atLeast"/>
        <w:ind w:firstLine="420" w:firstLineChars="200"/>
        <w:rPr>
          <w:color w:val="auto"/>
          <w:szCs w:val="21"/>
          <w:highlight w:val="none"/>
        </w:rPr>
      </w:pPr>
      <w:r>
        <w:rPr>
          <w:rFonts w:hint="eastAsia"/>
          <w:color w:val="auto"/>
          <w:szCs w:val="21"/>
          <w:highlight w:val="none"/>
        </w:rPr>
        <w:t>（6）联合体响应业绩、履约能力按照联合体各方其中较高的一方认定并计算（采购文件其他章节另有规定的除外）。</w:t>
      </w:r>
    </w:p>
    <w:p w14:paraId="5C502F60">
      <w:pPr>
        <w:spacing w:before="120" w:line="320" w:lineRule="atLeast"/>
        <w:ind w:firstLine="420" w:firstLineChars="200"/>
        <w:rPr>
          <w:color w:val="auto"/>
          <w:szCs w:val="21"/>
          <w:highlight w:val="none"/>
        </w:rPr>
      </w:pPr>
      <w:r>
        <w:rPr>
          <w:rFonts w:hint="eastAsia"/>
          <w:color w:val="auto"/>
          <w:szCs w:val="21"/>
          <w:highlight w:val="none"/>
        </w:rPr>
        <w:t>（7）供应商为联合体的，可以由联合体中的一方或者多方共同交纳磋商保证金，其交纳的保证金对联合体各方均具有约束力。</w:t>
      </w:r>
    </w:p>
    <w:p w14:paraId="75FD5EAB">
      <w:pPr>
        <w:spacing w:before="120" w:line="320" w:lineRule="atLeast"/>
        <w:ind w:firstLine="420" w:firstLineChars="200"/>
        <w:rPr>
          <w:color w:val="auto"/>
          <w:szCs w:val="21"/>
          <w:highlight w:val="none"/>
        </w:rPr>
      </w:pPr>
      <w:r>
        <w:rPr>
          <w:rFonts w:hint="eastAsia"/>
          <w:color w:val="auto"/>
          <w:szCs w:val="21"/>
          <w:highlight w:val="none"/>
        </w:rPr>
        <w:t>（8）联合体各方均应按照采购文件的规定提交资格证明文件。</w:t>
      </w:r>
    </w:p>
    <w:p w14:paraId="79ADA222">
      <w:pPr>
        <w:spacing w:before="120" w:line="320" w:lineRule="atLeast"/>
        <w:ind w:firstLine="422" w:firstLineChars="200"/>
        <w:outlineLvl w:val="2"/>
        <w:rPr>
          <w:b/>
          <w:bCs/>
          <w:color w:val="auto"/>
          <w:kern w:val="0"/>
          <w:szCs w:val="21"/>
          <w:highlight w:val="none"/>
        </w:rPr>
      </w:pPr>
      <w:bookmarkStart w:id="27" w:name="_Toc254970531"/>
      <w:bookmarkStart w:id="28" w:name="_Toc254970672"/>
      <w:r>
        <w:rPr>
          <w:b/>
          <w:bCs/>
          <w:color w:val="auto"/>
          <w:kern w:val="0"/>
          <w:szCs w:val="21"/>
          <w:highlight w:val="none"/>
        </w:rPr>
        <w:t>1.6现场踏勘及响应费用</w:t>
      </w:r>
      <w:bookmarkEnd w:id="27"/>
      <w:bookmarkEnd w:id="28"/>
    </w:p>
    <w:p w14:paraId="17C50CA0">
      <w:pPr>
        <w:spacing w:before="120" w:line="320" w:lineRule="atLeast"/>
        <w:ind w:firstLine="420" w:firstLineChars="200"/>
        <w:rPr>
          <w:color w:val="auto"/>
          <w:szCs w:val="21"/>
          <w:highlight w:val="none"/>
        </w:rPr>
      </w:pPr>
      <w:r>
        <w:rPr>
          <w:color w:val="auto"/>
          <w:szCs w:val="21"/>
          <w:highlight w:val="none"/>
        </w:rPr>
        <w:t>1.6.1前附表如规定现场踏勘的，供应商应按规定时间地点参加踏勘。</w:t>
      </w:r>
    </w:p>
    <w:p w14:paraId="448969E7">
      <w:pPr>
        <w:spacing w:before="120" w:line="320" w:lineRule="atLeast"/>
        <w:ind w:firstLine="420" w:firstLineChars="200"/>
        <w:rPr>
          <w:color w:val="auto"/>
          <w:szCs w:val="21"/>
          <w:highlight w:val="none"/>
        </w:rPr>
      </w:pPr>
      <w:r>
        <w:rPr>
          <w:color w:val="auto"/>
          <w:szCs w:val="21"/>
          <w:highlight w:val="none"/>
        </w:rPr>
        <w:t>1.6.2供应商均应自行承担所有与响应有关的全部费用（采购文件有相关的规定除外）。</w:t>
      </w:r>
    </w:p>
    <w:p w14:paraId="3CE871AE">
      <w:pPr>
        <w:spacing w:before="120" w:line="320" w:lineRule="atLeast"/>
        <w:ind w:firstLine="422" w:firstLineChars="200"/>
        <w:outlineLvl w:val="2"/>
        <w:rPr>
          <w:b/>
          <w:bCs/>
          <w:color w:val="auto"/>
          <w:kern w:val="0"/>
          <w:szCs w:val="21"/>
          <w:highlight w:val="none"/>
        </w:rPr>
      </w:pPr>
      <w:r>
        <w:rPr>
          <w:b/>
          <w:bCs/>
          <w:color w:val="auto"/>
          <w:kern w:val="0"/>
          <w:szCs w:val="21"/>
          <w:highlight w:val="none"/>
        </w:rPr>
        <w:t>1.7转包与分包</w:t>
      </w:r>
    </w:p>
    <w:p w14:paraId="4A8E605D">
      <w:pPr>
        <w:spacing w:before="120" w:line="320" w:lineRule="atLeast"/>
        <w:ind w:firstLine="420" w:firstLineChars="200"/>
        <w:rPr>
          <w:color w:val="auto"/>
          <w:szCs w:val="21"/>
          <w:highlight w:val="none"/>
        </w:rPr>
      </w:pPr>
      <w:r>
        <w:rPr>
          <w:color w:val="auto"/>
          <w:szCs w:val="21"/>
          <w:highlight w:val="none"/>
        </w:rPr>
        <w:t>1.7.1如</w:t>
      </w:r>
      <w:r>
        <w:rPr>
          <w:rFonts w:hint="eastAsia"/>
          <w:color w:val="auto"/>
          <w:szCs w:val="21"/>
          <w:highlight w:val="none"/>
        </w:rPr>
        <w:t>采购文件</w:t>
      </w:r>
      <w:r>
        <w:rPr>
          <w:color w:val="auto"/>
          <w:szCs w:val="21"/>
          <w:highlight w:val="none"/>
        </w:rPr>
        <w:t>其他地方无特别规定</w:t>
      </w:r>
      <w:r>
        <w:rPr>
          <w:rFonts w:hint="eastAsia"/>
          <w:color w:val="auto"/>
          <w:szCs w:val="21"/>
          <w:highlight w:val="none"/>
        </w:rPr>
        <w:t>，</w:t>
      </w:r>
      <w:r>
        <w:rPr>
          <w:color w:val="auto"/>
          <w:szCs w:val="21"/>
          <w:highlight w:val="none"/>
        </w:rPr>
        <w:t>本项目不允许转包。</w:t>
      </w:r>
    </w:p>
    <w:p w14:paraId="4BD525C6">
      <w:pPr>
        <w:spacing w:before="120" w:line="320" w:lineRule="atLeast"/>
        <w:ind w:firstLine="420" w:firstLineChars="200"/>
        <w:rPr>
          <w:color w:val="auto"/>
          <w:szCs w:val="21"/>
          <w:highlight w:val="none"/>
        </w:rPr>
      </w:pPr>
      <w:r>
        <w:rPr>
          <w:color w:val="auto"/>
          <w:szCs w:val="21"/>
          <w:highlight w:val="none"/>
        </w:rPr>
        <w:t>1.7.2</w:t>
      </w:r>
      <w:r>
        <w:rPr>
          <w:rFonts w:hint="eastAsia"/>
          <w:color w:val="auto"/>
          <w:szCs w:val="21"/>
          <w:highlight w:val="none"/>
        </w:rPr>
        <w:t>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2D0C0565">
      <w:pPr>
        <w:spacing w:before="120" w:line="276" w:lineRule="auto"/>
        <w:ind w:firstLine="422" w:firstLineChars="200"/>
        <w:outlineLvl w:val="2"/>
        <w:rPr>
          <w:b/>
          <w:bCs/>
          <w:color w:val="auto"/>
          <w:kern w:val="0"/>
          <w:szCs w:val="21"/>
          <w:highlight w:val="none"/>
        </w:rPr>
      </w:pPr>
      <w:bookmarkStart w:id="29" w:name="_Toc254970532"/>
      <w:bookmarkStart w:id="30" w:name="_Toc254970673"/>
      <w:r>
        <w:rPr>
          <w:b/>
          <w:bCs/>
          <w:color w:val="auto"/>
          <w:kern w:val="0"/>
          <w:szCs w:val="21"/>
          <w:highlight w:val="none"/>
        </w:rPr>
        <w:t>1.8特别说明</w:t>
      </w:r>
      <w:bookmarkEnd w:id="29"/>
      <w:bookmarkEnd w:id="30"/>
    </w:p>
    <w:p w14:paraId="537E6862">
      <w:pPr>
        <w:spacing w:line="276" w:lineRule="auto"/>
        <w:ind w:firstLine="420" w:firstLineChars="200"/>
        <w:rPr>
          <w:color w:val="auto"/>
          <w:szCs w:val="21"/>
          <w:highlight w:val="none"/>
        </w:rPr>
      </w:pPr>
      <w:r>
        <w:rPr>
          <w:color w:val="auto"/>
          <w:szCs w:val="21"/>
          <w:highlight w:val="none"/>
        </w:rPr>
        <w:t>1.8.1 供应商应保证其提供的联系方式（电话、传真、电子邮件）有效，以保证往来函件（澄清、修改等）能及时通知供应商，并能及时反馈，否则采购人</w:t>
      </w:r>
      <w:r>
        <w:rPr>
          <w:rFonts w:hint="eastAsia"/>
          <w:color w:val="auto"/>
          <w:szCs w:val="21"/>
          <w:highlight w:val="none"/>
        </w:rPr>
        <w:t>及代理机构</w:t>
      </w:r>
      <w:r>
        <w:rPr>
          <w:color w:val="auto"/>
          <w:szCs w:val="21"/>
          <w:highlight w:val="none"/>
        </w:rPr>
        <w:t>不承担由此引起的一切后果。</w:t>
      </w:r>
    </w:p>
    <w:p w14:paraId="78D26374">
      <w:pPr>
        <w:spacing w:before="120" w:line="320" w:lineRule="atLeast"/>
        <w:ind w:firstLine="420" w:firstLineChars="200"/>
        <w:rPr>
          <w:color w:val="auto"/>
          <w:szCs w:val="21"/>
          <w:highlight w:val="none"/>
        </w:rPr>
      </w:pPr>
      <w:r>
        <w:rPr>
          <w:color w:val="auto"/>
          <w:szCs w:val="21"/>
          <w:highlight w:val="none"/>
        </w:rPr>
        <w:t>1.8.2供应商应仔细阅读采购文件的所有内容，按照采购文件的要求提交响应文件，并对所提供的全部资料的真实性承担法律责任。</w:t>
      </w:r>
    </w:p>
    <w:p w14:paraId="3C4649BD">
      <w:pPr>
        <w:spacing w:before="120" w:line="360" w:lineRule="auto"/>
        <w:ind w:firstLine="420" w:firstLineChars="200"/>
        <w:rPr>
          <w:color w:val="auto"/>
          <w:szCs w:val="21"/>
          <w:highlight w:val="none"/>
        </w:rPr>
      </w:pPr>
      <w:r>
        <w:rPr>
          <w:color w:val="auto"/>
          <w:szCs w:val="21"/>
          <w:highlight w:val="none"/>
        </w:rPr>
        <w:t>1.8.3供应商在响应活动中提供任何虚假材料，</w:t>
      </w:r>
      <w:r>
        <w:rPr>
          <w:rFonts w:hint="eastAsia"/>
          <w:color w:val="auto"/>
          <w:szCs w:val="21"/>
          <w:highlight w:val="none"/>
        </w:rPr>
        <w:t>将</w:t>
      </w:r>
      <w:r>
        <w:rPr>
          <w:color w:val="auto"/>
          <w:szCs w:val="21"/>
          <w:highlight w:val="none"/>
        </w:rPr>
        <w:t xml:space="preserve">报监管部门查处； </w:t>
      </w:r>
    </w:p>
    <w:p w14:paraId="781D41F9">
      <w:pPr>
        <w:spacing w:before="120" w:line="320" w:lineRule="atLeast"/>
        <w:ind w:left="2" w:leftChars="1" w:firstLine="422" w:firstLineChars="200"/>
        <w:outlineLvl w:val="1"/>
        <w:rPr>
          <w:b/>
          <w:bCs/>
          <w:color w:val="auto"/>
          <w:kern w:val="0"/>
          <w:szCs w:val="21"/>
          <w:highlight w:val="none"/>
        </w:rPr>
      </w:pPr>
      <w:bookmarkStart w:id="31" w:name="_Toc254970534"/>
      <w:bookmarkStart w:id="32" w:name="_Toc254970675"/>
      <w:r>
        <w:rPr>
          <w:b/>
          <w:bCs/>
          <w:color w:val="auto"/>
          <w:kern w:val="0"/>
          <w:szCs w:val="21"/>
          <w:highlight w:val="none"/>
        </w:rPr>
        <w:t>2．采购文件</w:t>
      </w:r>
      <w:bookmarkEnd w:id="31"/>
      <w:bookmarkEnd w:id="32"/>
    </w:p>
    <w:p w14:paraId="71499FAA">
      <w:pPr>
        <w:spacing w:before="120" w:line="320" w:lineRule="atLeast"/>
        <w:ind w:firstLine="422" w:firstLineChars="200"/>
        <w:outlineLvl w:val="2"/>
        <w:rPr>
          <w:b/>
          <w:bCs/>
          <w:color w:val="auto"/>
          <w:kern w:val="0"/>
          <w:szCs w:val="21"/>
          <w:highlight w:val="none"/>
        </w:rPr>
      </w:pPr>
      <w:r>
        <w:rPr>
          <w:b/>
          <w:bCs/>
          <w:color w:val="auto"/>
          <w:kern w:val="0"/>
          <w:szCs w:val="21"/>
          <w:highlight w:val="none"/>
        </w:rPr>
        <w:t>2.1采购文件的构成</w:t>
      </w:r>
    </w:p>
    <w:p w14:paraId="492813E4">
      <w:pPr>
        <w:spacing w:before="120" w:line="320" w:lineRule="atLeast"/>
        <w:ind w:firstLine="420" w:firstLineChars="200"/>
        <w:rPr>
          <w:color w:val="auto"/>
          <w:szCs w:val="21"/>
          <w:highlight w:val="none"/>
        </w:rPr>
      </w:pPr>
      <w:r>
        <w:rPr>
          <w:color w:val="auto"/>
          <w:szCs w:val="21"/>
          <w:highlight w:val="none"/>
        </w:rPr>
        <w:t>第一章 磋商公告</w:t>
      </w:r>
    </w:p>
    <w:p w14:paraId="7E0DB575">
      <w:pPr>
        <w:spacing w:before="120" w:line="320" w:lineRule="atLeast"/>
        <w:ind w:firstLine="420" w:firstLineChars="200"/>
        <w:rPr>
          <w:color w:val="auto"/>
          <w:szCs w:val="21"/>
          <w:highlight w:val="none"/>
        </w:rPr>
      </w:pPr>
      <w:r>
        <w:rPr>
          <w:color w:val="auto"/>
          <w:szCs w:val="21"/>
          <w:highlight w:val="none"/>
        </w:rPr>
        <w:t>第二章 采购需求</w:t>
      </w:r>
    </w:p>
    <w:p w14:paraId="30EF2E2E">
      <w:pPr>
        <w:spacing w:before="120" w:line="320" w:lineRule="atLeast"/>
        <w:ind w:firstLine="420" w:firstLineChars="200"/>
        <w:rPr>
          <w:color w:val="auto"/>
          <w:szCs w:val="21"/>
          <w:highlight w:val="none"/>
        </w:rPr>
      </w:pPr>
      <w:r>
        <w:rPr>
          <w:color w:val="auto"/>
          <w:szCs w:val="21"/>
          <w:highlight w:val="none"/>
        </w:rPr>
        <w:t>第三章 供应商须知</w:t>
      </w:r>
    </w:p>
    <w:p w14:paraId="7F0E7B03">
      <w:pPr>
        <w:spacing w:before="120" w:line="320" w:lineRule="atLeast"/>
        <w:ind w:firstLine="420" w:firstLineChars="200"/>
        <w:rPr>
          <w:color w:val="auto"/>
          <w:szCs w:val="21"/>
          <w:highlight w:val="none"/>
        </w:rPr>
      </w:pPr>
      <w:r>
        <w:rPr>
          <w:color w:val="auto"/>
          <w:szCs w:val="21"/>
          <w:highlight w:val="none"/>
        </w:rPr>
        <w:t>第四章 评审方法及标准</w:t>
      </w:r>
    </w:p>
    <w:p w14:paraId="58C22B90">
      <w:pPr>
        <w:spacing w:before="120" w:line="320" w:lineRule="atLeast"/>
        <w:ind w:firstLine="420" w:firstLineChars="200"/>
        <w:rPr>
          <w:color w:val="auto"/>
          <w:szCs w:val="21"/>
          <w:highlight w:val="none"/>
        </w:rPr>
      </w:pPr>
      <w:r>
        <w:rPr>
          <w:color w:val="auto"/>
          <w:szCs w:val="21"/>
          <w:highlight w:val="none"/>
        </w:rPr>
        <w:t>第五章 合同主要条款格式</w:t>
      </w:r>
    </w:p>
    <w:p w14:paraId="01F5BE99">
      <w:pPr>
        <w:spacing w:before="120" w:line="320" w:lineRule="atLeast"/>
        <w:ind w:firstLine="420" w:firstLineChars="200"/>
        <w:rPr>
          <w:color w:val="auto"/>
          <w:szCs w:val="21"/>
          <w:highlight w:val="none"/>
        </w:rPr>
      </w:pPr>
      <w:r>
        <w:rPr>
          <w:color w:val="auto"/>
          <w:szCs w:val="21"/>
          <w:highlight w:val="none"/>
        </w:rPr>
        <w:t>第六章 响应文件格式</w:t>
      </w:r>
    </w:p>
    <w:p w14:paraId="7E1894ED">
      <w:pPr>
        <w:spacing w:before="120" w:line="320" w:lineRule="atLeast"/>
        <w:ind w:firstLine="422" w:firstLineChars="200"/>
        <w:outlineLvl w:val="2"/>
        <w:rPr>
          <w:b/>
          <w:bCs/>
          <w:color w:val="auto"/>
          <w:kern w:val="0"/>
          <w:szCs w:val="21"/>
          <w:highlight w:val="none"/>
        </w:rPr>
      </w:pPr>
      <w:r>
        <w:rPr>
          <w:b/>
          <w:bCs/>
          <w:color w:val="auto"/>
          <w:kern w:val="0"/>
          <w:szCs w:val="21"/>
          <w:highlight w:val="none"/>
        </w:rPr>
        <w:t>2.2供应商的风险</w:t>
      </w:r>
    </w:p>
    <w:p w14:paraId="5CA00207">
      <w:pPr>
        <w:spacing w:before="120" w:line="320" w:lineRule="atLeast"/>
        <w:ind w:firstLine="420" w:firstLineChars="200"/>
        <w:rPr>
          <w:color w:val="auto"/>
          <w:szCs w:val="21"/>
          <w:highlight w:val="none"/>
        </w:rPr>
      </w:pPr>
      <w:r>
        <w:rPr>
          <w:color w:val="auto"/>
          <w:szCs w:val="21"/>
          <w:highlight w:val="none"/>
        </w:rPr>
        <w:t>供应商没有按照采购文件要求提供全部资料，或者供应商没有对采购文件在各方面作出实质性响应是供应商的风险，并可能导致其响应被否决。</w:t>
      </w:r>
    </w:p>
    <w:p w14:paraId="307ED925">
      <w:pPr>
        <w:spacing w:before="120" w:line="320" w:lineRule="atLeast"/>
        <w:ind w:firstLine="422" w:firstLineChars="200"/>
        <w:outlineLvl w:val="2"/>
        <w:rPr>
          <w:b/>
          <w:color w:val="auto"/>
          <w:szCs w:val="21"/>
          <w:highlight w:val="none"/>
        </w:rPr>
      </w:pPr>
      <w:r>
        <w:rPr>
          <w:b/>
          <w:bCs/>
          <w:color w:val="auto"/>
          <w:kern w:val="0"/>
          <w:szCs w:val="21"/>
          <w:highlight w:val="none"/>
        </w:rPr>
        <w:t>2.3采购文件的澄清与修改</w:t>
      </w:r>
    </w:p>
    <w:p w14:paraId="7DD049C1">
      <w:pPr>
        <w:spacing w:before="120" w:line="320" w:lineRule="atLeast"/>
        <w:ind w:firstLine="420" w:firstLineChars="200"/>
        <w:rPr>
          <w:color w:val="auto"/>
          <w:szCs w:val="21"/>
          <w:highlight w:val="none"/>
        </w:rPr>
      </w:pPr>
      <w:r>
        <w:rPr>
          <w:color w:val="auto"/>
          <w:szCs w:val="21"/>
          <w:highlight w:val="none"/>
        </w:rPr>
        <w:t>2.3.1</w:t>
      </w:r>
      <w:r>
        <w:rPr>
          <w:rFonts w:hint="eastAsia"/>
          <w:color w:val="auto"/>
          <w:szCs w:val="21"/>
          <w:highlight w:val="none"/>
        </w:rPr>
        <w:t>任何已获得采购文件的潜在供应商，均可</w:t>
      </w:r>
      <w:r>
        <w:rPr>
          <w:color w:val="auto"/>
          <w:szCs w:val="21"/>
          <w:highlight w:val="none"/>
        </w:rPr>
        <w:t>以书面形式要求采购代理机构作出书面解释、澄清</w:t>
      </w:r>
      <w:r>
        <w:rPr>
          <w:rFonts w:hint="eastAsia"/>
          <w:color w:val="auto"/>
          <w:szCs w:val="21"/>
          <w:highlight w:val="none"/>
        </w:rPr>
        <w:t>。</w:t>
      </w:r>
    </w:p>
    <w:p w14:paraId="7A13A464">
      <w:pPr>
        <w:spacing w:before="120" w:line="320" w:lineRule="atLeast"/>
        <w:ind w:firstLine="420" w:firstLineChars="200"/>
        <w:rPr>
          <w:rFonts w:hint="eastAsia"/>
          <w:color w:val="auto"/>
          <w:szCs w:val="21"/>
          <w:highlight w:val="none"/>
        </w:rPr>
      </w:pPr>
      <w:r>
        <w:rPr>
          <w:color w:val="auto"/>
          <w:szCs w:val="21"/>
          <w:highlight w:val="none"/>
        </w:rPr>
        <w:t>2.3.2</w:t>
      </w:r>
      <w:r>
        <w:rPr>
          <w:rFonts w:hint="eastAsia"/>
          <w:color w:val="auto"/>
          <w:szCs w:val="21"/>
          <w:highlight w:val="none"/>
        </w:rPr>
        <w:t>采购人、采购代理机构可以对已发出的采购文件进行必要的澄清或者修改，澄清或者修改的内容可能影响响应文件编制的，采购人、采购代理机构应当在提交首次响应文件截止之日3个工作日前，在供应商须知前附表规定的方式通知所有获取采购文件的潜在供应商，不足3个工作日的，采购人、采购代理机构应当顺延提交首次响应文件截止时间。</w:t>
      </w:r>
      <w:r>
        <w:rPr>
          <w:color w:val="auto"/>
          <w:szCs w:val="21"/>
          <w:highlight w:val="none"/>
        </w:rPr>
        <w:t xml:space="preserve"> </w:t>
      </w:r>
    </w:p>
    <w:p w14:paraId="690D6B3F">
      <w:pPr>
        <w:spacing w:before="120" w:line="320" w:lineRule="atLeast"/>
        <w:ind w:firstLine="420" w:firstLineChars="200"/>
        <w:rPr>
          <w:color w:val="auto"/>
          <w:szCs w:val="21"/>
          <w:highlight w:val="none"/>
        </w:rPr>
      </w:pPr>
      <w:r>
        <w:rPr>
          <w:color w:val="auto"/>
          <w:szCs w:val="21"/>
          <w:highlight w:val="none"/>
        </w:rPr>
        <w:t>2.3.3采购文件澄清、答复、修改、补充的内容为采购文件的组成部分。当采购文件与采购文件的答复、澄清、修改、补充通知就同一内容的表述不一致时，以最后发出的公告或书面文件为准。</w:t>
      </w:r>
    </w:p>
    <w:p w14:paraId="12770866">
      <w:pPr>
        <w:spacing w:before="120" w:line="320" w:lineRule="atLeast"/>
        <w:ind w:left="2" w:leftChars="1" w:firstLine="422" w:firstLineChars="200"/>
        <w:outlineLvl w:val="1"/>
        <w:rPr>
          <w:b/>
          <w:bCs/>
          <w:color w:val="auto"/>
          <w:kern w:val="0"/>
          <w:szCs w:val="21"/>
          <w:highlight w:val="none"/>
        </w:rPr>
      </w:pPr>
      <w:bookmarkStart w:id="33" w:name="_Toc254970676"/>
      <w:bookmarkStart w:id="34" w:name="_Toc254970535"/>
      <w:r>
        <w:rPr>
          <w:b/>
          <w:bCs/>
          <w:color w:val="auto"/>
          <w:kern w:val="0"/>
          <w:szCs w:val="21"/>
          <w:highlight w:val="none"/>
        </w:rPr>
        <w:t>3．响应文件</w:t>
      </w:r>
      <w:bookmarkEnd w:id="33"/>
      <w:bookmarkEnd w:id="34"/>
    </w:p>
    <w:p w14:paraId="6B65B769">
      <w:pPr>
        <w:spacing w:before="120" w:line="320" w:lineRule="atLeast"/>
        <w:ind w:firstLine="422" w:firstLineChars="200"/>
        <w:outlineLvl w:val="2"/>
        <w:rPr>
          <w:b/>
          <w:bCs/>
          <w:color w:val="auto"/>
          <w:kern w:val="0"/>
          <w:szCs w:val="21"/>
          <w:highlight w:val="none"/>
        </w:rPr>
      </w:pPr>
      <w:bookmarkStart w:id="35" w:name="_Toc254970536"/>
      <w:bookmarkStart w:id="36" w:name="_Toc254970677"/>
      <w:r>
        <w:rPr>
          <w:b/>
          <w:bCs/>
          <w:color w:val="auto"/>
          <w:kern w:val="0"/>
          <w:szCs w:val="21"/>
          <w:highlight w:val="none"/>
        </w:rPr>
        <w:t>3.1响应文件的组成</w:t>
      </w:r>
      <w:bookmarkEnd w:id="35"/>
      <w:bookmarkEnd w:id="36"/>
    </w:p>
    <w:p w14:paraId="2C2342FE">
      <w:pPr>
        <w:spacing w:before="120" w:line="320" w:lineRule="atLeast"/>
        <w:ind w:firstLine="420" w:firstLineChars="200"/>
        <w:rPr>
          <w:color w:val="auto"/>
          <w:szCs w:val="21"/>
          <w:highlight w:val="none"/>
        </w:rPr>
      </w:pPr>
      <w:r>
        <w:rPr>
          <w:color w:val="auto"/>
          <w:szCs w:val="21"/>
          <w:highlight w:val="none"/>
        </w:rPr>
        <w:t>响应文件由第六章“响应文件格式”规定的</w:t>
      </w:r>
      <w:r>
        <w:rPr>
          <w:rFonts w:hint="eastAsia"/>
          <w:color w:val="auto"/>
          <w:szCs w:val="21"/>
          <w:highlight w:val="none"/>
        </w:rPr>
        <w:t>内容</w:t>
      </w:r>
      <w:r>
        <w:rPr>
          <w:color w:val="auto"/>
          <w:szCs w:val="21"/>
          <w:highlight w:val="none"/>
        </w:rPr>
        <w:t>和供应商所作的一切有效补充、修改和承诺等文件组成</w:t>
      </w:r>
      <w:r>
        <w:rPr>
          <w:rFonts w:hint="eastAsia"/>
          <w:color w:val="auto"/>
          <w:szCs w:val="21"/>
          <w:highlight w:val="none"/>
        </w:rPr>
        <w:t>。</w:t>
      </w:r>
    </w:p>
    <w:p w14:paraId="4B250173">
      <w:pPr>
        <w:spacing w:before="120" w:line="320" w:lineRule="atLeast"/>
        <w:ind w:firstLine="422" w:firstLineChars="200"/>
        <w:outlineLvl w:val="2"/>
        <w:rPr>
          <w:b/>
          <w:bCs/>
          <w:color w:val="auto"/>
          <w:kern w:val="0"/>
          <w:szCs w:val="21"/>
          <w:highlight w:val="none"/>
        </w:rPr>
      </w:pPr>
      <w:bookmarkStart w:id="37" w:name="_Toc254970678"/>
      <w:bookmarkStart w:id="38" w:name="_Toc254970537"/>
      <w:r>
        <w:rPr>
          <w:b/>
          <w:color w:val="auto"/>
          <w:szCs w:val="21"/>
          <w:highlight w:val="none"/>
        </w:rPr>
        <w:t>3.2</w:t>
      </w:r>
      <w:r>
        <w:rPr>
          <w:b/>
          <w:bCs/>
          <w:color w:val="auto"/>
          <w:kern w:val="0"/>
          <w:szCs w:val="21"/>
          <w:highlight w:val="none"/>
        </w:rPr>
        <w:t>响应文件的语言及计量</w:t>
      </w:r>
      <w:bookmarkEnd w:id="37"/>
      <w:bookmarkEnd w:id="38"/>
    </w:p>
    <w:p w14:paraId="33B383AE">
      <w:pPr>
        <w:spacing w:before="120" w:line="320" w:lineRule="atLeast"/>
        <w:ind w:firstLine="420" w:firstLineChars="200"/>
        <w:rPr>
          <w:color w:val="auto"/>
          <w:szCs w:val="21"/>
          <w:highlight w:val="none"/>
        </w:rPr>
      </w:pPr>
      <w:r>
        <w:rPr>
          <w:color w:val="auto"/>
          <w:szCs w:val="21"/>
          <w:highlight w:val="none"/>
        </w:rPr>
        <w:t>3.2.1</w:t>
      </w:r>
      <w:r>
        <w:rPr>
          <w:rFonts w:hint="eastAsia"/>
          <w:color w:val="auto"/>
          <w:szCs w:val="21"/>
          <w:highlight w:val="none"/>
        </w:rPr>
        <w:t>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6E5AF21C">
      <w:pPr>
        <w:spacing w:before="120" w:line="320" w:lineRule="atLeast"/>
        <w:ind w:firstLine="420" w:firstLineChars="200"/>
        <w:rPr>
          <w:color w:val="auto"/>
          <w:szCs w:val="21"/>
          <w:highlight w:val="none"/>
        </w:rPr>
      </w:pPr>
      <w:r>
        <w:rPr>
          <w:color w:val="auto"/>
          <w:szCs w:val="21"/>
          <w:highlight w:val="none"/>
        </w:rPr>
        <w:t>3.2.2计量单位采购文件已有明确规定的，响应使用采购文件规定的计量单位；采购文件没有规定的，应采用中华人民共和国法定计量单位。</w:t>
      </w:r>
    </w:p>
    <w:p w14:paraId="35853F9E">
      <w:pPr>
        <w:spacing w:before="120" w:line="320" w:lineRule="atLeast"/>
        <w:ind w:firstLine="422" w:firstLineChars="200"/>
        <w:outlineLvl w:val="2"/>
        <w:rPr>
          <w:b/>
          <w:bCs/>
          <w:color w:val="auto"/>
          <w:kern w:val="0"/>
          <w:szCs w:val="21"/>
          <w:highlight w:val="none"/>
        </w:rPr>
      </w:pPr>
      <w:bookmarkStart w:id="39" w:name="_Toc254970679"/>
      <w:bookmarkStart w:id="40" w:name="_Toc254970538"/>
      <w:r>
        <w:rPr>
          <w:b/>
          <w:bCs/>
          <w:color w:val="auto"/>
          <w:kern w:val="0"/>
          <w:szCs w:val="21"/>
          <w:highlight w:val="none"/>
        </w:rPr>
        <w:t>3.3响应报价</w:t>
      </w:r>
      <w:bookmarkEnd w:id="39"/>
      <w:bookmarkEnd w:id="40"/>
    </w:p>
    <w:p w14:paraId="1105E120">
      <w:pPr>
        <w:spacing w:before="120" w:line="320" w:lineRule="atLeast"/>
        <w:ind w:firstLine="420" w:firstLineChars="200"/>
        <w:rPr>
          <w:color w:val="auto"/>
          <w:szCs w:val="21"/>
          <w:highlight w:val="none"/>
        </w:rPr>
      </w:pPr>
      <w:r>
        <w:rPr>
          <w:color w:val="auto"/>
          <w:szCs w:val="21"/>
          <w:highlight w:val="none"/>
        </w:rPr>
        <w:t>3.3.1响应报价应按采购文件中相关附表格式填写。</w:t>
      </w:r>
    </w:p>
    <w:p w14:paraId="1D59CB66">
      <w:pPr>
        <w:spacing w:before="120" w:line="320" w:lineRule="atLeast"/>
        <w:ind w:firstLine="420" w:firstLineChars="200"/>
        <w:rPr>
          <w:color w:val="auto"/>
          <w:szCs w:val="21"/>
          <w:highlight w:val="none"/>
        </w:rPr>
      </w:pPr>
      <w:r>
        <w:rPr>
          <w:color w:val="auto"/>
          <w:szCs w:val="21"/>
          <w:highlight w:val="none"/>
        </w:rPr>
        <w:t>3.3.2响应文件只允许有一个报价，有选择的或有条件的报价将不予接受。</w:t>
      </w:r>
    </w:p>
    <w:p w14:paraId="65A0291F">
      <w:pPr>
        <w:suppressAutoHyphens/>
        <w:spacing w:before="120" w:line="320" w:lineRule="atLeast"/>
        <w:ind w:firstLine="420" w:firstLineChars="200"/>
        <w:rPr>
          <w:color w:val="auto"/>
          <w:kern w:val="1"/>
          <w:szCs w:val="21"/>
          <w:highlight w:val="none"/>
        </w:rPr>
      </w:pPr>
      <w:r>
        <w:rPr>
          <w:color w:val="auto"/>
          <w:kern w:val="1"/>
          <w:szCs w:val="21"/>
          <w:highlight w:val="none"/>
        </w:rPr>
        <w:t>3.3.3对于本文件中未列明，而供应商认为必需的费用也需列入</w:t>
      </w:r>
      <w:r>
        <w:rPr>
          <w:rFonts w:hint="eastAsia"/>
          <w:color w:val="auto"/>
          <w:kern w:val="1"/>
          <w:szCs w:val="21"/>
          <w:highlight w:val="none"/>
        </w:rPr>
        <w:t>响应报价</w:t>
      </w:r>
      <w:r>
        <w:rPr>
          <w:color w:val="auto"/>
          <w:kern w:val="1"/>
          <w:szCs w:val="21"/>
          <w:highlight w:val="none"/>
        </w:rPr>
        <w:t>。在合同实施时，采购人将不予支付成交供应商没有列入的项目费用，并认为此项目的费用已包括在</w:t>
      </w:r>
      <w:r>
        <w:rPr>
          <w:rFonts w:hint="eastAsia"/>
          <w:color w:val="auto"/>
          <w:kern w:val="1"/>
          <w:szCs w:val="21"/>
          <w:highlight w:val="none"/>
        </w:rPr>
        <w:t>响应报价</w:t>
      </w:r>
      <w:r>
        <w:rPr>
          <w:color w:val="auto"/>
          <w:kern w:val="1"/>
          <w:szCs w:val="21"/>
          <w:highlight w:val="none"/>
        </w:rPr>
        <w:t>中。</w:t>
      </w:r>
    </w:p>
    <w:p w14:paraId="3AA21D8F">
      <w:pPr>
        <w:suppressAutoHyphens/>
        <w:spacing w:before="120" w:line="320" w:lineRule="atLeast"/>
        <w:ind w:firstLine="420" w:firstLineChars="200"/>
        <w:rPr>
          <w:b/>
          <w:bCs/>
          <w:color w:val="auto"/>
          <w:kern w:val="1"/>
          <w:szCs w:val="21"/>
          <w:highlight w:val="none"/>
        </w:rPr>
      </w:pPr>
      <w:r>
        <w:rPr>
          <w:rFonts w:hint="eastAsia"/>
          <w:color w:val="auto"/>
          <w:kern w:val="1"/>
          <w:szCs w:val="21"/>
          <w:highlight w:val="none"/>
        </w:rPr>
        <w:t>3</w:t>
      </w:r>
      <w:r>
        <w:rPr>
          <w:color w:val="auto"/>
          <w:kern w:val="1"/>
          <w:szCs w:val="21"/>
          <w:highlight w:val="none"/>
        </w:rPr>
        <w:t>.3.4</w:t>
      </w:r>
      <w:r>
        <w:rPr>
          <w:rFonts w:hint="eastAsia"/>
          <w:color w:val="auto"/>
          <w:kern w:val="1"/>
          <w:szCs w:val="21"/>
          <w:highlight w:val="none"/>
        </w:rPr>
        <w:t>采购人不接受供应商给予的赠品、回扣或者与采购无关的其他商品、服务。</w:t>
      </w:r>
    </w:p>
    <w:p w14:paraId="5DEC7C18">
      <w:pPr>
        <w:spacing w:before="120" w:line="320" w:lineRule="atLeast"/>
        <w:ind w:firstLine="422" w:firstLineChars="200"/>
        <w:outlineLvl w:val="2"/>
        <w:rPr>
          <w:b/>
          <w:bCs/>
          <w:color w:val="auto"/>
          <w:kern w:val="0"/>
          <w:szCs w:val="21"/>
          <w:highlight w:val="none"/>
        </w:rPr>
      </w:pPr>
      <w:r>
        <w:rPr>
          <w:b/>
          <w:bCs/>
          <w:color w:val="auto"/>
          <w:kern w:val="0"/>
          <w:szCs w:val="21"/>
          <w:highlight w:val="none"/>
        </w:rPr>
        <w:t>3.4响应有效期</w:t>
      </w:r>
    </w:p>
    <w:p w14:paraId="6A0E9444">
      <w:pPr>
        <w:spacing w:before="120" w:line="320" w:lineRule="atLeast"/>
        <w:ind w:firstLine="420" w:firstLineChars="200"/>
        <w:rPr>
          <w:color w:val="auto"/>
          <w:szCs w:val="21"/>
          <w:highlight w:val="none"/>
        </w:rPr>
      </w:pPr>
      <w:r>
        <w:rPr>
          <w:color w:val="auto"/>
          <w:szCs w:val="21"/>
          <w:highlight w:val="none"/>
        </w:rPr>
        <w:t>3.4.1如采购文件其他地方无特别规定</w:t>
      </w:r>
      <w:r>
        <w:rPr>
          <w:rFonts w:hint="eastAsia"/>
          <w:color w:val="auto"/>
          <w:szCs w:val="21"/>
          <w:highlight w:val="none"/>
        </w:rPr>
        <w:t>，</w:t>
      </w:r>
      <w:r>
        <w:rPr>
          <w:color w:val="auto"/>
          <w:szCs w:val="21"/>
          <w:highlight w:val="none"/>
        </w:rPr>
        <w:t>响应有效期则为响应截止之日起90天</w:t>
      </w:r>
      <w:r>
        <w:rPr>
          <w:rFonts w:hint="eastAsia"/>
          <w:color w:val="auto"/>
          <w:szCs w:val="21"/>
          <w:highlight w:val="none"/>
        </w:rPr>
        <w:t>。</w:t>
      </w:r>
      <w:r>
        <w:rPr>
          <w:color w:val="auto"/>
          <w:szCs w:val="21"/>
          <w:highlight w:val="none"/>
        </w:rPr>
        <w:t>在响应有效期内响应文件应保持有效。</w:t>
      </w:r>
      <w:r>
        <w:rPr>
          <w:b/>
          <w:bCs/>
          <w:color w:val="auto"/>
          <w:szCs w:val="21"/>
          <w:highlight w:val="none"/>
        </w:rPr>
        <w:t>有效期不足的响应文件将被否决</w:t>
      </w:r>
      <w:r>
        <w:rPr>
          <w:color w:val="auto"/>
          <w:szCs w:val="21"/>
          <w:highlight w:val="none"/>
        </w:rPr>
        <w:t>。</w:t>
      </w:r>
    </w:p>
    <w:p w14:paraId="70FF0D6C">
      <w:pPr>
        <w:spacing w:before="120" w:line="320" w:lineRule="atLeast"/>
        <w:ind w:firstLine="420" w:firstLineChars="200"/>
        <w:rPr>
          <w:color w:val="auto"/>
          <w:szCs w:val="21"/>
          <w:highlight w:val="none"/>
        </w:rPr>
      </w:pPr>
      <w:r>
        <w:rPr>
          <w:color w:val="auto"/>
          <w:szCs w:val="21"/>
          <w:highlight w:val="none"/>
        </w:rPr>
        <w:t>3.4.2在特殊情况下，采购人可与供应商协商延长响应文件的有效期，这种要求和答复均以书面形式进行。</w:t>
      </w:r>
    </w:p>
    <w:p w14:paraId="10F840A5">
      <w:pPr>
        <w:spacing w:before="120" w:line="320" w:lineRule="atLeast"/>
        <w:ind w:firstLine="420" w:firstLineChars="200"/>
        <w:rPr>
          <w:color w:val="auto"/>
          <w:szCs w:val="21"/>
          <w:highlight w:val="none"/>
        </w:rPr>
      </w:pPr>
      <w:r>
        <w:rPr>
          <w:color w:val="auto"/>
          <w:szCs w:val="21"/>
          <w:highlight w:val="none"/>
        </w:rPr>
        <w:t>3.4.3</w:t>
      </w:r>
      <w:r>
        <w:rPr>
          <w:rFonts w:hint="eastAsia"/>
          <w:color w:val="auto"/>
          <w:szCs w:val="21"/>
          <w:highlight w:val="none"/>
        </w:rPr>
        <w:t>供应商同意延长的响应有效期的，如本项目要求提交保证金则应相应延长其磋商保证金的有效期，但不得要求或被允许修改或撤销其响应文件；供应商拒绝延长的，其响应无效，但供应商有权收回其磋商保证金。</w:t>
      </w:r>
    </w:p>
    <w:p w14:paraId="5C22E72A">
      <w:pPr>
        <w:spacing w:before="120" w:line="320" w:lineRule="atLeast"/>
        <w:ind w:firstLine="422" w:firstLineChars="200"/>
        <w:outlineLvl w:val="2"/>
        <w:rPr>
          <w:b/>
          <w:bCs/>
          <w:color w:val="auto"/>
          <w:kern w:val="0"/>
          <w:szCs w:val="21"/>
          <w:highlight w:val="none"/>
        </w:rPr>
      </w:pPr>
      <w:bookmarkStart w:id="41" w:name="_Toc254970541"/>
      <w:bookmarkStart w:id="42" w:name="_Toc254970682"/>
      <w:r>
        <w:rPr>
          <w:b/>
          <w:bCs/>
          <w:color w:val="auto"/>
          <w:kern w:val="0"/>
          <w:szCs w:val="21"/>
          <w:highlight w:val="none"/>
        </w:rPr>
        <w:t>3.5磋商保证金</w:t>
      </w:r>
      <w:bookmarkEnd w:id="41"/>
      <w:bookmarkEnd w:id="42"/>
    </w:p>
    <w:p w14:paraId="2BA49E1A">
      <w:pPr>
        <w:spacing w:before="120" w:line="320" w:lineRule="atLeast"/>
        <w:ind w:firstLine="420" w:firstLineChars="200"/>
        <w:rPr>
          <w:color w:val="auto"/>
          <w:szCs w:val="21"/>
          <w:highlight w:val="none"/>
        </w:rPr>
      </w:pPr>
      <w:r>
        <w:rPr>
          <w:color w:val="auto"/>
          <w:szCs w:val="21"/>
          <w:highlight w:val="none"/>
        </w:rPr>
        <w:t>3.5.1供应商须按须知前附表规定提交磋商保证金，</w:t>
      </w:r>
      <w:r>
        <w:rPr>
          <w:b/>
          <w:bCs/>
          <w:color w:val="auto"/>
          <w:szCs w:val="21"/>
          <w:highlight w:val="none"/>
        </w:rPr>
        <w:t>否则其响应将被否决</w:t>
      </w:r>
      <w:r>
        <w:rPr>
          <w:color w:val="auto"/>
          <w:szCs w:val="21"/>
          <w:highlight w:val="none"/>
        </w:rPr>
        <w:t>。除采购文件规定不予退还保证金的情形外，代理机构在规定时间内退回供应商的磋商保证金（供应商自行承担因未按供应商须知前附表要求交纳导致磋商保证金无法及时退还的责任）。</w:t>
      </w:r>
    </w:p>
    <w:p w14:paraId="365A6EA7">
      <w:pPr>
        <w:spacing w:before="120" w:line="320" w:lineRule="atLeast"/>
        <w:ind w:firstLine="420" w:firstLineChars="200"/>
        <w:rPr>
          <w:color w:val="auto"/>
          <w:szCs w:val="21"/>
          <w:highlight w:val="none"/>
        </w:rPr>
      </w:pPr>
      <w:r>
        <w:rPr>
          <w:color w:val="auto"/>
          <w:szCs w:val="21"/>
          <w:highlight w:val="none"/>
        </w:rPr>
        <w:t>3.5.2磋商保证金币种应与响应报价币种相同。</w:t>
      </w:r>
    </w:p>
    <w:p w14:paraId="0EA5F179">
      <w:pPr>
        <w:spacing w:before="120" w:line="320" w:lineRule="atLeast"/>
        <w:ind w:firstLine="420" w:firstLineChars="200"/>
        <w:rPr>
          <w:color w:val="auto"/>
          <w:szCs w:val="21"/>
          <w:highlight w:val="none"/>
        </w:rPr>
      </w:pPr>
      <w:r>
        <w:rPr>
          <w:color w:val="auto"/>
          <w:szCs w:val="21"/>
          <w:highlight w:val="none"/>
        </w:rPr>
        <w:t>3.5.3未成交供应商的磋商保证金在成交通知书发出后5个工作日内退还。成交供应商的磋商保证金在合同签订后5个工作日内退还（办理退还手续时需要向采购代理机构提供两份合同复印件）。</w:t>
      </w:r>
    </w:p>
    <w:p w14:paraId="1AE59082">
      <w:pPr>
        <w:spacing w:before="120" w:line="320" w:lineRule="atLeast"/>
        <w:ind w:firstLine="420" w:firstLineChars="200"/>
        <w:rPr>
          <w:color w:val="auto"/>
          <w:szCs w:val="21"/>
          <w:highlight w:val="none"/>
        </w:rPr>
      </w:pPr>
      <w:r>
        <w:rPr>
          <w:color w:val="auto"/>
          <w:szCs w:val="21"/>
          <w:highlight w:val="none"/>
        </w:rPr>
        <w:t>3.5.4供应商有下列情形之一的，磋商保证金将不予退还：</w:t>
      </w:r>
    </w:p>
    <w:p w14:paraId="32645905">
      <w:pPr>
        <w:numPr>
          <w:ilvl w:val="0"/>
          <w:numId w:val="3"/>
        </w:numPr>
        <w:spacing w:before="120" w:line="320" w:lineRule="atLeast"/>
        <w:rPr>
          <w:color w:val="auto"/>
          <w:szCs w:val="21"/>
          <w:highlight w:val="none"/>
        </w:rPr>
      </w:pPr>
      <w:r>
        <w:rPr>
          <w:color w:val="auto"/>
          <w:szCs w:val="21"/>
          <w:highlight w:val="none"/>
        </w:rPr>
        <w:t>供应商在响应有效期内撤销响应文件的；</w:t>
      </w:r>
    </w:p>
    <w:p w14:paraId="7E99EB88">
      <w:pPr>
        <w:numPr>
          <w:ilvl w:val="0"/>
          <w:numId w:val="3"/>
        </w:numPr>
        <w:spacing w:before="120" w:line="320" w:lineRule="atLeast"/>
        <w:rPr>
          <w:color w:val="auto"/>
          <w:szCs w:val="21"/>
          <w:highlight w:val="none"/>
        </w:rPr>
      </w:pPr>
      <w:r>
        <w:rPr>
          <w:color w:val="auto"/>
          <w:szCs w:val="21"/>
          <w:highlight w:val="none"/>
        </w:rPr>
        <w:t>供应商在响应过程中弄虚作假，提供虚假材料的；</w:t>
      </w:r>
    </w:p>
    <w:p w14:paraId="0045A112">
      <w:pPr>
        <w:numPr>
          <w:ilvl w:val="0"/>
          <w:numId w:val="3"/>
        </w:numPr>
        <w:spacing w:before="120" w:line="320" w:lineRule="atLeast"/>
        <w:rPr>
          <w:color w:val="auto"/>
          <w:szCs w:val="21"/>
          <w:highlight w:val="none"/>
        </w:rPr>
      </w:pPr>
      <w:r>
        <w:rPr>
          <w:color w:val="auto"/>
          <w:szCs w:val="21"/>
          <w:highlight w:val="none"/>
        </w:rPr>
        <w:t>成交供应商无正当理由不与采购人签订合同的；</w:t>
      </w:r>
    </w:p>
    <w:p w14:paraId="73762118">
      <w:pPr>
        <w:numPr>
          <w:ilvl w:val="0"/>
          <w:numId w:val="3"/>
        </w:numPr>
        <w:spacing w:before="120" w:line="320" w:lineRule="atLeast"/>
        <w:rPr>
          <w:color w:val="auto"/>
          <w:szCs w:val="21"/>
          <w:highlight w:val="none"/>
        </w:rPr>
      </w:pPr>
      <w:r>
        <w:rPr>
          <w:color w:val="auto"/>
          <w:szCs w:val="21"/>
          <w:highlight w:val="none"/>
        </w:rPr>
        <w:t>将成交项目转让给他人或者在响应文件中未说明且未经采购人同意，将成交项目分包给他人的；</w:t>
      </w:r>
    </w:p>
    <w:p w14:paraId="3AA667E1">
      <w:pPr>
        <w:numPr>
          <w:ilvl w:val="0"/>
          <w:numId w:val="3"/>
        </w:numPr>
        <w:spacing w:before="120" w:line="320" w:lineRule="atLeast"/>
        <w:rPr>
          <w:color w:val="auto"/>
          <w:szCs w:val="21"/>
          <w:highlight w:val="none"/>
        </w:rPr>
      </w:pPr>
      <w:r>
        <w:rPr>
          <w:rFonts w:hint="eastAsia"/>
          <w:color w:val="auto"/>
          <w:szCs w:val="21"/>
          <w:highlight w:val="none"/>
        </w:rPr>
        <w:t>供应商与采购人、其他供应商或者采购代理机构恶意串通的；</w:t>
      </w:r>
    </w:p>
    <w:p w14:paraId="7DCBADEC">
      <w:pPr>
        <w:numPr>
          <w:ilvl w:val="0"/>
          <w:numId w:val="3"/>
        </w:numPr>
        <w:spacing w:before="120" w:line="320" w:lineRule="atLeast"/>
        <w:rPr>
          <w:color w:val="auto"/>
          <w:szCs w:val="21"/>
          <w:highlight w:val="none"/>
        </w:rPr>
      </w:pPr>
      <w:r>
        <w:rPr>
          <w:color w:val="auto"/>
          <w:szCs w:val="21"/>
          <w:highlight w:val="none"/>
        </w:rPr>
        <w:t>拒绝履行合同义务的；</w:t>
      </w:r>
    </w:p>
    <w:p w14:paraId="38F447E8">
      <w:pPr>
        <w:numPr>
          <w:ilvl w:val="0"/>
          <w:numId w:val="3"/>
        </w:numPr>
        <w:spacing w:before="120" w:line="320" w:lineRule="atLeast"/>
        <w:rPr>
          <w:color w:val="auto"/>
          <w:szCs w:val="21"/>
          <w:highlight w:val="none"/>
        </w:rPr>
      </w:pPr>
      <w:r>
        <w:rPr>
          <w:color w:val="auto"/>
          <w:szCs w:val="21"/>
          <w:highlight w:val="none"/>
        </w:rPr>
        <w:t>其他严重扰乱招</w:t>
      </w:r>
      <w:r>
        <w:rPr>
          <w:rFonts w:hint="eastAsia"/>
          <w:color w:val="auto"/>
          <w:szCs w:val="21"/>
          <w:highlight w:val="none"/>
        </w:rPr>
        <w:t>投标</w:t>
      </w:r>
      <w:r>
        <w:rPr>
          <w:color w:val="auto"/>
          <w:szCs w:val="21"/>
          <w:highlight w:val="none"/>
        </w:rPr>
        <w:t>程序的</w:t>
      </w:r>
      <w:r>
        <w:rPr>
          <w:rFonts w:hint="eastAsia"/>
          <w:color w:val="auto"/>
          <w:szCs w:val="21"/>
          <w:highlight w:val="none"/>
        </w:rPr>
        <w:t>。</w:t>
      </w:r>
    </w:p>
    <w:p w14:paraId="7577A247">
      <w:pPr>
        <w:spacing w:before="120" w:line="320" w:lineRule="atLeast"/>
        <w:ind w:firstLine="422" w:firstLineChars="200"/>
        <w:outlineLvl w:val="2"/>
        <w:rPr>
          <w:b/>
          <w:bCs/>
          <w:color w:val="auto"/>
          <w:kern w:val="0"/>
          <w:szCs w:val="21"/>
          <w:highlight w:val="none"/>
        </w:rPr>
      </w:pPr>
      <w:bookmarkStart w:id="43" w:name="_Toc254970542"/>
      <w:bookmarkStart w:id="44" w:name="_Toc254970683"/>
      <w:r>
        <w:rPr>
          <w:b/>
          <w:bCs/>
          <w:color w:val="auto"/>
          <w:kern w:val="0"/>
          <w:szCs w:val="21"/>
          <w:highlight w:val="none"/>
        </w:rPr>
        <w:t>3.6响应文件的</w:t>
      </w:r>
      <w:bookmarkEnd w:id="43"/>
      <w:bookmarkEnd w:id="44"/>
      <w:r>
        <w:rPr>
          <w:b/>
          <w:bCs/>
          <w:color w:val="auto"/>
          <w:kern w:val="0"/>
          <w:szCs w:val="21"/>
          <w:highlight w:val="none"/>
        </w:rPr>
        <w:t>编制要求</w:t>
      </w:r>
    </w:p>
    <w:p w14:paraId="5C405D08">
      <w:pPr>
        <w:spacing w:before="120" w:line="320" w:lineRule="atLeast"/>
        <w:ind w:firstLine="420" w:firstLineChars="200"/>
        <w:rPr>
          <w:b/>
          <w:bCs/>
          <w:color w:val="auto"/>
          <w:kern w:val="0"/>
          <w:szCs w:val="21"/>
          <w:highlight w:val="none"/>
        </w:rPr>
      </w:pPr>
      <w:r>
        <w:rPr>
          <w:rFonts w:hint="eastAsia"/>
          <w:color w:val="auto"/>
          <w:kern w:val="0"/>
          <w:szCs w:val="21"/>
          <w:highlight w:val="none"/>
        </w:rPr>
        <w:t>3</w:t>
      </w:r>
      <w:r>
        <w:rPr>
          <w:color w:val="auto"/>
          <w:kern w:val="0"/>
          <w:szCs w:val="21"/>
          <w:highlight w:val="none"/>
        </w:rPr>
        <w:t>.6.1</w:t>
      </w:r>
      <w:r>
        <w:rPr>
          <w:rFonts w:hint="eastAsia"/>
          <w:color w:val="auto"/>
          <w:szCs w:val="21"/>
          <w:highlight w:val="none"/>
        </w:rPr>
        <w:t>供应商应先安装广西政府采购云平台新版客户端，通过账号密码或C</w:t>
      </w:r>
      <w:r>
        <w:rPr>
          <w:color w:val="auto"/>
          <w:szCs w:val="21"/>
          <w:highlight w:val="none"/>
        </w:rPr>
        <w:t>A</w:t>
      </w:r>
      <w:r>
        <w:rPr>
          <w:rFonts w:hint="eastAsia"/>
          <w:color w:val="auto"/>
          <w:szCs w:val="21"/>
          <w:highlight w:val="none"/>
        </w:rPr>
        <w:t>登录客户端制作响应文件。</w:t>
      </w:r>
    </w:p>
    <w:p w14:paraId="6F232009">
      <w:pPr>
        <w:spacing w:before="120" w:line="320" w:lineRule="atLeast"/>
        <w:ind w:firstLine="420" w:firstLineChars="200"/>
        <w:rPr>
          <w:color w:val="auto"/>
          <w:szCs w:val="21"/>
          <w:highlight w:val="none"/>
        </w:rPr>
      </w:pPr>
      <w:r>
        <w:rPr>
          <w:color w:val="auto"/>
          <w:szCs w:val="21"/>
          <w:highlight w:val="none"/>
        </w:rPr>
        <w:t>3.6.2</w:t>
      </w:r>
      <w:r>
        <w:rPr>
          <w:rFonts w:hint="eastAsia"/>
          <w:color w:val="auto"/>
          <w:szCs w:val="21"/>
          <w:highlight w:val="none"/>
        </w:rPr>
        <w:t>供应商应按本采购文件规定的格式和顺序编制响应文件并进行关联定位，以便磋商小组在评审时，点击评分项可直接定位到该评分项内容。如对采购文件的某项要求，供应商的响应文件未能关联定位提供相应的内容与其对应，则磋商小组在评审时如做出对供应商不利的评审由供应商自行承担。响应文件如内容不完整、编排混乱导致响应文件被误读、漏读，或者在按采购文件规定的部位查找不到相关内容的，由供应商自行承担。</w:t>
      </w:r>
    </w:p>
    <w:p w14:paraId="581C6BB6">
      <w:pPr>
        <w:spacing w:before="120" w:line="320" w:lineRule="atLeast"/>
        <w:ind w:firstLine="420" w:firstLineChars="200"/>
        <w:rPr>
          <w:color w:val="auto"/>
          <w:szCs w:val="21"/>
          <w:highlight w:val="none"/>
        </w:rPr>
      </w:pPr>
      <w:r>
        <w:rPr>
          <w:color w:val="auto"/>
          <w:szCs w:val="21"/>
          <w:highlight w:val="none"/>
        </w:rPr>
        <w:t xml:space="preserve">3.6.3 </w:t>
      </w:r>
      <w:r>
        <w:rPr>
          <w:rFonts w:hint="eastAsia"/>
          <w:color w:val="auto"/>
          <w:szCs w:val="21"/>
          <w:highlight w:val="none"/>
        </w:rPr>
        <w:t>供应商的响应文件未按照采购文件要求签署、盖章的，其响应无效。</w:t>
      </w:r>
    </w:p>
    <w:p w14:paraId="54DC0716">
      <w:pPr>
        <w:spacing w:before="120" w:line="320" w:lineRule="atLeast"/>
        <w:ind w:firstLine="420" w:firstLineChars="200"/>
        <w:rPr>
          <w:color w:val="auto"/>
          <w:szCs w:val="21"/>
          <w:highlight w:val="none"/>
        </w:rPr>
      </w:pPr>
      <w:r>
        <w:rPr>
          <w:color w:val="auto"/>
          <w:szCs w:val="21"/>
          <w:highlight w:val="none"/>
        </w:rPr>
        <w:t>3.6.4</w:t>
      </w:r>
      <w:r>
        <w:rPr>
          <w:rFonts w:hint="eastAsia"/>
          <w:color w:val="auto"/>
          <w:szCs w:val="21"/>
          <w:highlight w:val="none"/>
        </w:rPr>
        <w:t>为确保网上操作合法、有效和安全，供应商应当在响应截止时间前完成在广西政府采购云平台的身份认证，确保在电子投标过程中能够对相关数据电文进行加密和使用电子签名。</w:t>
      </w:r>
    </w:p>
    <w:p w14:paraId="072676DB">
      <w:pPr>
        <w:spacing w:before="120" w:line="320" w:lineRule="atLeast"/>
        <w:ind w:firstLine="420" w:firstLineChars="200"/>
        <w:rPr>
          <w:color w:val="auto"/>
          <w:szCs w:val="21"/>
          <w:highlight w:val="none"/>
        </w:rPr>
      </w:pPr>
      <w:r>
        <w:rPr>
          <w:rFonts w:hint="eastAsia"/>
          <w:color w:val="auto"/>
          <w:szCs w:val="21"/>
          <w:highlight w:val="none"/>
        </w:rPr>
        <w:t>3</w:t>
      </w:r>
      <w:r>
        <w:rPr>
          <w:color w:val="auto"/>
          <w:szCs w:val="21"/>
          <w:highlight w:val="none"/>
        </w:rPr>
        <w:t>.6.5</w:t>
      </w:r>
      <w:r>
        <w:rPr>
          <w:rFonts w:hint="eastAsia"/>
          <w:color w:val="auto"/>
          <w:szCs w:val="21"/>
          <w:highlight w:val="none"/>
        </w:rPr>
        <w:t>响应文件中标注的供应商名称应与主体资格证明（如营业执照、事业单位法人证书、执业许可证、个体工商户营业执照、自然人身份证等）和公章/电子签章一致，</w:t>
      </w:r>
      <w:r>
        <w:rPr>
          <w:rFonts w:hint="eastAsia"/>
          <w:b/>
          <w:bCs/>
          <w:color w:val="auto"/>
          <w:szCs w:val="21"/>
          <w:highlight w:val="none"/>
        </w:rPr>
        <w:t>否则作无效响应处理。</w:t>
      </w:r>
    </w:p>
    <w:p w14:paraId="78D02C69">
      <w:pPr>
        <w:spacing w:before="120" w:line="320" w:lineRule="atLeast"/>
        <w:ind w:firstLine="422" w:firstLineChars="200"/>
        <w:outlineLvl w:val="2"/>
        <w:rPr>
          <w:b/>
          <w:bCs/>
          <w:color w:val="auto"/>
          <w:kern w:val="0"/>
          <w:szCs w:val="21"/>
          <w:highlight w:val="none"/>
        </w:rPr>
      </w:pPr>
      <w:r>
        <w:rPr>
          <w:b/>
          <w:bCs/>
          <w:color w:val="auto"/>
          <w:kern w:val="0"/>
          <w:szCs w:val="21"/>
          <w:highlight w:val="none"/>
        </w:rPr>
        <w:t>3.7响应文件的递交、修改和撤回</w:t>
      </w:r>
    </w:p>
    <w:p w14:paraId="5D7AA80A">
      <w:pPr>
        <w:spacing w:before="120" w:line="320" w:lineRule="atLeast"/>
        <w:ind w:firstLine="420" w:firstLineChars="200"/>
        <w:rPr>
          <w:color w:val="auto"/>
          <w:szCs w:val="21"/>
          <w:highlight w:val="none"/>
        </w:rPr>
      </w:pPr>
      <w:r>
        <w:rPr>
          <w:color w:val="auto"/>
          <w:szCs w:val="21"/>
          <w:highlight w:val="none"/>
        </w:rPr>
        <w:t>3.7.1</w:t>
      </w:r>
      <w:r>
        <w:rPr>
          <w:rFonts w:hint="eastAsia"/>
          <w:color w:val="auto"/>
          <w:szCs w:val="21"/>
          <w:highlight w:val="none"/>
        </w:rPr>
        <w:t xml:space="preserve">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广西政府采购云平台。 </w:t>
      </w:r>
    </w:p>
    <w:p w14:paraId="0FDB1EEA">
      <w:pPr>
        <w:spacing w:before="120" w:line="320" w:lineRule="atLeast"/>
        <w:ind w:firstLine="420" w:firstLineChars="200"/>
        <w:rPr>
          <w:color w:val="auto"/>
          <w:szCs w:val="21"/>
          <w:highlight w:val="none"/>
        </w:rPr>
      </w:pPr>
      <w:r>
        <w:rPr>
          <w:rFonts w:hint="eastAsia"/>
          <w:color w:val="auto"/>
          <w:szCs w:val="21"/>
          <w:highlight w:val="none"/>
        </w:rPr>
        <w:t>3</w:t>
      </w:r>
      <w:r>
        <w:rPr>
          <w:color w:val="auto"/>
          <w:szCs w:val="21"/>
          <w:highlight w:val="none"/>
        </w:rPr>
        <w:t>.7.2</w:t>
      </w:r>
      <w:r>
        <w:rPr>
          <w:rFonts w:hint="eastAsia"/>
          <w:color w:val="auto"/>
          <w:szCs w:val="21"/>
          <w:highlight w:val="none"/>
        </w:rPr>
        <w:t xml:space="preserve">未在规定时间内提交或者未按照采购文件要求签章、加密的电子响应文件，广西政府采购云平台将拒收。 </w:t>
      </w:r>
    </w:p>
    <w:p w14:paraId="78037CD6">
      <w:pPr>
        <w:spacing w:before="120" w:line="320" w:lineRule="atLeast"/>
        <w:ind w:left="2" w:leftChars="1" w:firstLine="420" w:firstLineChars="200"/>
        <w:rPr>
          <w:color w:val="auto"/>
          <w:szCs w:val="21"/>
          <w:highlight w:val="none"/>
        </w:rPr>
      </w:pPr>
      <w:bookmarkStart w:id="45" w:name="_Toc254970685"/>
      <w:bookmarkStart w:id="46" w:name="_Toc254970544"/>
      <w:r>
        <w:rPr>
          <w:rFonts w:hint="eastAsia"/>
          <w:color w:val="auto"/>
          <w:szCs w:val="21"/>
          <w:highlight w:val="none"/>
        </w:rPr>
        <w:t>3</w:t>
      </w:r>
      <w:r>
        <w:rPr>
          <w:color w:val="auto"/>
          <w:szCs w:val="21"/>
          <w:highlight w:val="none"/>
        </w:rPr>
        <w:t>.7.3</w:t>
      </w:r>
      <w:r>
        <w:rPr>
          <w:rFonts w:hint="eastAsia"/>
          <w:color w:val="auto"/>
          <w:szCs w:val="21"/>
          <w:highlight w:val="none"/>
        </w:rPr>
        <w:t>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660042E8">
      <w:pPr>
        <w:spacing w:before="120" w:line="320" w:lineRule="atLeast"/>
        <w:ind w:left="2" w:leftChars="1" w:firstLine="420" w:firstLineChars="200"/>
        <w:rPr>
          <w:color w:val="auto"/>
          <w:szCs w:val="21"/>
          <w:highlight w:val="none"/>
        </w:rPr>
      </w:pPr>
      <w:r>
        <w:rPr>
          <w:color w:val="auto"/>
          <w:szCs w:val="21"/>
          <w:highlight w:val="none"/>
        </w:rPr>
        <w:t>3.7.4</w:t>
      </w:r>
      <w:r>
        <w:rPr>
          <w:rFonts w:hint="eastAsia"/>
          <w:color w:val="auto"/>
          <w:szCs w:val="21"/>
          <w:highlight w:val="none"/>
        </w:rPr>
        <w:t>在响应截止时间前，除供应商补充、修改或者撤回响应文件外，任何单位和个人不得解密或提取响应文件。</w:t>
      </w:r>
    </w:p>
    <w:p w14:paraId="7D35193C">
      <w:pPr>
        <w:spacing w:before="120" w:line="320" w:lineRule="atLeast"/>
        <w:ind w:left="2" w:leftChars="1" w:firstLine="420" w:firstLineChars="200"/>
        <w:rPr>
          <w:color w:val="auto"/>
          <w:szCs w:val="21"/>
          <w:highlight w:val="none"/>
        </w:rPr>
      </w:pPr>
      <w:r>
        <w:rPr>
          <w:color w:val="auto"/>
          <w:szCs w:val="21"/>
          <w:highlight w:val="none"/>
        </w:rPr>
        <w:t>3.7.5</w:t>
      </w:r>
      <w:r>
        <w:rPr>
          <w:rFonts w:hint="eastAsia"/>
          <w:color w:val="auto"/>
          <w:szCs w:val="21"/>
          <w:highlight w:val="none"/>
        </w:rPr>
        <w:t>在响应截止时间止提交电子版响应文件的供应商不足3家时，电子版响应文件由代理机构在广西政府采购云平台操作退回，除此之外采购人和采购代理机构对已提交的响应文件概不退回。</w:t>
      </w:r>
    </w:p>
    <w:p w14:paraId="1C950EA6">
      <w:pPr>
        <w:spacing w:before="120" w:line="320" w:lineRule="atLeast"/>
        <w:ind w:left="2" w:leftChars="1" w:firstLine="420" w:firstLineChars="200"/>
        <w:rPr>
          <w:rFonts w:hint="eastAsia"/>
          <w:color w:val="auto"/>
          <w:szCs w:val="21"/>
          <w:highlight w:val="none"/>
        </w:rPr>
      </w:pPr>
      <w:bookmarkStart w:id="47" w:name="_Hlk93046827"/>
      <w:r>
        <w:rPr>
          <w:rFonts w:hint="eastAsia"/>
          <w:color w:val="auto"/>
          <w:szCs w:val="21"/>
          <w:highlight w:val="none"/>
        </w:rPr>
        <w:t>3</w:t>
      </w:r>
      <w:r>
        <w:rPr>
          <w:color w:val="auto"/>
          <w:szCs w:val="21"/>
          <w:highlight w:val="none"/>
        </w:rPr>
        <w:t>.7.6</w:t>
      </w:r>
      <w:r>
        <w:rPr>
          <w:rFonts w:hint="eastAsia"/>
          <w:color w:val="auto"/>
          <w:szCs w:val="21"/>
          <w:highlight w:val="none"/>
        </w:rPr>
        <w:t>采购文件</w:t>
      </w:r>
      <w:bookmarkStart w:id="48" w:name="_Hlk106638610"/>
      <w:r>
        <w:rPr>
          <w:rFonts w:hint="eastAsia"/>
          <w:color w:val="auto"/>
          <w:szCs w:val="21"/>
          <w:highlight w:val="none"/>
        </w:rPr>
        <w:t>未允许同一供应商提交两个或以上不同的响应文件，但存在</w:t>
      </w:r>
      <w:r>
        <w:rPr>
          <w:rFonts w:hint="eastAsia"/>
          <w:color w:val="auto"/>
          <w:highlight w:val="none"/>
        </w:rPr>
        <w:t>同</w:t>
      </w:r>
      <w:r>
        <w:rPr>
          <w:rFonts w:hint="eastAsia"/>
          <w:color w:val="auto"/>
          <w:szCs w:val="21"/>
          <w:highlight w:val="none"/>
        </w:rPr>
        <w:t>一供应商提交两个或以上不同的响应文件的</w:t>
      </w:r>
      <w:bookmarkEnd w:id="48"/>
      <w:r>
        <w:rPr>
          <w:rFonts w:hint="eastAsia"/>
          <w:color w:val="auto"/>
          <w:szCs w:val="21"/>
          <w:highlight w:val="none"/>
        </w:rPr>
        <w:t>，</w:t>
      </w:r>
      <w:r>
        <w:rPr>
          <w:rFonts w:hint="eastAsia"/>
          <w:b/>
          <w:bCs/>
          <w:color w:val="auto"/>
          <w:szCs w:val="21"/>
          <w:highlight w:val="none"/>
        </w:rPr>
        <w:t>其响应无效。</w:t>
      </w:r>
      <w:r>
        <w:rPr>
          <w:rFonts w:hint="eastAsia"/>
          <w:color w:val="auto"/>
          <w:szCs w:val="21"/>
          <w:highlight w:val="none"/>
        </w:rPr>
        <w:t>供应商在同一响应文件中对某项技术、商务要求提供有选择性的响应参数或方案等同于提交两个或以上不同的响应文件。</w:t>
      </w:r>
      <w:bookmarkEnd w:id="47"/>
    </w:p>
    <w:p w14:paraId="7C420766">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4．截标</w:t>
      </w:r>
      <w:bookmarkEnd w:id="45"/>
      <w:bookmarkEnd w:id="46"/>
    </w:p>
    <w:p w14:paraId="4BE57D76">
      <w:pPr>
        <w:spacing w:before="120" w:line="320" w:lineRule="atLeast"/>
        <w:ind w:firstLine="422" w:firstLineChars="200"/>
        <w:outlineLvl w:val="2"/>
        <w:rPr>
          <w:b/>
          <w:bCs/>
          <w:color w:val="auto"/>
          <w:kern w:val="0"/>
          <w:szCs w:val="21"/>
          <w:highlight w:val="none"/>
        </w:rPr>
      </w:pPr>
      <w:r>
        <w:rPr>
          <w:b/>
          <w:bCs/>
          <w:color w:val="auto"/>
          <w:kern w:val="0"/>
          <w:szCs w:val="21"/>
          <w:highlight w:val="none"/>
        </w:rPr>
        <w:t>4.1截标准备</w:t>
      </w:r>
    </w:p>
    <w:p w14:paraId="031B0F82">
      <w:pPr>
        <w:spacing w:before="120" w:line="276" w:lineRule="auto"/>
        <w:ind w:firstLine="420" w:firstLineChars="200"/>
        <w:rPr>
          <w:color w:val="auto"/>
          <w:szCs w:val="21"/>
          <w:highlight w:val="none"/>
        </w:rPr>
      </w:pPr>
      <w:r>
        <w:rPr>
          <w:color w:val="auto"/>
          <w:szCs w:val="21"/>
          <w:highlight w:val="none"/>
        </w:rPr>
        <w:t>本项目响应截止时间及地点见“供应商须知前附表”规定。</w:t>
      </w:r>
    </w:p>
    <w:p w14:paraId="19FDA8AE">
      <w:pPr>
        <w:autoSpaceDE w:val="0"/>
        <w:autoSpaceDN w:val="0"/>
        <w:adjustRightInd w:val="0"/>
        <w:spacing w:line="276" w:lineRule="auto"/>
        <w:ind w:firstLine="420" w:firstLineChars="200"/>
        <w:rPr>
          <w:color w:val="auto"/>
          <w:szCs w:val="21"/>
          <w:highlight w:val="none"/>
        </w:rPr>
      </w:pPr>
      <w:r>
        <w:rPr>
          <w:rFonts w:hint="eastAsia"/>
          <w:color w:val="auto"/>
          <w:szCs w:val="21"/>
          <w:highlight w:val="none"/>
        </w:rPr>
        <w:t>全流程电子化项目没有现场递交响应文件及现场截标环节。采购代理机构将按照采购文件规定的时间通过广西政府采购云平台组织线上截标活动、开启响应文件，所有供应商均应当准时在线参加。供应商</w:t>
      </w:r>
      <w:r>
        <w:rPr>
          <w:color w:val="auto"/>
          <w:szCs w:val="21"/>
          <w:highlight w:val="none"/>
        </w:rPr>
        <w:t>如不</w:t>
      </w:r>
      <w:r>
        <w:rPr>
          <w:rFonts w:hint="eastAsia"/>
          <w:color w:val="auto"/>
          <w:szCs w:val="21"/>
          <w:highlight w:val="none"/>
        </w:rPr>
        <w:t>参加</w:t>
      </w:r>
      <w:r>
        <w:rPr>
          <w:color w:val="auto"/>
          <w:szCs w:val="21"/>
          <w:highlight w:val="none"/>
        </w:rPr>
        <w:t>截标大会的，</w:t>
      </w:r>
      <w:r>
        <w:rPr>
          <w:rFonts w:hint="eastAsia"/>
          <w:color w:val="auto"/>
          <w:szCs w:val="21"/>
          <w:highlight w:val="none"/>
        </w:rPr>
        <w:t>视同认可截标结果，</w:t>
      </w:r>
      <w:r>
        <w:rPr>
          <w:color w:val="auto"/>
          <w:szCs w:val="21"/>
          <w:highlight w:val="none"/>
        </w:rPr>
        <w:t>事后不得对采购相关人员、截标过程和截标结果提出异议</w:t>
      </w:r>
      <w:r>
        <w:rPr>
          <w:rFonts w:hint="eastAsia"/>
          <w:color w:val="auto"/>
          <w:szCs w:val="21"/>
          <w:highlight w:val="none"/>
        </w:rPr>
        <w:t>，同时供应商因未在线参加截标而导致响应文件无法按时解密等一切后果由供应商自己承担。</w:t>
      </w:r>
    </w:p>
    <w:p w14:paraId="4A7BEAA7">
      <w:pPr>
        <w:spacing w:before="120" w:line="276" w:lineRule="auto"/>
        <w:ind w:firstLine="420" w:firstLineChars="200"/>
        <w:rPr>
          <w:color w:val="auto"/>
          <w:szCs w:val="21"/>
          <w:highlight w:val="none"/>
        </w:rPr>
      </w:pPr>
      <w:r>
        <w:rPr>
          <w:rFonts w:hint="eastAsia"/>
          <w:color w:val="auto"/>
          <w:szCs w:val="21"/>
          <w:highlight w:val="none"/>
        </w:rPr>
        <w:t xml:space="preserve">如供应商成功解密响应文件，但未在广西政府采购云平台电子开标大厅参加截标的，视同认可截标过程和结果，由此产生的后果由供应商自行负责。 </w:t>
      </w:r>
    </w:p>
    <w:p w14:paraId="188298CA">
      <w:pPr>
        <w:spacing w:before="120" w:line="320" w:lineRule="atLeast"/>
        <w:ind w:firstLine="422" w:firstLineChars="200"/>
        <w:outlineLvl w:val="2"/>
        <w:rPr>
          <w:b/>
          <w:bCs/>
          <w:color w:val="auto"/>
          <w:kern w:val="0"/>
          <w:szCs w:val="21"/>
          <w:highlight w:val="none"/>
        </w:rPr>
      </w:pPr>
      <w:r>
        <w:rPr>
          <w:b/>
          <w:bCs/>
          <w:color w:val="auto"/>
          <w:kern w:val="0"/>
          <w:szCs w:val="21"/>
          <w:highlight w:val="none"/>
        </w:rPr>
        <w:t>4.2截标程序</w:t>
      </w:r>
    </w:p>
    <w:p w14:paraId="07B82A6F">
      <w:pPr>
        <w:spacing w:before="120" w:line="320" w:lineRule="atLeast"/>
        <w:ind w:firstLine="420" w:firstLineChars="200"/>
        <w:rPr>
          <w:color w:val="auto"/>
          <w:szCs w:val="21"/>
          <w:highlight w:val="none"/>
        </w:rPr>
      </w:pPr>
      <w:r>
        <w:rPr>
          <w:color w:val="auto"/>
          <w:szCs w:val="21"/>
          <w:highlight w:val="none"/>
        </w:rPr>
        <w:t>4.2.1</w:t>
      </w:r>
      <w:r>
        <w:rPr>
          <w:rFonts w:hint="eastAsia"/>
          <w:color w:val="auto"/>
          <w:szCs w:val="21"/>
          <w:highlight w:val="none"/>
        </w:rPr>
        <w:t>供应商登录广西政府采购云平台进入开标大厅签到。</w:t>
      </w:r>
    </w:p>
    <w:p w14:paraId="146B57EF">
      <w:pPr>
        <w:spacing w:before="120" w:line="320" w:lineRule="atLeast"/>
        <w:ind w:firstLine="420" w:firstLineChars="200"/>
        <w:rPr>
          <w:color w:val="auto"/>
          <w:szCs w:val="21"/>
          <w:highlight w:val="none"/>
        </w:rPr>
      </w:pPr>
      <w:r>
        <w:rPr>
          <w:rFonts w:hint="eastAsia"/>
          <w:color w:val="auto"/>
          <w:szCs w:val="21"/>
          <w:highlight w:val="none"/>
        </w:rPr>
        <w:t>4</w:t>
      </w:r>
      <w:r>
        <w:rPr>
          <w:color w:val="auto"/>
          <w:szCs w:val="21"/>
          <w:highlight w:val="none"/>
        </w:rPr>
        <w:t>.2.2</w:t>
      </w:r>
      <w:r>
        <w:rPr>
          <w:rFonts w:hint="eastAsia"/>
          <w:color w:val="auto"/>
          <w:szCs w:val="21"/>
          <w:highlight w:val="none"/>
        </w:rPr>
        <w:t>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CA锁准时登录到广西政府采购云平台电子开标大厅签到并对电子响应文件解密。截标后供应商未及时进行解密的，代理机构可通知供应商。</w:t>
      </w:r>
      <w:bookmarkStart w:id="49" w:name="_Hlk106639817"/>
      <w:r>
        <w:rPr>
          <w:rFonts w:hint="eastAsia"/>
          <w:color w:val="auto"/>
          <w:highlight w:val="none"/>
        </w:rPr>
        <w:t>通知后供应商仍未在上述规定时间内解密响应文件</w:t>
      </w:r>
      <w:bookmarkEnd w:id="49"/>
      <w:r>
        <w:rPr>
          <w:rFonts w:hint="eastAsia"/>
          <w:color w:val="auto"/>
          <w:szCs w:val="21"/>
          <w:highlight w:val="none"/>
        </w:rPr>
        <w:t>，或者供应商没预留联系方式或预留联系方式无效导致代理机构无法联系到供应商进行解密的，均视为无效响应。</w:t>
      </w:r>
    </w:p>
    <w:p w14:paraId="4DD46D3D">
      <w:pPr>
        <w:spacing w:before="120" w:line="320" w:lineRule="atLeast"/>
        <w:ind w:firstLine="420" w:firstLineChars="200"/>
        <w:rPr>
          <w:rFonts w:hint="eastAsia"/>
          <w:color w:val="auto"/>
          <w:szCs w:val="21"/>
          <w:highlight w:val="none"/>
        </w:rPr>
      </w:pPr>
      <w:r>
        <w:rPr>
          <w:rFonts w:hint="eastAsia"/>
          <w:color w:val="auto"/>
          <w:szCs w:val="21"/>
          <w:highlight w:val="none"/>
        </w:rPr>
        <w:t>4</w:t>
      </w:r>
      <w:r>
        <w:rPr>
          <w:color w:val="auto"/>
          <w:szCs w:val="21"/>
          <w:highlight w:val="none"/>
        </w:rPr>
        <w:t>.2.3</w:t>
      </w:r>
      <w:bookmarkStart w:id="50" w:name="_Hlk106637968"/>
      <w:r>
        <w:rPr>
          <w:rFonts w:hint="eastAsia"/>
          <w:color w:val="auto"/>
          <w:szCs w:val="21"/>
          <w:highlight w:val="none"/>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50"/>
    <w:p w14:paraId="083F5875">
      <w:pPr>
        <w:spacing w:before="120" w:line="320" w:lineRule="atLeast"/>
        <w:ind w:firstLine="420" w:firstLineChars="200"/>
        <w:rPr>
          <w:color w:val="auto"/>
          <w:szCs w:val="21"/>
          <w:highlight w:val="none"/>
        </w:rPr>
      </w:pPr>
      <w:r>
        <w:rPr>
          <w:rFonts w:hint="eastAsia"/>
          <w:color w:val="auto"/>
          <w:szCs w:val="21"/>
          <w:highlight w:val="none"/>
        </w:rPr>
        <w:t>4</w:t>
      </w:r>
      <w:r>
        <w:rPr>
          <w:color w:val="auto"/>
          <w:szCs w:val="21"/>
          <w:highlight w:val="none"/>
        </w:rPr>
        <w:t>.2.4</w:t>
      </w:r>
      <w:r>
        <w:rPr>
          <w:rFonts w:hint="eastAsia"/>
          <w:color w:val="auto"/>
          <w:szCs w:val="21"/>
          <w:highlight w:val="none"/>
        </w:rPr>
        <w:t>解密异常情况处理：详见本章</w:t>
      </w:r>
      <w:r>
        <w:rPr>
          <w:color w:val="auto"/>
          <w:szCs w:val="21"/>
          <w:highlight w:val="none"/>
        </w:rPr>
        <w:t>9.2</w:t>
      </w:r>
      <w:r>
        <w:rPr>
          <w:rFonts w:hint="eastAsia"/>
          <w:color w:val="auto"/>
          <w:szCs w:val="21"/>
          <w:highlight w:val="none"/>
        </w:rPr>
        <w:t>电子交易活动的中止。</w:t>
      </w:r>
    </w:p>
    <w:p w14:paraId="768149C0">
      <w:pPr>
        <w:spacing w:before="120" w:line="320" w:lineRule="atLeast"/>
        <w:ind w:firstLine="420" w:firstLineChars="200"/>
        <w:rPr>
          <w:color w:val="auto"/>
          <w:szCs w:val="21"/>
          <w:highlight w:val="none"/>
        </w:rPr>
      </w:pPr>
      <w:r>
        <w:rPr>
          <w:color w:val="auto"/>
          <w:szCs w:val="21"/>
          <w:highlight w:val="none"/>
        </w:rPr>
        <w:t>4.2.5截标结束。</w:t>
      </w:r>
    </w:p>
    <w:p w14:paraId="7224B694">
      <w:pPr>
        <w:pStyle w:val="26"/>
        <w:snapToGrid w:val="0"/>
        <w:spacing w:line="440" w:lineRule="exact"/>
        <w:ind w:firstLine="422" w:firstLineChars="200"/>
        <w:rPr>
          <w:rFonts w:hAnsi="宋体"/>
          <w:color w:val="auto"/>
          <w:highlight w:val="none"/>
        </w:rPr>
      </w:pPr>
      <w:r>
        <w:rPr>
          <w:rFonts w:hint="eastAsia" w:hAnsi="宋体"/>
          <w:b/>
          <w:bCs/>
          <w:color w:val="auto"/>
          <w:highlight w:val="none"/>
        </w:rPr>
        <w:t>特别说明：</w:t>
      </w:r>
      <w:r>
        <w:rPr>
          <w:rFonts w:hint="eastAsia" w:hAnsi="宋体"/>
          <w:color w:val="auto"/>
          <w:highlight w:val="none"/>
        </w:rPr>
        <w:t>如遇广西政府采购云平台电子化截标或评审程序调整的，按调整后的程序执行。</w:t>
      </w:r>
    </w:p>
    <w:p w14:paraId="6E027B53">
      <w:pPr>
        <w:spacing w:before="120" w:line="320" w:lineRule="atLeast"/>
        <w:ind w:firstLine="422" w:firstLineChars="200"/>
        <w:outlineLvl w:val="2"/>
        <w:rPr>
          <w:b/>
          <w:bCs/>
          <w:color w:val="auto"/>
          <w:kern w:val="0"/>
          <w:szCs w:val="21"/>
          <w:highlight w:val="none"/>
        </w:rPr>
      </w:pPr>
      <w:r>
        <w:rPr>
          <w:b/>
          <w:bCs/>
          <w:color w:val="auto"/>
          <w:kern w:val="0"/>
          <w:szCs w:val="21"/>
          <w:highlight w:val="none"/>
        </w:rPr>
        <w:t>4.3演示</w:t>
      </w:r>
    </w:p>
    <w:p w14:paraId="15C7F023">
      <w:pPr>
        <w:spacing w:before="120" w:line="320" w:lineRule="atLeast"/>
        <w:ind w:firstLine="420" w:firstLineChars="200"/>
        <w:rPr>
          <w:color w:val="auto"/>
          <w:szCs w:val="21"/>
          <w:highlight w:val="none"/>
        </w:rPr>
      </w:pPr>
      <w:r>
        <w:rPr>
          <w:color w:val="auto"/>
          <w:szCs w:val="21"/>
          <w:highlight w:val="none"/>
        </w:rPr>
        <w:t>4.3.1“供应商须知前附表”规定在截标会议结束后进行演示的，供应商应按规定进行演示。</w:t>
      </w:r>
    </w:p>
    <w:p w14:paraId="1B85FC61">
      <w:pPr>
        <w:spacing w:before="120" w:line="320" w:lineRule="atLeast"/>
        <w:ind w:firstLine="420" w:firstLineChars="200"/>
        <w:rPr>
          <w:color w:val="auto"/>
          <w:szCs w:val="21"/>
          <w:highlight w:val="none"/>
        </w:rPr>
      </w:pPr>
      <w:r>
        <w:rPr>
          <w:color w:val="auto"/>
          <w:szCs w:val="21"/>
          <w:highlight w:val="none"/>
        </w:rPr>
        <w:t>4.3.2未按规定时间进行演示可能引起的演示分数被计为0分或响应无效等后果由供应商自行承担。</w:t>
      </w:r>
    </w:p>
    <w:p w14:paraId="12E994C5">
      <w:pPr>
        <w:spacing w:before="120" w:line="320" w:lineRule="atLeast"/>
        <w:ind w:firstLine="422" w:firstLineChars="200"/>
        <w:outlineLvl w:val="2"/>
        <w:rPr>
          <w:color w:val="auto"/>
          <w:szCs w:val="21"/>
          <w:highlight w:val="none"/>
        </w:rPr>
      </w:pPr>
      <w:r>
        <w:rPr>
          <w:b/>
          <w:bCs/>
          <w:color w:val="auto"/>
          <w:kern w:val="0"/>
          <w:szCs w:val="21"/>
          <w:highlight w:val="none"/>
        </w:rPr>
        <w:t>4.4样品</w:t>
      </w:r>
    </w:p>
    <w:p w14:paraId="428C5959">
      <w:pPr>
        <w:spacing w:before="120" w:line="320" w:lineRule="atLeast"/>
        <w:ind w:firstLine="420" w:firstLineChars="200"/>
        <w:rPr>
          <w:color w:val="auto"/>
          <w:szCs w:val="21"/>
          <w:highlight w:val="none"/>
        </w:rPr>
      </w:pPr>
      <w:r>
        <w:rPr>
          <w:color w:val="auto"/>
          <w:szCs w:val="21"/>
          <w:highlight w:val="none"/>
        </w:rPr>
        <w:t>4.4.1“供应商须知前附表”规定递交样品的，供应商应按前附表规定递交样品，递交样品时应附样品递交表（格式见第六章）。</w:t>
      </w:r>
    </w:p>
    <w:p w14:paraId="0B42387A">
      <w:pPr>
        <w:spacing w:before="120" w:line="320" w:lineRule="atLeast"/>
        <w:ind w:firstLine="420" w:firstLineChars="200"/>
        <w:rPr>
          <w:color w:val="auto"/>
          <w:szCs w:val="21"/>
          <w:highlight w:val="none"/>
        </w:rPr>
      </w:pPr>
      <w:r>
        <w:rPr>
          <w:color w:val="auto"/>
          <w:szCs w:val="21"/>
          <w:highlight w:val="none"/>
        </w:rPr>
        <w:t>4.4.2未按规定时间递交样品可能引起的样品分数被计为0分或响应无效等后果由供应商自行承担。</w:t>
      </w:r>
    </w:p>
    <w:p w14:paraId="7C48835E">
      <w:pPr>
        <w:spacing w:before="120" w:line="320" w:lineRule="atLeast"/>
        <w:ind w:firstLine="420" w:firstLineChars="200"/>
        <w:rPr>
          <w:color w:val="auto"/>
          <w:szCs w:val="21"/>
          <w:highlight w:val="none"/>
        </w:rPr>
      </w:pPr>
      <w:bookmarkStart w:id="51" w:name="_Toc254970686"/>
      <w:bookmarkStart w:id="52" w:name="_Toc254970545"/>
      <w:r>
        <w:rPr>
          <w:color w:val="auto"/>
          <w:szCs w:val="21"/>
          <w:highlight w:val="none"/>
        </w:rPr>
        <w:t>4.4.3样品封存或退还的说明请见第六章响应文件格式所附样品递交表。</w:t>
      </w:r>
    </w:p>
    <w:p w14:paraId="5EB0E12E">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5．</w:t>
      </w:r>
      <w:r>
        <w:rPr>
          <w:rFonts w:hint="eastAsia"/>
          <w:b/>
          <w:bCs/>
          <w:color w:val="auto"/>
          <w:kern w:val="0"/>
          <w:szCs w:val="21"/>
          <w:highlight w:val="none"/>
        </w:rPr>
        <w:t>资格审查</w:t>
      </w:r>
    </w:p>
    <w:p w14:paraId="031E839D">
      <w:pPr>
        <w:spacing w:before="120" w:line="320" w:lineRule="atLeast"/>
        <w:ind w:left="2" w:leftChars="1" w:firstLine="420" w:firstLineChars="200"/>
        <w:outlineLvl w:val="2"/>
        <w:rPr>
          <w:bCs/>
          <w:color w:val="auto"/>
          <w:kern w:val="0"/>
          <w:szCs w:val="21"/>
          <w:highlight w:val="none"/>
        </w:rPr>
      </w:pPr>
      <w:r>
        <w:rPr>
          <w:rFonts w:hint="eastAsia"/>
          <w:bCs/>
          <w:color w:val="auto"/>
          <w:kern w:val="0"/>
          <w:szCs w:val="21"/>
          <w:highlight w:val="none"/>
        </w:rPr>
        <w:t>5</w:t>
      </w:r>
      <w:r>
        <w:rPr>
          <w:bCs/>
          <w:color w:val="auto"/>
          <w:kern w:val="0"/>
          <w:szCs w:val="21"/>
          <w:highlight w:val="none"/>
        </w:rPr>
        <w:t>.1</w:t>
      </w:r>
      <w:r>
        <w:rPr>
          <w:rFonts w:hint="eastAsia"/>
          <w:bCs/>
          <w:color w:val="auto"/>
          <w:kern w:val="0"/>
          <w:szCs w:val="21"/>
          <w:highlight w:val="none"/>
        </w:rPr>
        <w:t>截标</w:t>
      </w:r>
      <w:r>
        <w:rPr>
          <w:rFonts w:ascii="宋体" w:hAnsi="宋体"/>
          <w:bCs/>
          <w:color w:val="auto"/>
          <w:szCs w:val="21"/>
          <w:highlight w:val="none"/>
        </w:rPr>
        <w:t>后，</w:t>
      </w:r>
      <w:r>
        <w:rPr>
          <w:rFonts w:hint="eastAsia" w:ascii="宋体" w:hAnsi="宋体"/>
          <w:bCs/>
          <w:color w:val="auto"/>
          <w:szCs w:val="21"/>
          <w:highlight w:val="none"/>
        </w:rPr>
        <w:t>磋商小组通过电子交易平台</w:t>
      </w:r>
      <w:r>
        <w:rPr>
          <w:rFonts w:ascii="宋体" w:hAnsi="宋体"/>
          <w:bCs/>
          <w:color w:val="auto"/>
          <w:szCs w:val="21"/>
          <w:highlight w:val="none"/>
        </w:rPr>
        <w:t>对供应商的资格进行审查。</w:t>
      </w:r>
      <w:r>
        <w:rPr>
          <w:rFonts w:hint="eastAsia" w:ascii="宋体" w:hAnsi="宋体"/>
          <w:bCs/>
          <w:color w:val="auto"/>
          <w:szCs w:val="21"/>
          <w:highlight w:val="none"/>
        </w:rPr>
        <w:t>资格审查</w:t>
      </w:r>
      <w:r>
        <w:rPr>
          <w:rFonts w:hint="eastAsia"/>
          <w:bCs/>
          <w:color w:val="auto"/>
          <w:kern w:val="0"/>
          <w:szCs w:val="21"/>
          <w:highlight w:val="none"/>
        </w:rPr>
        <w:t>是根据法律法规和采购文件的规定，对供应商的基本资格条件、特定资格条件进行审查。</w:t>
      </w:r>
    </w:p>
    <w:p w14:paraId="6CAFEBEE">
      <w:pPr>
        <w:spacing w:before="120" w:line="320" w:lineRule="atLeast"/>
        <w:ind w:left="2" w:leftChars="1" w:firstLine="420" w:firstLineChars="200"/>
        <w:outlineLvl w:val="2"/>
        <w:rPr>
          <w:bCs/>
          <w:color w:val="auto"/>
          <w:kern w:val="0"/>
          <w:szCs w:val="21"/>
          <w:highlight w:val="none"/>
        </w:rPr>
      </w:pPr>
      <w:r>
        <w:rPr>
          <w:rFonts w:hint="eastAsia"/>
          <w:bCs/>
          <w:color w:val="auto"/>
          <w:kern w:val="0"/>
          <w:szCs w:val="21"/>
          <w:highlight w:val="none"/>
        </w:rPr>
        <w:t>5.</w:t>
      </w:r>
      <w:r>
        <w:rPr>
          <w:bCs/>
          <w:color w:val="auto"/>
          <w:kern w:val="0"/>
          <w:szCs w:val="21"/>
          <w:highlight w:val="none"/>
        </w:rPr>
        <w:t>2</w:t>
      </w:r>
      <w:r>
        <w:rPr>
          <w:rFonts w:hint="eastAsia"/>
          <w:bCs/>
          <w:color w:val="auto"/>
          <w:kern w:val="0"/>
          <w:szCs w:val="21"/>
          <w:highlight w:val="none"/>
        </w:rPr>
        <w:t>资格审查标准在第四章评审方法及标准中规定，符合资格审查标准要求的供应商即为资格审查合格。</w:t>
      </w:r>
    </w:p>
    <w:p w14:paraId="4467B8C9">
      <w:pPr>
        <w:spacing w:before="120" w:line="276" w:lineRule="auto"/>
        <w:ind w:left="2" w:leftChars="1" w:firstLine="420" w:firstLineChars="200"/>
        <w:outlineLvl w:val="2"/>
        <w:rPr>
          <w:bCs/>
          <w:color w:val="auto"/>
          <w:kern w:val="0"/>
          <w:szCs w:val="21"/>
          <w:highlight w:val="none"/>
        </w:rPr>
      </w:pPr>
      <w:r>
        <w:rPr>
          <w:bCs/>
          <w:color w:val="auto"/>
          <w:kern w:val="0"/>
          <w:szCs w:val="21"/>
          <w:highlight w:val="none"/>
        </w:rPr>
        <w:t>5.3</w:t>
      </w:r>
      <w:r>
        <w:rPr>
          <w:rFonts w:hint="eastAsia"/>
          <w:bCs/>
          <w:color w:val="auto"/>
          <w:kern w:val="0"/>
          <w:szCs w:val="21"/>
          <w:highlight w:val="none"/>
        </w:rPr>
        <w:t>供应商有下列情形之一的，资格审查不合格，作无效响应处理：</w:t>
      </w:r>
    </w:p>
    <w:p w14:paraId="572A5074">
      <w:pPr>
        <w:spacing w:line="276" w:lineRule="auto"/>
        <w:ind w:firstLine="420" w:firstLineChars="200"/>
        <w:rPr>
          <w:rFonts w:hAnsi="宋体"/>
          <w:color w:val="auto"/>
          <w:highlight w:val="none"/>
        </w:rPr>
      </w:pPr>
      <w:r>
        <w:rPr>
          <w:rFonts w:hint="eastAsia"/>
          <w:color w:val="auto"/>
          <w:szCs w:val="21"/>
          <w:highlight w:val="none"/>
        </w:rPr>
        <w:t>5</w:t>
      </w:r>
      <w:r>
        <w:rPr>
          <w:color w:val="auto"/>
          <w:szCs w:val="21"/>
          <w:highlight w:val="none"/>
        </w:rPr>
        <w:t>.3.1</w:t>
      </w:r>
      <w:r>
        <w:rPr>
          <w:rFonts w:hint="eastAsia"/>
          <w:color w:val="auto"/>
          <w:szCs w:val="21"/>
          <w:highlight w:val="none"/>
        </w:rPr>
        <w:t>不具备采购文件中规定的资格要求或资格条件的；</w:t>
      </w:r>
      <w:r>
        <w:rPr>
          <w:color w:val="auto"/>
          <w:szCs w:val="21"/>
          <w:highlight w:val="none"/>
        </w:rPr>
        <w:t xml:space="preserve"> </w:t>
      </w:r>
      <w:r>
        <w:rPr>
          <w:rFonts w:hint="eastAsia" w:hAnsi="宋体"/>
          <w:color w:val="auto"/>
          <w:highlight w:val="none"/>
        </w:rPr>
        <w:t>（注：广西政府采购云平台已与“信用中国”平台做接口，可直接在线查询）</w:t>
      </w:r>
    </w:p>
    <w:p w14:paraId="1CCDB4A2">
      <w:pPr>
        <w:spacing w:before="120" w:line="276" w:lineRule="auto"/>
        <w:ind w:firstLine="420" w:firstLineChars="200"/>
        <w:rPr>
          <w:color w:val="auto"/>
          <w:szCs w:val="21"/>
          <w:highlight w:val="none"/>
        </w:rPr>
      </w:pPr>
      <w:r>
        <w:rPr>
          <w:rFonts w:hint="eastAsia"/>
          <w:color w:val="auto"/>
          <w:szCs w:val="21"/>
          <w:highlight w:val="none"/>
        </w:rPr>
        <w:t>5</w:t>
      </w:r>
      <w:r>
        <w:rPr>
          <w:color w:val="auto"/>
          <w:szCs w:val="21"/>
          <w:highlight w:val="none"/>
        </w:rPr>
        <w:t>.3.2</w:t>
      </w:r>
      <w:r>
        <w:rPr>
          <w:rFonts w:hint="eastAsia"/>
          <w:color w:val="auto"/>
          <w:szCs w:val="21"/>
          <w:highlight w:val="none"/>
        </w:rPr>
        <w:t>响应文件缺少任何一项资格证明文件或不符合第四章评审方法及标准中资格审查标准规定的评审内容的。</w:t>
      </w:r>
    </w:p>
    <w:p w14:paraId="18D47846">
      <w:pPr>
        <w:spacing w:before="120" w:line="320" w:lineRule="atLeast"/>
        <w:ind w:left="2" w:leftChars="1" w:firstLine="422" w:firstLineChars="200"/>
        <w:outlineLvl w:val="1"/>
        <w:rPr>
          <w:rFonts w:hint="eastAsia"/>
          <w:b/>
          <w:bCs/>
          <w:color w:val="auto"/>
          <w:kern w:val="0"/>
          <w:szCs w:val="21"/>
          <w:highlight w:val="none"/>
        </w:rPr>
      </w:pPr>
      <w:r>
        <w:rPr>
          <w:b/>
          <w:bCs/>
          <w:color w:val="auto"/>
          <w:kern w:val="0"/>
          <w:szCs w:val="21"/>
          <w:highlight w:val="none"/>
        </w:rPr>
        <w:t>6．评审</w:t>
      </w:r>
    </w:p>
    <w:bookmarkEnd w:id="51"/>
    <w:bookmarkEnd w:id="52"/>
    <w:p w14:paraId="0949D8F2">
      <w:pPr>
        <w:spacing w:before="120" w:line="320" w:lineRule="atLeast"/>
        <w:ind w:firstLine="422" w:firstLineChars="200"/>
        <w:outlineLvl w:val="2"/>
        <w:rPr>
          <w:b/>
          <w:bCs/>
          <w:color w:val="auto"/>
          <w:kern w:val="0"/>
          <w:szCs w:val="21"/>
          <w:highlight w:val="none"/>
        </w:rPr>
      </w:pPr>
      <w:r>
        <w:rPr>
          <w:b/>
          <w:bCs/>
          <w:color w:val="auto"/>
          <w:kern w:val="0"/>
          <w:szCs w:val="21"/>
          <w:highlight w:val="none"/>
        </w:rPr>
        <w:t>6.1组建磋商小组</w:t>
      </w:r>
    </w:p>
    <w:p w14:paraId="3640679B">
      <w:pPr>
        <w:spacing w:before="120" w:line="320" w:lineRule="atLeast"/>
        <w:ind w:firstLine="420" w:firstLineChars="200"/>
        <w:rPr>
          <w:color w:val="auto"/>
          <w:szCs w:val="21"/>
          <w:highlight w:val="none"/>
        </w:rPr>
      </w:pPr>
      <w:r>
        <w:rPr>
          <w:rFonts w:hint="eastAsia"/>
          <w:color w:val="auto"/>
          <w:szCs w:val="21"/>
          <w:highlight w:val="none"/>
        </w:rPr>
        <w:t>6.1.1</w:t>
      </w:r>
      <w:r>
        <w:rPr>
          <w:color w:val="auto"/>
          <w:szCs w:val="21"/>
          <w:highlight w:val="none"/>
        </w:rPr>
        <w:t>本项目</w:t>
      </w:r>
      <w:r>
        <w:rPr>
          <w:rFonts w:hint="eastAsia"/>
          <w:color w:val="auto"/>
          <w:szCs w:val="21"/>
          <w:highlight w:val="none"/>
        </w:rPr>
        <w:t>评审工作由</w:t>
      </w:r>
      <w:r>
        <w:rPr>
          <w:color w:val="auto"/>
          <w:szCs w:val="21"/>
          <w:highlight w:val="none"/>
        </w:rPr>
        <w:t>磋商小组</w:t>
      </w:r>
      <w:r>
        <w:rPr>
          <w:rFonts w:hint="eastAsia"/>
          <w:color w:val="auto"/>
          <w:szCs w:val="21"/>
          <w:highlight w:val="none"/>
        </w:rPr>
        <w:t>负责，磋商小组</w:t>
      </w:r>
      <w:r>
        <w:rPr>
          <w:color w:val="auto"/>
          <w:szCs w:val="21"/>
          <w:highlight w:val="none"/>
        </w:rPr>
        <w:t>由</w:t>
      </w:r>
      <w:r>
        <w:rPr>
          <w:rFonts w:hint="eastAsia"/>
          <w:color w:val="auto"/>
          <w:szCs w:val="21"/>
          <w:highlight w:val="none"/>
        </w:rPr>
        <w:t>评审专家</w:t>
      </w:r>
      <w:r>
        <w:rPr>
          <w:color w:val="auto"/>
          <w:szCs w:val="21"/>
          <w:highlight w:val="none"/>
        </w:rPr>
        <w:t>和采购人代表</w:t>
      </w:r>
      <w:r>
        <w:rPr>
          <w:rFonts w:hint="eastAsia"/>
          <w:color w:val="auto"/>
          <w:szCs w:val="21"/>
          <w:highlight w:val="none"/>
        </w:rPr>
        <w:t>（如有）</w:t>
      </w:r>
      <w:r>
        <w:rPr>
          <w:color w:val="auto"/>
          <w:szCs w:val="21"/>
          <w:highlight w:val="none"/>
        </w:rPr>
        <w:t>组成。</w:t>
      </w:r>
      <w:r>
        <w:rPr>
          <w:rFonts w:hint="eastAsia"/>
          <w:color w:val="auto"/>
          <w:szCs w:val="21"/>
          <w:highlight w:val="none"/>
        </w:rPr>
        <w:t>磋商小组评审时必须公平、公正、客观，不带任何倾向性和启发性；不得向外界透露任何与评审有关的内容；任何单位和个人不得干扰、影响评标的正常进行；磋商小组及有关工作人员不得私下与供应商接触，不得收受利害关系人的财物或者其他好处；</w:t>
      </w:r>
      <w:r>
        <w:rPr>
          <w:color w:val="auto"/>
          <w:szCs w:val="21"/>
          <w:highlight w:val="none"/>
        </w:rPr>
        <w:t>评审专家发现本人与参加采购活动的供应商有利害关系的，应当主动提出回避</w:t>
      </w:r>
      <w:r>
        <w:rPr>
          <w:rFonts w:hint="eastAsia"/>
          <w:color w:val="auto"/>
          <w:szCs w:val="21"/>
          <w:highlight w:val="none"/>
        </w:rPr>
        <w:t>。</w:t>
      </w:r>
    </w:p>
    <w:p w14:paraId="2EE9C111">
      <w:pPr>
        <w:spacing w:before="120" w:line="320" w:lineRule="atLeast"/>
        <w:ind w:firstLine="420" w:firstLineChars="200"/>
        <w:rPr>
          <w:color w:val="auto"/>
          <w:szCs w:val="21"/>
          <w:highlight w:val="none"/>
        </w:rPr>
      </w:pPr>
      <w:r>
        <w:rPr>
          <w:rFonts w:hint="eastAsia"/>
          <w:color w:val="auto"/>
          <w:szCs w:val="21"/>
          <w:highlight w:val="none"/>
        </w:rPr>
        <w:t>6.1.2磋商小组成员应当通过电子交易平台进行独立评审，磋商小组成员对需要共同认定的事项存在争议的，应当按照少数服从多数的原则作出结论。持不同意见的磋商小组成员应当在评审报告上签署不同意见及理由，否则视为同意评审报告。如果在评审过程中出现法律法规和采购文件均没有明确规定的情形时，由磋商小组现场协商确定，协商不一致的，由全体磋商小组成员投票表决，应当按照少数服从多数的原则作出结论并记录在评审报告中。</w:t>
      </w:r>
    </w:p>
    <w:p w14:paraId="1F6D8B20">
      <w:pPr>
        <w:spacing w:before="120" w:line="320" w:lineRule="atLeast"/>
        <w:ind w:firstLine="420" w:firstLineChars="200"/>
        <w:rPr>
          <w:color w:val="auto"/>
          <w:szCs w:val="21"/>
          <w:highlight w:val="none"/>
        </w:rPr>
      </w:pPr>
      <w:r>
        <w:rPr>
          <w:rFonts w:hint="eastAsia"/>
          <w:color w:val="auto"/>
          <w:szCs w:val="21"/>
          <w:highlight w:val="none"/>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15893276">
      <w:pPr>
        <w:spacing w:before="120" w:line="320" w:lineRule="atLeast"/>
        <w:ind w:firstLine="420" w:firstLineChars="200"/>
        <w:rPr>
          <w:color w:val="auto"/>
          <w:szCs w:val="21"/>
          <w:highlight w:val="none"/>
        </w:rPr>
      </w:pPr>
      <w:r>
        <w:rPr>
          <w:rFonts w:hint="eastAsia"/>
          <w:color w:val="auto"/>
          <w:szCs w:val="21"/>
          <w:highlight w:val="none"/>
        </w:rPr>
        <w:t>6.1.4本项目评审过程实行全程网上留痕及录音、录像监控，供应商在评审过程中所进行的试图影响评审结果的不公正活动，可能导致其响应按无效处理。</w:t>
      </w:r>
    </w:p>
    <w:p w14:paraId="4AB74F20">
      <w:pPr>
        <w:spacing w:before="120" w:line="320" w:lineRule="atLeast"/>
        <w:ind w:firstLine="422" w:firstLineChars="200"/>
        <w:outlineLvl w:val="2"/>
        <w:rPr>
          <w:b/>
          <w:bCs/>
          <w:color w:val="auto"/>
          <w:kern w:val="0"/>
          <w:szCs w:val="21"/>
          <w:highlight w:val="none"/>
        </w:rPr>
      </w:pPr>
      <w:r>
        <w:rPr>
          <w:b/>
          <w:bCs/>
          <w:color w:val="auto"/>
          <w:kern w:val="0"/>
          <w:szCs w:val="21"/>
          <w:highlight w:val="none"/>
        </w:rPr>
        <w:t>6.2</w:t>
      </w:r>
      <w:r>
        <w:rPr>
          <w:rFonts w:hint="eastAsia"/>
          <w:b/>
          <w:bCs/>
          <w:color w:val="auto"/>
          <w:kern w:val="0"/>
          <w:szCs w:val="21"/>
          <w:highlight w:val="none"/>
        </w:rPr>
        <w:t>评审方法及依据</w:t>
      </w:r>
    </w:p>
    <w:p w14:paraId="0C420605">
      <w:pPr>
        <w:spacing w:before="120" w:line="320" w:lineRule="atLeast"/>
        <w:ind w:firstLine="420" w:firstLineChars="200"/>
        <w:rPr>
          <w:bCs/>
          <w:color w:val="auto"/>
          <w:kern w:val="0"/>
          <w:szCs w:val="21"/>
          <w:highlight w:val="none"/>
        </w:rPr>
      </w:pPr>
      <w:r>
        <w:rPr>
          <w:bCs/>
          <w:color w:val="auto"/>
          <w:kern w:val="0"/>
          <w:szCs w:val="21"/>
          <w:highlight w:val="none"/>
        </w:rPr>
        <w:t>6.2.1</w:t>
      </w:r>
      <w:r>
        <w:rPr>
          <w:rFonts w:hint="eastAsia"/>
          <w:bCs/>
          <w:color w:val="auto"/>
          <w:kern w:val="0"/>
          <w:szCs w:val="21"/>
          <w:highlight w:val="none"/>
        </w:rPr>
        <w:t>本项目采用第四章评审方法及标准规定的方法进行评审。</w:t>
      </w:r>
    </w:p>
    <w:p w14:paraId="198F3683">
      <w:pPr>
        <w:suppressAutoHyphens/>
        <w:spacing w:before="120" w:line="320" w:lineRule="atLeast"/>
        <w:ind w:firstLine="420" w:firstLineChars="200"/>
        <w:rPr>
          <w:bCs/>
          <w:color w:val="auto"/>
          <w:kern w:val="0"/>
          <w:szCs w:val="21"/>
          <w:highlight w:val="none"/>
        </w:rPr>
      </w:pPr>
      <w:r>
        <w:rPr>
          <w:bCs/>
          <w:color w:val="auto"/>
          <w:kern w:val="0"/>
          <w:szCs w:val="21"/>
          <w:highlight w:val="none"/>
        </w:rPr>
        <w:t>6.2.2</w:t>
      </w:r>
      <w:r>
        <w:rPr>
          <w:rFonts w:hint="eastAsia"/>
          <w:bCs/>
          <w:color w:val="auto"/>
          <w:kern w:val="0"/>
          <w:szCs w:val="21"/>
          <w:highlight w:val="none"/>
        </w:rPr>
        <w:t>磋商小组</w:t>
      </w:r>
      <w:r>
        <w:rPr>
          <w:color w:val="auto"/>
          <w:highlight w:val="none"/>
        </w:rPr>
        <w:t>以</w:t>
      </w:r>
      <w:r>
        <w:rPr>
          <w:rFonts w:hint="eastAsia"/>
          <w:color w:val="auto"/>
          <w:highlight w:val="none"/>
        </w:rPr>
        <w:t>采购</w:t>
      </w:r>
      <w:r>
        <w:rPr>
          <w:color w:val="auto"/>
          <w:highlight w:val="none"/>
        </w:rPr>
        <w:t>文件、补充文件、</w:t>
      </w:r>
      <w:r>
        <w:rPr>
          <w:rFonts w:hint="eastAsia"/>
          <w:color w:val="auto"/>
          <w:highlight w:val="none"/>
        </w:rPr>
        <w:t>响应</w:t>
      </w:r>
      <w:r>
        <w:rPr>
          <w:color w:val="auto"/>
          <w:highlight w:val="none"/>
        </w:rPr>
        <w:t>文件、澄清及答复为评审依据</w:t>
      </w:r>
      <w:r>
        <w:rPr>
          <w:rFonts w:hint="eastAsia"/>
          <w:color w:val="auto"/>
          <w:highlight w:val="none"/>
        </w:rPr>
        <w:t>，</w:t>
      </w:r>
      <w:r>
        <w:rPr>
          <w:rFonts w:hint="eastAsia"/>
          <w:bCs/>
          <w:color w:val="auto"/>
          <w:kern w:val="0"/>
          <w:szCs w:val="21"/>
          <w:highlight w:val="none"/>
        </w:rPr>
        <w:t>第四章评审方法及标准没有规定的评审方法、标准及因素，不得作为评审依据。</w:t>
      </w:r>
    </w:p>
    <w:p w14:paraId="04277E0C">
      <w:pPr>
        <w:spacing w:before="120" w:line="320" w:lineRule="atLeast"/>
        <w:ind w:firstLine="422" w:firstLineChars="200"/>
        <w:outlineLvl w:val="2"/>
        <w:rPr>
          <w:b/>
          <w:bCs/>
          <w:color w:val="auto"/>
          <w:kern w:val="0"/>
          <w:szCs w:val="21"/>
          <w:highlight w:val="none"/>
        </w:rPr>
      </w:pPr>
      <w:r>
        <w:rPr>
          <w:b/>
          <w:bCs/>
          <w:color w:val="auto"/>
          <w:kern w:val="0"/>
          <w:szCs w:val="21"/>
          <w:highlight w:val="none"/>
        </w:rPr>
        <w:t>6.3评审</w:t>
      </w:r>
      <w:r>
        <w:rPr>
          <w:rFonts w:hint="eastAsia"/>
          <w:b/>
          <w:bCs/>
          <w:color w:val="auto"/>
          <w:kern w:val="0"/>
          <w:szCs w:val="21"/>
          <w:highlight w:val="none"/>
        </w:rPr>
        <w:t>程序</w:t>
      </w:r>
    </w:p>
    <w:p w14:paraId="3D2F7C69">
      <w:pPr>
        <w:spacing w:before="120" w:line="320" w:lineRule="atLeast"/>
        <w:ind w:firstLine="420" w:firstLineChars="200"/>
        <w:rPr>
          <w:color w:val="auto"/>
          <w:highlight w:val="none"/>
        </w:rPr>
      </w:pPr>
      <w:r>
        <w:rPr>
          <w:color w:val="auto"/>
          <w:highlight w:val="none"/>
        </w:rPr>
        <w:t>6.</w:t>
      </w:r>
      <w:bookmarkStart w:id="53" w:name="_Hlk19175507"/>
      <w:bookmarkStart w:id="54" w:name="_Hlk80956880"/>
      <w:r>
        <w:rPr>
          <w:color w:val="auto"/>
          <w:highlight w:val="none"/>
        </w:rPr>
        <w:t>3.1</w:t>
      </w:r>
      <w:r>
        <w:rPr>
          <w:rFonts w:hint="eastAsia"/>
          <w:color w:val="auto"/>
          <w:highlight w:val="none"/>
        </w:rPr>
        <w:t>符合性审查</w:t>
      </w:r>
    </w:p>
    <w:p w14:paraId="167A6D68">
      <w:pPr>
        <w:spacing w:before="120" w:line="320" w:lineRule="atLeast"/>
        <w:ind w:firstLine="420" w:firstLineChars="200"/>
        <w:rPr>
          <w:color w:val="auto"/>
          <w:szCs w:val="21"/>
          <w:highlight w:val="none"/>
        </w:rPr>
      </w:pPr>
      <w:r>
        <w:rPr>
          <w:bCs/>
          <w:color w:val="auto"/>
          <w:kern w:val="1"/>
          <w:szCs w:val="21"/>
          <w:highlight w:val="none"/>
        </w:rPr>
        <w:t>资格审查结束后，</w:t>
      </w:r>
      <w:r>
        <w:rPr>
          <w:rFonts w:hint="eastAsia" w:hAnsi="宋体"/>
          <w:color w:val="auto"/>
          <w:highlight w:val="none"/>
        </w:rPr>
        <w:t>磋商小组对</w:t>
      </w:r>
      <w:r>
        <w:rPr>
          <w:color w:val="auto"/>
          <w:highlight w:val="none"/>
        </w:rPr>
        <w:t>通过资格审查的供应商</w:t>
      </w:r>
      <w:r>
        <w:rPr>
          <w:rFonts w:hint="eastAsia" w:hAnsi="宋体"/>
          <w:color w:val="auto"/>
          <w:highlight w:val="none"/>
        </w:rPr>
        <w:t>的响应文件报价、商务资信、技术等方面实质性内容进行符合性审查，</w:t>
      </w:r>
      <w:r>
        <w:rPr>
          <w:rFonts w:hint="eastAsia"/>
          <w:color w:val="auto"/>
          <w:szCs w:val="21"/>
          <w:highlight w:val="none"/>
        </w:rPr>
        <w:t>符合性审查标准</w:t>
      </w:r>
      <w:r>
        <w:rPr>
          <w:color w:val="auto"/>
          <w:szCs w:val="21"/>
          <w:highlight w:val="none"/>
        </w:rPr>
        <w:t>详见第四章评审方法及标准。</w:t>
      </w:r>
    </w:p>
    <w:bookmarkEnd w:id="53"/>
    <w:bookmarkEnd w:id="54"/>
    <w:p w14:paraId="1C017A7C">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.3.2</w:t>
      </w:r>
      <w:r>
        <w:rPr>
          <w:rFonts w:hAnsi="宋体"/>
          <w:color w:val="auto"/>
          <w:highlight w:val="none"/>
        </w:rPr>
        <w:t>强制性</w:t>
      </w:r>
      <w:r>
        <w:rPr>
          <w:color w:val="auto"/>
          <w:szCs w:val="21"/>
          <w:highlight w:val="none"/>
        </w:rPr>
        <w:t>采购要求</w:t>
      </w:r>
      <w:r>
        <w:rPr>
          <w:rFonts w:hint="eastAsia"/>
          <w:color w:val="auto"/>
          <w:szCs w:val="21"/>
          <w:highlight w:val="none"/>
        </w:rPr>
        <w:t>（仅适用于货物采购项目）</w:t>
      </w:r>
    </w:p>
    <w:p w14:paraId="102E329B">
      <w:pPr>
        <w:suppressAutoHyphens/>
        <w:spacing w:before="120" w:line="320" w:lineRule="atLeast"/>
        <w:ind w:firstLine="422" w:firstLineChars="201"/>
        <w:rPr>
          <w:color w:val="auto"/>
          <w:szCs w:val="21"/>
          <w:highlight w:val="none"/>
        </w:rPr>
      </w:pPr>
      <w:bookmarkStart w:id="55" w:name="_Hlk47714684"/>
      <w:r>
        <w:rPr>
          <w:rFonts w:hint="eastAsia"/>
          <w:color w:val="auto"/>
          <w:szCs w:val="21"/>
          <w:highlight w:val="none"/>
        </w:rPr>
        <w:t>（1）</w:t>
      </w:r>
      <w:bookmarkEnd w:id="55"/>
      <w:r>
        <w:rPr>
          <w:rFonts w:hint="eastAsia"/>
          <w:color w:val="auto"/>
          <w:szCs w:val="21"/>
          <w:highlight w:val="none"/>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6CEA98AB">
      <w:pPr>
        <w:spacing w:before="120" w:line="320" w:lineRule="atLeast"/>
        <w:ind w:firstLine="420" w:firstLineChars="200"/>
        <w:rPr>
          <w:rFonts w:hint="eastAsia"/>
          <w:color w:val="auto"/>
          <w:szCs w:val="21"/>
          <w:highlight w:val="none"/>
        </w:rPr>
      </w:pPr>
      <w:bookmarkStart w:id="56" w:name="_Hlk19176155"/>
      <w:r>
        <w:rPr>
          <w:rFonts w:hint="eastAsia"/>
          <w:color w:val="auto"/>
          <w:szCs w:val="21"/>
          <w:highlight w:val="none"/>
        </w:rPr>
        <w:t>（2 ）根据《关于调整网络安全专用产品安全管理有关事项的公告》（2023年1号）规定，本项目采购需求中的产品如果包括《网络关键设备和网络安全专用产品目录》的网络安全专用产品，供应商在响应文件中应主动列明供货范围中属于网络安全专用产品的响应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7D8AED20">
      <w:pPr>
        <w:spacing w:before="120" w:line="320" w:lineRule="atLeast"/>
        <w:ind w:firstLine="420" w:firstLineChars="200"/>
        <w:rPr>
          <w:color w:val="auto"/>
          <w:highlight w:val="none"/>
        </w:rPr>
      </w:pPr>
      <w:r>
        <w:rPr>
          <w:rFonts w:hint="eastAsia"/>
          <w:color w:val="auto"/>
          <w:szCs w:val="21"/>
          <w:highlight w:val="none"/>
        </w:rPr>
        <w:t>注：网络安全专用产品在中共中央网络安全和信息化委员会办公室网站上发布的《网络关键设备和网络安全专用产品目录》中查询。 目前共15类：路由器、交换机、服务器（机架式）、可编程逻辑控制器（PLC设备）、数据备份一体机、防火墙（硬件）、WEB应用防火墙（WAF）、入侵检测系统（IDS）、入侵防御系统（IPS）、安全隔离与信息交换产品（网闸）、反垃圾邮件产品、网络综合审计系统、网络脆弱性扫描产品、安全数据库系统、网站恢复产品（硬件）。</w:t>
      </w:r>
    </w:p>
    <w:p w14:paraId="773907E2">
      <w:pPr>
        <w:spacing w:before="120" w:line="320" w:lineRule="atLeast"/>
        <w:ind w:firstLine="420" w:firstLineChars="200"/>
        <w:rPr>
          <w:color w:val="auto"/>
          <w:highlight w:val="none"/>
        </w:rPr>
      </w:pPr>
      <w:r>
        <w:rPr>
          <w:color w:val="auto"/>
          <w:highlight w:val="none"/>
        </w:rPr>
        <w:t>6.3.3澄清、说明或补正</w:t>
      </w:r>
    </w:p>
    <w:p w14:paraId="0CA68791">
      <w:pPr>
        <w:spacing w:before="120" w:line="320" w:lineRule="atLeast"/>
        <w:ind w:firstLine="420" w:firstLineChars="200"/>
        <w:rPr>
          <w:color w:val="auto"/>
          <w:highlight w:val="none"/>
        </w:rPr>
      </w:pPr>
      <w:r>
        <w:rPr>
          <w:rFonts w:hint="eastAsia"/>
          <w:color w:val="auto"/>
          <w:highlight w:val="none"/>
        </w:rPr>
        <w:t>（1）对响应文件中含义不明确、同类问题表述不一致或者有明显文字和计算错误的内容，磋商小组应在广西政府采购云平台发布电子澄清函，要求供应商在平台设置的时间内作出必要的澄清、说明或者补正。供应商在广西政府采购云平台接收到电子澄清函后根据澄清函内容直接在线编辑或上传PDF格式回函，电子澄清答复函使用CA证书加盖单位电子签章后提交至磋商小组。供应商的澄清、说明或者补正不得超出响应文件的范围或者改变响应文件的实质性内容。供应商未在规定时间内进行澄清、说明或者补正的，按无效响应处理。</w:t>
      </w:r>
    </w:p>
    <w:p w14:paraId="4E9D505D">
      <w:pPr>
        <w:spacing w:before="120" w:line="320" w:lineRule="atLeast"/>
        <w:ind w:firstLine="420" w:firstLineChars="200"/>
        <w:rPr>
          <w:color w:val="auto"/>
          <w:highlight w:val="none"/>
        </w:rPr>
      </w:pPr>
      <w:r>
        <w:rPr>
          <w:rFonts w:hint="eastAsia"/>
          <w:color w:val="auto"/>
          <w:highlight w:val="none"/>
        </w:rPr>
        <w:t>（2）异常情况处理：如遇无法正常使用线上发送澄清函的情况，将以书面形式执行。磋商小组以书面形式要求供应商在规定时间内作出必要的澄清、说明或者补正。供应商的澄清、说明或者补正必须采用书面形式，并加盖公章或者由法定代表人或者其授权的代表签字。</w:t>
      </w:r>
    </w:p>
    <w:p w14:paraId="34744302">
      <w:pPr>
        <w:spacing w:before="120" w:line="320" w:lineRule="atLeast"/>
        <w:ind w:firstLine="420" w:firstLineChars="200"/>
        <w:rPr>
          <w:color w:val="auto"/>
          <w:highlight w:val="none"/>
        </w:rPr>
      </w:pPr>
      <w:r>
        <w:rPr>
          <w:color w:val="auto"/>
          <w:highlight w:val="none"/>
        </w:rPr>
        <w:t>6.3.4</w:t>
      </w:r>
      <w:r>
        <w:rPr>
          <w:rFonts w:hint="eastAsia"/>
          <w:color w:val="auto"/>
          <w:highlight w:val="none"/>
        </w:rPr>
        <w:t>报价</w:t>
      </w:r>
      <w:r>
        <w:rPr>
          <w:color w:val="auto"/>
          <w:highlight w:val="none"/>
        </w:rPr>
        <w:t>修正</w:t>
      </w:r>
    </w:p>
    <w:p w14:paraId="61EADF79">
      <w:pPr>
        <w:spacing w:before="120" w:line="320" w:lineRule="atLeast"/>
        <w:ind w:firstLine="420" w:firstLineChars="200"/>
        <w:rPr>
          <w:color w:val="auto"/>
          <w:highlight w:val="none"/>
        </w:rPr>
      </w:pPr>
      <w:r>
        <w:rPr>
          <w:rFonts w:hint="eastAsia"/>
          <w:color w:val="auto"/>
          <w:highlight w:val="none"/>
        </w:rPr>
        <w:t>（1）报价出现前后不一致的，按照下列规定修正：</w:t>
      </w:r>
    </w:p>
    <w:p w14:paraId="0C91FC46">
      <w:pPr>
        <w:spacing w:before="120" w:line="320" w:lineRule="atLeast"/>
        <w:ind w:firstLine="420" w:firstLineChars="200"/>
        <w:rPr>
          <w:color w:val="auto"/>
          <w:szCs w:val="21"/>
          <w:highlight w:val="none"/>
        </w:rPr>
      </w:pPr>
      <w:r>
        <w:rPr>
          <w:rFonts w:hint="eastAsia" w:ascii="宋体" w:hAnsi="宋体"/>
          <w:color w:val="auto"/>
          <w:szCs w:val="21"/>
          <w:highlight w:val="none"/>
        </w:rPr>
        <w:t>①</w:t>
      </w:r>
      <w:r>
        <w:rPr>
          <w:color w:val="auto"/>
          <w:szCs w:val="21"/>
          <w:highlight w:val="none"/>
        </w:rPr>
        <w:t>响应文件中开标一览表（报价表）内容与响应文件中相应内容不一致的，以开标一览表（报价表）为准；</w:t>
      </w:r>
    </w:p>
    <w:p w14:paraId="61EF33DE">
      <w:pPr>
        <w:spacing w:before="120" w:line="320" w:lineRule="atLeast"/>
        <w:ind w:firstLine="420" w:firstLineChars="200"/>
        <w:rPr>
          <w:color w:val="auto"/>
          <w:szCs w:val="21"/>
          <w:highlight w:val="none"/>
        </w:rPr>
      </w:pPr>
      <w:r>
        <w:rPr>
          <w:rFonts w:ascii="宋体" w:hAnsi="宋体"/>
          <w:color w:val="auto"/>
          <w:szCs w:val="21"/>
          <w:highlight w:val="none"/>
        </w:rPr>
        <w:t>②</w:t>
      </w:r>
      <w:r>
        <w:rPr>
          <w:color w:val="auto"/>
          <w:szCs w:val="21"/>
          <w:highlight w:val="none"/>
        </w:rPr>
        <w:t>大写金额和小写金额不一致的，以大写金额为准；</w:t>
      </w:r>
    </w:p>
    <w:p w14:paraId="37372CFF">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单价金额小数点或者百分比有明显错位的，以开标一览表的总价为准，并修改单价；</w:t>
      </w:r>
    </w:p>
    <w:p w14:paraId="6C669FCB">
      <w:pPr>
        <w:spacing w:before="120" w:line="320" w:lineRule="atLeast"/>
        <w:ind w:firstLine="420" w:firstLineChars="200"/>
        <w:rPr>
          <w:color w:val="auto"/>
          <w:szCs w:val="21"/>
          <w:highlight w:val="none"/>
        </w:rPr>
      </w:pPr>
      <w:r>
        <w:rPr>
          <w:rFonts w:hint="eastAsia"/>
          <w:color w:val="auto"/>
          <w:szCs w:val="21"/>
          <w:highlight w:val="none"/>
        </w:rPr>
        <w:t>④</w:t>
      </w:r>
      <w:r>
        <w:rPr>
          <w:color w:val="auto"/>
          <w:szCs w:val="21"/>
          <w:highlight w:val="none"/>
        </w:rPr>
        <w:t>总价金额与按单价汇总金额不一致的，以单价金额计算结果为准</w:t>
      </w:r>
      <w:r>
        <w:rPr>
          <w:rFonts w:hint="eastAsia"/>
          <w:color w:val="auto"/>
          <w:szCs w:val="21"/>
          <w:highlight w:val="none"/>
        </w:rPr>
        <w:t>。</w:t>
      </w:r>
    </w:p>
    <w:p w14:paraId="674A0AA9">
      <w:pPr>
        <w:spacing w:before="120" w:line="320" w:lineRule="atLeast"/>
        <w:ind w:firstLine="420" w:firstLineChars="200"/>
        <w:rPr>
          <w:color w:val="auto"/>
          <w:szCs w:val="21"/>
          <w:highlight w:val="none"/>
        </w:rPr>
      </w:pPr>
      <w:r>
        <w:rPr>
          <w:rFonts w:hint="eastAsia"/>
          <w:color w:val="auto"/>
          <w:szCs w:val="21"/>
          <w:highlight w:val="none"/>
        </w:rPr>
        <w:t>同时出现两种以上不一致的，按照上述</w:t>
      </w:r>
      <w:r>
        <w:rPr>
          <w:rFonts w:hint="eastAsia" w:ascii="宋体" w:hAnsi="宋体"/>
          <w:color w:val="auto"/>
          <w:szCs w:val="21"/>
          <w:highlight w:val="none"/>
        </w:rPr>
        <w:t>①-</w:t>
      </w:r>
      <w:r>
        <w:rPr>
          <w:rFonts w:hint="eastAsia"/>
          <w:color w:val="auto"/>
          <w:szCs w:val="21"/>
          <w:highlight w:val="none"/>
        </w:rPr>
        <w:t>④顺序修正。修正后的报价按照上述“</w:t>
      </w:r>
      <w:r>
        <w:rPr>
          <w:color w:val="auto"/>
          <w:szCs w:val="21"/>
          <w:highlight w:val="none"/>
        </w:rPr>
        <w:t>6.3.3</w:t>
      </w:r>
      <w:r>
        <w:rPr>
          <w:rFonts w:hint="eastAsia"/>
          <w:color w:val="auto"/>
          <w:szCs w:val="21"/>
          <w:highlight w:val="none"/>
        </w:rPr>
        <w:t>澄清、说明或补正”的规定经供应商确认后产生约束力，供应商不确认的，其响应无效。</w:t>
      </w:r>
    </w:p>
    <w:p w14:paraId="2252B02F">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2</w:t>
      </w:r>
      <w:r>
        <w:rPr>
          <w:rFonts w:hint="eastAsia"/>
          <w:color w:val="auto"/>
          <w:szCs w:val="21"/>
          <w:highlight w:val="none"/>
        </w:rPr>
        <w:t>）经供应商确认修正后的报价若超过采购预算金额或者最高限价，其响应文件作无效响应处理。</w:t>
      </w:r>
    </w:p>
    <w:p w14:paraId="67E90E51">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3</w:t>
      </w:r>
      <w:r>
        <w:rPr>
          <w:rFonts w:hint="eastAsia"/>
          <w:color w:val="auto"/>
          <w:szCs w:val="21"/>
          <w:highlight w:val="none"/>
        </w:rPr>
        <w:t>）经供应商确认修正后的报价作为签订合同的依据，并以此报价计算价格分。</w:t>
      </w:r>
    </w:p>
    <w:p w14:paraId="30BBEB0C">
      <w:pPr>
        <w:spacing w:before="120" w:line="320" w:lineRule="atLeast"/>
        <w:ind w:firstLine="420" w:firstLineChars="200"/>
        <w:rPr>
          <w:rFonts w:hint="eastAsia"/>
          <w:color w:val="auto"/>
          <w:szCs w:val="21"/>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）如磋商过程中有多轮报价的，磋商小组在每一轮报价均应按上述规则修正报价。</w:t>
      </w:r>
    </w:p>
    <w:p w14:paraId="6F77BC7C">
      <w:pPr>
        <w:keepNext w:val="0"/>
        <w:keepLines w:val="0"/>
        <w:widowControl w:val="0"/>
        <w:suppressLineNumbers w:val="0"/>
        <w:spacing w:before="120" w:beforeAutospacing="0" w:after="0" w:afterAutospacing="0" w:line="320" w:lineRule="atLeast"/>
        <w:ind w:left="0" w:right="0" w:firstLine="420" w:firstLineChars="200"/>
        <w:jc w:val="both"/>
        <w:rPr>
          <w:color w:val="auto"/>
          <w:szCs w:val="21"/>
          <w:highlight w:val="none"/>
          <w:lang w:val="en-US"/>
        </w:rPr>
      </w:pPr>
      <w:r>
        <w:rPr>
          <w:rFonts w:hint="default" w:ascii="Times New Roman" w:hAnsi="Times New Roman" w:eastAsia="宋体" w:cs="Times New Roman"/>
          <w:color w:val="auto"/>
          <w:kern w:val="2"/>
          <w:sz w:val="21"/>
          <w:szCs w:val="21"/>
          <w:highlight w:val="none"/>
          <w:lang w:val="en-US" w:eastAsia="zh-CN" w:bidi="ar"/>
        </w:rPr>
        <w:t>6.3.5</w:t>
      </w:r>
      <w:r>
        <w:rPr>
          <w:rFonts w:hint="eastAsia" w:ascii="Times New Roman" w:hAnsi="Times New Roman" w:eastAsia="宋体" w:cs="宋体"/>
          <w:color w:val="auto"/>
          <w:kern w:val="2"/>
          <w:sz w:val="21"/>
          <w:szCs w:val="21"/>
          <w:highlight w:val="none"/>
          <w:lang w:val="en-US" w:eastAsia="zh-CN" w:bidi="ar"/>
        </w:rPr>
        <w:t>异常低价审查</w:t>
      </w:r>
    </w:p>
    <w:p w14:paraId="5FB3DA9E">
      <w:pPr>
        <w:keepNext w:val="0"/>
        <w:keepLines w:val="0"/>
        <w:widowControl w:val="0"/>
        <w:suppressLineNumbers w:val="0"/>
        <w:spacing w:before="120" w:beforeAutospacing="0" w:after="0" w:afterAutospacing="0" w:line="320" w:lineRule="atLeast"/>
        <w:ind w:left="0" w:right="0" w:firstLine="420" w:firstLineChars="200"/>
        <w:jc w:val="both"/>
        <w:rPr>
          <w:color w:val="auto"/>
          <w:szCs w:val="21"/>
          <w:highlight w:val="none"/>
          <w:lang w:val="en-US"/>
        </w:rPr>
      </w:pPr>
      <w:r>
        <w:rPr>
          <w:rFonts w:hint="eastAsia" w:ascii="Times New Roman" w:hAnsi="Times New Roman" w:eastAsia="宋体" w:cs="宋体"/>
          <w:color w:val="auto"/>
          <w:kern w:val="2"/>
          <w:sz w:val="21"/>
          <w:szCs w:val="21"/>
          <w:highlight w:val="none"/>
          <w:lang w:val="en-US" w:eastAsia="zh-CN" w:bidi="ar"/>
        </w:rPr>
        <w:t>本项目异常低价审查情形见</w:t>
      </w:r>
      <w:r>
        <w:rPr>
          <w:rFonts w:hint="default" w:ascii="Times New Roman" w:hAnsi="Times New Roman" w:eastAsia="宋体" w:cs="Times New Roman"/>
          <w:color w:val="auto"/>
          <w:kern w:val="2"/>
          <w:sz w:val="21"/>
          <w:szCs w:val="21"/>
          <w:highlight w:val="none"/>
          <w:lang w:val="en-US" w:eastAsia="zh-CN" w:bidi="ar"/>
        </w:rPr>
        <w:t>“</w:t>
      </w:r>
      <w:r>
        <w:rPr>
          <w:rFonts w:hint="eastAsia" w:ascii="Times New Roman" w:hAnsi="Times New Roman" w:eastAsia="宋体" w:cs="宋体"/>
          <w:color w:val="auto"/>
          <w:kern w:val="2"/>
          <w:sz w:val="21"/>
          <w:szCs w:val="21"/>
          <w:highlight w:val="none"/>
          <w:lang w:val="en-US" w:eastAsia="zh-CN" w:bidi="ar"/>
        </w:rPr>
        <w:t>投标人须知前附表</w:t>
      </w:r>
      <w:r>
        <w:rPr>
          <w:rFonts w:hint="default" w:ascii="Times New Roman" w:hAnsi="Times New Roman" w:eastAsia="宋体" w:cs="Times New Roman"/>
          <w:color w:val="auto"/>
          <w:kern w:val="2"/>
          <w:sz w:val="21"/>
          <w:szCs w:val="21"/>
          <w:highlight w:val="none"/>
          <w:lang w:val="en-US" w:eastAsia="zh-CN" w:bidi="ar"/>
        </w:rPr>
        <w:t>”</w:t>
      </w:r>
      <w:r>
        <w:rPr>
          <w:rFonts w:hint="eastAsia" w:ascii="Times New Roman" w:hAnsi="Times New Roman" w:eastAsia="宋体" w:cs="宋体"/>
          <w:color w:val="auto"/>
          <w:kern w:val="2"/>
          <w:sz w:val="21"/>
          <w:szCs w:val="21"/>
          <w:highlight w:val="none"/>
          <w:lang w:val="en-US" w:eastAsia="zh-CN" w:bidi="ar"/>
        </w:rPr>
        <w:t>规定。</w:t>
      </w:r>
    </w:p>
    <w:p w14:paraId="377E6FF4">
      <w:pPr>
        <w:keepNext w:val="0"/>
        <w:keepLines w:val="0"/>
        <w:widowControl w:val="0"/>
        <w:suppressLineNumbers w:val="0"/>
        <w:spacing w:before="120" w:beforeAutospacing="0" w:after="0" w:afterAutospacing="0" w:line="320" w:lineRule="atLeast"/>
        <w:ind w:left="0" w:right="0" w:firstLine="420" w:firstLineChars="200"/>
        <w:jc w:val="both"/>
        <w:rPr>
          <w:color w:val="auto"/>
          <w:szCs w:val="21"/>
          <w:highlight w:val="none"/>
          <w:lang w:val="en-US"/>
        </w:rPr>
      </w:pPr>
      <w:r>
        <w:rPr>
          <w:rFonts w:hint="eastAsia" w:ascii="Times New Roman" w:hAnsi="Times New Roman" w:eastAsia="宋体" w:cs="宋体"/>
          <w:color w:val="auto"/>
          <w:kern w:val="2"/>
          <w:sz w:val="21"/>
          <w:szCs w:val="21"/>
          <w:highlight w:val="none"/>
          <w:lang w:val="en-US" w:eastAsia="zh-CN" w:bidi="ar"/>
        </w:rPr>
        <w:t>评审委员会启动异常低价响应审查后，应当要求相关供应商在评审现场合理的时间内提供书面说明及必要的证明材料，对响应价格作出解释。书面说明、证明材料主要是项目具体成本测算等与报价合理性相关的说明、材料。评审委员会可以要求供应商就提供服务的主要成本、销售费用、管理费用、财务费用、履约费用、计划利润、税金及附加等成本构成事项进行详细陈述。书面说明应当经供应商确认后提交给评审委员会。评审委员会应当结合同类产品在主要电商平台的价格、该行业当地薪资水平等情况，依据专业经验对报价合理性进行判断。审查相关情况应当在评审报告中记录。</w:t>
      </w:r>
    </w:p>
    <w:p w14:paraId="4627D14A">
      <w:pPr>
        <w:keepNext w:val="0"/>
        <w:keepLines w:val="0"/>
        <w:widowControl w:val="0"/>
        <w:suppressLineNumbers w:val="0"/>
        <w:spacing w:before="120" w:beforeAutospacing="0" w:after="0" w:afterAutospacing="0" w:line="320" w:lineRule="atLeast"/>
        <w:ind w:left="0" w:right="0" w:firstLine="420" w:firstLineChars="200"/>
        <w:jc w:val="both"/>
        <w:rPr>
          <w:color w:val="auto"/>
          <w:szCs w:val="21"/>
          <w:highlight w:val="none"/>
          <w:lang w:val="en-US"/>
        </w:rPr>
      </w:pPr>
      <w:r>
        <w:rPr>
          <w:rFonts w:hint="eastAsia" w:ascii="Times New Roman" w:hAnsi="Times New Roman" w:eastAsia="宋体" w:cs="宋体"/>
          <w:color w:val="auto"/>
          <w:kern w:val="2"/>
          <w:sz w:val="21"/>
          <w:szCs w:val="21"/>
          <w:highlight w:val="none"/>
          <w:lang w:val="en-US" w:eastAsia="zh-CN" w:bidi="ar"/>
        </w:rPr>
        <w:t>书面证明应当按照上述“</w:t>
      </w:r>
      <w:r>
        <w:rPr>
          <w:rFonts w:hint="default" w:ascii="Times New Roman" w:hAnsi="Times New Roman" w:eastAsia="宋体" w:cs="Times New Roman"/>
          <w:color w:val="auto"/>
          <w:kern w:val="2"/>
          <w:sz w:val="21"/>
          <w:szCs w:val="21"/>
          <w:highlight w:val="none"/>
          <w:lang w:val="en-US" w:eastAsia="zh-CN" w:bidi="ar"/>
        </w:rPr>
        <w:t>6.3.3</w:t>
      </w:r>
      <w:r>
        <w:rPr>
          <w:rFonts w:hint="eastAsia" w:ascii="Times New Roman" w:hAnsi="Times New Roman" w:eastAsia="宋体" w:cs="宋体"/>
          <w:color w:val="auto"/>
          <w:kern w:val="2"/>
          <w:sz w:val="21"/>
          <w:szCs w:val="21"/>
          <w:highlight w:val="none"/>
          <w:lang w:val="en-US" w:eastAsia="zh-CN" w:bidi="ar"/>
        </w:rPr>
        <w:t>澄清、说明或补正”的规定提交。如果响应供应商未按规定提供书面说明、证明材料，或者提供的书面说明、证明材料不能证明其报价合理性的，评审委员会应当将其作为无效投标处理。</w:t>
      </w:r>
    </w:p>
    <w:p w14:paraId="798DC420">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.3.</w:t>
      </w:r>
      <w:r>
        <w:rPr>
          <w:rFonts w:hint="eastAsia"/>
          <w:color w:val="auto"/>
          <w:szCs w:val="21"/>
          <w:highlight w:val="none"/>
          <w:lang w:val="en-US" w:eastAsia="zh-CN"/>
        </w:rPr>
        <w:t>6</w:t>
      </w:r>
      <w:r>
        <w:rPr>
          <w:rFonts w:hint="eastAsia"/>
          <w:color w:val="auto"/>
          <w:szCs w:val="21"/>
          <w:highlight w:val="none"/>
        </w:rPr>
        <w:t>相同品牌认定（仅适用于货物采购项目）</w:t>
      </w:r>
    </w:p>
    <w:p w14:paraId="2C9AFD73">
      <w:pPr>
        <w:spacing w:before="120" w:line="320" w:lineRule="atLeast"/>
        <w:ind w:firstLine="420" w:firstLineChars="200"/>
        <w:rPr>
          <w:color w:val="auto"/>
          <w:szCs w:val="21"/>
          <w:highlight w:val="none"/>
        </w:rPr>
      </w:pPr>
      <w:r>
        <w:rPr>
          <w:rFonts w:hint="eastAsia"/>
          <w:color w:val="auto"/>
          <w:szCs w:val="21"/>
          <w:highlight w:val="none"/>
        </w:rPr>
        <w:t>（1）单一产品采购项目，</w:t>
      </w:r>
      <w:r>
        <w:rPr>
          <w:color w:val="auto"/>
          <w:highlight w:val="none"/>
        </w:rPr>
        <w:t>不同供应商提供的产品品牌相同时，</w:t>
      </w:r>
      <w:r>
        <w:rPr>
          <w:rFonts w:hint="eastAsia"/>
          <w:color w:val="auto"/>
          <w:highlight w:val="none"/>
        </w:rPr>
        <w:t>按以下</w:t>
      </w:r>
      <w:r>
        <w:rPr>
          <w:color w:val="auto"/>
          <w:highlight w:val="none"/>
        </w:rPr>
        <w:t>规定</w:t>
      </w:r>
      <w:r>
        <w:rPr>
          <w:rFonts w:hint="eastAsia"/>
          <w:color w:val="auto"/>
          <w:highlight w:val="none"/>
        </w:rPr>
        <w:t>确定</w:t>
      </w:r>
      <w:r>
        <w:rPr>
          <w:bCs/>
          <w:color w:val="auto"/>
          <w:kern w:val="0"/>
          <w:szCs w:val="21"/>
          <w:highlight w:val="none"/>
        </w:rPr>
        <w:t>相同品牌的响应有效性</w:t>
      </w:r>
      <w:r>
        <w:rPr>
          <w:color w:val="auto"/>
          <w:highlight w:val="none"/>
        </w:rPr>
        <w:t>。</w:t>
      </w:r>
    </w:p>
    <w:bookmarkEnd w:id="56"/>
    <w:p w14:paraId="2E46405C">
      <w:pPr>
        <w:spacing w:before="120" w:line="320" w:lineRule="atLeast"/>
        <w:ind w:firstLine="420" w:firstLineChars="200"/>
        <w:rPr>
          <w:color w:val="auto"/>
          <w:szCs w:val="21"/>
          <w:highlight w:val="none"/>
        </w:rPr>
      </w:pPr>
      <w:r>
        <w:rPr>
          <w:rFonts w:hint="eastAsia"/>
          <w:color w:val="auto"/>
          <w:szCs w:val="21"/>
          <w:highlight w:val="none"/>
        </w:rPr>
        <w:t>提供相同品牌产品且通过资格审查、符合性审查的不同供应商参加同一合同项下响应的，按一家供应商计算，评审后得分最高的同品牌供应商获得中标人推荐资格；评审得分相同的，由采购人或者采购人委托磋商小组按照采购文件规定的方式确定一个供应商获得成交供应商推荐资格，采购文件未规定的采取随机抽取方式确定，其他同品牌供应商不作为成交候选人。</w:t>
      </w:r>
    </w:p>
    <w:p w14:paraId="13C9884A">
      <w:pPr>
        <w:spacing w:before="120" w:line="320" w:lineRule="atLeast"/>
        <w:ind w:firstLine="420" w:firstLineChars="200"/>
        <w:rPr>
          <w:color w:val="auto"/>
          <w:szCs w:val="21"/>
          <w:highlight w:val="none"/>
        </w:rPr>
      </w:pPr>
      <w:r>
        <w:rPr>
          <w:rFonts w:hint="eastAsia"/>
          <w:color w:val="auto"/>
          <w:szCs w:val="21"/>
          <w:highlight w:val="none"/>
        </w:rPr>
        <w:t>（2）非单一产品采购项目，</w:t>
      </w:r>
      <w:r>
        <w:rPr>
          <w:color w:val="auto"/>
          <w:szCs w:val="21"/>
          <w:highlight w:val="none"/>
        </w:rPr>
        <w:t>采购人应当确定核心产品，并在采购文件中载明。</w:t>
      </w:r>
      <w:r>
        <w:rPr>
          <w:rFonts w:hint="eastAsia"/>
          <w:color w:val="auto"/>
          <w:szCs w:val="21"/>
          <w:highlight w:val="none"/>
        </w:rPr>
        <w:t>不同</w:t>
      </w:r>
      <w:r>
        <w:rPr>
          <w:color w:val="auto"/>
          <w:szCs w:val="21"/>
          <w:highlight w:val="none"/>
        </w:rPr>
        <w:t>供应商提供的核心产品品牌相同的，按上述规定处理。核心产品</w:t>
      </w:r>
      <w:r>
        <w:rPr>
          <w:rFonts w:hint="eastAsia"/>
          <w:color w:val="auto"/>
          <w:szCs w:val="21"/>
          <w:highlight w:val="none"/>
        </w:rPr>
        <w:t>在第二章</w:t>
      </w:r>
      <w:r>
        <w:rPr>
          <w:color w:val="auto"/>
          <w:szCs w:val="21"/>
          <w:highlight w:val="none"/>
        </w:rPr>
        <w:t>采购需求规定。</w:t>
      </w:r>
    </w:p>
    <w:p w14:paraId="4A4B2101">
      <w:pPr>
        <w:spacing w:before="120" w:line="320" w:lineRule="atLeast"/>
        <w:ind w:firstLine="420" w:firstLineChars="200"/>
        <w:rPr>
          <w:rFonts w:hint="eastAsia"/>
          <w:color w:val="auto"/>
          <w:highlight w:val="none"/>
        </w:rPr>
      </w:pPr>
      <w:r>
        <w:rPr>
          <w:color w:val="auto"/>
          <w:highlight w:val="none"/>
        </w:rPr>
        <w:t>6.3.</w:t>
      </w:r>
      <w:r>
        <w:rPr>
          <w:rFonts w:hint="eastAsia"/>
          <w:color w:val="auto"/>
          <w:highlight w:val="none"/>
          <w:lang w:val="en-US" w:eastAsia="zh-CN"/>
        </w:rPr>
        <w:t>7</w:t>
      </w:r>
      <w:r>
        <w:rPr>
          <w:rFonts w:hint="eastAsia"/>
          <w:color w:val="auto"/>
          <w:highlight w:val="none"/>
        </w:rPr>
        <w:t>磋商</w:t>
      </w:r>
    </w:p>
    <w:p w14:paraId="0733CBC0">
      <w:pPr>
        <w:spacing w:before="120" w:line="320" w:lineRule="atLeast"/>
        <w:ind w:firstLine="420" w:firstLineChars="200"/>
        <w:rPr>
          <w:rFonts w:hint="eastAsia"/>
          <w:color w:val="auto"/>
          <w:highlight w:val="none"/>
        </w:rPr>
      </w:pPr>
      <w:r>
        <w:rPr>
          <w:rFonts w:hint="eastAsia"/>
          <w:color w:val="auto"/>
          <w:highlight w:val="none"/>
        </w:rPr>
        <w:t>（1）磋商小组按照“供应商须知前附表” 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28B7C012">
      <w:pPr>
        <w:spacing w:before="120" w:line="320" w:lineRule="atLeast"/>
        <w:ind w:firstLine="420" w:firstLineChars="200"/>
        <w:rPr>
          <w:color w:val="auto"/>
          <w:highlight w:val="none"/>
        </w:rPr>
      </w:pPr>
      <w:r>
        <w:rPr>
          <w:rFonts w:hint="eastAsia"/>
          <w:color w:val="auto"/>
          <w:highlight w:val="none"/>
        </w:rPr>
        <w:t>（2）在磋商过程中，磋商小组可以根据采购文件和磋商情况实质性变动采购需求中的技术、服务要求以及合同草案条款，但不得变动采购文件中的其他内容。实质性变动的内容，须经采购人代表确认。</w:t>
      </w:r>
    </w:p>
    <w:p w14:paraId="300C69B6">
      <w:pPr>
        <w:spacing w:before="120" w:line="320" w:lineRule="atLeast"/>
        <w:ind w:firstLine="420" w:firstLineChars="200"/>
        <w:rPr>
          <w:color w:val="auto"/>
          <w:highlight w:val="none"/>
        </w:rPr>
      </w:pPr>
      <w:r>
        <w:rPr>
          <w:rFonts w:hint="eastAsia"/>
          <w:color w:val="auto"/>
          <w:highlight w:val="none"/>
        </w:rPr>
        <w:t>对采购文件作出的实质性变动是采购文件的有效组成部分，由磋商小组通过广西政府采购云平台以书面形式同时通知所有参加磋商的供应商。</w:t>
      </w:r>
    </w:p>
    <w:p w14:paraId="74428BB6">
      <w:pPr>
        <w:spacing w:before="120" w:line="320" w:lineRule="atLeast"/>
        <w:ind w:firstLine="420" w:firstLineChars="200"/>
        <w:rPr>
          <w:rFonts w:hint="eastAsia"/>
          <w:color w:val="auto"/>
          <w:highlight w:val="none"/>
        </w:rPr>
      </w:pPr>
      <w:r>
        <w:rPr>
          <w:rFonts w:hint="eastAsia"/>
          <w:color w:val="auto"/>
          <w:highlight w:val="none"/>
        </w:rPr>
        <w:t>（3）供应商必须按照采购文件的变动情况和磋商小组的要求重新提交响应文件，并在广西政府采购云平台在线编辑或上传PDF格式，使用电子签章后提交至磋商小组。参加磋商的供应商未在规定时间内重新提交响应文件的，视同退出磋商。</w:t>
      </w:r>
    </w:p>
    <w:p w14:paraId="753FF846">
      <w:pPr>
        <w:spacing w:before="120" w:line="320" w:lineRule="atLeast"/>
        <w:ind w:firstLine="420" w:firstLineChars="200"/>
        <w:rPr>
          <w:color w:val="auto"/>
          <w:highlight w:val="none"/>
        </w:rPr>
      </w:pPr>
      <w:r>
        <w:rPr>
          <w:rFonts w:hint="eastAsia"/>
          <w:color w:val="auto"/>
          <w:highlight w:val="none"/>
        </w:rPr>
        <w:t>（4）供应商的法定代表人或其授权代表无须到现场参加磋商，提问及回答/响应均通过广西政府采购云平台进行。磋商过程中使用的电子签章应为供应商上传响应文件的同一签章。</w:t>
      </w:r>
    </w:p>
    <w:p w14:paraId="09FFB58B">
      <w:pPr>
        <w:spacing w:before="120" w:line="320" w:lineRule="atLeast"/>
        <w:ind w:firstLine="420" w:firstLineChars="200"/>
        <w:rPr>
          <w:color w:val="auto"/>
          <w:highlight w:val="none"/>
        </w:rPr>
      </w:pPr>
      <w:r>
        <w:rPr>
          <w:rFonts w:hint="eastAsia"/>
          <w:color w:val="auto"/>
          <w:highlight w:val="none"/>
        </w:rPr>
        <w:t>6</w:t>
      </w:r>
      <w:r>
        <w:rPr>
          <w:color w:val="auto"/>
          <w:highlight w:val="none"/>
        </w:rPr>
        <w:t>.3.</w:t>
      </w:r>
      <w:r>
        <w:rPr>
          <w:rFonts w:hint="eastAsia"/>
          <w:color w:val="auto"/>
          <w:highlight w:val="none"/>
          <w:lang w:val="en-US" w:eastAsia="zh-CN"/>
        </w:rPr>
        <w:t>8</w:t>
      </w:r>
      <w:r>
        <w:rPr>
          <w:rFonts w:hint="eastAsia"/>
          <w:color w:val="auto"/>
          <w:highlight w:val="none"/>
        </w:rPr>
        <w:t>最后报价</w:t>
      </w:r>
    </w:p>
    <w:p w14:paraId="4BF6E7ED">
      <w:pPr>
        <w:spacing w:before="120" w:line="320" w:lineRule="atLeast"/>
        <w:ind w:firstLine="420" w:firstLineChars="200"/>
        <w:rPr>
          <w:rFonts w:hint="eastAsia"/>
          <w:color w:val="auto"/>
          <w:highlight w:val="none"/>
        </w:rPr>
      </w:pPr>
      <w:r>
        <w:rPr>
          <w:rFonts w:hint="eastAsia"/>
          <w:color w:val="auto"/>
          <w:highlight w:val="none"/>
        </w:rPr>
        <w:t xml:space="preserve">（1）采购文件能够详细列明采购标的的技术、服务要求的，磋商结束后，磋商小组应当要求所有实质性响应的供应商在规定时间内提交最后报价，提交最后报价的供应商不得少于3家。 </w:t>
      </w:r>
    </w:p>
    <w:p w14:paraId="5D822C3C">
      <w:pPr>
        <w:spacing w:before="120" w:line="320" w:lineRule="atLeast"/>
        <w:ind w:firstLine="420" w:firstLineChars="200"/>
        <w:rPr>
          <w:rFonts w:hint="eastAsia"/>
          <w:color w:val="auto"/>
          <w:highlight w:val="none"/>
        </w:rPr>
      </w:pPr>
      <w:r>
        <w:rPr>
          <w:rFonts w:hint="eastAsia"/>
          <w:color w:val="auto"/>
          <w:highlight w:val="none"/>
        </w:rPr>
        <w:t>采购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16623B3B">
      <w:pPr>
        <w:spacing w:before="120" w:line="320" w:lineRule="atLeast"/>
        <w:ind w:firstLine="420" w:firstLineChars="200"/>
        <w:rPr>
          <w:color w:val="auto"/>
          <w:highlight w:val="none"/>
        </w:rPr>
      </w:pPr>
      <w:r>
        <w:rPr>
          <w:rFonts w:hint="eastAsia"/>
          <w:color w:val="auto"/>
          <w:highlight w:val="none"/>
        </w:rPr>
        <w:t>最后报价是供应商响应文件的有效组成部分。</w:t>
      </w:r>
    </w:p>
    <w:p w14:paraId="719324E5">
      <w:pPr>
        <w:spacing w:before="120" w:line="320" w:lineRule="atLeast"/>
        <w:ind w:firstLine="420" w:firstLineChars="200"/>
        <w:rPr>
          <w:color w:val="auto"/>
          <w:highlight w:val="none"/>
        </w:rPr>
      </w:pPr>
      <w:r>
        <w:rPr>
          <w:rFonts w:hint="eastAsia"/>
          <w:color w:val="auto"/>
          <w:highlight w:val="none"/>
        </w:rPr>
        <w:t>（2）如符合“市场竞争不充分的科研项目、需要扶持的科技成果转化项目、政府购买服务项目（含政府和社会资本合作项目）的，提交最后报价的供应商可以为2家。</w:t>
      </w:r>
    </w:p>
    <w:p w14:paraId="5B0B36ED">
      <w:pPr>
        <w:spacing w:before="120" w:line="320" w:lineRule="atLeast"/>
        <w:ind w:firstLine="420" w:firstLineChars="200"/>
        <w:rPr>
          <w:rFonts w:hint="eastAsia"/>
          <w:color w:val="auto"/>
          <w:highlight w:val="none"/>
        </w:rPr>
      </w:pPr>
      <w:r>
        <w:rPr>
          <w:rFonts w:hint="eastAsia"/>
          <w:color w:val="auto"/>
          <w:highlight w:val="none"/>
        </w:rPr>
        <w:t>（3）最后报价要求通过广西政府采购云平台发出，供应商需在广西政府采购云平台设置的时间内报价，最后报价不得超过采购预算金额且具有唯一性，否则否决其响应。</w:t>
      </w:r>
    </w:p>
    <w:p w14:paraId="333A9652">
      <w:pPr>
        <w:spacing w:before="120" w:line="320" w:lineRule="atLeast"/>
        <w:ind w:firstLine="420" w:firstLineChars="200"/>
        <w:rPr>
          <w:rFonts w:hint="eastAsia"/>
          <w:color w:val="auto"/>
          <w:highlight w:val="none"/>
        </w:rPr>
      </w:pPr>
      <w:r>
        <w:rPr>
          <w:rFonts w:hint="eastAsia"/>
          <w:color w:val="auto"/>
          <w:highlight w:val="none"/>
        </w:rPr>
        <w:t>（4）已提交响应文件的供应商，在提交最后报价之前，可以根据磋商情况退出磋商，退出磋商的供应商的响应文件无效。退出磋商的说明须经签字扫描后以电子邮件方式发送至采购代理机构，并及时通知项目负责人。磋商小组在评审报告中注明退出磋商的供应商名单。采购人、采购代理机构应当退还退出磋商的供应商的磋商保证金。</w:t>
      </w:r>
    </w:p>
    <w:p w14:paraId="4ED15127">
      <w:pPr>
        <w:spacing w:before="120" w:line="320" w:lineRule="atLeast"/>
        <w:ind w:firstLine="420" w:firstLineChars="200"/>
        <w:rPr>
          <w:rFonts w:hint="eastAsia"/>
          <w:color w:val="auto"/>
          <w:highlight w:val="none"/>
        </w:rPr>
      </w:pPr>
      <w:r>
        <w:rPr>
          <w:rFonts w:hint="eastAsia"/>
          <w:color w:val="auto"/>
          <w:highlight w:val="none"/>
        </w:rPr>
        <w:t>（5）供应商未在规定时间内提交最后报价的，视同退出磋商。</w:t>
      </w:r>
    </w:p>
    <w:p w14:paraId="1F8DC075">
      <w:pPr>
        <w:spacing w:before="120" w:line="320" w:lineRule="atLeast"/>
        <w:ind w:firstLine="420" w:firstLineChars="200"/>
        <w:rPr>
          <w:color w:val="auto"/>
          <w:highlight w:val="none"/>
        </w:rPr>
      </w:pPr>
      <w:r>
        <w:rPr>
          <w:rFonts w:hint="eastAsia"/>
          <w:color w:val="auto"/>
          <w:highlight w:val="none"/>
        </w:rPr>
        <w:t>（6）最后报价结束后，磋商小组不得再与供应商进行任何形式的商谈。</w:t>
      </w:r>
    </w:p>
    <w:p w14:paraId="45176E0F">
      <w:pPr>
        <w:spacing w:before="120" w:line="320" w:lineRule="atLeast"/>
        <w:ind w:firstLine="420" w:firstLineChars="200"/>
        <w:rPr>
          <w:color w:val="auto"/>
          <w:szCs w:val="21"/>
          <w:highlight w:val="none"/>
        </w:rPr>
      </w:pPr>
      <w:r>
        <w:rPr>
          <w:color w:val="auto"/>
          <w:szCs w:val="21"/>
          <w:highlight w:val="none"/>
        </w:rPr>
        <w:t>6.3.</w:t>
      </w:r>
      <w:r>
        <w:rPr>
          <w:rFonts w:hint="eastAsia"/>
          <w:color w:val="auto"/>
          <w:szCs w:val="21"/>
          <w:highlight w:val="none"/>
          <w:lang w:val="en-US" w:eastAsia="zh-CN"/>
        </w:rPr>
        <w:t>9</w:t>
      </w:r>
      <w:r>
        <w:rPr>
          <w:color w:val="auto"/>
          <w:szCs w:val="21"/>
          <w:highlight w:val="none"/>
        </w:rPr>
        <w:t>串通投标认定</w:t>
      </w:r>
    </w:p>
    <w:p w14:paraId="3305D93A">
      <w:pPr>
        <w:spacing w:before="120" w:line="320" w:lineRule="atLeast"/>
        <w:ind w:firstLine="420" w:firstLineChars="200"/>
        <w:rPr>
          <w:color w:val="auto"/>
          <w:highlight w:val="none"/>
        </w:rPr>
      </w:pPr>
      <w:r>
        <w:rPr>
          <w:color w:val="auto"/>
          <w:szCs w:val="21"/>
          <w:highlight w:val="none"/>
        </w:rPr>
        <w:t>磋商小组须根据</w:t>
      </w:r>
      <w:r>
        <w:rPr>
          <w:rFonts w:hint="eastAsia"/>
          <w:color w:val="auto"/>
          <w:szCs w:val="21"/>
          <w:highlight w:val="none"/>
        </w:rPr>
        <w:t>以下</w:t>
      </w:r>
      <w:r>
        <w:rPr>
          <w:color w:val="auto"/>
          <w:szCs w:val="21"/>
          <w:highlight w:val="none"/>
        </w:rPr>
        <w:t>规定</w:t>
      </w:r>
      <w:r>
        <w:rPr>
          <w:rFonts w:hint="eastAsia"/>
          <w:color w:val="auto"/>
          <w:szCs w:val="21"/>
          <w:highlight w:val="none"/>
        </w:rPr>
        <w:t>认定</w:t>
      </w:r>
      <w:r>
        <w:rPr>
          <w:color w:val="auto"/>
          <w:szCs w:val="21"/>
          <w:highlight w:val="none"/>
        </w:rPr>
        <w:t>供应商是否有</w:t>
      </w:r>
      <w:r>
        <w:rPr>
          <w:bCs/>
          <w:color w:val="auto"/>
          <w:kern w:val="0"/>
          <w:szCs w:val="21"/>
          <w:highlight w:val="none"/>
        </w:rPr>
        <w:t>串通投标的行为</w:t>
      </w:r>
      <w:r>
        <w:rPr>
          <w:color w:val="auto"/>
          <w:highlight w:val="none"/>
        </w:rPr>
        <w:t>。</w:t>
      </w:r>
    </w:p>
    <w:p w14:paraId="60979ED7">
      <w:pPr>
        <w:spacing w:before="120" w:line="320" w:lineRule="atLeast"/>
        <w:ind w:firstLine="420" w:firstLineChars="200"/>
        <w:rPr>
          <w:color w:val="auto"/>
          <w:szCs w:val="21"/>
          <w:highlight w:val="none"/>
        </w:rPr>
      </w:pPr>
      <w:bookmarkStart w:id="57" w:name="_Hlk19122026"/>
      <w:r>
        <w:rPr>
          <w:rFonts w:hint="eastAsia"/>
          <w:color w:val="auto"/>
          <w:szCs w:val="21"/>
          <w:highlight w:val="none"/>
        </w:rPr>
        <w:t>（1）</w:t>
      </w:r>
      <w:bookmarkEnd w:id="57"/>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桂财采[2016]42号</w:t>
      </w:r>
      <w:r>
        <w:rPr>
          <w:rFonts w:hint="eastAsia"/>
          <w:color w:val="auto"/>
          <w:szCs w:val="21"/>
          <w:highlight w:val="none"/>
        </w:rPr>
        <w:t>）</w:t>
      </w:r>
      <w:r>
        <w:rPr>
          <w:color w:val="auto"/>
          <w:szCs w:val="21"/>
          <w:highlight w:val="none"/>
        </w:rPr>
        <w:t>规定，出现下述情况的，相关供应商的投标作无效投标处理。</w:t>
      </w:r>
    </w:p>
    <w:p w14:paraId="0FC580FE">
      <w:pPr>
        <w:spacing w:before="120" w:line="320" w:lineRule="atLeast"/>
        <w:ind w:firstLine="420" w:firstLineChars="200"/>
        <w:rPr>
          <w:color w:val="auto"/>
          <w:szCs w:val="21"/>
          <w:highlight w:val="none"/>
        </w:rPr>
      </w:pPr>
      <w:bookmarkStart w:id="58" w:name="_Hlk19122039"/>
      <w:r>
        <w:rPr>
          <w:rFonts w:hint="eastAsia" w:ascii="宋体" w:hAnsi="宋体" w:cs="宋体"/>
          <w:color w:val="auto"/>
          <w:szCs w:val="21"/>
          <w:highlight w:val="none"/>
        </w:rPr>
        <w:t>①</w:t>
      </w:r>
      <w:r>
        <w:rPr>
          <w:color w:val="auto"/>
          <w:szCs w:val="21"/>
          <w:highlight w:val="none"/>
        </w:rPr>
        <w:t>单位负责人为同一人或者存在直接控股、管理关系，参加同一合同项下政府采购活动的不同供应商。</w:t>
      </w:r>
    </w:p>
    <w:p w14:paraId="35FCEE2C">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授权给供应商后参加同一合同项（分标、分包）投标的生产厂商。</w:t>
      </w:r>
    </w:p>
    <w:p w14:paraId="562EF594">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视为或被认定为串通投标的相关供应商。</w:t>
      </w:r>
    </w:p>
    <w:bookmarkEnd w:id="58"/>
    <w:p w14:paraId="7BFDC2AD">
      <w:pPr>
        <w:spacing w:before="120" w:line="320" w:lineRule="atLeast"/>
        <w:ind w:firstLine="420" w:firstLineChars="200"/>
        <w:rPr>
          <w:color w:val="auto"/>
          <w:szCs w:val="21"/>
          <w:highlight w:val="none"/>
        </w:rPr>
      </w:pPr>
      <w:bookmarkStart w:id="59" w:name="_Hlk19122058"/>
      <w:r>
        <w:rPr>
          <w:rFonts w:hint="eastAsia"/>
          <w:color w:val="auto"/>
          <w:szCs w:val="21"/>
          <w:highlight w:val="none"/>
        </w:rPr>
        <w:t>（2）</w:t>
      </w:r>
      <w:bookmarkEnd w:id="59"/>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桂财采[2016]42号</w:t>
      </w:r>
      <w:r>
        <w:rPr>
          <w:rFonts w:hint="eastAsia"/>
          <w:color w:val="auto"/>
          <w:szCs w:val="21"/>
          <w:highlight w:val="none"/>
        </w:rPr>
        <w:t>）</w:t>
      </w:r>
      <w:r>
        <w:rPr>
          <w:color w:val="auto"/>
          <w:szCs w:val="21"/>
          <w:highlight w:val="none"/>
        </w:rPr>
        <w:t>规定，有下列情形之一的视为供应商相互串通投标，响应文件将被视为无效。</w:t>
      </w:r>
    </w:p>
    <w:p w14:paraId="16D87083">
      <w:pPr>
        <w:spacing w:before="120" w:line="320" w:lineRule="atLeast"/>
        <w:ind w:firstLine="420" w:firstLineChars="200"/>
        <w:rPr>
          <w:color w:val="auto"/>
          <w:szCs w:val="21"/>
          <w:highlight w:val="none"/>
        </w:rPr>
      </w:pPr>
      <w:bookmarkStart w:id="60" w:name="_Hlk19122048"/>
      <w:r>
        <w:rPr>
          <w:rFonts w:hint="eastAsia" w:ascii="宋体" w:hAnsi="宋体" w:cs="宋体"/>
          <w:color w:val="auto"/>
          <w:szCs w:val="21"/>
          <w:highlight w:val="none"/>
        </w:rPr>
        <w:t>①</w:t>
      </w:r>
      <w:r>
        <w:rPr>
          <w:color w:val="auto"/>
          <w:szCs w:val="21"/>
          <w:highlight w:val="none"/>
        </w:rPr>
        <w:t>不同供应商的响应文件由同一单位或者个人编制；或不同供应商报名的IP地址一致的；</w:t>
      </w:r>
    </w:p>
    <w:p w14:paraId="2BE69A55">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不同供应商委托同一单位或者个人办理投标事宜；</w:t>
      </w:r>
    </w:p>
    <w:p w14:paraId="6D6632BD">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不同的供应商的响应文件载明的项目管理员为同一个人；</w:t>
      </w:r>
    </w:p>
    <w:p w14:paraId="1441098B">
      <w:pPr>
        <w:spacing w:before="120" w:line="320" w:lineRule="atLeast"/>
        <w:ind w:firstLine="420" w:firstLineChars="200"/>
        <w:rPr>
          <w:color w:val="auto"/>
          <w:szCs w:val="21"/>
          <w:highlight w:val="none"/>
        </w:rPr>
      </w:pPr>
      <w:r>
        <w:rPr>
          <w:rFonts w:hint="eastAsia"/>
          <w:color w:val="auto"/>
          <w:szCs w:val="21"/>
          <w:highlight w:val="none"/>
        </w:rPr>
        <w:t>④</w:t>
      </w:r>
      <w:r>
        <w:rPr>
          <w:color w:val="auto"/>
          <w:szCs w:val="21"/>
          <w:highlight w:val="none"/>
        </w:rPr>
        <w:t>不同供应商的响应文件异常一致或投标报价呈规律性差异；</w:t>
      </w:r>
    </w:p>
    <w:p w14:paraId="77FF2E34">
      <w:pPr>
        <w:spacing w:before="120" w:line="320" w:lineRule="atLeast"/>
        <w:ind w:firstLine="420" w:firstLineChars="200"/>
        <w:rPr>
          <w:color w:val="auto"/>
          <w:szCs w:val="21"/>
          <w:highlight w:val="none"/>
        </w:rPr>
      </w:pPr>
      <w:r>
        <w:rPr>
          <w:rFonts w:hint="eastAsia"/>
          <w:color w:val="auto"/>
          <w:szCs w:val="21"/>
          <w:highlight w:val="none"/>
        </w:rPr>
        <w:t>⑤</w:t>
      </w:r>
      <w:r>
        <w:rPr>
          <w:color w:val="auto"/>
          <w:szCs w:val="21"/>
          <w:highlight w:val="none"/>
        </w:rPr>
        <w:t>不同供应商的响应文件相互混装；</w:t>
      </w:r>
    </w:p>
    <w:p w14:paraId="6BADABEE">
      <w:pPr>
        <w:spacing w:before="120" w:line="320" w:lineRule="atLeast"/>
        <w:ind w:firstLine="420" w:firstLineChars="200"/>
        <w:rPr>
          <w:color w:val="auto"/>
          <w:szCs w:val="21"/>
          <w:highlight w:val="none"/>
        </w:rPr>
      </w:pPr>
      <w:r>
        <w:rPr>
          <w:rFonts w:hint="eastAsia"/>
          <w:color w:val="auto"/>
          <w:szCs w:val="21"/>
          <w:highlight w:val="none"/>
        </w:rPr>
        <w:t>⑥</w:t>
      </w:r>
      <w:r>
        <w:rPr>
          <w:color w:val="auto"/>
          <w:szCs w:val="21"/>
          <w:highlight w:val="none"/>
        </w:rPr>
        <w:t>不同供应商的保证金从同一单位或者个人账户转出。</w:t>
      </w:r>
    </w:p>
    <w:bookmarkEnd w:id="60"/>
    <w:p w14:paraId="360E5B90">
      <w:pPr>
        <w:spacing w:before="120" w:line="320" w:lineRule="atLeast"/>
        <w:ind w:firstLine="420" w:firstLineChars="200"/>
        <w:rPr>
          <w:color w:val="auto"/>
          <w:szCs w:val="21"/>
          <w:highlight w:val="none"/>
        </w:rPr>
      </w:pPr>
      <w:bookmarkStart w:id="61" w:name="_Hlk19122102"/>
      <w:r>
        <w:rPr>
          <w:rFonts w:hint="eastAsia"/>
          <w:color w:val="auto"/>
          <w:szCs w:val="21"/>
          <w:highlight w:val="none"/>
        </w:rPr>
        <w:t>（3）</w:t>
      </w:r>
      <w:bookmarkEnd w:id="61"/>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桂财采[2016]42号</w:t>
      </w:r>
      <w:r>
        <w:rPr>
          <w:rFonts w:hint="eastAsia"/>
          <w:color w:val="auto"/>
          <w:szCs w:val="21"/>
          <w:highlight w:val="none"/>
        </w:rPr>
        <w:t>）</w:t>
      </w:r>
      <w:r>
        <w:rPr>
          <w:color w:val="auto"/>
          <w:szCs w:val="21"/>
          <w:highlight w:val="none"/>
        </w:rPr>
        <w:t>规定，供应商有下列情形之一的，属于恶意串通行为，响应文件将被视为无效。</w:t>
      </w:r>
    </w:p>
    <w:p w14:paraId="5C74A46C">
      <w:pPr>
        <w:spacing w:before="120" w:line="320" w:lineRule="atLeast"/>
        <w:ind w:firstLine="420" w:firstLineChars="200"/>
        <w:rPr>
          <w:color w:val="auto"/>
          <w:szCs w:val="21"/>
          <w:highlight w:val="none"/>
        </w:rPr>
      </w:pPr>
      <w:bookmarkStart w:id="62" w:name="_Hlk19122095"/>
      <w:r>
        <w:rPr>
          <w:rFonts w:hint="eastAsia"/>
          <w:color w:val="auto"/>
          <w:szCs w:val="21"/>
          <w:highlight w:val="none"/>
        </w:rPr>
        <w:t>①</w:t>
      </w:r>
      <w:r>
        <w:rPr>
          <w:color w:val="auto"/>
          <w:szCs w:val="21"/>
          <w:highlight w:val="none"/>
        </w:rPr>
        <w:t>供应商直接或者间接从采购人或者采购代理机构处获得其他供应商的相关信息并修改其响应文件或者响应文件；</w:t>
      </w:r>
    </w:p>
    <w:p w14:paraId="1341B93C">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供应商按照采购人或者采购代理机构的授意撤换、修改响应文件或者响应文件;；</w:t>
      </w:r>
    </w:p>
    <w:p w14:paraId="59A5EC50">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供应商之间协商报价、技术方案等响应文件或者响应文件的实质性内容；</w:t>
      </w:r>
    </w:p>
    <w:p w14:paraId="427FC9A9">
      <w:pPr>
        <w:spacing w:before="120" w:line="320" w:lineRule="atLeast"/>
        <w:ind w:firstLine="420" w:firstLineChars="200"/>
        <w:rPr>
          <w:color w:val="auto"/>
          <w:szCs w:val="21"/>
          <w:highlight w:val="none"/>
        </w:rPr>
      </w:pPr>
      <w:r>
        <w:rPr>
          <w:rFonts w:hint="eastAsia"/>
          <w:color w:val="auto"/>
          <w:szCs w:val="21"/>
          <w:highlight w:val="none"/>
        </w:rPr>
        <w:t>④</w:t>
      </w:r>
      <w:r>
        <w:rPr>
          <w:color w:val="auto"/>
          <w:szCs w:val="21"/>
          <w:highlight w:val="none"/>
        </w:rPr>
        <w:t>属于同一集团、协会、商会等组织成员的供应商按照该组织要求协同参加政府采购活动；</w:t>
      </w:r>
    </w:p>
    <w:p w14:paraId="6E6E102B">
      <w:pPr>
        <w:spacing w:before="120" w:line="320" w:lineRule="atLeast"/>
        <w:ind w:firstLine="420" w:firstLineChars="200"/>
        <w:rPr>
          <w:color w:val="auto"/>
          <w:szCs w:val="21"/>
          <w:highlight w:val="none"/>
        </w:rPr>
      </w:pPr>
      <w:r>
        <w:rPr>
          <w:rFonts w:hint="eastAsia"/>
          <w:color w:val="auto"/>
          <w:szCs w:val="21"/>
          <w:highlight w:val="none"/>
        </w:rPr>
        <w:t>⑤</w:t>
      </w:r>
      <w:r>
        <w:rPr>
          <w:color w:val="auto"/>
          <w:szCs w:val="21"/>
          <w:highlight w:val="none"/>
        </w:rPr>
        <w:t>供应商之间事先约定一致抬高或者压低投标报价，或者在招标项目中事先约定轮流以高价位或者低价位中标，或者事先约定由某一特定供应商中标，然后再参加投标；</w:t>
      </w:r>
    </w:p>
    <w:p w14:paraId="2F943417">
      <w:pPr>
        <w:spacing w:before="120" w:line="320" w:lineRule="atLeast"/>
        <w:ind w:firstLine="420" w:firstLineChars="200"/>
        <w:rPr>
          <w:color w:val="auto"/>
          <w:szCs w:val="21"/>
          <w:highlight w:val="none"/>
        </w:rPr>
      </w:pPr>
      <w:r>
        <w:rPr>
          <w:rFonts w:hint="eastAsia"/>
          <w:color w:val="auto"/>
          <w:szCs w:val="21"/>
          <w:highlight w:val="none"/>
        </w:rPr>
        <w:t>⑥</w:t>
      </w:r>
      <w:r>
        <w:rPr>
          <w:color w:val="auto"/>
          <w:szCs w:val="21"/>
          <w:highlight w:val="none"/>
        </w:rPr>
        <w:t>供应商之间商定部分供应商放弃参加政府采购活动或者放弃中标；</w:t>
      </w:r>
    </w:p>
    <w:p w14:paraId="15F27EBA">
      <w:pPr>
        <w:spacing w:before="120" w:line="320" w:lineRule="atLeast"/>
        <w:ind w:firstLine="420" w:firstLineChars="200"/>
        <w:rPr>
          <w:color w:val="auto"/>
          <w:szCs w:val="21"/>
          <w:highlight w:val="none"/>
        </w:rPr>
      </w:pPr>
      <w:r>
        <w:rPr>
          <w:rFonts w:hint="eastAsia"/>
          <w:color w:val="auto"/>
          <w:szCs w:val="21"/>
          <w:highlight w:val="none"/>
        </w:rPr>
        <w:t>⑦</w:t>
      </w:r>
      <w:r>
        <w:rPr>
          <w:color w:val="auto"/>
          <w:szCs w:val="21"/>
          <w:highlight w:val="none"/>
        </w:rPr>
        <w:t>供应商与采购人或者采购代理机构之间、供应商相互之间，为谋求特定供应商中标或者排斥其他供应商的其他串通行为。</w:t>
      </w:r>
    </w:p>
    <w:bookmarkEnd w:id="62"/>
    <w:p w14:paraId="5FF19ECB">
      <w:pPr>
        <w:spacing w:before="120" w:line="320" w:lineRule="atLeast"/>
        <w:ind w:firstLine="420" w:firstLineChars="200"/>
        <w:rPr>
          <w:color w:val="auto"/>
          <w:szCs w:val="21"/>
          <w:highlight w:val="none"/>
        </w:rPr>
      </w:pPr>
      <w:r>
        <w:rPr>
          <w:color w:val="auto"/>
          <w:szCs w:val="21"/>
          <w:highlight w:val="none"/>
        </w:rPr>
        <w:t>6.3.</w:t>
      </w:r>
      <w:r>
        <w:rPr>
          <w:rFonts w:hint="eastAsia"/>
          <w:color w:val="auto"/>
          <w:szCs w:val="21"/>
          <w:highlight w:val="none"/>
          <w:lang w:val="en-US" w:eastAsia="zh-CN"/>
        </w:rPr>
        <w:t>10</w:t>
      </w:r>
      <w:r>
        <w:rPr>
          <w:color w:val="auto"/>
          <w:szCs w:val="21"/>
          <w:highlight w:val="none"/>
        </w:rPr>
        <w:t>响应</w:t>
      </w:r>
      <w:r>
        <w:rPr>
          <w:rFonts w:hint="eastAsia"/>
          <w:color w:val="auto"/>
          <w:szCs w:val="21"/>
          <w:highlight w:val="none"/>
        </w:rPr>
        <w:t>无效</w:t>
      </w:r>
      <w:r>
        <w:rPr>
          <w:color w:val="auto"/>
          <w:szCs w:val="21"/>
          <w:highlight w:val="none"/>
        </w:rPr>
        <w:t>认定</w:t>
      </w:r>
    </w:p>
    <w:p w14:paraId="1E4B93CF">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1）在</w:t>
      </w:r>
      <w:r>
        <w:rPr>
          <w:rFonts w:hint="eastAsia"/>
          <w:color w:val="auto"/>
          <w:szCs w:val="21"/>
          <w:highlight w:val="none"/>
        </w:rPr>
        <w:t>评审过程中</w:t>
      </w:r>
      <w:r>
        <w:rPr>
          <w:color w:val="auto"/>
          <w:szCs w:val="21"/>
          <w:highlight w:val="none"/>
        </w:rPr>
        <w:t>如发现下列情形之一的，响应文件将被视为无效：</w:t>
      </w:r>
    </w:p>
    <w:p w14:paraId="4AEC6BA6">
      <w:pPr>
        <w:spacing w:before="120" w:line="320" w:lineRule="atLeast"/>
        <w:ind w:firstLine="420" w:firstLineChars="200"/>
        <w:rPr>
          <w:color w:val="auto"/>
          <w:highlight w:val="none"/>
        </w:rPr>
      </w:pPr>
      <w:r>
        <w:rPr>
          <w:rFonts w:hint="eastAsia"/>
          <w:color w:val="auto"/>
          <w:szCs w:val="21"/>
          <w:highlight w:val="none"/>
        </w:rPr>
        <w:t>①</w:t>
      </w:r>
      <w:r>
        <w:rPr>
          <w:color w:val="auto"/>
          <w:szCs w:val="21"/>
          <w:highlight w:val="none"/>
        </w:rPr>
        <w:t>响应文件</w:t>
      </w:r>
      <w:r>
        <w:rPr>
          <w:rFonts w:hint="eastAsia"/>
          <w:color w:val="auto"/>
          <w:szCs w:val="21"/>
          <w:highlight w:val="none"/>
        </w:rPr>
        <w:t>存在法律、法规及监督部门有关文件规定的无效情形</w:t>
      </w:r>
      <w:r>
        <w:rPr>
          <w:color w:val="auto"/>
          <w:szCs w:val="21"/>
          <w:highlight w:val="none"/>
        </w:rPr>
        <w:t>。</w:t>
      </w:r>
    </w:p>
    <w:p w14:paraId="0DFD67FE">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响应文件</w:t>
      </w:r>
      <w:r>
        <w:rPr>
          <w:rFonts w:hint="eastAsia"/>
          <w:color w:val="auto"/>
          <w:szCs w:val="21"/>
          <w:highlight w:val="none"/>
        </w:rPr>
        <w:t>存在采购文件规定的无效情形。</w:t>
      </w:r>
    </w:p>
    <w:p w14:paraId="597E8198">
      <w:pPr>
        <w:spacing w:before="120" w:line="320" w:lineRule="atLeast"/>
        <w:ind w:firstLine="420" w:firstLineChars="200"/>
        <w:rPr>
          <w:color w:val="auto"/>
          <w:szCs w:val="21"/>
          <w:highlight w:val="none"/>
        </w:rPr>
      </w:pPr>
      <w:bookmarkStart w:id="63" w:name="_Hlk19113313"/>
      <w:r>
        <w:rPr>
          <w:rFonts w:hint="eastAsia"/>
          <w:color w:val="auto"/>
          <w:szCs w:val="21"/>
          <w:highlight w:val="none"/>
        </w:rPr>
        <w:t>（2）根据</w:t>
      </w:r>
      <w:r>
        <w:rPr>
          <w:color w:val="auto"/>
          <w:szCs w:val="21"/>
          <w:highlight w:val="none"/>
        </w:rPr>
        <w:t>财库</w:t>
      </w:r>
      <w:r>
        <w:rPr>
          <w:rFonts w:hint="eastAsia"/>
          <w:color w:val="auto"/>
          <w:szCs w:val="21"/>
          <w:highlight w:val="none"/>
        </w:rPr>
        <w:t>《</w:t>
      </w:r>
      <w:r>
        <w:rPr>
          <w:color w:val="auto"/>
          <w:szCs w:val="21"/>
          <w:highlight w:val="none"/>
        </w:rPr>
        <w:t>关于促进政府采购公平竞争优化营商环境的通知</w:t>
      </w:r>
      <w:r>
        <w:rPr>
          <w:rFonts w:hint="eastAsia"/>
          <w:color w:val="auto"/>
          <w:szCs w:val="21"/>
          <w:highlight w:val="none"/>
        </w:rPr>
        <w:t>》（</w:t>
      </w:r>
      <w:r>
        <w:rPr>
          <w:color w:val="auto"/>
          <w:szCs w:val="21"/>
          <w:highlight w:val="none"/>
        </w:rPr>
        <w:t>〔2019〕38号</w:t>
      </w:r>
      <w:r>
        <w:rPr>
          <w:rFonts w:hint="eastAsia"/>
          <w:color w:val="auto"/>
          <w:szCs w:val="21"/>
          <w:highlight w:val="none"/>
        </w:rPr>
        <w:t>）以及《广西壮族自治区财政厅转发财政部关于促进政府采购公平竞争优化营商环境的通知》（桂财采〔2019〕41号）规定，磋商小组不得因装订、纸张、文件排序等非实质性的格式、形式问题认定投标无效或否决投标，从而限制和影响供应商投标（响应）。</w:t>
      </w:r>
    </w:p>
    <w:bookmarkEnd w:id="63"/>
    <w:p w14:paraId="11FD52B8">
      <w:pPr>
        <w:spacing w:before="120" w:line="320" w:lineRule="atLeast"/>
        <w:ind w:firstLine="420" w:firstLineChars="200"/>
        <w:rPr>
          <w:color w:val="auto"/>
          <w:szCs w:val="21"/>
          <w:highlight w:val="none"/>
        </w:rPr>
      </w:pPr>
      <w:bookmarkStart w:id="64" w:name="_Hlk19113363"/>
      <w:r>
        <w:rPr>
          <w:color w:val="auto"/>
          <w:szCs w:val="21"/>
          <w:highlight w:val="none"/>
        </w:rPr>
        <w:t>6.3.1</w:t>
      </w:r>
      <w:r>
        <w:rPr>
          <w:rFonts w:hint="eastAsia"/>
          <w:color w:val="auto"/>
          <w:szCs w:val="21"/>
          <w:highlight w:val="none"/>
          <w:lang w:val="en-US" w:eastAsia="zh-CN"/>
        </w:rPr>
        <w:t>1</w:t>
      </w:r>
      <w:r>
        <w:rPr>
          <w:color w:val="auto"/>
          <w:szCs w:val="21"/>
          <w:highlight w:val="none"/>
        </w:rPr>
        <w:t>比较与评价</w:t>
      </w:r>
    </w:p>
    <w:p w14:paraId="25709C53">
      <w:pPr>
        <w:spacing w:before="120" w:line="320" w:lineRule="atLeast"/>
        <w:ind w:firstLine="420" w:firstLineChars="200"/>
        <w:rPr>
          <w:color w:val="auto"/>
          <w:szCs w:val="21"/>
          <w:highlight w:val="none"/>
        </w:rPr>
      </w:pPr>
      <w:r>
        <w:rPr>
          <w:rFonts w:hint="eastAsia"/>
          <w:color w:val="auto"/>
          <w:szCs w:val="21"/>
          <w:highlight w:val="none"/>
        </w:rPr>
        <w:t>（1）磋商小组</w:t>
      </w:r>
      <w:r>
        <w:rPr>
          <w:color w:val="auto"/>
          <w:szCs w:val="21"/>
          <w:highlight w:val="none"/>
        </w:rPr>
        <w:t>按采购文件中规定的评审方法和标准，</w:t>
      </w:r>
      <w:r>
        <w:rPr>
          <w:rFonts w:hint="eastAsia"/>
          <w:color w:val="auto"/>
          <w:szCs w:val="21"/>
          <w:highlight w:val="none"/>
        </w:rPr>
        <w:t>对提交最后报价的供应商的响应文件和最后报价进行综合评分。</w:t>
      </w:r>
    </w:p>
    <w:p w14:paraId="0B3456BE">
      <w:pPr>
        <w:spacing w:before="120" w:line="320" w:lineRule="atLeast"/>
        <w:ind w:firstLine="420" w:firstLineChars="200"/>
        <w:rPr>
          <w:color w:val="auto"/>
          <w:szCs w:val="21"/>
          <w:highlight w:val="none"/>
        </w:rPr>
      </w:pPr>
      <w:r>
        <w:rPr>
          <w:rFonts w:hint="eastAsia"/>
          <w:color w:val="auto"/>
          <w:szCs w:val="21"/>
          <w:highlight w:val="none"/>
        </w:rPr>
        <w:t>（2）</w:t>
      </w:r>
      <w:r>
        <w:rPr>
          <w:color w:val="auto"/>
          <w:szCs w:val="21"/>
          <w:highlight w:val="none"/>
        </w:rPr>
        <w:t>磋商小组各成员独立对每个有效供应商的响应文件进行评价</w:t>
      </w:r>
      <w:r>
        <w:rPr>
          <w:rFonts w:hint="eastAsia"/>
          <w:color w:val="auto"/>
          <w:szCs w:val="21"/>
          <w:highlight w:val="none"/>
        </w:rPr>
        <w:t>、打分。评价打分</w:t>
      </w:r>
      <w:r>
        <w:rPr>
          <w:color w:val="auto"/>
          <w:szCs w:val="21"/>
          <w:highlight w:val="none"/>
        </w:rPr>
        <w:t>有误的应及时进行修正。</w:t>
      </w:r>
      <w:r>
        <w:rPr>
          <w:rFonts w:hint="eastAsia"/>
          <w:color w:val="auto"/>
          <w:szCs w:val="21"/>
          <w:highlight w:val="none"/>
        </w:rPr>
        <w:t>评分</w:t>
      </w:r>
      <w:r>
        <w:rPr>
          <w:color w:val="auto"/>
          <w:szCs w:val="21"/>
          <w:highlight w:val="none"/>
        </w:rPr>
        <w:t>标准如有客观分定义，磋商小组所有成员的客观分</w:t>
      </w:r>
      <w:r>
        <w:rPr>
          <w:rFonts w:hint="eastAsia"/>
          <w:color w:val="auto"/>
          <w:szCs w:val="21"/>
          <w:highlight w:val="none"/>
        </w:rPr>
        <w:t>评分分值</w:t>
      </w:r>
      <w:r>
        <w:rPr>
          <w:color w:val="auto"/>
          <w:szCs w:val="21"/>
          <w:highlight w:val="none"/>
        </w:rPr>
        <w:t>应当一致。</w:t>
      </w:r>
    </w:p>
    <w:p w14:paraId="45BDEA3F">
      <w:pPr>
        <w:spacing w:before="120" w:line="320" w:lineRule="atLeast"/>
        <w:ind w:firstLine="420" w:firstLineChars="200"/>
        <w:rPr>
          <w:rFonts w:hint="eastAsia"/>
          <w:color w:val="auto"/>
          <w:szCs w:val="21"/>
          <w:highlight w:val="none"/>
        </w:rPr>
      </w:pPr>
      <w:r>
        <w:rPr>
          <w:rFonts w:hint="eastAsia"/>
          <w:color w:val="auto"/>
          <w:szCs w:val="21"/>
          <w:highlight w:val="none"/>
        </w:rPr>
        <w:t>（3）磋商小组按综合评分由高到低的排列顺序推荐</w:t>
      </w:r>
      <w:r>
        <w:rPr>
          <w:color w:val="auto"/>
          <w:szCs w:val="21"/>
          <w:highlight w:val="none"/>
        </w:rPr>
        <w:t>3</w:t>
      </w:r>
      <w:r>
        <w:rPr>
          <w:rFonts w:hint="eastAsia"/>
          <w:color w:val="auto"/>
          <w:szCs w:val="21"/>
          <w:highlight w:val="none"/>
        </w:rPr>
        <w:t>名以上成交候选供应商，排名第一的为第一成交候选供应商。</w:t>
      </w:r>
      <w:r>
        <w:rPr>
          <w:color w:val="auto"/>
          <w:szCs w:val="21"/>
          <w:highlight w:val="none"/>
        </w:rPr>
        <w:t>若</w:t>
      </w:r>
      <w:r>
        <w:rPr>
          <w:rFonts w:hint="eastAsia"/>
          <w:color w:val="auto"/>
          <w:szCs w:val="21"/>
          <w:highlight w:val="none"/>
        </w:rPr>
        <w:t>成交</w:t>
      </w:r>
      <w:r>
        <w:rPr>
          <w:color w:val="auto"/>
          <w:szCs w:val="21"/>
          <w:highlight w:val="none"/>
        </w:rPr>
        <w:t>候选人综合</w:t>
      </w:r>
      <w:r>
        <w:rPr>
          <w:rFonts w:hint="eastAsia"/>
          <w:color w:val="auto"/>
          <w:szCs w:val="21"/>
          <w:highlight w:val="none"/>
        </w:rPr>
        <w:t>评</w:t>
      </w:r>
      <w:r>
        <w:rPr>
          <w:color w:val="auto"/>
          <w:szCs w:val="21"/>
          <w:highlight w:val="none"/>
        </w:rPr>
        <w:t>分相同的，按</w:t>
      </w:r>
      <w:r>
        <w:rPr>
          <w:rFonts w:hint="eastAsia"/>
          <w:color w:val="auto"/>
          <w:szCs w:val="21"/>
          <w:highlight w:val="none"/>
        </w:rPr>
        <w:t>最后</w:t>
      </w:r>
      <w:r>
        <w:rPr>
          <w:color w:val="auto"/>
          <w:szCs w:val="21"/>
          <w:highlight w:val="none"/>
        </w:rPr>
        <w:t>报价由低到高顺序排列；综合</w:t>
      </w:r>
      <w:r>
        <w:rPr>
          <w:rFonts w:hint="eastAsia"/>
          <w:color w:val="auto"/>
          <w:szCs w:val="21"/>
          <w:highlight w:val="none"/>
        </w:rPr>
        <w:t>评</w:t>
      </w:r>
      <w:r>
        <w:rPr>
          <w:color w:val="auto"/>
          <w:szCs w:val="21"/>
          <w:highlight w:val="none"/>
        </w:rPr>
        <w:t>分且</w:t>
      </w:r>
      <w:r>
        <w:rPr>
          <w:rFonts w:hint="eastAsia"/>
          <w:color w:val="auto"/>
          <w:szCs w:val="21"/>
          <w:highlight w:val="none"/>
        </w:rPr>
        <w:t>最后</w:t>
      </w:r>
      <w:r>
        <w:rPr>
          <w:color w:val="auto"/>
          <w:szCs w:val="21"/>
          <w:highlight w:val="none"/>
        </w:rPr>
        <w:t>报价相同的</w:t>
      </w:r>
      <w:r>
        <w:rPr>
          <w:color w:val="auto"/>
          <w:highlight w:val="none"/>
        </w:rPr>
        <w:t>并列</w:t>
      </w:r>
      <w:r>
        <w:rPr>
          <w:color w:val="auto"/>
          <w:szCs w:val="21"/>
          <w:highlight w:val="none"/>
        </w:rPr>
        <w:t>；</w:t>
      </w:r>
      <w:r>
        <w:rPr>
          <w:rFonts w:hint="eastAsia"/>
          <w:color w:val="auto"/>
          <w:szCs w:val="21"/>
          <w:highlight w:val="none"/>
        </w:rPr>
        <w:t>成交</w:t>
      </w:r>
      <w:r>
        <w:rPr>
          <w:color w:val="auto"/>
          <w:szCs w:val="21"/>
          <w:highlight w:val="none"/>
        </w:rPr>
        <w:t>候选人并列的，按技术部分</w:t>
      </w:r>
      <w:r>
        <w:rPr>
          <w:rFonts w:hint="eastAsia"/>
          <w:color w:val="auto"/>
          <w:szCs w:val="21"/>
          <w:highlight w:val="none"/>
        </w:rPr>
        <w:t>评</w:t>
      </w:r>
      <w:r>
        <w:rPr>
          <w:color w:val="auto"/>
          <w:szCs w:val="21"/>
          <w:highlight w:val="none"/>
        </w:rPr>
        <w:t>分由高到低顺序排列，若综合评分、</w:t>
      </w:r>
      <w:r>
        <w:rPr>
          <w:rFonts w:hint="eastAsia"/>
          <w:color w:val="auto"/>
          <w:szCs w:val="21"/>
          <w:highlight w:val="none"/>
        </w:rPr>
        <w:t>最后</w:t>
      </w:r>
      <w:r>
        <w:rPr>
          <w:color w:val="auto"/>
          <w:szCs w:val="21"/>
          <w:highlight w:val="none"/>
        </w:rPr>
        <w:t>报价、技术部分</w:t>
      </w:r>
      <w:r>
        <w:rPr>
          <w:rFonts w:hint="eastAsia"/>
          <w:color w:val="auto"/>
          <w:szCs w:val="21"/>
          <w:highlight w:val="none"/>
        </w:rPr>
        <w:t>评分</w:t>
      </w:r>
      <w:r>
        <w:rPr>
          <w:color w:val="auto"/>
          <w:szCs w:val="21"/>
          <w:highlight w:val="none"/>
        </w:rPr>
        <w:t>均相同的，按商务</w:t>
      </w:r>
      <w:r>
        <w:rPr>
          <w:rFonts w:hint="eastAsia"/>
          <w:color w:val="auto"/>
          <w:szCs w:val="21"/>
          <w:highlight w:val="none"/>
        </w:rPr>
        <w:t>资信</w:t>
      </w:r>
      <w:r>
        <w:rPr>
          <w:color w:val="auto"/>
          <w:szCs w:val="21"/>
          <w:highlight w:val="none"/>
        </w:rPr>
        <w:t>部分</w:t>
      </w:r>
      <w:r>
        <w:rPr>
          <w:rFonts w:hint="eastAsia"/>
          <w:color w:val="auto"/>
          <w:szCs w:val="21"/>
          <w:highlight w:val="none"/>
        </w:rPr>
        <w:t>评</w:t>
      </w:r>
      <w:r>
        <w:rPr>
          <w:color w:val="auto"/>
          <w:szCs w:val="21"/>
          <w:highlight w:val="none"/>
        </w:rPr>
        <w:t>分由高到低顺序排列。</w:t>
      </w:r>
      <w:r>
        <w:rPr>
          <w:rFonts w:hint="eastAsia"/>
          <w:color w:val="auto"/>
          <w:szCs w:val="21"/>
          <w:highlight w:val="none"/>
        </w:rPr>
        <w:t>若综合评分、最后报价、技术部分评分、商务资信部分评分均相同的，由采购人自行决定。</w:t>
      </w:r>
    </w:p>
    <w:p w14:paraId="37A05D57">
      <w:pPr>
        <w:spacing w:before="120" w:line="320" w:lineRule="atLeast"/>
        <w:ind w:firstLine="420" w:firstLineChars="200"/>
        <w:rPr>
          <w:color w:val="auto"/>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）磋商小组根据评审记录及评审结果编写评审报告，磋商小组成员均应当在评审报告上签字，对自己的评审意见承担法律责任。</w:t>
      </w:r>
      <w:r>
        <w:rPr>
          <w:color w:val="auto"/>
          <w:highlight w:val="none"/>
        </w:rPr>
        <w:t>评审报告签署前，经复核发现存在以</w:t>
      </w:r>
      <w:r>
        <w:rPr>
          <w:rFonts w:hint="eastAsia"/>
          <w:color w:val="auto"/>
          <w:highlight w:val="none"/>
        </w:rPr>
        <w:t>下</w:t>
      </w:r>
      <w:r>
        <w:rPr>
          <w:color w:val="auto"/>
          <w:highlight w:val="none"/>
        </w:rPr>
        <w:t>情形之一的，磋商小组应当当场修改评审结果，并在评审报告中记载；评审报告签署后，采购人或者采购代理机构发现存在以</w:t>
      </w:r>
      <w:r>
        <w:rPr>
          <w:rFonts w:hint="eastAsia"/>
          <w:color w:val="auto"/>
          <w:highlight w:val="none"/>
        </w:rPr>
        <w:t>下</w:t>
      </w:r>
      <w:r>
        <w:rPr>
          <w:color w:val="auto"/>
          <w:highlight w:val="none"/>
        </w:rPr>
        <w:t>情形之一的，应当组织原磋商小组进行重新评审。</w:t>
      </w:r>
    </w:p>
    <w:p w14:paraId="62BA3011">
      <w:pPr>
        <w:spacing w:before="120" w:line="320" w:lineRule="atLeast"/>
        <w:ind w:firstLine="420" w:firstLineChars="200"/>
        <w:rPr>
          <w:color w:val="auto"/>
          <w:highlight w:val="none"/>
        </w:rPr>
      </w:pPr>
      <w:r>
        <w:rPr>
          <w:rFonts w:hint="eastAsia"/>
          <w:color w:val="auto"/>
          <w:highlight w:val="none"/>
        </w:rPr>
        <w:t>资格性检查认定错误、分值汇总计算错误、分项评分超出评分标准范围、客观分评分不一致、经磋商小组一致认定评分畸高、畸低。</w:t>
      </w:r>
    </w:p>
    <w:bookmarkEnd w:id="64"/>
    <w:p w14:paraId="4CAC141A">
      <w:pPr>
        <w:spacing w:before="120" w:line="320" w:lineRule="atLeast"/>
        <w:ind w:firstLine="422" w:firstLineChars="200"/>
        <w:outlineLvl w:val="2"/>
        <w:rPr>
          <w:b/>
          <w:bCs/>
          <w:color w:val="auto"/>
          <w:kern w:val="0"/>
          <w:szCs w:val="21"/>
          <w:highlight w:val="none"/>
        </w:rPr>
      </w:pPr>
      <w:r>
        <w:rPr>
          <w:b/>
          <w:bCs/>
          <w:color w:val="auto"/>
          <w:kern w:val="0"/>
          <w:szCs w:val="21"/>
          <w:highlight w:val="none"/>
        </w:rPr>
        <w:t>6.4确定成交供应商</w:t>
      </w:r>
    </w:p>
    <w:p w14:paraId="597AC02B">
      <w:pPr>
        <w:spacing w:before="120" w:line="276" w:lineRule="auto"/>
        <w:ind w:firstLine="420" w:firstLineChars="200"/>
        <w:rPr>
          <w:color w:val="auto"/>
          <w:szCs w:val="21"/>
          <w:highlight w:val="none"/>
        </w:rPr>
      </w:pPr>
      <w:r>
        <w:rPr>
          <w:rFonts w:hint="eastAsia"/>
          <w:color w:val="auto"/>
          <w:szCs w:val="21"/>
          <w:highlight w:val="none"/>
        </w:rPr>
        <w:t>6.4</w:t>
      </w:r>
      <w:r>
        <w:rPr>
          <w:color w:val="auto"/>
          <w:szCs w:val="21"/>
          <w:highlight w:val="none"/>
        </w:rPr>
        <w:t>.1采购代理机构在评审结束后2个工作日内将评审报告送采购人，采购人在5个工作日内按照评审报告中推荐的成交候选供应商顺序确定成交供应商。</w:t>
      </w:r>
    </w:p>
    <w:p w14:paraId="4ED94C4E">
      <w:pPr>
        <w:spacing w:before="120" w:line="276" w:lineRule="auto"/>
        <w:ind w:firstLine="420" w:firstLineChars="200"/>
        <w:rPr>
          <w:color w:val="auto"/>
          <w:szCs w:val="21"/>
          <w:highlight w:val="none"/>
        </w:rPr>
      </w:pPr>
      <w:r>
        <w:rPr>
          <w:color w:val="auto"/>
          <w:szCs w:val="21"/>
          <w:highlight w:val="none"/>
        </w:rPr>
        <w:t>6.4.2</w:t>
      </w:r>
      <w:r>
        <w:rPr>
          <w:rFonts w:hint="eastAsia"/>
          <w:color w:val="auto"/>
          <w:szCs w:val="21"/>
          <w:highlight w:val="none"/>
        </w:rPr>
        <w:t>采购人、采购代理机构认为供应商对采购过程、成交结果提出的质疑成立且影响或者可能影响成交结果的，合格供应商符合法定数量时，可以从合格的成交候选供应商中另行确定成交供应商的，应当依法另行确定成交供应商；否则应当重新开展采购活动。</w:t>
      </w:r>
    </w:p>
    <w:p w14:paraId="45A538EF">
      <w:pPr>
        <w:spacing w:before="120" w:line="320" w:lineRule="atLeast"/>
        <w:ind w:firstLine="422" w:firstLineChars="200"/>
        <w:outlineLvl w:val="2"/>
        <w:rPr>
          <w:b/>
          <w:bCs/>
          <w:color w:val="auto"/>
          <w:kern w:val="0"/>
          <w:szCs w:val="21"/>
          <w:highlight w:val="none"/>
        </w:rPr>
      </w:pPr>
      <w:r>
        <w:rPr>
          <w:b/>
          <w:bCs/>
          <w:color w:val="auto"/>
          <w:kern w:val="0"/>
          <w:szCs w:val="21"/>
          <w:highlight w:val="none"/>
        </w:rPr>
        <w:t>6.5</w:t>
      </w:r>
      <w:r>
        <w:rPr>
          <w:rFonts w:hint="eastAsia"/>
          <w:b/>
          <w:bCs/>
          <w:color w:val="auto"/>
          <w:kern w:val="0"/>
          <w:szCs w:val="21"/>
          <w:highlight w:val="none"/>
        </w:rPr>
        <w:t>结果公告</w:t>
      </w:r>
    </w:p>
    <w:p w14:paraId="6C0E1156">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.5.1自成交供应商确定后2个工作日内，采购代理机构</w:t>
      </w:r>
      <w:r>
        <w:rPr>
          <w:rFonts w:hint="eastAsia"/>
          <w:color w:val="auto"/>
          <w:szCs w:val="21"/>
          <w:highlight w:val="none"/>
        </w:rPr>
        <w:t>按照供应商须知</w:t>
      </w:r>
      <w:r>
        <w:rPr>
          <w:rFonts w:hint="eastAsia"/>
          <w:color w:val="auto"/>
          <w:kern w:val="0"/>
          <w:szCs w:val="21"/>
          <w:highlight w:val="none"/>
        </w:rPr>
        <w:t>前附表的规定</w:t>
      </w:r>
      <w:r>
        <w:rPr>
          <w:color w:val="auto"/>
          <w:kern w:val="0"/>
          <w:szCs w:val="21"/>
          <w:highlight w:val="none"/>
        </w:rPr>
        <w:t>公告</w:t>
      </w:r>
      <w:r>
        <w:rPr>
          <w:color w:val="auto"/>
          <w:szCs w:val="21"/>
          <w:highlight w:val="none"/>
        </w:rPr>
        <w:t>成交结果。</w:t>
      </w:r>
    </w:p>
    <w:p w14:paraId="4C1F4E92">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.5.2在发布</w:t>
      </w:r>
      <w:r>
        <w:rPr>
          <w:rFonts w:hint="eastAsia"/>
          <w:color w:val="auto"/>
          <w:szCs w:val="21"/>
          <w:highlight w:val="none"/>
        </w:rPr>
        <w:t>结果</w:t>
      </w:r>
      <w:r>
        <w:rPr>
          <w:color w:val="auto"/>
          <w:szCs w:val="21"/>
          <w:highlight w:val="none"/>
        </w:rPr>
        <w:t>公告的同时，采购代理机构以供应商须知前附表规定的形式向成交供应商发出成交通知书。成交通知书发出后，采购人改变成交结果，或者成交供应商放弃成交，应当承担相应的法律责任。</w:t>
      </w:r>
    </w:p>
    <w:p w14:paraId="10D05528">
      <w:pPr>
        <w:suppressAutoHyphens/>
        <w:spacing w:before="120" w:line="320" w:lineRule="atLeast"/>
        <w:ind w:firstLine="422" w:firstLineChars="200"/>
        <w:outlineLvl w:val="2"/>
        <w:rPr>
          <w:b/>
          <w:bCs/>
          <w:color w:val="auto"/>
          <w:kern w:val="0"/>
          <w:szCs w:val="21"/>
          <w:highlight w:val="none"/>
        </w:rPr>
      </w:pPr>
      <w:r>
        <w:rPr>
          <w:b/>
          <w:bCs/>
          <w:color w:val="auto"/>
          <w:kern w:val="0"/>
          <w:szCs w:val="21"/>
          <w:highlight w:val="none"/>
        </w:rPr>
        <w:t>6.6</w:t>
      </w:r>
      <w:r>
        <w:rPr>
          <w:rFonts w:hint="eastAsia"/>
          <w:b/>
          <w:bCs/>
          <w:color w:val="auto"/>
          <w:kern w:val="0"/>
          <w:szCs w:val="21"/>
          <w:highlight w:val="none"/>
        </w:rPr>
        <w:t>废标</w:t>
      </w:r>
    </w:p>
    <w:p w14:paraId="7DF7495E">
      <w:pPr>
        <w:spacing w:before="120" w:line="320" w:lineRule="atLeast"/>
        <w:ind w:firstLine="420" w:firstLineChars="200"/>
        <w:rPr>
          <w:color w:val="auto"/>
          <w:kern w:val="1"/>
          <w:szCs w:val="21"/>
          <w:highlight w:val="none"/>
        </w:rPr>
      </w:pPr>
      <w:r>
        <w:rPr>
          <w:color w:val="auto"/>
          <w:kern w:val="1"/>
          <w:szCs w:val="21"/>
          <w:highlight w:val="none"/>
        </w:rPr>
        <w:t>6.6.1</w:t>
      </w:r>
      <w:r>
        <w:rPr>
          <w:rFonts w:hint="eastAsia"/>
          <w:color w:val="auto"/>
          <w:kern w:val="1"/>
          <w:szCs w:val="21"/>
          <w:highlight w:val="none"/>
        </w:rPr>
        <w:t xml:space="preserve">出现下列情形之一，将导致项目废标： </w:t>
      </w:r>
    </w:p>
    <w:p w14:paraId="43AA3F23">
      <w:pPr>
        <w:spacing w:before="120" w:line="320" w:lineRule="atLeast"/>
        <w:ind w:firstLine="420" w:firstLineChars="200"/>
        <w:rPr>
          <w:color w:val="auto"/>
          <w:szCs w:val="21"/>
          <w:highlight w:val="none"/>
        </w:rPr>
      </w:pPr>
      <w:r>
        <w:rPr>
          <w:rFonts w:hint="eastAsia"/>
          <w:color w:val="auto"/>
          <w:kern w:val="1"/>
          <w:szCs w:val="21"/>
          <w:highlight w:val="none"/>
        </w:rPr>
        <w:t>（1</w:t>
      </w:r>
      <w:r>
        <w:rPr>
          <w:rFonts w:hint="eastAsia"/>
          <w:color w:val="auto"/>
          <w:szCs w:val="21"/>
          <w:highlight w:val="none"/>
        </w:rPr>
        <w:t>）符合专业条件的供应商或者对采购文件做实质性响应的供应商不足三家；</w:t>
      </w:r>
    </w:p>
    <w:p w14:paraId="2F4A8655">
      <w:pPr>
        <w:spacing w:before="120" w:line="320" w:lineRule="atLeast"/>
        <w:ind w:firstLine="420" w:firstLineChars="200"/>
        <w:rPr>
          <w:color w:val="auto"/>
          <w:szCs w:val="21"/>
          <w:highlight w:val="none"/>
        </w:rPr>
      </w:pPr>
      <w:r>
        <w:rPr>
          <w:rFonts w:hint="eastAsia"/>
          <w:color w:val="auto"/>
          <w:szCs w:val="21"/>
          <w:highlight w:val="none"/>
        </w:rPr>
        <w:t>（2）出现影响采购公正的违法、违规行为的；</w:t>
      </w:r>
    </w:p>
    <w:p w14:paraId="7EBDF2CB">
      <w:pPr>
        <w:spacing w:before="120" w:line="320" w:lineRule="atLeast"/>
        <w:ind w:firstLine="420" w:firstLineChars="200"/>
        <w:rPr>
          <w:color w:val="auto"/>
          <w:szCs w:val="21"/>
          <w:highlight w:val="none"/>
        </w:rPr>
      </w:pPr>
      <w:r>
        <w:rPr>
          <w:rFonts w:hint="eastAsia"/>
          <w:color w:val="auto"/>
          <w:szCs w:val="21"/>
          <w:highlight w:val="none"/>
        </w:rPr>
        <w:t>（3）供应商的报价均超过了采购预算，采购人不能支付的；</w:t>
      </w:r>
    </w:p>
    <w:p w14:paraId="19EF452D">
      <w:pPr>
        <w:spacing w:before="120" w:line="320" w:lineRule="atLeast"/>
        <w:ind w:firstLine="420" w:firstLineChars="200"/>
        <w:rPr>
          <w:color w:val="auto"/>
          <w:highlight w:val="none"/>
        </w:rPr>
      </w:pPr>
      <w:r>
        <w:rPr>
          <w:rFonts w:hint="eastAsia"/>
          <w:color w:val="auto"/>
          <w:szCs w:val="21"/>
          <w:highlight w:val="none"/>
        </w:rPr>
        <w:t>（4）</w:t>
      </w:r>
      <w:r>
        <w:rPr>
          <w:rFonts w:hint="eastAsia"/>
          <w:color w:val="auto"/>
          <w:highlight w:val="none"/>
        </w:rPr>
        <w:t>因发生重大变故或采购任务取消的。</w:t>
      </w:r>
    </w:p>
    <w:p w14:paraId="0089EB38">
      <w:pPr>
        <w:spacing w:before="120" w:line="320" w:lineRule="atLeast"/>
        <w:ind w:firstLine="420" w:firstLineChars="200"/>
        <w:rPr>
          <w:color w:val="auto"/>
          <w:szCs w:val="21"/>
          <w:highlight w:val="none"/>
        </w:rPr>
      </w:pPr>
      <w:r>
        <w:rPr>
          <w:color w:val="auto"/>
          <w:kern w:val="1"/>
          <w:szCs w:val="21"/>
          <w:highlight w:val="none"/>
        </w:rPr>
        <w:t>6.6.2</w:t>
      </w:r>
      <w:r>
        <w:rPr>
          <w:rFonts w:hint="eastAsia"/>
          <w:color w:val="auto"/>
          <w:kern w:val="1"/>
          <w:szCs w:val="21"/>
          <w:highlight w:val="none"/>
        </w:rPr>
        <w:t>废标后</w:t>
      </w:r>
      <w:r>
        <w:rPr>
          <w:rFonts w:hint="eastAsia"/>
          <w:color w:val="auto"/>
          <w:szCs w:val="21"/>
          <w:highlight w:val="none"/>
        </w:rPr>
        <w:t>采购</w:t>
      </w:r>
      <w:r>
        <w:rPr>
          <w:rFonts w:hint="eastAsia"/>
          <w:color w:val="auto"/>
          <w:kern w:val="1"/>
          <w:szCs w:val="21"/>
          <w:highlight w:val="none"/>
        </w:rPr>
        <w:t>代理机构将发布废标公告通知供应商。</w:t>
      </w:r>
    </w:p>
    <w:p w14:paraId="43064562">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7．合同</w:t>
      </w:r>
    </w:p>
    <w:p w14:paraId="0469A583">
      <w:pPr>
        <w:spacing w:before="120" w:line="320" w:lineRule="atLeast"/>
        <w:ind w:firstLine="422" w:firstLineChars="200"/>
        <w:outlineLvl w:val="2"/>
        <w:rPr>
          <w:b/>
          <w:bCs/>
          <w:color w:val="auto"/>
          <w:kern w:val="0"/>
          <w:szCs w:val="21"/>
          <w:highlight w:val="none"/>
        </w:rPr>
      </w:pPr>
      <w:r>
        <w:rPr>
          <w:b/>
          <w:bCs/>
          <w:color w:val="auto"/>
          <w:kern w:val="0"/>
          <w:szCs w:val="21"/>
          <w:highlight w:val="none"/>
        </w:rPr>
        <w:t>7.1合同授予标准</w:t>
      </w:r>
    </w:p>
    <w:p w14:paraId="475A3204">
      <w:pPr>
        <w:spacing w:before="120" w:line="320" w:lineRule="atLeast"/>
        <w:ind w:firstLine="420" w:firstLineChars="200"/>
        <w:rPr>
          <w:color w:val="auto"/>
          <w:szCs w:val="21"/>
          <w:highlight w:val="none"/>
        </w:rPr>
      </w:pPr>
      <w:r>
        <w:rPr>
          <w:color w:val="auto"/>
          <w:szCs w:val="21"/>
          <w:highlight w:val="none"/>
        </w:rPr>
        <w:t>合同将授予被确定实质上响应采购文件要求，具备履行合同能力，综合评分排名第一的供应商。在</w:t>
      </w:r>
      <w:r>
        <w:rPr>
          <w:rFonts w:hint="eastAsia"/>
          <w:color w:val="auto"/>
          <w:szCs w:val="21"/>
          <w:highlight w:val="none"/>
        </w:rPr>
        <w:t>成交通知书</w:t>
      </w:r>
      <w:r>
        <w:rPr>
          <w:color w:val="auto"/>
          <w:szCs w:val="21"/>
          <w:highlight w:val="none"/>
        </w:rPr>
        <w:t>发出前或签订合同前，如果</w:t>
      </w:r>
      <w:r>
        <w:rPr>
          <w:rFonts w:hint="eastAsia"/>
          <w:color w:val="auto"/>
          <w:szCs w:val="21"/>
          <w:highlight w:val="none"/>
        </w:rPr>
        <w:t>成交供应商</w:t>
      </w:r>
      <w:r>
        <w:rPr>
          <w:color w:val="auto"/>
          <w:szCs w:val="21"/>
          <w:highlight w:val="none"/>
        </w:rPr>
        <w:t>的组织机构</w:t>
      </w:r>
      <w:r>
        <w:rPr>
          <w:rFonts w:hint="eastAsia"/>
          <w:color w:val="auto"/>
          <w:szCs w:val="21"/>
          <w:highlight w:val="none"/>
        </w:rPr>
        <w:t>、</w:t>
      </w:r>
      <w:r>
        <w:rPr>
          <w:color w:val="auto"/>
          <w:szCs w:val="21"/>
          <w:highlight w:val="none"/>
        </w:rPr>
        <w:t>经营、财务状况发生较大变化，可能造成不能履行合同、无法按照</w:t>
      </w:r>
      <w:r>
        <w:rPr>
          <w:rFonts w:hint="eastAsia"/>
          <w:color w:val="auto"/>
          <w:szCs w:val="21"/>
          <w:highlight w:val="none"/>
        </w:rPr>
        <w:t>采购文件</w:t>
      </w:r>
      <w:r>
        <w:rPr>
          <w:color w:val="auto"/>
          <w:szCs w:val="21"/>
          <w:highlight w:val="none"/>
        </w:rPr>
        <w:t>要求提交履约保证金等情形，不符合成交条件或不满足供应商资格条件要求 ，应在</w:t>
      </w:r>
      <w:r>
        <w:rPr>
          <w:rFonts w:hint="eastAsia"/>
          <w:color w:val="auto"/>
          <w:szCs w:val="21"/>
          <w:highlight w:val="none"/>
        </w:rPr>
        <w:t>成交通知书</w:t>
      </w:r>
      <w:r>
        <w:rPr>
          <w:color w:val="auto"/>
          <w:szCs w:val="21"/>
          <w:highlight w:val="none"/>
        </w:rPr>
        <w:t>发出前或签订合同前及时书面告知采购人</w:t>
      </w:r>
      <w:r>
        <w:rPr>
          <w:rFonts w:hint="eastAsia"/>
          <w:color w:val="auto"/>
          <w:szCs w:val="21"/>
          <w:highlight w:val="none"/>
        </w:rPr>
        <w:t>，</w:t>
      </w:r>
      <w:r>
        <w:rPr>
          <w:color w:val="auto"/>
          <w:szCs w:val="21"/>
          <w:highlight w:val="none"/>
        </w:rPr>
        <w:t>未主动告知</w:t>
      </w:r>
      <w:r>
        <w:rPr>
          <w:rFonts w:hint="eastAsia"/>
          <w:color w:val="auto"/>
          <w:szCs w:val="21"/>
          <w:highlight w:val="none"/>
        </w:rPr>
        <w:t>，</w:t>
      </w:r>
      <w:r>
        <w:rPr>
          <w:color w:val="auto"/>
          <w:szCs w:val="21"/>
          <w:highlight w:val="none"/>
        </w:rPr>
        <w:t>给采购人造成损失的</w:t>
      </w:r>
      <w:r>
        <w:rPr>
          <w:rFonts w:hint="eastAsia"/>
          <w:color w:val="auto"/>
          <w:szCs w:val="21"/>
          <w:highlight w:val="none"/>
        </w:rPr>
        <w:t>，</w:t>
      </w:r>
      <w:r>
        <w:rPr>
          <w:color w:val="auto"/>
          <w:szCs w:val="21"/>
          <w:highlight w:val="none"/>
        </w:rPr>
        <w:t>采购人有权</w:t>
      </w:r>
      <w:r>
        <w:rPr>
          <w:rFonts w:hint="eastAsia"/>
          <w:color w:val="auto"/>
          <w:szCs w:val="21"/>
          <w:highlight w:val="none"/>
        </w:rPr>
        <w:t>取消其成交资格并</w:t>
      </w:r>
      <w:r>
        <w:rPr>
          <w:color w:val="auto"/>
          <w:szCs w:val="21"/>
          <w:highlight w:val="none"/>
        </w:rPr>
        <w:t>没收磋商保证金</w:t>
      </w:r>
      <w:r>
        <w:rPr>
          <w:rFonts w:hint="eastAsia"/>
          <w:color w:val="auto"/>
          <w:szCs w:val="21"/>
          <w:highlight w:val="none"/>
        </w:rPr>
        <w:t>。</w:t>
      </w:r>
    </w:p>
    <w:p w14:paraId="619117FB">
      <w:pPr>
        <w:spacing w:before="120" w:line="320" w:lineRule="atLeast"/>
        <w:ind w:firstLine="422" w:firstLineChars="200"/>
        <w:outlineLvl w:val="2"/>
        <w:rPr>
          <w:b/>
          <w:bCs/>
          <w:color w:val="auto"/>
          <w:kern w:val="0"/>
          <w:szCs w:val="21"/>
          <w:highlight w:val="none"/>
        </w:rPr>
      </w:pPr>
      <w:r>
        <w:rPr>
          <w:b/>
          <w:bCs/>
          <w:color w:val="auto"/>
          <w:kern w:val="0"/>
          <w:szCs w:val="21"/>
          <w:highlight w:val="none"/>
        </w:rPr>
        <w:t>7.2签订合同</w:t>
      </w:r>
    </w:p>
    <w:p w14:paraId="0006E5FD">
      <w:pPr>
        <w:spacing w:before="120" w:line="320" w:lineRule="atLeast"/>
        <w:ind w:firstLine="420" w:firstLineChars="200"/>
        <w:rPr>
          <w:color w:val="auto"/>
          <w:szCs w:val="21"/>
          <w:highlight w:val="none"/>
        </w:rPr>
      </w:pPr>
      <w:r>
        <w:rPr>
          <w:color w:val="auto"/>
          <w:szCs w:val="21"/>
          <w:highlight w:val="none"/>
        </w:rPr>
        <w:t>7.2.1如</w:t>
      </w:r>
      <w:r>
        <w:rPr>
          <w:rFonts w:hint="eastAsia"/>
          <w:color w:val="auto"/>
          <w:szCs w:val="21"/>
          <w:highlight w:val="none"/>
        </w:rPr>
        <w:t>采购文件</w:t>
      </w:r>
      <w:r>
        <w:rPr>
          <w:color w:val="auto"/>
          <w:szCs w:val="21"/>
          <w:highlight w:val="none"/>
        </w:rPr>
        <w:t>无</w:t>
      </w:r>
      <w:r>
        <w:rPr>
          <w:rFonts w:hint="eastAsia"/>
          <w:color w:val="auto"/>
          <w:szCs w:val="21"/>
          <w:highlight w:val="none"/>
        </w:rPr>
        <w:t>特别</w:t>
      </w:r>
      <w:r>
        <w:rPr>
          <w:color w:val="auto"/>
          <w:szCs w:val="21"/>
          <w:highlight w:val="none"/>
        </w:rPr>
        <w:t>规定，</w:t>
      </w:r>
      <w:r>
        <w:rPr>
          <w:rFonts w:hint="eastAsia"/>
          <w:color w:val="auto"/>
          <w:szCs w:val="21"/>
          <w:highlight w:val="none"/>
        </w:rPr>
        <w:t>成交供应商按采购文件确定的事项签订政府采购合同。</w:t>
      </w:r>
    </w:p>
    <w:p w14:paraId="75817D95">
      <w:pPr>
        <w:spacing w:before="120" w:line="320" w:lineRule="atLeast"/>
        <w:ind w:firstLine="420" w:firstLineChars="200"/>
        <w:rPr>
          <w:color w:val="auto"/>
          <w:szCs w:val="21"/>
          <w:highlight w:val="none"/>
        </w:rPr>
      </w:pPr>
      <w:r>
        <w:rPr>
          <w:color w:val="auto"/>
          <w:szCs w:val="21"/>
          <w:highlight w:val="none"/>
        </w:rPr>
        <w:t>7.2.2</w:t>
      </w:r>
      <w:r>
        <w:rPr>
          <w:rFonts w:hint="eastAsia"/>
          <w:color w:val="auto"/>
          <w:szCs w:val="21"/>
          <w:highlight w:val="none"/>
        </w:rPr>
        <w:t>政府采购合同应当包括采购人与成交供应商的名称和住所、标的、数量、质量、价款或者报酬、履行期限及地点和方式、验收要求、违约责任、解决争议的方法等内容。</w:t>
      </w:r>
      <w:r>
        <w:rPr>
          <w:color w:val="auto"/>
          <w:szCs w:val="21"/>
          <w:highlight w:val="none"/>
        </w:rPr>
        <w:t>采购文件、成交供应商的响应文件及澄清文件等，均为签订政府采购合同的依据。</w:t>
      </w:r>
    </w:p>
    <w:p w14:paraId="6B79EF58">
      <w:pPr>
        <w:spacing w:before="120" w:line="320" w:lineRule="atLeast"/>
        <w:ind w:firstLine="420" w:firstLineChars="200"/>
        <w:rPr>
          <w:color w:val="auto"/>
          <w:szCs w:val="21"/>
          <w:highlight w:val="none"/>
        </w:rPr>
      </w:pPr>
      <w:r>
        <w:rPr>
          <w:color w:val="auto"/>
          <w:szCs w:val="21"/>
          <w:highlight w:val="none"/>
        </w:rPr>
        <w:t>7.2.3如成交供应商不按成交通知书的规定签订合同，</w:t>
      </w:r>
      <w:r>
        <w:rPr>
          <w:rFonts w:hint="eastAsia"/>
          <w:color w:val="auto"/>
          <w:szCs w:val="21"/>
          <w:highlight w:val="none"/>
        </w:rPr>
        <w:t>其磋商保证金将不予退还，并报由同级政府采购监督管理部门处理。</w:t>
      </w:r>
    </w:p>
    <w:p w14:paraId="13A0482B">
      <w:pPr>
        <w:spacing w:before="120" w:line="320" w:lineRule="atLeast"/>
        <w:ind w:firstLine="420" w:firstLineChars="200"/>
        <w:rPr>
          <w:color w:val="auto"/>
          <w:szCs w:val="21"/>
          <w:highlight w:val="none"/>
        </w:rPr>
      </w:pPr>
      <w:r>
        <w:rPr>
          <w:rFonts w:hint="eastAsia"/>
          <w:color w:val="auto"/>
          <w:szCs w:val="21"/>
          <w:highlight w:val="none"/>
        </w:rPr>
        <w:t>7</w:t>
      </w:r>
      <w:r>
        <w:rPr>
          <w:color w:val="auto"/>
          <w:szCs w:val="21"/>
          <w:highlight w:val="none"/>
        </w:rPr>
        <w:t>.2.4</w:t>
      </w:r>
      <w:r>
        <w:rPr>
          <w:rFonts w:hint="eastAsia"/>
          <w:color w:val="auto"/>
          <w:szCs w:val="21"/>
          <w:highlight w:val="none"/>
        </w:rPr>
        <w:t>成交供应商拒绝与采购人签订合同的，采购人可以按照评审报告推荐的成交候选人名单排序，确定下一候选人为成交供应商，也可以重新开展政府采购活动。</w:t>
      </w:r>
    </w:p>
    <w:p w14:paraId="4A43E0C1">
      <w:pPr>
        <w:spacing w:before="120" w:line="320" w:lineRule="atLeast"/>
        <w:ind w:firstLine="420" w:firstLineChars="200"/>
        <w:rPr>
          <w:rFonts w:hint="eastAsia"/>
          <w:color w:val="auto"/>
          <w:szCs w:val="21"/>
          <w:highlight w:val="none"/>
        </w:rPr>
      </w:pPr>
      <w:bookmarkStart w:id="65" w:name="_Hlk155170999"/>
      <w:r>
        <w:rPr>
          <w:rFonts w:hint="eastAsia"/>
          <w:color w:val="auto"/>
          <w:szCs w:val="21"/>
          <w:highlight w:val="none"/>
        </w:rPr>
        <w:t>7</w:t>
      </w:r>
      <w:r>
        <w:rPr>
          <w:color w:val="auto"/>
          <w:szCs w:val="21"/>
          <w:highlight w:val="none"/>
        </w:rPr>
        <w:t>.2.5</w:t>
      </w:r>
      <w:r>
        <w:rPr>
          <w:rFonts w:hint="eastAsia"/>
          <w:color w:val="auto"/>
          <w:szCs w:val="21"/>
          <w:highlight w:val="none"/>
        </w:rPr>
        <w:t>采购人因不可抗力原因迟延签订合同的，应当自不可抗力事由消除之日起5个工作日内完成合同签订事宜。</w:t>
      </w:r>
      <w:bookmarkEnd w:id="65"/>
    </w:p>
    <w:p w14:paraId="7D363911">
      <w:pPr>
        <w:spacing w:before="120" w:line="320" w:lineRule="atLeast"/>
        <w:ind w:firstLine="422" w:firstLineChars="200"/>
        <w:outlineLvl w:val="2"/>
        <w:rPr>
          <w:b/>
          <w:bCs/>
          <w:color w:val="auto"/>
          <w:kern w:val="0"/>
          <w:szCs w:val="21"/>
          <w:highlight w:val="none"/>
        </w:rPr>
      </w:pPr>
      <w:r>
        <w:rPr>
          <w:b/>
          <w:bCs/>
          <w:color w:val="auto"/>
          <w:kern w:val="0"/>
          <w:szCs w:val="21"/>
          <w:highlight w:val="none"/>
        </w:rPr>
        <w:t>7.3合同公告</w:t>
      </w:r>
    </w:p>
    <w:p w14:paraId="59C945E7">
      <w:pPr>
        <w:spacing w:before="120" w:line="320" w:lineRule="atLeast"/>
        <w:ind w:firstLine="420" w:firstLineChars="200"/>
        <w:rPr>
          <w:color w:val="auto"/>
          <w:szCs w:val="21"/>
          <w:highlight w:val="none"/>
        </w:rPr>
      </w:pPr>
      <w:r>
        <w:rPr>
          <w:color w:val="auto"/>
          <w:szCs w:val="21"/>
          <w:highlight w:val="none"/>
        </w:rPr>
        <w:t>7.3.1如</w:t>
      </w:r>
      <w:r>
        <w:rPr>
          <w:rFonts w:hint="eastAsia"/>
          <w:color w:val="auto"/>
          <w:szCs w:val="21"/>
          <w:highlight w:val="none"/>
        </w:rPr>
        <w:t>采购文件</w:t>
      </w:r>
      <w:r>
        <w:rPr>
          <w:color w:val="auto"/>
          <w:szCs w:val="21"/>
          <w:highlight w:val="none"/>
        </w:rPr>
        <w:t>无特殊规定</w:t>
      </w:r>
      <w:r>
        <w:rPr>
          <w:rFonts w:hint="eastAsia"/>
          <w:color w:val="auto"/>
          <w:szCs w:val="21"/>
          <w:highlight w:val="none"/>
        </w:rPr>
        <w:t>，</w:t>
      </w:r>
      <w:r>
        <w:rPr>
          <w:color w:val="auto"/>
          <w:szCs w:val="21"/>
          <w:highlight w:val="none"/>
        </w:rPr>
        <w:t>成交供应商应在签订合同后1个工作日内，将政府采购合同副本送采购代理机构</w:t>
      </w:r>
      <w:r>
        <w:rPr>
          <w:rFonts w:hint="eastAsia"/>
          <w:color w:val="auto"/>
          <w:szCs w:val="21"/>
          <w:highlight w:val="none"/>
        </w:rPr>
        <w:t>存档</w:t>
      </w:r>
      <w:r>
        <w:rPr>
          <w:color w:val="auto"/>
          <w:szCs w:val="21"/>
          <w:highlight w:val="none"/>
        </w:rPr>
        <w:t>。</w:t>
      </w:r>
    </w:p>
    <w:p w14:paraId="7CFBB8C1">
      <w:pPr>
        <w:spacing w:before="120" w:line="320" w:lineRule="atLeast"/>
        <w:ind w:firstLine="420" w:firstLineChars="200"/>
        <w:rPr>
          <w:color w:val="auto"/>
          <w:szCs w:val="21"/>
          <w:highlight w:val="none"/>
        </w:rPr>
      </w:pPr>
      <w:r>
        <w:rPr>
          <w:color w:val="auto"/>
          <w:szCs w:val="21"/>
          <w:highlight w:val="none"/>
        </w:rPr>
        <w:t>7.3.2采购人应当自政府采购合同签订之日起2个工作日内，将政府采购合同在省级以上人民政府财政部门指定的媒体上公告，但政府采购合同中涉及国家秘密、商业秘密的内容除外。</w:t>
      </w:r>
    </w:p>
    <w:p w14:paraId="06684E12">
      <w:pPr>
        <w:spacing w:before="120" w:line="320" w:lineRule="atLeast"/>
        <w:ind w:firstLine="420" w:firstLineChars="200"/>
        <w:rPr>
          <w:rFonts w:hint="eastAsia"/>
          <w:color w:val="auto"/>
          <w:szCs w:val="21"/>
          <w:highlight w:val="none"/>
        </w:rPr>
      </w:pPr>
      <w:bookmarkStart w:id="66" w:name="_Hlk155171014"/>
      <w:r>
        <w:rPr>
          <w:rFonts w:hint="eastAsia"/>
          <w:color w:val="auto"/>
          <w:szCs w:val="21"/>
          <w:highlight w:val="none"/>
        </w:rPr>
        <w:t>7</w:t>
      </w:r>
      <w:r>
        <w:rPr>
          <w:color w:val="auto"/>
          <w:szCs w:val="21"/>
          <w:highlight w:val="none"/>
        </w:rPr>
        <w:t xml:space="preserve">.3.3 </w:t>
      </w:r>
      <w:r>
        <w:rPr>
          <w:rFonts w:hint="eastAsia"/>
          <w:color w:val="auto"/>
          <w:szCs w:val="21"/>
          <w:highlight w:val="none"/>
        </w:rPr>
        <w:t>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66"/>
    </w:p>
    <w:p w14:paraId="1620AD0A">
      <w:pPr>
        <w:spacing w:before="120" w:line="320" w:lineRule="atLeast"/>
        <w:ind w:firstLine="422" w:firstLineChars="200"/>
        <w:outlineLvl w:val="2"/>
        <w:rPr>
          <w:b/>
          <w:bCs/>
          <w:color w:val="auto"/>
          <w:kern w:val="0"/>
          <w:szCs w:val="21"/>
          <w:highlight w:val="none"/>
        </w:rPr>
      </w:pPr>
      <w:r>
        <w:rPr>
          <w:b/>
          <w:bCs/>
          <w:color w:val="auto"/>
          <w:kern w:val="0"/>
          <w:szCs w:val="21"/>
          <w:highlight w:val="none"/>
        </w:rPr>
        <w:t>7.4 履行合同</w:t>
      </w:r>
    </w:p>
    <w:p w14:paraId="7CAE75AA">
      <w:pPr>
        <w:spacing w:before="120" w:line="320" w:lineRule="atLeast"/>
        <w:ind w:firstLine="420" w:firstLineChars="200"/>
        <w:rPr>
          <w:color w:val="auto"/>
          <w:szCs w:val="21"/>
          <w:highlight w:val="none"/>
        </w:rPr>
      </w:pPr>
      <w:bookmarkStart w:id="67" w:name="_Toc217446070"/>
      <w:bookmarkStart w:id="68" w:name="_Toc308164814"/>
      <w:r>
        <w:rPr>
          <w:color w:val="auto"/>
          <w:szCs w:val="21"/>
          <w:highlight w:val="none"/>
        </w:rPr>
        <w:t>7.4.1</w:t>
      </w:r>
      <w:r>
        <w:rPr>
          <w:rFonts w:hint="eastAsia"/>
          <w:color w:val="auto"/>
          <w:szCs w:val="21"/>
          <w:highlight w:val="none"/>
        </w:rPr>
        <w:t>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45353023">
      <w:pPr>
        <w:spacing w:before="120" w:line="320" w:lineRule="atLeast"/>
        <w:ind w:firstLine="422" w:firstLineChars="200"/>
        <w:rPr>
          <w:b/>
          <w:bCs/>
          <w:color w:val="auto"/>
          <w:kern w:val="0"/>
          <w:szCs w:val="21"/>
          <w:highlight w:val="none"/>
        </w:rPr>
      </w:pPr>
      <w:r>
        <w:rPr>
          <w:b/>
          <w:bCs/>
          <w:color w:val="auto"/>
          <w:kern w:val="0"/>
          <w:szCs w:val="21"/>
          <w:highlight w:val="none"/>
        </w:rPr>
        <w:t>7.5履约验收</w:t>
      </w:r>
      <w:bookmarkEnd w:id="67"/>
      <w:bookmarkEnd w:id="68"/>
    </w:p>
    <w:p w14:paraId="5B6C5F75">
      <w:pPr>
        <w:spacing w:before="120" w:line="320" w:lineRule="atLeast"/>
        <w:ind w:firstLine="420" w:firstLineChars="200"/>
        <w:rPr>
          <w:color w:val="auto"/>
          <w:szCs w:val="21"/>
          <w:highlight w:val="none"/>
        </w:rPr>
      </w:pPr>
      <w:r>
        <w:rPr>
          <w:color w:val="auto"/>
          <w:szCs w:val="21"/>
          <w:highlight w:val="none"/>
        </w:rPr>
        <w:t>7.5.1采购人可以根据政府采购项目具体情况自行组织验收，或者委托政府采购代理机构、国家认可的质量检测机构开展采购项目履约验收工作。</w:t>
      </w:r>
    </w:p>
    <w:p w14:paraId="23291E9E">
      <w:pPr>
        <w:spacing w:before="120" w:line="320" w:lineRule="atLeast"/>
        <w:ind w:firstLine="420" w:firstLineChars="200"/>
        <w:rPr>
          <w:color w:val="auto"/>
          <w:szCs w:val="21"/>
          <w:highlight w:val="none"/>
        </w:rPr>
      </w:pPr>
      <w:r>
        <w:rPr>
          <w:color w:val="auto"/>
          <w:szCs w:val="21"/>
          <w:highlight w:val="none"/>
        </w:rPr>
        <w:t>7.5.2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0AE9F812">
      <w:pPr>
        <w:spacing w:before="120" w:line="320" w:lineRule="atLeast"/>
        <w:ind w:firstLine="420" w:firstLineChars="200"/>
        <w:rPr>
          <w:color w:val="auto"/>
          <w:szCs w:val="21"/>
          <w:highlight w:val="none"/>
        </w:rPr>
      </w:pPr>
      <w:r>
        <w:rPr>
          <w:color w:val="auto"/>
          <w:szCs w:val="21"/>
          <w:highlight w:val="none"/>
        </w:rPr>
        <w:t>7.5.3采购合同项目完成验收后，采购人应当将验收原始记录、验收书等资料作为该采购项目档案妥善保管，不得伪造、变造、隐匿或者销毁，验收资料保存期为采购结束之日起至少保存15年。</w:t>
      </w:r>
    </w:p>
    <w:p w14:paraId="424033D3">
      <w:pPr>
        <w:spacing w:before="120" w:line="320" w:lineRule="atLeast"/>
        <w:ind w:firstLine="420" w:firstLineChars="200"/>
        <w:rPr>
          <w:color w:val="auto"/>
          <w:szCs w:val="21"/>
          <w:highlight w:val="none"/>
        </w:rPr>
      </w:pPr>
      <w:r>
        <w:rPr>
          <w:color w:val="auto"/>
          <w:szCs w:val="21"/>
          <w:highlight w:val="none"/>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桂财采〔2015〕22号）的规定执行。</w:t>
      </w:r>
    </w:p>
    <w:p w14:paraId="52D325D9">
      <w:pPr>
        <w:spacing w:before="120" w:line="320" w:lineRule="atLeast"/>
        <w:ind w:left="2" w:leftChars="1" w:firstLine="422" w:firstLineChars="200"/>
        <w:outlineLvl w:val="1"/>
        <w:rPr>
          <w:b/>
          <w:bCs/>
          <w:color w:val="auto"/>
          <w:kern w:val="0"/>
          <w:szCs w:val="21"/>
          <w:highlight w:val="none"/>
        </w:rPr>
      </w:pPr>
      <w:bookmarkStart w:id="69" w:name="_Toc254970674"/>
      <w:bookmarkStart w:id="70" w:name="_Toc254970533"/>
      <w:r>
        <w:rPr>
          <w:b/>
          <w:bCs/>
          <w:color w:val="auto"/>
          <w:kern w:val="0"/>
          <w:szCs w:val="21"/>
          <w:highlight w:val="none"/>
        </w:rPr>
        <w:t>8．质疑和投诉</w:t>
      </w:r>
      <w:bookmarkEnd w:id="69"/>
      <w:bookmarkEnd w:id="70"/>
    </w:p>
    <w:p w14:paraId="04E02927">
      <w:pPr>
        <w:spacing w:before="120" w:line="320" w:lineRule="atLeast"/>
        <w:ind w:firstLine="422" w:firstLineChars="200"/>
        <w:outlineLvl w:val="2"/>
        <w:rPr>
          <w:b/>
          <w:bCs/>
          <w:color w:val="auto"/>
          <w:kern w:val="0"/>
          <w:szCs w:val="21"/>
          <w:highlight w:val="none"/>
        </w:rPr>
      </w:pPr>
      <w:r>
        <w:rPr>
          <w:b/>
          <w:bCs/>
          <w:color w:val="auto"/>
          <w:kern w:val="0"/>
          <w:szCs w:val="21"/>
          <w:highlight w:val="none"/>
        </w:rPr>
        <w:t>8.1质疑</w:t>
      </w:r>
    </w:p>
    <w:p w14:paraId="139CD6E5">
      <w:pPr>
        <w:spacing w:before="120" w:line="320" w:lineRule="atLeast"/>
        <w:ind w:firstLine="420" w:firstLineChars="200"/>
        <w:rPr>
          <w:color w:val="auto"/>
          <w:szCs w:val="21"/>
          <w:highlight w:val="none"/>
        </w:rPr>
      </w:pPr>
      <w:r>
        <w:rPr>
          <w:color w:val="auto"/>
          <w:szCs w:val="21"/>
          <w:highlight w:val="none"/>
        </w:rPr>
        <w:t>8.1.1质疑内容、时限</w:t>
      </w:r>
    </w:p>
    <w:p w14:paraId="698FB46A">
      <w:pPr>
        <w:spacing w:before="120" w:line="320" w:lineRule="atLeast"/>
        <w:ind w:firstLine="420" w:firstLineChars="200"/>
        <w:rPr>
          <w:color w:val="auto"/>
          <w:szCs w:val="21"/>
          <w:highlight w:val="none"/>
        </w:rPr>
      </w:pPr>
      <w:r>
        <w:rPr>
          <w:rFonts w:hint="eastAsia"/>
          <w:color w:val="auto"/>
          <w:szCs w:val="21"/>
          <w:highlight w:val="none"/>
        </w:rPr>
        <w:t>（1）供应商对政府采购活动有疑问的，可以向采购人或采购代理机构提出询问。采购人或者采购代理机构应当在3个工作日内对供应商依法提出的询问作出答复。</w:t>
      </w:r>
    </w:p>
    <w:p w14:paraId="35ED900B">
      <w:pPr>
        <w:spacing w:before="120" w:line="320" w:lineRule="atLeast"/>
        <w:ind w:firstLine="420" w:firstLineChars="200"/>
        <w:rPr>
          <w:color w:val="auto"/>
          <w:szCs w:val="21"/>
          <w:highlight w:val="none"/>
        </w:rPr>
      </w:pPr>
      <w:r>
        <w:rPr>
          <w:rFonts w:hint="eastAsia"/>
          <w:color w:val="auto"/>
          <w:szCs w:val="21"/>
          <w:highlight w:val="none"/>
        </w:rPr>
        <w:t>（2）供应商为认为采购文件、采购过程、中标或者成交结果使自己的权益受到损害的，可以在知道或者应知其权益受到损害之日起7个工作日内向采购人或采购代理机构提出质疑。采购人或</w:t>
      </w:r>
      <w:r>
        <w:rPr>
          <w:color w:val="auto"/>
          <w:szCs w:val="21"/>
          <w:highlight w:val="none"/>
        </w:rPr>
        <w:t>采购代理机构在收到供应商书面质疑后7个工作日内，对质疑内容作出答复。</w:t>
      </w:r>
    </w:p>
    <w:p w14:paraId="7F396EAB">
      <w:pPr>
        <w:spacing w:before="120" w:line="320" w:lineRule="atLeast"/>
        <w:ind w:firstLine="420" w:firstLineChars="200"/>
        <w:rPr>
          <w:color w:val="auto"/>
          <w:szCs w:val="21"/>
          <w:highlight w:val="none"/>
        </w:rPr>
      </w:pPr>
      <w:r>
        <w:rPr>
          <w:color w:val="auto"/>
          <w:szCs w:val="21"/>
          <w:highlight w:val="none"/>
        </w:rPr>
        <w:t>8.1.2质疑形式</w:t>
      </w:r>
    </w:p>
    <w:p w14:paraId="76B44262">
      <w:pPr>
        <w:spacing w:before="120" w:line="320" w:lineRule="atLeast"/>
        <w:ind w:firstLine="420" w:firstLineChars="200"/>
        <w:rPr>
          <w:color w:val="auto"/>
          <w:szCs w:val="21"/>
          <w:highlight w:val="none"/>
        </w:rPr>
      </w:pPr>
      <w:r>
        <w:rPr>
          <w:color w:val="auto"/>
          <w:szCs w:val="21"/>
          <w:highlight w:val="none"/>
        </w:rPr>
        <w:t>质疑应当采用</w:t>
      </w:r>
      <w:r>
        <w:rPr>
          <w:rFonts w:hint="eastAsia"/>
          <w:color w:val="auto"/>
          <w:szCs w:val="21"/>
          <w:highlight w:val="none"/>
        </w:rPr>
        <w:t>供应商</w:t>
      </w:r>
      <w:r>
        <w:rPr>
          <w:color w:val="auto"/>
          <w:szCs w:val="21"/>
          <w:highlight w:val="none"/>
        </w:rPr>
        <w:t>须知前附表所规定的形式，质疑书应明确阐述</w:t>
      </w:r>
      <w:r>
        <w:rPr>
          <w:rFonts w:hint="eastAsia"/>
          <w:color w:val="auto"/>
          <w:szCs w:val="21"/>
          <w:highlight w:val="none"/>
        </w:rPr>
        <w:t>采购文件</w:t>
      </w:r>
      <w:r>
        <w:rPr>
          <w:color w:val="auto"/>
          <w:szCs w:val="21"/>
          <w:highlight w:val="none"/>
        </w:rPr>
        <w:t>、</w:t>
      </w:r>
      <w:r>
        <w:rPr>
          <w:rFonts w:hint="eastAsia"/>
          <w:color w:val="auto"/>
          <w:szCs w:val="21"/>
          <w:highlight w:val="none"/>
        </w:rPr>
        <w:t>采购</w:t>
      </w:r>
      <w:r>
        <w:rPr>
          <w:color w:val="auto"/>
          <w:szCs w:val="21"/>
          <w:highlight w:val="none"/>
        </w:rPr>
        <w:t>过程或成交结果中使自己合法权益受到损害的实质性内容，提供相关事实、依据和证据及其来源或线索，便于有关单位调查、答复和处理。</w:t>
      </w:r>
    </w:p>
    <w:p w14:paraId="7AEEC41E">
      <w:pPr>
        <w:spacing w:before="120" w:line="320" w:lineRule="atLeast"/>
        <w:ind w:firstLine="420" w:firstLineChars="200"/>
        <w:rPr>
          <w:color w:val="auto"/>
          <w:szCs w:val="21"/>
          <w:highlight w:val="none"/>
        </w:rPr>
      </w:pPr>
      <w:r>
        <w:rPr>
          <w:rFonts w:hint="eastAsia"/>
          <w:color w:val="auto"/>
          <w:szCs w:val="21"/>
          <w:highlight w:val="none"/>
        </w:rPr>
        <w:t>8</w:t>
      </w:r>
      <w:r>
        <w:rPr>
          <w:color w:val="auto"/>
          <w:szCs w:val="21"/>
          <w:highlight w:val="none"/>
        </w:rPr>
        <w:t>.1.3</w:t>
      </w:r>
      <w:r>
        <w:rPr>
          <w:rFonts w:hint="eastAsia"/>
          <w:color w:val="auto"/>
          <w:highlight w:val="none"/>
        </w:rPr>
        <w:t xml:space="preserve"> </w:t>
      </w:r>
      <w:r>
        <w:rPr>
          <w:rFonts w:hint="eastAsia"/>
          <w:color w:val="auto"/>
          <w:szCs w:val="21"/>
          <w:highlight w:val="none"/>
        </w:rPr>
        <w:t>供应商提出质疑应当提交质疑函和必要的证明材料。质疑函应当包括下列内容：</w:t>
      </w:r>
    </w:p>
    <w:p w14:paraId="7CE61177">
      <w:pPr>
        <w:spacing w:before="120" w:line="320" w:lineRule="atLeast"/>
        <w:ind w:firstLine="420" w:firstLineChars="200"/>
        <w:rPr>
          <w:color w:val="auto"/>
          <w:szCs w:val="21"/>
          <w:highlight w:val="none"/>
        </w:rPr>
      </w:pPr>
      <w:r>
        <w:rPr>
          <w:rFonts w:hint="eastAsia"/>
          <w:color w:val="auto"/>
          <w:szCs w:val="21"/>
          <w:highlight w:val="none"/>
        </w:rPr>
        <w:t>（1）</w:t>
      </w:r>
      <w:r>
        <w:rPr>
          <w:rFonts w:hint="eastAsia"/>
          <w:color w:val="auto"/>
          <w:szCs w:val="21"/>
          <w:highlight w:val="none"/>
        </w:rPr>
        <w:tab/>
      </w:r>
      <w:r>
        <w:rPr>
          <w:rFonts w:hint="eastAsia"/>
          <w:color w:val="auto"/>
          <w:szCs w:val="21"/>
          <w:highlight w:val="none"/>
        </w:rPr>
        <w:t>供应商的姓名或者名称、地址、邮编、联系人及联系电话；</w:t>
      </w:r>
    </w:p>
    <w:p w14:paraId="639F9CB8">
      <w:pPr>
        <w:spacing w:before="120" w:line="320" w:lineRule="atLeast"/>
        <w:ind w:firstLine="420" w:firstLineChars="200"/>
        <w:rPr>
          <w:color w:val="auto"/>
          <w:szCs w:val="21"/>
          <w:highlight w:val="none"/>
        </w:rPr>
      </w:pPr>
      <w:r>
        <w:rPr>
          <w:rFonts w:hint="eastAsia"/>
          <w:color w:val="auto"/>
          <w:szCs w:val="21"/>
          <w:highlight w:val="none"/>
        </w:rPr>
        <w:t>（2）</w:t>
      </w:r>
      <w:r>
        <w:rPr>
          <w:rFonts w:hint="eastAsia"/>
          <w:color w:val="auto"/>
          <w:szCs w:val="21"/>
          <w:highlight w:val="none"/>
        </w:rPr>
        <w:tab/>
      </w:r>
      <w:r>
        <w:rPr>
          <w:rFonts w:hint="eastAsia"/>
          <w:color w:val="auto"/>
          <w:szCs w:val="21"/>
          <w:highlight w:val="none"/>
        </w:rPr>
        <w:t>质疑项目的名称、编号；</w:t>
      </w:r>
    </w:p>
    <w:p w14:paraId="4C48E402">
      <w:pPr>
        <w:spacing w:before="120" w:line="320" w:lineRule="atLeast"/>
        <w:ind w:firstLine="420" w:firstLineChars="200"/>
        <w:rPr>
          <w:color w:val="auto"/>
          <w:szCs w:val="21"/>
          <w:highlight w:val="none"/>
        </w:rPr>
      </w:pPr>
      <w:r>
        <w:rPr>
          <w:rFonts w:hint="eastAsia"/>
          <w:color w:val="auto"/>
          <w:szCs w:val="21"/>
          <w:highlight w:val="none"/>
        </w:rPr>
        <w:t>（3）</w:t>
      </w:r>
      <w:r>
        <w:rPr>
          <w:rFonts w:hint="eastAsia"/>
          <w:color w:val="auto"/>
          <w:szCs w:val="21"/>
          <w:highlight w:val="none"/>
        </w:rPr>
        <w:tab/>
      </w:r>
      <w:r>
        <w:rPr>
          <w:rFonts w:hint="eastAsia"/>
          <w:color w:val="auto"/>
          <w:szCs w:val="21"/>
          <w:highlight w:val="none"/>
        </w:rPr>
        <w:t>具体、明确的质疑事项和与质疑事项相关的请求；</w:t>
      </w:r>
    </w:p>
    <w:p w14:paraId="7F1B1755">
      <w:pPr>
        <w:spacing w:before="120" w:line="320" w:lineRule="atLeast"/>
        <w:ind w:firstLine="420" w:firstLineChars="200"/>
        <w:rPr>
          <w:color w:val="auto"/>
          <w:szCs w:val="21"/>
          <w:highlight w:val="none"/>
        </w:rPr>
      </w:pPr>
      <w:r>
        <w:rPr>
          <w:rFonts w:hint="eastAsia"/>
          <w:color w:val="auto"/>
          <w:szCs w:val="21"/>
          <w:highlight w:val="none"/>
        </w:rPr>
        <w:t>（4）</w:t>
      </w:r>
      <w:r>
        <w:rPr>
          <w:rFonts w:hint="eastAsia"/>
          <w:color w:val="auto"/>
          <w:szCs w:val="21"/>
          <w:highlight w:val="none"/>
        </w:rPr>
        <w:tab/>
      </w:r>
      <w:r>
        <w:rPr>
          <w:rFonts w:hint="eastAsia"/>
          <w:color w:val="auto"/>
          <w:szCs w:val="21"/>
          <w:highlight w:val="none"/>
        </w:rPr>
        <w:t>事实依据；</w:t>
      </w:r>
    </w:p>
    <w:p w14:paraId="29171B7F">
      <w:pPr>
        <w:spacing w:before="120" w:line="320" w:lineRule="atLeast"/>
        <w:ind w:firstLine="420" w:firstLineChars="200"/>
        <w:rPr>
          <w:color w:val="auto"/>
          <w:szCs w:val="21"/>
          <w:highlight w:val="none"/>
        </w:rPr>
      </w:pPr>
      <w:r>
        <w:rPr>
          <w:rFonts w:hint="eastAsia"/>
          <w:color w:val="auto"/>
          <w:szCs w:val="21"/>
          <w:highlight w:val="none"/>
        </w:rPr>
        <w:t>（5）</w:t>
      </w:r>
      <w:r>
        <w:rPr>
          <w:rFonts w:hint="eastAsia"/>
          <w:color w:val="auto"/>
          <w:szCs w:val="21"/>
          <w:highlight w:val="none"/>
        </w:rPr>
        <w:tab/>
      </w:r>
      <w:r>
        <w:rPr>
          <w:rFonts w:hint="eastAsia"/>
          <w:color w:val="auto"/>
          <w:szCs w:val="21"/>
          <w:highlight w:val="none"/>
        </w:rPr>
        <w:t>必要的法律依据；</w:t>
      </w:r>
    </w:p>
    <w:p w14:paraId="2B2F9EA7">
      <w:pPr>
        <w:spacing w:before="120" w:line="320" w:lineRule="atLeast"/>
        <w:ind w:firstLine="420" w:firstLineChars="200"/>
        <w:rPr>
          <w:color w:val="auto"/>
          <w:szCs w:val="21"/>
          <w:highlight w:val="none"/>
        </w:rPr>
      </w:pPr>
      <w:r>
        <w:rPr>
          <w:rFonts w:hint="eastAsia"/>
          <w:color w:val="auto"/>
          <w:szCs w:val="21"/>
          <w:highlight w:val="none"/>
        </w:rPr>
        <w:t>（6）</w:t>
      </w:r>
      <w:r>
        <w:rPr>
          <w:rFonts w:hint="eastAsia"/>
          <w:color w:val="auto"/>
          <w:szCs w:val="21"/>
          <w:highlight w:val="none"/>
        </w:rPr>
        <w:tab/>
      </w:r>
      <w:r>
        <w:rPr>
          <w:rFonts w:hint="eastAsia"/>
          <w:color w:val="auto"/>
          <w:szCs w:val="21"/>
          <w:highlight w:val="none"/>
        </w:rPr>
        <w:t>提出质疑的日期。</w:t>
      </w:r>
    </w:p>
    <w:p w14:paraId="5BB67CDB">
      <w:pPr>
        <w:spacing w:before="120" w:line="320" w:lineRule="atLeast"/>
        <w:ind w:firstLine="420" w:firstLineChars="200"/>
        <w:rPr>
          <w:color w:val="auto"/>
          <w:szCs w:val="21"/>
          <w:highlight w:val="none"/>
        </w:rPr>
      </w:pPr>
      <w:r>
        <w:rPr>
          <w:rFonts w:hint="eastAsia"/>
          <w:color w:val="auto"/>
          <w:szCs w:val="21"/>
          <w:highlight w:val="none"/>
        </w:rPr>
        <w:t>供应商为自然人的，应当由本人签字；供应商为法人或者其他组织的，应当由法定代表人、主要负责人，或者其授权代表签字或者盖章，并加盖公章。</w:t>
      </w:r>
      <w:r>
        <w:rPr>
          <w:color w:val="auto"/>
          <w:szCs w:val="21"/>
          <w:highlight w:val="none"/>
        </w:rPr>
        <w:t xml:space="preserve"> </w:t>
      </w:r>
    </w:p>
    <w:p w14:paraId="12B16289">
      <w:pPr>
        <w:spacing w:before="120" w:line="320" w:lineRule="atLeast"/>
        <w:ind w:firstLine="422" w:firstLineChars="200"/>
        <w:outlineLvl w:val="2"/>
        <w:rPr>
          <w:b/>
          <w:bCs/>
          <w:color w:val="auto"/>
          <w:kern w:val="0"/>
          <w:szCs w:val="21"/>
          <w:highlight w:val="none"/>
        </w:rPr>
      </w:pPr>
      <w:r>
        <w:rPr>
          <w:b/>
          <w:bCs/>
          <w:color w:val="auto"/>
          <w:kern w:val="0"/>
          <w:szCs w:val="21"/>
          <w:highlight w:val="none"/>
        </w:rPr>
        <w:t>8.2投诉</w:t>
      </w:r>
    </w:p>
    <w:p w14:paraId="649529E6">
      <w:pPr>
        <w:spacing w:before="120" w:line="320" w:lineRule="atLeast"/>
        <w:ind w:firstLine="420" w:firstLineChars="200"/>
        <w:rPr>
          <w:color w:val="auto"/>
          <w:szCs w:val="21"/>
          <w:highlight w:val="none"/>
        </w:rPr>
      </w:pPr>
      <w:r>
        <w:rPr>
          <w:color w:val="auto"/>
          <w:szCs w:val="21"/>
          <w:highlight w:val="none"/>
        </w:rPr>
        <w:t>8.2.1供应商对采购人、采购代理机构的答复不满意，或者采购人、采购代理机构未在规定时间内答复的，可在答复期满后15个工作日内按有关规定，向同级财政部门投诉。</w:t>
      </w:r>
    </w:p>
    <w:p w14:paraId="38B632FD">
      <w:pPr>
        <w:spacing w:before="120" w:line="320" w:lineRule="atLeast"/>
        <w:ind w:firstLine="420" w:firstLineChars="200"/>
        <w:rPr>
          <w:color w:val="auto"/>
          <w:szCs w:val="21"/>
          <w:highlight w:val="none"/>
        </w:rPr>
      </w:pPr>
      <w:r>
        <w:rPr>
          <w:color w:val="auto"/>
          <w:szCs w:val="21"/>
          <w:highlight w:val="none"/>
        </w:rPr>
        <w:t>8.2.</w:t>
      </w:r>
      <w:r>
        <w:rPr>
          <w:rFonts w:hint="eastAsia"/>
          <w:color w:val="auto"/>
          <w:szCs w:val="21"/>
          <w:highlight w:val="none"/>
        </w:rPr>
        <w:t>2投诉</w:t>
      </w:r>
      <w:r>
        <w:rPr>
          <w:color w:val="auto"/>
          <w:szCs w:val="21"/>
          <w:highlight w:val="none"/>
        </w:rPr>
        <w:t>书应使用财政部发布的</w:t>
      </w:r>
      <w:r>
        <w:rPr>
          <w:rFonts w:hint="eastAsia"/>
          <w:color w:val="auto"/>
          <w:szCs w:val="21"/>
          <w:highlight w:val="none"/>
        </w:rPr>
        <w:t>政府采购供应投诉书范本，并应按照“投诉书制作说明”进行编写。</w:t>
      </w:r>
    </w:p>
    <w:p w14:paraId="0CF50B47">
      <w:pPr>
        <w:spacing w:before="120" w:line="320" w:lineRule="atLeast"/>
        <w:ind w:firstLine="422" w:firstLineChars="200"/>
        <w:outlineLvl w:val="1"/>
        <w:rPr>
          <w:b/>
          <w:bCs/>
          <w:color w:val="auto"/>
          <w:kern w:val="0"/>
          <w:szCs w:val="21"/>
          <w:highlight w:val="none"/>
        </w:rPr>
      </w:pPr>
      <w:r>
        <w:rPr>
          <w:b/>
          <w:bCs/>
          <w:color w:val="auto"/>
          <w:kern w:val="0"/>
          <w:szCs w:val="21"/>
          <w:highlight w:val="none"/>
        </w:rPr>
        <w:t>9．其他事项</w:t>
      </w:r>
    </w:p>
    <w:p w14:paraId="6BCB41B1">
      <w:pPr>
        <w:spacing w:before="120" w:line="320" w:lineRule="atLeast"/>
        <w:ind w:firstLine="420" w:firstLineChars="200"/>
        <w:rPr>
          <w:color w:val="auto"/>
          <w:szCs w:val="21"/>
          <w:highlight w:val="none"/>
        </w:rPr>
      </w:pPr>
      <w:r>
        <w:rPr>
          <w:color w:val="auto"/>
          <w:szCs w:val="21"/>
          <w:highlight w:val="none"/>
        </w:rPr>
        <w:t>9.1代理服务收费由采购代理机构向成交供应商收取。签订合同前，成交供应商应向采购代理机构一次付清代理服务费。</w:t>
      </w:r>
    </w:p>
    <w:p w14:paraId="5AB54F92">
      <w:pPr>
        <w:spacing w:before="120" w:line="276" w:lineRule="auto"/>
        <w:ind w:firstLine="420" w:firstLineChars="200"/>
        <w:rPr>
          <w:color w:val="auto"/>
          <w:szCs w:val="21"/>
          <w:highlight w:val="none"/>
        </w:rPr>
      </w:pPr>
      <w:r>
        <w:rPr>
          <w:color w:val="auto"/>
          <w:szCs w:val="21"/>
          <w:highlight w:val="none"/>
        </w:rPr>
        <w:t>9.2</w:t>
      </w:r>
      <w:r>
        <w:rPr>
          <w:rFonts w:hint="eastAsia"/>
          <w:color w:val="auto"/>
          <w:szCs w:val="21"/>
          <w:highlight w:val="none"/>
        </w:rPr>
        <w:t>电子交易活动的中止。采购过程中出现以下情形，导致电子交易平台无法正常运行，或者无法保证电子交易的公平、公正和安全时，采购机构可中止电子交易活动：</w:t>
      </w:r>
    </w:p>
    <w:p w14:paraId="3B539649">
      <w:pPr>
        <w:spacing w:before="120" w:line="276" w:lineRule="auto"/>
        <w:ind w:firstLine="420" w:firstLineChars="200"/>
        <w:rPr>
          <w:color w:val="auto"/>
          <w:szCs w:val="21"/>
          <w:highlight w:val="none"/>
        </w:rPr>
      </w:pPr>
      <w:r>
        <w:rPr>
          <w:rFonts w:hint="eastAsia"/>
          <w:color w:val="auto"/>
          <w:szCs w:val="21"/>
          <w:highlight w:val="none"/>
        </w:rPr>
        <w:t xml:space="preserve">（1）电子交易平台发生故障而无法登录访问的； </w:t>
      </w:r>
    </w:p>
    <w:p w14:paraId="59F2C1E7">
      <w:pPr>
        <w:spacing w:before="120" w:line="276" w:lineRule="auto"/>
        <w:ind w:firstLine="420" w:firstLineChars="200"/>
        <w:rPr>
          <w:color w:val="auto"/>
          <w:szCs w:val="21"/>
          <w:highlight w:val="none"/>
        </w:rPr>
      </w:pPr>
      <w:r>
        <w:rPr>
          <w:rFonts w:hint="eastAsia"/>
          <w:color w:val="auto"/>
          <w:szCs w:val="21"/>
          <w:highlight w:val="none"/>
        </w:rPr>
        <w:t>（2）电子交易平台应用或数据库出现错误，不能进行正常操作的；</w:t>
      </w:r>
    </w:p>
    <w:p w14:paraId="63213791">
      <w:pPr>
        <w:spacing w:before="120" w:line="276" w:lineRule="auto"/>
        <w:ind w:firstLine="420" w:firstLineChars="200"/>
        <w:rPr>
          <w:color w:val="auto"/>
          <w:szCs w:val="21"/>
          <w:highlight w:val="none"/>
        </w:rPr>
      </w:pPr>
      <w:r>
        <w:rPr>
          <w:rFonts w:hint="eastAsia"/>
          <w:color w:val="auto"/>
          <w:szCs w:val="21"/>
          <w:highlight w:val="none"/>
        </w:rPr>
        <w:t>（3）电子交易平台发现严重安全漏洞，有潜在泄密危险的；</w:t>
      </w:r>
    </w:p>
    <w:p w14:paraId="1EEB1ABD">
      <w:pPr>
        <w:spacing w:before="120" w:line="276" w:lineRule="auto"/>
        <w:ind w:firstLine="420" w:firstLineChars="200"/>
        <w:rPr>
          <w:color w:val="auto"/>
          <w:szCs w:val="21"/>
          <w:highlight w:val="none"/>
        </w:rPr>
      </w:pPr>
      <w:r>
        <w:rPr>
          <w:rFonts w:hint="eastAsia"/>
          <w:color w:val="auto"/>
          <w:szCs w:val="21"/>
          <w:highlight w:val="none"/>
        </w:rPr>
        <w:t xml:space="preserve">（4）病毒发作导致不能进行正常操作的； </w:t>
      </w:r>
    </w:p>
    <w:p w14:paraId="494DCDC8">
      <w:pPr>
        <w:spacing w:before="120" w:line="276" w:lineRule="auto"/>
        <w:ind w:firstLine="420" w:firstLineChars="200"/>
        <w:rPr>
          <w:color w:val="auto"/>
          <w:szCs w:val="21"/>
          <w:highlight w:val="none"/>
        </w:rPr>
      </w:pPr>
      <w:r>
        <w:rPr>
          <w:rFonts w:hint="eastAsia"/>
          <w:color w:val="auto"/>
          <w:szCs w:val="21"/>
          <w:highlight w:val="none"/>
        </w:rPr>
        <w:t>（</w:t>
      </w:r>
      <w:r>
        <w:rPr>
          <w:color w:val="auto"/>
          <w:szCs w:val="21"/>
          <w:highlight w:val="none"/>
        </w:rPr>
        <w:t>5</w:t>
      </w:r>
      <w:r>
        <w:rPr>
          <w:rFonts w:hint="eastAsia"/>
          <w:color w:val="auto"/>
          <w:szCs w:val="21"/>
          <w:highlight w:val="none"/>
        </w:rPr>
        <w:t>）其他无法保证电子交易的公平、公正和安全的情况。</w:t>
      </w:r>
    </w:p>
    <w:p w14:paraId="69BAF6FD">
      <w:pPr>
        <w:tabs>
          <w:tab w:val="left" w:pos="4820"/>
        </w:tabs>
        <w:spacing w:before="120" w:line="360" w:lineRule="auto"/>
        <w:ind w:firstLine="420" w:firstLineChars="200"/>
        <w:rPr>
          <w:color w:val="auto"/>
          <w:szCs w:val="21"/>
          <w:highlight w:val="none"/>
        </w:rPr>
      </w:pPr>
      <w:r>
        <w:rPr>
          <w:rFonts w:hint="eastAsia"/>
          <w:color w:val="auto"/>
          <w:szCs w:val="21"/>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r>
        <w:rPr>
          <w:color w:val="auto"/>
          <w:szCs w:val="21"/>
          <w:highlight w:val="none"/>
        </w:rPr>
        <w:t xml:space="preserve"> </w:t>
      </w:r>
    </w:p>
    <w:p w14:paraId="15640677">
      <w:pPr>
        <w:spacing w:line="360" w:lineRule="auto"/>
        <w:ind w:firstLine="420"/>
        <w:rPr>
          <w:color w:val="auto"/>
          <w:szCs w:val="21"/>
          <w:highlight w:val="none"/>
        </w:rPr>
      </w:pPr>
      <w:r>
        <w:rPr>
          <w:color w:val="auto"/>
          <w:szCs w:val="21"/>
          <w:highlight w:val="none"/>
        </w:rPr>
        <w:t>9.3</w:t>
      </w:r>
      <w:r>
        <w:rPr>
          <w:rFonts w:hint="eastAsia"/>
          <w:color w:val="auto"/>
          <w:szCs w:val="21"/>
          <w:highlight w:val="none"/>
        </w:rPr>
        <w:t>本项目的附件及图纸</w:t>
      </w:r>
      <w:r>
        <w:rPr>
          <w:color w:val="auto"/>
          <w:szCs w:val="21"/>
          <w:highlight w:val="none"/>
        </w:rPr>
        <w:t>详见供应商须知前附表</w:t>
      </w:r>
      <w:r>
        <w:rPr>
          <w:rFonts w:hint="eastAsia"/>
          <w:color w:val="auto"/>
          <w:szCs w:val="21"/>
          <w:highlight w:val="none"/>
        </w:rPr>
        <w:t>。</w:t>
      </w:r>
    </w:p>
    <w:p w14:paraId="1C2286EF">
      <w:pPr>
        <w:spacing w:line="360" w:lineRule="auto"/>
        <w:ind w:firstLine="420"/>
        <w:rPr>
          <w:color w:val="auto"/>
          <w:szCs w:val="21"/>
          <w:highlight w:val="none"/>
        </w:rPr>
      </w:pPr>
      <w:r>
        <w:rPr>
          <w:color w:val="auto"/>
          <w:szCs w:val="21"/>
          <w:highlight w:val="none"/>
        </w:rPr>
        <w:t>9.4</w:t>
      </w:r>
      <w:r>
        <w:rPr>
          <w:rFonts w:hint="eastAsia"/>
          <w:color w:val="auto"/>
          <w:szCs w:val="21"/>
          <w:highlight w:val="none"/>
        </w:rPr>
        <w:t>本项目的其他事项</w:t>
      </w:r>
      <w:r>
        <w:rPr>
          <w:color w:val="auto"/>
          <w:szCs w:val="21"/>
          <w:highlight w:val="none"/>
        </w:rPr>
        <w:t>详见供应商须知前附表</w:t>
      </w:r>
      <w:r>
        <w:rPr>
          <w:rFonts w:hint="eastAsia"/>
          <w:color w:val="auto"/>
          <w:szCs w:val="21"/>
          <w:highlight w:val="none"/>
        </w:rPr>
        <w:t>。</w:t>
      </w:r>
    </w:p>
    <w:p w14:paraId="61CA1F72">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10．</w:t>
      </w:r>
      <w:r>
        <w:rPr>
          <w:rFonts w:hint="eastAsia"/>
          <w:b/>
          <w:bCs/>
          <w:color w:val="auto"/>
          <w:kern w:val="0"/>
          <w:szCs w:val="21"/>
          <w:highlight w:val="none"/>
        </w:rPr>
        <w:t>其他说明</w:t>
      </w:r>
    </w:p>
    <w:p w14:paraId="3ED2CC94">
      <w:pPr>
        <w:spacing w:before="120" w:line="320" w:lineRule="atLeast"/>
        <w:ind w:left="2" w:leftChars="1" w:firstLine="422" w:firstLineChars="200"/>
        <w:outlineLvl w:val="1"/>
        <w:rPr>
          <w:color w:val="auto"/>
          <w:kern w:val="0"/>
          <w:szCs w:val="21"/>
          <w:highlight w:val="none"/>
        </w:rPr>
      </w:pPr>
      <w:r>
        <w:rPr>
          <w:rFonts w:hint="eastAsia"/>
          <w:b/>
          <w:bCs/>
          <w:color w:val="auto"/>
          <w:kern w:val="0"/>
          <w:szCs w:val="21"/>
          <w:highlight w:val="none"/>
        </w:rPr>
        <w:t>1</w:t>
      </w:r>
      <w:r>
        <w:rPr>
          <w:b/>
          <w:bCs/>
          <w:color w:val="auto"/>
          <w:kern w:val="0"/>
          <w:szCs w:val="21"/>
          <w:highlight w:val="none"/>
        </w:rPr>
        <w:t>0.1</w:t>
      </w:r>
      <w:r>
        <w:rPr>
          <w:rFonts w:hint="eastAsia"/>
          <w:color w:val="auto"/>
          <w:kern w:val="0"/>
          <w:szCs w:val="21"/>
          <w:highlight w:val="none"/>
        </w:rPr>
        <w:t>其余未尽事宜按</w:t>
      </w:r>
      <w:r>
        <w:rPr>
          <w:color w:val="auto"/>
          <w:kern w:val="0"/>
          <w:szCs w:val="21"/>
          <w:highlight w:val="none"/>
        </w:rPr>
        <w:t>《中华人民共和国政府采购法》、《中华人民共和国政府采购法实施条例》</w:t>
      </w:r>
      <w:r>
        <w:rPr>
          <w:rFonts w:hint="eastAsia"/>
          <w:color w:val="auto"/>
          <w:kern w:val="0"/>
          <w:szCs w:val="21"/>
          <w:highlight w:val="none"/>
        </w:rPr>
        <w:t>的相关规定执行。</w:t>
      </w:r>
    </w:p>
    <w:p w14:paraId="2E3D9F8E">
      <w:pPr>
        <w:spacing w:before="120" w:line="320" w:lineRule="atLeast"/>
        <w:ind w:left="2" w:leftChars="1" w:firstLine="422" w:firstLineChars="200"/>
        <w:outlineLvl w:val="1"/>
        <w:rPr>
          <w:rFonts w:hint="eastAsia"/>
          <w:color w:val="auto"/>
          <w:sz w:val="32"/>
          <w:szCs w:val="32"/>
          <w:highlight w:val="none"/>
        </w:rPr>
        <w:sectPr>
          <w:headerReference r:id="rId15" w:type="first"/>
          <w:headerReference r:id="rId14" w:type="default"/>
          <w:pgSz w:w="11906" w:h="16838"/>
          <w:pgMar w:top="993" w:right="1133" w:bottom="1246" w:left="1418" w:header="851" w:footer="992" w:gutter="0"/>
          <w:cols w:space="720" w:num="1"/>
          <w:titlePg/>
          <w:docGrid w:linePitch="312" w:charSpace="0"/>
        </w:sectPr>
      </w:pPr>
      <w:r>
        <w:rPr>
          <w:b/>
          <w:bCs/>
          <w:color w:val="auto"/>
          <w:kern w:val="0"/>
          <w:szCs w:val="21"/>
          <w:highlight w:val="none"/>
        </w:rPr>
        <w:t>10.2</w:t>
      </w:r>
      <w:r>
        <w:rPr>
          <w:rFonts w:hint="eastAsia"/>
          <w:color w:val="auto"/>
          <w:highlight w:val="none"/>
        </w:rPr>
        <w:t>本</w:t>
      </w:r>
      <w:r>
        <w:rPr>
          <w:color w:val="auto"/>
          <w:highlight w:val="none"/>
        </w:rPr>
        <w:t>采购文件是根据国家有关法律及有关政策、法规和参照国际惯例编制，解释权属采购代理机构</w:t>
      </w:r>
    </w:p>
    <w:p w14:paraId="3D044F10">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71" w:name="_Toc26527"/>
      <w:bookmarkStart w:id="72" w:name="_Toc254970690"/>
      <w:bookmarkStart w:id="73" w:name="_Toc254970549"/>
      <w:r>
        <w:rPr>
          <w:rFonts w:ascii="Times New Roman" w:hAnsi="Times New Roman" w:cs="Times New Roman"/>
          <w:color w:val="auto"/>
          <w:sz w:val="32"/>
          <w:szCs w:val="32"/>
          <w:highlight w:val="none"/>
        </w:rPr>
        <w:t>第四章  评审方法及标准</w:t>
      </w:r>
      <w:bookmarkEnd w:id="71"/>
    </w:p>
    <w:p w14:paraId="68526EA9">
      <w:pPr>
        <w:spacing w:before="120" w:line="320" w:lineRule="atLeast"/>
        <w:ind w:firstLine="413" w:firstLineChars="196"/>
        <w:outlineLvl w:val="1"/>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评审</w:t>
      </w:r>
      <w:r>
        <w:rPr>
          <w:rFonts w:hint="eastAsia"/>
          <w:b/>
          <w:bCs/>
          <w:color w:val="auto"/>
          <w:kern w:val="0"/>
          <w:szCs w:val="21"/>
          <w:highlight w:val="none"/>
        </w:rPr>
        <w:t>方法</w:t>
      </w:r>
    </w:p>
    <w:p w14:paraId="2C1C9463">
      <w:pPr>
        <w:suppressAutoHyphens/>
        <w:spacing w:before="120" w:line="320" w:lineRule="atLeast"/>
        <w:ind w:firstLine="420" w:firstLineChars="200"/>
        <w:rPr>
          <w:color w:val="auto"/>
          <w:kern w:val="1"/>
          <w:szCs w:val="21"/>
          <w:highlight w:val="none"/>
        </w:rPr>
      </w:pPr>
      <w:r>
        <w:rPr>
          <w:color w:val="auto"/>
          <w:szCs w:val="21"/>
          <w:highlight w:val="none"/>
        </w:rPr>
        <w:t>本项目采用</w:t>
      </w:r>
      <w:r>
        <w:rPr>
          <w:bCs/>
          <w:color w:val="auto"/>
          <w:kern w:val="1"/>
          <w:szCs w:val="21"/>
          <w:highlight w:val="none"/>
        </w:rPr>
        <w:t>综合评分法</w:t>
      </w:r>
      <w:r>
        <w:rPr>
          <w:color w:val="auto"/>
          <w:szCs w:val="21"/>
          <w:highlight w:val="none"/>
        </w:rPr>
        <w:t>进行评审</w:t>
      </w:r>
      <w:r>
        <w:rPr>
          <w:bCs/>
          <w:color w:val="auto"/>
          <w:kern w:val="1"/>
          <w:szCs w:val="21"/>
          <w:highlight w:val="none"/>
        </w:rPr>
        <w:t>。</w:t>
      </w:r>
      <w:r>
        <w:rPr>
          <w:color w:val="auto"/>
          <w:szCs w:val="21"/>
          <w:highlight w:val="none"/>
        </w:rPr>
        <w:t>综合评分法，是指响应文件满足采购文件全部实质性要求且按照评审因素的量化指标评审得分最高的</w:t>
      </w:r>
      <w:r>
        <w:rPr>
          <w:rFonts w:hint="eastAsia"/>
          <w:color w:val="auto"/>
          <w:szCs w:val="21"/>
          <w:highlight w:val="none"/>
        </w:rPr>
        <w:t>供应商</w:t>
      </w:r>
      <w:r>
        <w:rPr>
          <w:color w:val="auto"/>
          <w:szCs w:val="21"/>
          <w:highlight w:val="none"/>
        </w:rPr>
        <w:t>为</w:t>
      </w:r>
      <w:r>
        <w:rPr>
          <w:rFonts w:hint="eastAsia"/>
          <w:color w:val="auto"/>
          <w:szCs w:val="21"/>
          <w:highlight w:val="none"/>
        </w:rPr>
        <w:t>成交</w:t>
      </w:r>
      <w:r>
        <w:rPr>
          <w:color w:val="auto"/>
          <w:szCs w:val="21"/>
          <w:highlight w:val="none"/>
        </w:rPr>
        <w:t>候选人的评审方法。</w:t>
      </w:r>
    </w:p>
    <w:p w14:paraId="4B9A02C5">
      <w:pPr>
        <w:suppressAutoHyphens/>
        <w:spacing w:before="120" w:line="320" w:lineRule="atLeast"/>
        <w:ind w:firstLine="420" w:firstLineChars="200"/>
        <w:rPr>
          <w:color w:val="auto"/>
          <w:kern w:val="1"/>
          <w:szCs w:val="21"/>
          <w:highlight w:val="none"/>
        </w:rPr>
      </w:pPr>
      <w:r>
        <w:rPr>
          <w:rFonts w:hint="eastAsia"/>
          <w:color w:val="auto"/>
          <w:kern w:val="1"/>
          <w:szCs w:val="21"/>
          <w:highlight w:val="none"/>
        </w:rPr>
        <w:t>本项目评审的其他详细规定在第三章供应商须知中规定。</w:t>
      </w:r>
    </w:p>
    <w:p w14:paraId="420BC78C">
      <w:pPr>
        <w:spacing w:before="120" w:line="320" w:lineRule="atLeast"/>
        <w:ind w:firstLine="413" w:firstLineChars="196"/>
        <w:outlineLvl w:val="1"/>
        <w:rPr>
          <w:rFonts w:hint="eastAsia"/>
          <w:b/>
          <w:color w:val="auto"/>
          <w:kern w:val="0"/>
          <w:szCs w:val="21"/>
          <w:highlight w:val="none"/>
        </w:rPr>
      </w:pPr>
      <w:r>
        <w:rPr>
          <w:b/>
          <w:color w:val="auto"/>
          <w:kern w:val="0"/>
          <w:szCs w:val="21"/>
          <w:highlight w:val="none"/>
        </w:rPr>
        <w:t>2</w:t>
      </w:r>
      <w:r>
        <w:rPr>
          <w:rFonts w:hint="eastAsia"/>
          <w:b/>
          <w:color w:val="auto"/>
          <w:kern w:val="0"/>
          <w:szCs w:val="21"/>
          <w:highlight w:val="none"/>
        </w:rPr>
        <w:t>.资格审查标准</w:t>
      </w:r>
      <w:r>
        <w:rPr>
          <w:rFonts w:hint="eastAsia"/>
          <w:b/>
          <w:bCs/>
          <w:color w:val="auto"/>
          <w:kern w:val="0"/>
          <w:szCs w:val="21"/>
          <w:highlight w:val="none"/>
        </w:rPr>
        <w:t>（不满足任何一项审查内容要求，资格审查即为不合格；</w:t>
      </w:r>
      <w:bookmarkStart w:id="74" w:name="_Hlk160525103"/>
      <w:r>
        <w:rPr>
          <w:rFonts w:hint="eastAsia"/>
          <w:b/>
          <w:bCs/>
          <w:color w:val="auto"/>
          <w:kern w:val="0"/>
          <w:szCs w:val="21"/>
          <w:highlight w:val="none"/>
        </w:rPr>
        <w:t>联合体投标的，联合体各方均应提交第一项基本资格要求的资格证明文件）</w:t>
      </w:r>
      <w:bookmarkEnd w:id="74"/>
    </w:p>
    <w:tbl>
      <w:tblPr>
        <w:tblStyle w:val="51"/>
        <w:tblW w:w="893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843"/>
        <w:gridCol w:w="6242"/>
      </w:tblGrid>
      <w:tr w14:paraId="2BE89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46" w:type="dxa"/>
            <w:noWrap w:val="0"/>
            <w:vAlign w:val="center"/>
          </w:tcPr>
          <w:p w14:paraId="61442F2D">
            <w:pPr>
              <w:keepNext w:val="0"/>
              <w:keepLines w:val="0"/>
              <w:suppressLineNumbers w:val="0"/>
              <w:spacing w:before="0" w:beforeAutospacing="0" w:after="0" w:afterAutospacing="0" w:line="240" w:lineRule="exact"/>
              <w:ind w:left="0" w:right="0"/>
              <w:jc w:val="center"/>
              <w:rPr>
                <w:rFonts w:hint="default"/>
                <w:b/>
                <w:color w:val="auto"/>
                <w:kern w:val="0"/>
                <w:szCs w:val="21"/>
                <w:highlight w:val="none"/>
              </w:rPr>
            </w:pPr>
            <w:r>
              <w:rPr>
                <w:rFonts w:hint="eastAsia"/>
                <w:b/>
                <w:color w:val="auto"/>
                <w:kern w:val="0"/>
                <w:szCs w:val="21"/>
                <w:highlight w:val="none"/>
              </w:rPr>
              <w:t>审查</w:t>
            </w:r>
            <w:r>
              <w:rPr>
                <w:rFonts w:hint="default"/>
                <w:b/>
                <w:color w:val="auto"/>
                <w:kern w:val="0"/>
                <w:szCs w:val="21"/>
                <w:highlight w:val="none"/>
              </w:rPr>
              <w:t>因素</w:t>
            </w:r>
          </w:p>
        </w:tc>
        <w:tc>
          <w:tcPr>
            <w:tcW w:w="1843" w:type="dxa"/>
            <w:noWrap w:val="0"/>
            <w:vAlign w:val="center"/>
          </w:tcPr>
          <w:p w14:paraId="7D8919EB">
            <w:pPr>
              <w:keepNext w:val="0"/>
              <w:keepLines w:val="0"/>
              <w:suppressLineNumbers w:val="0"/>
              <w:spacing w:before="0" w:beforeAutospacing="0" w:after="0" w:afterAutospacing="0" w:line="240" w:lineRule="exact"/>
              <w:ind w:left="0" w:right="0"/>
              <w:jc w:val="center"/>
              <w:rPr>
                <w:rFonts w:hint="default"/>
                <w:b/>
                <w:color w:val="auto"/>
                <w:kern w:val="0"/>
                <w:szCs w:val="21"/>
                <w:highlight w:val="none"/>
              </w:rPr>
            </w:pPr>
            <w:r>
              <w:rPr>
                <w:rFonts w:hint="eastAsia"/>
                <w:b/>
                <w:color w:val="auto"/>
                <w:kern w:val="0"/>
                <w:szCs w:val="21"/>
                <w:highlight w:val="none"/>
              </w:rPr>
              <w:t>审查</w:t>
            </w:r>
            <w:r>
              <w:rPr>
                <w:rFonts w:hint="default"/>
                <w:b/>
                <w:color w:val="auto"/>
                <w:kern w:val="0"/>
                <w:szCs w:val="21"/>
                <w:highlight w:val="none"/>
              </w:rPr>
              <w:t>内容</w:t>
            </w:r>
          </w:p>
        </w:tc>
        <w:tc>
          <w:tcPr>
            <w:tcW w:w="6242" w:type="dxa"/>
            <w:noWrap w:val="0"/>
            <w:vAlign w:val="center"/>
          </w:tcPr>
          <w:p w14:paraId="570E6327">
            <w:pPr>
              <w:keepNext w:val="0"/>
              <w:keepLines w:val="0"/>
              <w:suppressLineNumbers w:val="0"/>
              <w:spacing w:before="0" w:beforeAutospacing="0" w:after="0" w:afterAutospacing="0" w:line="240" w:lineRule="exact"/>
              <w:ind w:left="0" w:right="0"/>
              <w:jc w:val="center"/>
              <w:rPr>
                <w:rFonts w:hint="default"/>
                <w:b/>
                <w:color w:val="auto"/>
                <w:kern w:val="0"/>
                <w:szCs w:val="21"/>
                <w:highlight w:val="none"/>
              </w:rPr>
            </w:pPr>
            <w:r>
              <w:rPr>
                <w:rFonts w:hint="eastAsia"/>
                <w:b/>
                <w:color w:val="auto"/>
                <w:kern w:val="0"/>
                <w:szCs w:val="21"/>
                <w:highlight w:val="none"/>
              </w:rPr>
              <w:t>说明</w:t>
            </w:r>
          </w:p>
        </w:tc>
      </w:tr>
      <w:tr w14:paraId="2709B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846" w:type="dxa"/>
            <w:vMerge w:val="restart"/>
            <w:noWrap w:val="0"/>
            <w:vAlign w:val="center"/>
          </w:tcPr>
          <w:p w14:paraId="5E0A22D9">
            <w:pPr>
              <w:keepNext w:val="0"/>
              <w:keepLines w:val="0"/>
              <w:suppressLineNumbers w:val="0"/>
              <w:spacing w:before="0" w:beforeAutospacing="0" w:after="0" w:afterAutospacing="0" w:line="240" w:lineRule="exact"/>
              <w:ind w:left="0" w:right="0"/>
              <w:rPr>
                <w:rFonts w:hint="default"/>
                <w:color w:val="auto"/>
                <w:szCs w:val="21"/>
                <w:highlight w:val="none"/>
                <w:lang w:val="zh-CN"/>
              </w:rPr>
            </w:pPr>
            <w:r>
              <w:rPr>
                <w:rFonts w:hint="default"/>
                <w:color w:val="auto"/>
                <w:szCs w:val="21"/>
                <w:highlight w:val="none"/>
                <w:lang w:val="zh-CN"/>
              </w:rPr>
              <w:t>供应商应符合的</w:t>
            </w:r>
            <w:r>
              <w:rPr>
                <w:rFonts w:hint="eastAsia"/>
                <w:color w:val="auto"/>
                <w:szCs w:val="21"/>
                <w:highlight w:val="none"/>
                <w:lang w:val="zh-CN"/>
              </w:rPr>
              <w:t>基本</w:t>
            </w:r>
            <w:r>
              <w:rPr>
                <w:rFonts w:hint="default"/>
                <w:color w:val="auto"/>
                <w:szCs w:val="21"/>
                <w:highlight w:val="none"/>
              </w:rPr>
              <w:t>资格</w:t>
            </w:r>
            <w:r>
              <w:rPr>
                <w:rFonts w:hint="eastAsia"/>
                <w:color w:val="auto"/>
                <w:szCs w:val="21"/>
                <w:highlight w:val="none"/>
              </w:rPr>
              <w:t>要求</w:t>
            </w:r>
          </w:p>
        </w:tc>
        <w:tc>
          <w:tcPr>
            <w:tcW w:w="1843" w:type="dxa"/>
            <w:noWrap w:val="0"/>
            <w:vAlign w:val="center"/>
          </w:tcPr>
          <w:p w14:paraId="6E6F4A8C">
            <w:pPr>
              <w:keepNext w:val="0"/>
              <w:keepLines w:val="0"/>
              <w:suppressLineNumbers w:val="0"/>
              <w:spacing w:before="0" w:beforeAutospacing="0" w:after="0" w:afterAutospacing="0" w:line="240" w:lineRule="exact"/>
              <w:ind w:left="0" w:right="0"/>
              <w:jc w:val="left"/>
              <w:rPr>
                <w:rFonts w:hint="default"/>
                <w:color w:val="auto"/>
                <w:szCs w:val="21"/>
                <w:highlight w:val="none"/>
              </w:rPr>
            </w:pPr>
            <w:r>
              <w:rPr>
                <w:rFonts w:hint="default"/>
                <w:color w:val="auto"/>
                <w:szCs w:val="21"/>
                <w:highlight w:val="none"/>
              </w:rPr>
              <w:t>（1）具有独立承担民事责任的能力</w:t>
            </w:r>
          </w:p>
        </w:tc>
        <w:tc>
          <w:tcPr>
            <w:tcW w:w="6242" w:type="dxa"/>
            <w:noWrap w:val="0"/>
            <w:vAlign w:val="top"/>
          </w:tcPr>
          <w:p w14:paraId="6B4533E8">
            <w:pPr>
              <w:keepNext w:val="0"/>
              <w:keepLines w:val="0"/>
              <w:suppressLineNumbers w:val="0"/>
              <w:spacing w:before="0" w:beforeAutospacing="0" w:after="0" w:afterAutospacing="0" w:line="240" w:lineRule="exact"/>
              <w:ind w:left="0" w:right="0"/>
              <w:rPr>
                <w:rFonts w:hint="default"/>
                <w:color w:val="auto"/>
                <w:szCs w:val="21"/>
                <w:highlight w:val="none"/>
              </w:rPr>
            </w:pPr>
            <w:r>
              <w:rPr>
                <w:rFonts w:hint="eastAsia"/>
                <w:color w:val="auto"/>
                <w:szCs w:val="21"/>
                <w:highlight w:val="none"/>
              </w:rPr>
              <w:t>审查供应商为法人或者其他组织的，提供营业执照等证明文件（如营业执照或者事业单位法人证书或者执业许可证等），供应商为自然人的，提供身份证复印件</w:t>
            </w:r>
          </w:p>
        </w:tc>
      </w:tr>
      <w:tr w14:paraId="701BC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4B48A540">
            <w:pPr>
              <w:keepNext w:val="0"/>
              <w:keepLines w:val="0"/>
              <w:suppressLineNumbers w:val="0"/>
              <w:spacing w:before="0" w:beforeAutospacing="0" w:after="0" w:afterAutospacing="0" w:line="240" w:lineRule="exact"/>
              <w:ind w:left="0" w:right="0"/>
              <w:rPr>
                <w:rFonts w:hint="default"/>
                <w:color w:val="auto"/>
                <w:szCs w:val="21"/>
                <w:highlight w:val="none"/>
                <w:lang w:val="zh-CN"/>
              </w:rPr>
            </w:pPr>
          </w:p>
        </w:tc>
        <w:tc>
          <w:tcPr>
            <w:tcW w:w="1843" w:type="dxa"/>
            <w:noWrap w:val="0"/>
            <w:vAlign w:val="center"/>
          </w:tcPr>
          <w:p w14:paraId="30D17CC5">
            <w:pPr>
              <w:keepNext w:val="0"/>
              <w:keepLines w:val="0"/>
              <w:suppressLineNumbers w:val="0"/>
              <w:spacing w:before="0" w:beforeAutospacing="0" w:after="0" w:afterAutospacing="0" w:line="240" w:lineRule="exact"/>
              <w:ind w:left="0" w:right="0"/>
              <w:jc w:val="left"/>
              <w:rPr>
                <w:rFonts w:hint="default"/>
                <w:color w:val="auto"/>
                <w:szCs w:val="21"/>
                <w:highlight w:val="none"/>
              </w:rPr>
            </w:pPr>
            <w:r>
              <w:rPr>
                <w:rFonts w:hint="default"/>
                <w:color w:val="auto"/>
                <w:szCs w:val="21"/>
                <w:highlight w:val="none"/>
                <w:lang w:val="zh-CN"/>
              </w:rPr>
              <w:t>（2）</w:t>
            </w:r>
            <w:r>
              <w:rPr>
                <w:rFonts w:hint="default"/>
                <w:color w:val="auto"/>
                <w:szCs w:val="21"/>
                <w:highlight w:val="none"/>
              </w:rPr>
              <w:t>具有良好的商业信誉和健全的财务会计制度</w:t>
            </w:r>
          </w:p>
        </w:tc>
        <w:tc>
          <w:tcPr>
            <w:tcW w:w="6242" w:type="dxa"/>
            <w:noWrap w:val="0"/>
            <w:vAlign w:val="top"/>
          </w:tcPr>
          <w:p w14:paraId="1CEB27C4">
            <w:pPr>
              <w:keepNext w:val="0"/>
              <w:keepLines w:val="0"/>
              <w:suppressLineNumbers w:val="0"/>
              <w:spacing w:before="0" w:beforeAutospacing="0" w:after="0" w:afterAutospacing="0" w:line="240" w:lineRule="exact"/>
              <w:ind w:left="0" w:right="0"/>
              <w:jc w:val="left"/>
              <w:rPr>
                <w:rFonts w:hint="default"/>
                <w:color w:val="auto"/>
                <w:szCs w:val="21"/>
                <w:highlight w:val="none"/>
              </w:rPr>
            </w:pPr>
            <w:r>
              <w:rPr>
                <w:rFonts w:hint="eastAsia" w:ascii="宋体" w:hAnsi="宋体" w:cs="宋体"/>
                <w:color w:val="auto"/>
                <w:szCs w:val="21"/>
                <w:highlight w:val="none"/>
              </w:rPr>
              <w:t>①</w:t>
            </w:r>
            <w:r>
              <w:rPr>
                <w:rFonts w:hint="default"/>
                <w:color w:val="auto"/>
                <w:szCs w:val="21"/>
                <w:highlight w:val="none"/>
              </w:rPr>
              <w:t>审查商业信誉声明。须提供，格式见第六章</w:t>
            </w:r>
            <w:r>
              <w:rPr>
                <w:rFonts w:hint="eastAsia"/>
                <w:color w:val="auto"/>
                <w:szCs w:val="21"/>
                <w:highlight w:val="none"/>
              </w:rPr>
              <w:t>响应</w:t>
            </w:r>
            <w:r>
              <w:rPr>
                <w:rFonts w:hint="default"/>
                <w:color w:val="auto"/>
                <w:szCs w:val="21"/>
                <w:highlight w:val="none"/>
              </w:rPr>
              <w:t>文件格式“</w:t>
            </w:r>
            <w:r>
              <w:rPr>
                <w:rFonts w:hint="eastAsia"/>
                <w:color w:val="auto"/>
                <w:szCs w:val="21"/>
                <w:highlight w:val="none"/>
              </w:rPr>
              <w:t>响应</w:t>
            </w:r>
            <w:r>
              <w:rPr>
                <w:rFonts w:hint="default"/>
                <w:color w:val="auto"/>
                <w:szCs w:val="21"/>
                <w:highlight w:val="none"/>
              </w:rPr>
              <w:t>声明书”。</w:t>
            </w:r>
          </w:p>
          <w:p w14:paraId="77DB401A">
            <w:pPr>
              <w:keepNext w:val="0"/>
              <w:keepLines w:val="0"/>
              <w:suppressLineNumbers w:val="0"/>
              <w:spacing w:before="0" w:beforeAutospacing="0" w:after="0" w:afterAutospacing="0" w:line="240" w:lineRule="exact"/>
              <w:ind w:left="0" w:right="0"/>
              <w:jc w:val="left"/>
              <w:rPr>
                <w:rFonts w:hint="default"/>
                <w:color w:val="auto"/>
                <w:szCs w:val="21"/>
                <w:highlight w:val="none"/>
              </w:rPr>
            </w:pPr>
            <w:r>
              <w:rPr>
                <w:rFonts w:hint="eastAsia" w:ascii="宋体" w:hAnsi="宋体" w:cs="宋体"/>
                <w:color w:val="auto"/>
                <w:szCs w:val="21"/>
                <w:highlight w:val="none"/>
              </w:rPr>
              <w:t>②</w:t>
            </w:r>
            <w:r>
              <w:rPr>
                <w:rFonts w:hint="default"/>
                <w:color w:val="auto"/>
                <w:szCs w:val="21"/>
                <w:highlight w:val="none"/>
              </w:rPr>
              <w:t>审查</w:t>
            </w:r>
            <w:r>
              <w:rPr>
                <w:rFonts w:hint="eastAsia"/>
                <w:color w:val="auto"/>
                <w:szCs w:val="21"/>
                <w:highlight w:val="none"/>
                <w:lang w:val="en-US" w:eastAsia="zh-CN"/>
              </w:rPr>
              <w:t>2024年度</w:t>
            </w:r>
            <w:r>
              <w:rPr>
                <w:rFonts w:hint="default"/>
                <w:color w:val="auto"/>
                <w:szCs w:val="21"/>
                <w:highlight w:val="none"/>
              </w:rPr>
              <w:t>财务状况报告（表）复印件或银行出具的资信证明复印件，</w:t>
            </w:r>
            <w:r>
              <w:rPr>
                <w:rFonts w:hint="default"/>
                <w:color w:val="auto"/>
                <w:highlight w:val="none"/>
              </w:rPr>
              <w:t>对于从取得营业执照时间起到响应文件递交截止时间为止不足1年的供应商，只需提交</w:t>
            </w:r>
            <w:r>
              <w:rPr>
                <w:rFonts w:hint="eastAsia"/>
                <w:color w:val="auto"/>
                <w:szCs w:val="21"/>
                <w:highlight w:val="none"/>
              </w:rPr>
              <w:t>响应</w:t>
            </w:r>
            <w:r>
              <w:rPr>
                <w:rFonts w:hint="default"/>
                <w:color w:val="auto"/>
                <w:szCs w:val="21"/>
                <w:highlight w:val="none"/>
              </w:rPr>
              <w:t>文件递交截止时间前一个月的财务状况报告（表）复印件。</w:t>
            </w:r>
          </w:p>
        </w:tc>
      </w:tr>
      <w:tr w14:paraId="56AFD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21A2441B">
            <w:pPr>
              <w:keepNext w:val="0"/>
              <w:keepLines w:val="0"/>
              <w:suppressLineNumbers w:val="0"/>
              <w:spacing w:before="0" w:beforeAutospacing="0" w:after="0" w:afterAutospacing="0" w:line="240" w:lineRule="exact"/>
              <w:ind w:left="0" w:right="0"/>
              <w:rPr>
                <w:rFonts w:hint="default"/>
                <w:color w:val="auto"/>
                <w:szCs w:val="21"/>
                <w:highlight w:val="none"/>
                <w:lang w:val="zh-CN"/>
              </w:rPr>
            </w:pPr>
          </w:p>
        </w:tc>
        <w:tc>
          <w:tcPr>
            <w:tcW w:w="1843" w:type="dxa"/>
            <w:noWrap w:val="0"/>
            <w:vAlign w:val="center"/>
          </w:tcPr>
          <w:p w14:paraId="695AE081">
            <w:pPr>
              <w:keepNext w:val="0"/>
              <w:keepLines w:val="0"/>
              <w:suppressLineNumbers w:val="0"/>
              <w:spacing w:before="0" w:beforeAutospacing="0" w:after="0" w:afterAutospacing="0" w:line="240" w:lineRule="exact"/>
              <w:ind w:left="0" w:right="0"/>
              <w:jc w:val="left"/>
              <w:rPr>
                <w:rFonts w:hint="default"/>
                <w:color w:val="auto"/>
                <w:szCs w:val="21"/>
                <w:highlight w:val="none"/>
              </w:rPr>
            </w:pPr>
            <w:r>
              <w:rPr>
                <w:rFonts w:hint="default"/>
                <w:color w:val="auto"/>
                <w:szCs w:val="21"/>
                <w:highlight w:val="none"/>
                <w:lang w:val="zh-CN"/>
              </w:rPr>
              <w:t>（3）具有履行合同所必需的设备和专业技术能力</w:t>
            </w:r>
          </w:p>
        </w:tc>
        <w:tc>
          <w:tcPr>
            <w:tcW w:w="6242" w:type="dxa"/>
            <w:noWrap w:val="0"/>
            <w:vAlign w:val="top"/>
          </w:tcPr>
          <w:p w14:paraId="11B7C6C5">
            <w:pPr>
              <w:keepNext w:val="0"/>
              <w:keepLines w:val="0"/>
              <w:suppressLineNumbers w:val="0"/>
              <w:spacing w:before="0" w:beforeAutospacing="0" w:after="0" w:afterAutospacing="0" w:line="240" w:lineRule="exact"/>
              <w:ind w:left="0" w:right="0"/>
              <w:jc w:val="left"/>
              <w:rPr>
                <w:rFonts w:hint="default"/>
                <w:color w:val="auto"/>
                <w:szCs w:val="21"/>
                <w:highlight w:val="none"/>
              </w:rPr>
            </w:pPr>
            <w:r>
              <w:rPr>
                <w:rFonts w:hint="eastAsia" w:ascii="宋体" w:hAnsi="宋体" w:cs="宋体"/>
                <w:color w:val="auto"/>
                <w:szCs w:val="21"/>
                <w:highlight w:val="none"/>
              </w:rPr>
              <w:t>①</w:t>
            </w:r>
            <w:r>
              <w:rPr>
                <w:rFonts w:hint="default"/>
                <w:color w:val="auto"/>
                <w:szCs w:val="21"/>
                <w:highlight w:val="none"/>
              </w:rPr>
              <w:t xml:space="preserve">审查供应商营业执照，须有效； </w:t>
            </w:r>
          </w:p>
          <w:p w14:paraId="36DE8318">
            <w:pPr>
              <w:keepNext w:val="0"/>
              <w:keepLines w:val="0"/>
              <w:suppressLineNumbers w:val="0"/>
              <w:spacing w:before="0" w:beforeAutospacing="0" w:after="0" w:afterAutospacing="0" w:line="240" w:lineRule="exact"/>
              <w:ind w:left="0" w:right="0"/>
              <w:jc w:val="left"/>
              <w:rPr>
                <w:rFonts w:hint="default"/>
                <w:color w:val="auto"/>
                <w:szCs w:val="21"/>
                <w:highlight w:val="none"/>
              </w:rPr>
            </w:pPr>
            <w:r>
              <w:rPr>
                <w:rFonts w:hint="eastAsia" w:ascii="宋体" w:hAnsi="宋体" w:cs="宋体"/>
                <w:color w:val="auto"/>
                <w:szCs w:val="21"/>
                <w:highlight w:val="none"/>
              </w:rPr>
              <w:t>②</w:t>
            </w:r>
            <w:r>
              <w:rPr>
                <w:rFonts w:hint="default"/>
                <w:color w:val="auto"/>
                <w:szCs w:val="21"/>
                <w:highlight w:val="none"/>
              </w:rPr>
              <w:t>审查书面声明。须提供，格式见第六章</w:t>
            </w:r>
            <w:r>
              <w:rPr>
                <w:rFonts w:hint="eastAsia"/>
                <w:color w:val="auto"/>
                <w:szCs w:val="21"/>
                <w:highlight w:val="none"/>
              </w:rPr>
              <w:t>响应</w:t>
            </w:r>
            <w:r>
              <w:rPr>
                <w:rFonts w:hint="default"/>
                <w:color w:val="auto"/>
                <w:szCs w:val="21"/>
                <w:highlight w:val="none"/>
              </w:rPr>
              <w:t>文件格式“</w:t>
            </w:r>
            <w:r>
              <w:rPr>
                <w:rFonts w:hint="eastAsia"/>
                <w:color w:val="auto"/>
                <w:szCs w:val="21"/>
                <w:highlight w:val="none"/>
              </w:rPr>
              <w:t>响应</w:t>
            </w:r>
            <w:r>
              <w:rPr>
                <w:rFonts w:hint="default"/>
                <w:color w:val="auto"/>
                <w:highlight w:val="none"/>
              </w:rPr>
              <w:t>声明书</w:t>
            </w:r>
            <w:r>
              <w:rPr>
                <w:rFonts w:hint="default"/>
                <w:color w:val="auto"/>
                <w:szCs w:val="21"/>
                <w:highlight w:val="none"/>
              </w:rPr>
              <w:t>”。</w:t>
            </w:r>
          </w:p>
          <w:p w14:paraId="380D105E">
            <w:pPr>
              <w:keepNext w:val="0"/>
              <w:keepLines w:val="0"/>
              <w:suppressLineNumbers w:val="0"/>
              <w:spacing w:before="0" w:beforeAutospacing="0" w:after="0" w:afterAutospacing="0" w:line="240" w:lineRule="exact"/>
              <w:ind w:left="0" w:right="0"/>
              <w:jc w:val="left"/>
              <w:rPr>
                <w:rFonts w:hint="default"/>
                <w:color w:val="auto"/>
                <w:szCs w:val="21"/>
                <w:highlight w:val="none"/>
              </w:rPr>
            </w:pPr>
            <w:r>
              <w:rPr>
                <w:rFonts w:hint="default"/>
                <w:color w:val="auto"/>
                <w:szCs w:val="21"/>
                <w:highlight w:val="none"/>
              </w:rPr>
              <w:t>审查</w:t>
            </w:r>
            <w:r>
              <w:rPr>
                <w:rFonts w:hint="eastAsia" w:ascii="宋体" w:hAnsi="宋体" w:cs="宋体"/>
                <w:color w:val="auto"/>
                <w:szCs w:val="21"/>
                <w:highlight w:val="none"/>
              </w:rPr>
              <w:t>①</w:t>
            </w:r>
            <w:r>
              <w:rPr>
                <w:rFonts w:hint="default"/>
                <w:color w:val="auto"/>
                <w:szCs w:val="21"/>
                <w:highlight w:val="none"/>
              </w:rPr>
              <w:t>或</w:t>
            </w:r>
            <w:r>
              <w:rPr>
                <w:rFonts w:hint="eastAsia" w:ascii="宋体" w:hAnsi="宋体" w:cs="宋体"/>
                <w:color w:val="auto"/>
                <w:szCs w:val="21"/>
                <w:highlight w:val="none"/>
              </w:rPr>
              <w:t>②</w:t>
            </w:r>
            <w:r>
              <w:rPr>
                <w:rFonts w:hint="default"/>
                <w:color w:val="auto"/>
                <w:szCs w:val="21"/>
                <w:highlight w:val="none"/>
              </w:rPr>
              <w:t>，满足其一，即为符合要求。</w:t>
            </w:r>
          </w:p>
        </w:tc>
      </w:tr>
      <w:tr w14:paraId="16758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01131055">
            <w:pPr>
              <w:keepNext w:val="0"/>
              <w:keepLines w:val="0"/>
              <w:suppressLineNumbers w:val="0"/>
              <w:spacing w:before="0" w:beforeAutospacing="0" w:after="0" w:afterAutospacing="0" w:line="240" w:lineRule="exact"/>
              <w:ind w:left="0" w:right="0"/>
              <w:rPr>
                <w:rFonts w:hint="default"/>
                <w:color w:val="auto"/>
                <w:szCs w:val="21"/>
                <w:highlight w:val="none"/>
                <w:lang w:val="zh-CN"/>
              </w:rPr>
            </w:pPr>
          </w:p>
        </w:tc>
        <w:tc>
          <w:tcPr>
            <w:tcW w:w="1843" w:type="dxa"/>
            <w:noWrap w:val="0"/>
            <w:vAlign w:val="center"/>
          </w:tcPr>
          <w:p w14:paraId="04B27DE1">
            <w:pPr>
              <w:keepNext w:val="0"/>
              <w:keepLines w:val="0"/>
              <w:suppressLineNumbers w:val="0"/>
              <w:spacing w:before="0" w:beforeAutospacing="0" w:after="0" w:afterAutospacing="0" w:line="240" w:lineRule="exact"/>
              <w:ind w:left="0" w:right="0"/>
              <w:jc w:val="left"/>
              <w:rPr>
                <w:rFonts w:hint="default"/>
                <w:color w:val="auto"/>
                <w:szCs w:val="21"/>
                <w:highlight w:val="none"/>
              </w:rPr>
            </w:pPr>
            <w:r>
              <w:rPr>
                <w:rFonts w:hint="default"/>
                <w:color w:val="auto"/>
                <w:szCs w:val="21"/>
                <w:highlight w:val="none"/>
                <w:lang w:val="zh-CN"/>
              </w:rPr>
              <w:t>（4）有依法缴纳税收和社会保障金的良好记录</w:t>
            </w:r>
          </w:p>
        </w:tc>
        <w:tc>
          <w:tcPr>
            <w:tcW w:w="6242" w:type="dxa"/>
            <w:noWrap w:val="0"/>
            <w:vAlign w:val="top"/>
          </w:tcPr>
          <w:p w14:paraId="774BCF96">
            <w:pPr>
              <w:keepNext w:val="0"/>
              <w:keepLines w:val="0"/>
              <w:suppressLineNumbers w:val="0"/>
              <w:spacing w:before="0" w:beforeAutospacing="0" w:after="0" w:afterAutospacing="0" w:line="240" w:lineRule="exact"/>
              <w:ind w:left="0" w:right="0"/>
              <w:jc w:val="left"/>
              <w:rPr>
                <w:rFonts w:hint="default"/>
                <w:color w:val="auto"/>
                <w:szCs w:val="21"/>
                <w:highlight w:val="none"/>
              </w:rPr>
            </w:pPr>
            <w:r>
              <w:rPr>
                <w:rFonts w:hint="eastAsia" w:ascii="宋体" w:hAnsi="宋体" w:cs="宋体"/>
                <w:color w:val="auto"/>
                <w:szCs w:val="21"/>
                <w:highlight w:val="none"/>
              </w:rPr>
              <w:t>①</w:t>
            </w:r>
            <w:r>
              <w:rPr>
                <w:rFonts w:hint="default"/>
                <w:color w:val="auto"/>
                <w:szCs w:val="21"/>
                <w:highlight w:val="none"/>
              </w:rPr>
              <w:t>审查</w:t>
            </w:r>
            <w:r>
              <w:rPr>
                <w:rFonts w:hint="eastAsia"/>
                <w:color w:val="auto"/>
                <w:szCs w:val="21"/>
                <w:highlight w:val="none"/>
              </w:rPr>
              <w:t>响应</w:t>
            </w:r>
            <w:r>
              <w:rPr>
                <w:rFonts w:hint="default"/>
                <w:color w:val="auto"/>
                <w:szCs w:val="21"/>
                <w:highlight w:val="none"/>
              </w:rPr>
              <w:t>截止时间前6个月内，</w:t>
            </w:r>
            <w:r>
              <w:rPr>
                <w:rFonts w:hint="eastAsia"/>
                <w:color w:val="auto"/>
                <w:highlight w:val="none"/>
              </w:rPr>
              <w:t>供应商</w:t>
            </w:r>
            <w:r>
              <w:rPr>
                <w:rFonts w:hint="default"/>
                <w:color w:val="auto"/>
                <w:highlight w:val="none"/>
              </w:rPr>
              <w:t>任意</w:t>
            </w:r>
            <w:r>
              <w:rPr>
                <w:rFonts w:hint="eastAsia"/>
                <w:color w:val="auto"/>
                <w:highlight w:val="none"/>
              </w:rPr>
              <w:t>1个月</w:t>
            </w:r>
            <w:r>
              <w:rPr>
                <w:rFonts w:hint="default"/>
                <w:color w:val="auto"/>
                <w:szCs w:val="21"/>
                <w:highlight w:val="none"/>
              </w:rPr>
              <w:t>依法缴纳税费证明复印件加盖供应商</w:t>
            </w:r>
            <w:r>
              <w:rPr>
                <w:rFonts w:hint="eastAsia"/>
                <w:color w:val="auto"/>
                <w:szCs w:val="21"/>
                <w:highlight w:val="none"/>
              </w:rPr>
              <w:t>电子签章</w:t>
            </w:r>
            <w:r>
              <w:rPr>
                <w:rFonts w:hint="default"/>
                <w:color w:val="auto"/>
                <w:szCs w:val="21"/>
                <w:highlight w:val="none"/>
              </w:rPr>
              <w:t>。</w:t>
            </w:r>
          </w:p>
          <w:p w14:paraId="1A2FECCE">
            <w:pPr>
              <w:keepNext w:val="0"/>
              <w:keepLines w:val="0"/>
              <w:suppressLineNumbers w:val="0"/>
              <w:spacing w:before="0" w:beforeAutospacing="0" w:after="0" w:afterAutospacing="0" w:line="240" w:lineRule="exact"/>
              <w:ind w:left="0" w:right="0"/>
              <w:jc w:val="left"/>
              <w:rPr>
                <w:rFonts w:hint="default"/>
                <w:color w:val="auto"/>
                <w:szCs w:val="21"/>
                <w:highlight w:val="none"/>
              </w:rPr>
            </w:pPr>
            <w:r>
              <w:rPr>
                <w:rFonts w:hint="eastAsia" w:ascii="宋体" w:hAnsi="宋体" w:cs="宋体"/>
                <w:color w:val="auto"/>
                <w:szCs w:val="21"/>
                <w:highlight w:val="none"/>
              </w:rPr>
              <w:t>②</w:t>
            </w:r>
            <w:r>
              <w:rPr>
                <w:rFonts w:hint="default"/>
                <w:color w:val="auto"/>
                <w:szCs w:val="21"/>
                <w:highlight w:val="none"/>
              </w:rPr>
              <w:t>审查</w:t>
            </w:r>
            <w:r>
              <w:rPr>
                <w:rFonts w:hint="eastAsia"/>
                <w:color w:val="auto"/>
                <w:szCs w:val="21"/>
                <w:highlight w:val="none"/>
              </w:rPr>
              <w:t>响应</w:t>
            </w:r>
            <w:r>
              <w:rPr>
                <w:rFonts w:hint="default"/>
                <w:color w:val="auto"/>
                <w:szCs w:val="21"/>
                <w:highlight w:val="none"/>
              </w:rPr>
              <w:t>截止时间前6个月内，</w:t>
            </w:r>
            <w:r>
              <w:rPr>
                <w:rFonts w:hint="eastAsia"/>
                <w:color w:val="auto"/>
                <w:highlight w:val="none"/>
              </w:rPr>
              <w:t>供应商</w:t>
            </w:r>
            <w:r>
              <w:rPr>
                <w:rFonts w:hint="default"/>
                <w:color w:val="auto"/>
                <w:highlight w:val="none"/>
              </w:rPr>
              <w:t>任意</w:t>
            </w:r>
            <w:r>
              <w:rPr>
                <w:rFonts w:hint="eastAsia"/>
                <w:color w:val="auto"/>
                <w:highlight w:val="none"/>
              </w:rPr>
              <w:t>1个月</w:t>
            </w:r>
            <w:r>
              <w:rPr>
                <w:rFonts w:hint="default"/>
                <w:color w:val="auto"/>
                <w:szCs w:val="21"/>
                <w:highlight w:val="none"/>
              </w:rPr>
              <w:t>的社保缴费证明记录复印件加盖供应商</w:t>
            </w:r>
            <w:r>
              <w:rPr>
                <w:rFonts w:hint="eastAsia"/>
                <w:color w:val="auto"/>
                <w:szCs w:val="21"/>
                <w:highlight w:val="none"/>
              </w:rPr>
              <w:t>电子签章</w:t>
            </w:r>
            <w:r>
              <w:rPr>
                <w:rFonts w:hint="default"/>
                <w:color w:val="auto"/>
                <w:szCs w:val="21"/>
                <w:highlight w:val="none"/>
              </w:rPr>
              <w:t>。</w:t>
            </w:r>
          </w:p>
          <w:p w14:paraId="3D04AB86">
            <w:pPr>
              <w:keepNext w:val="0"/>
              <w:keepLines w:val="0"/>
              <w:suppressLineNumbers w:val="0"/>
              <w:spacing w:before="0" w:beforeAutospacing="0" w:after="0" w:afterAutospacing="0" w:line="240" w:lineRule="exact"/>
              <w:ind w:left="0" w:right="0"/>
              <w:jc w:val="left"/>
              <w:rPr>
                <w:rFonts w:hint="default"/>
                <w:color w:val="auto"/>
                <w:szCs w:val="21"/>
                <w:highlight w:val="none"/>
              </w:rPr>
            </w:pPr>
            <w:r>
              <w:rPr>
                <w:rFonts w:hint="default"/>
                <w:color w:val="auto"/>
                <w:szCs w:val="21"/>
                <w:highlight w:val="none"/>
              </w:rPr>
              <w:t>供应商成立不足</w:t>
            </w:r>
            <w:r>
              <w:rPr>
                <w:rFonts w:hint="eastAsia"/>
                <w:color w:val="auto"/>
                <w:szCs w:val="21"/>
                <w:highlight w:val="none"/>
              </w:rPr>
              <w:t>1个月的，无须提供</w:t>
            </w:r>
            <w:r>
              <w:rPr>
                <w:rFonts w:hint="default"/>
                <w:color w:val="auto"/>
                <w:szCs w:val="21"/>
                <w:highlight w:val="none"/>
              </w:rPr>
              <w:t>缴纳税费证明及社保缴费证明加盖供应商电子签章</w:t>
            </w:r>
            <w:r>
              <w:rPr>
                <w:rFonts w:hint="eastAsia"/>
                <w:color w:val="auto"/>
                <w:szCs w:val="21"/>
                <w:highlight w:val="none"/>
              </w:rPr>
              <w:t>。</w:t>
            </w:r>
          </w:p>
          <w:p w14:paraId="58B4B735">
            <w:pPr>
              <w:keepNext w:val="0"/>
              <w:keepLines w:val="0"/>
              <w:suppressLineNumbers w:val="0"/>
              <w:spacing w:before="0" w:beforeAutospacing="0" w:after="0" w:afterAutospacing="0" w:line="240" w:lineRule="exact"/>
              <w:ind w:left="0" w:right="0"/>
              <w:jc w:val="left"/>
              <w:rPr>
                <w:rFonts w:hint="default"/>
                <w:color w:val="auto"/>
                <w:szCs w:val="21"/>
                <w:highlight w:val="none"/>
              </w:rPr>
            </w:pPr>
            <w:r>
              <w:rPr>
                <w:rFonts w:hint="default"/>
                <w:color w:val="auto"/>
                <w:szCs w:val="21"/>
                <w:highlight w:val="none"/>
              </w:rPr>
              <w:t>依法免税或不需要缴纳社会保障资金的供应商，须提供相应文件证明其依法免税或不需要缴纳社会保障资金。</w:t>
            </w:r>
          </w:p>
        </w:tc>
      </w:tr>
      <w:tr w14:paraId="54268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22715058">
            <w:pPr>
              <w:keepNext w:val="0"/>
              <w:keepLines w:val="0"/>
              <w:suppressLineNumbers w:val="0"/>
              <w:spacing w:before="0" w:beforeAutospacing="0" w:after="0" w:afterAutospacing="0" w:line="240" w:lineRule="exact"/>
              <w:ind w:left="0" w:right="0"/>
              <w:rPr>
                <w:rFonts w:hint="default"/>
                <w:color w:val="auto"/>
                <w:szCs w:val="21"/>
                <w:highlight w:val="none"/>
                <w:lang w:val="zh-CN"/>
              </w:rPr>
            </w:pPr>
          </w:p>
        </w:tc>
        <w:tc>
          <w:tcPr>
            <w:tcW w:w="1843" w:type="dxa"/>
            <w:noWrap w:val="0"/>
            <w:vAlign w:val="center"/>
          </w:tcPr>
          <w:p w14:paraId="52D7B905">
            <w:pPr>
              <w:keepNext w:val="0"/>
              <w:keepLines w:val="0"/>
              <w:suppressLineNumbers w:val="0"/>
              <w:spacing w:before="0" w:beforeAutospacing="0" w:after="0" w:afterAutospacing="0" w:line="240" w:lineRule="exact"/>
              <w:ind w:left="0" w:right="0"/>
              <w:jc w:val="left"/>
              <w:rPr>
                <w:rFonts w:hint="eastAsia"/>
                <w:color w:val="auto"/>
                <w:szCs w:val="21"/>
                <w:highlight w:val="none"/>
              </w:rPr>
            </w:pPr>
            <w:r>
              <w:rPr>
                <w:rFonts w:hint="default"/>
                <w:color w:val="auto"/>
                <w:szCs w:val="21"/>
                <w:highlight w:val="none"/>
              </w:rPr>
              <w:t>（5）参加政府采购活动前三年内，在经营活动中没有重大违法记录</w:t>
            </w:r>
          </w:p>
        </w:tc>
        <w:tc>
          <w:tcPr>
            <w:tcW w:w="6242" w:type="dxa"/>
            <w:noWrap w:val="0"/>
            <w:vAlign w:val="center"/>
          </w:tcPr>
          <w:p w14:paraId="503A6882">
            <w:pPr>
              <w:keepNext w:val="0"/>
              <w:keepLines w:val="0"/>
              <w:suppressLineNumbers w:val="0"/>
              <w:spacing w:before="0" w:beforeAutospacing="0" w:after="0" w:afterAutospacing="0" w:line="240" w:lineRule="exact"/>
              <w:ind w:left="0" w:right="0"/>
              <w:jc w:val="left"/>
              <w:rPr>
                <w:rFonts w:hint="default"/>
                <w:color w:val="auto"/>
                <w:szCs w:val="21"/>
                <w:highlight w:val="none"/>
              </w:rPr>
            </w:pPr>
            <w:r>
              <w:rPr>
                <w:rFonts w:hint="default"/>
                <w:color w:val="auto"/>
                <w:szCs w:val="21"/>
                <w:highlight w:val="none"/>
              </w:rPr>
              <w:t>审查无重大违法记录声明。须提供，格式见第六章</w:t>
            </w:r>
            <w:r>
              <w:rPr>
                <w:rFonts w:hint="eastAsia"/>
                <w:color w:val="auto"/>
                <w:szCs w:val="21"/>
                <w:highlight w:val="none"/>
              </w:rPr>
              <w:t>响应</w:t>
            </w:r>
            <w:r>
              <w:rPr>
                <w:rFonts w:hint="default"/>
                <w:color w:val="auto"/>
                <w:szCs w:val="21"/>
                <w:highlight w:val="none"/>
              </w:rPr>
              <w:t>文件格式“</w:t>
            </w:r>
            <w:r>
              <w:rPr>
                <w:rFonts w:hint="eastAsia"/>
                <w:color w:val="auto"/>
                <w:szCs w:val="21"/>
                <w:highlight w:val="none"/>
              </w:rPr>
              <w:t>响应</w:t>
            </w:r>
            <w:r>
              <w:rPr>
                <w:rFonts w:hint="default"/>
                <w:color w:val="auto"/>
                <w:szCs w:val="21"/>
                <w:highlight w:val="none"/>
              </w:rPr>
              <w:t xml:space="preserve">声明书”。 </w:t>
            </w:r>
          </w:p>
        </w:tc>
      </w:tr>
      <w:tr w14:paraId="07C2B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26D4B5F7">
            <w:pPr>
              <w:keepNext w:val="0"/>
              <w:keepLines w:val="0"/>
              <w:suppressLineNumbers w:val="0"/>
              <w:spacing w:before="0" w:beforeAutospacing="0" w:after="0" w:afterAutospacing="0" w:line="240" w:lineRule="exact"/>
              <w:ind w:left="0" w:right="0"/>
              <w:rPr>
                <w:rFonts w:hint="default"/>
                <w:color w:val="auto"/>
                <w:szCs w:val="21"/>
                <w:highlight w:val="none"/>
                <w:lang w:val="zh-CN"/>
              </w:rPr>
            </w:pPr>
          </w:p>
        </w:tc>
        <w:tc>
          <w:tcPr>
            <w:tcW w:w="1843" w:type="dxa"/>
            <w:noWrap w:val="0"/>
            <w:vAlign w:val="center"/>
          </w:tcPr>
          <w:p w14:paraId="784DEC88">
            <w:pPr>
              <w:keepNext w:val="0"/>
              <w:keepLines w:val="0"/>
              <w:suppressLineNumbers w:val="0"/>
              <w:spacing w:before="0" w:beforeAutospacing="0" w:after="0" w:afterAutospacing="0" w:line="240" w:lineRule="exact"/>
              <w:ind w:left="0" w:right="0"/>
              <w:jc w:val="left"/>
              <w:rPr>
                <w:rFonts w:hint="default"/>
                <w:color w:val="auto"/>
                <w:szCs w:val="21"/>
                <w:highlight w:val="none"/>
              </w:rPr>
            </w:pPr>
            <w:r>
              <w:rPr>
                <w:rFonts w:hint="default"/>
                <w:color w:val="auto"/>
                <w:szCs w:val="21"/>
                <w:highlight w:val="none"/>
              </w:rPr>
              <w:t>（6）具备法律、行政法规规定的其他要求</w:t>
            </w:r>
          </w:p>
        </w:tc>
        <w:tc>
          <w:tcPr>
            <w:tcW w:w="6242" w:type="dxa"/>
            <w:noWrap w:val="0"/>
            <w:vAlign w:val="center"/>
          </w:tcPr>
          <w:p w14:paraId="26C17D4C">
            <w:pPr>
              <w:keepNext w:val="0"/>
              <w:keepLines w:val="0"/>
              <w:suppressLineNumbers w:val="0"/>
              <w:spacing w:before="0" w:beforeAutospacing="0" w:after="0" w:afterAutospacing="0" w:line="240" w:lineRule="exact"/>
              <w:ind w:left="0" w:right="0"/>
              <w:jc w:val="left"/>
              <w:rPr>
                <w:rFonts w:hint="default"/>
                <w:color w:val="auto"/>
                <w:szCs w:val="21"/>
                <w:highlight w:val="none"/>
              </w:rPr>
            </w:pPr>
            <w:r>
              <w:rPr>
                <w:rFonts w:hint="default"/>
                <w:color w:val="auto"/>
                <w:szCs w:val="21"/>
                <w:highlight w:val="none"/>
              </w:rPr>
              <w:t>无。</w:t>
            </w:r>
          </w:p>
        </w:tc>
      </w:tr>
      <w:tr w14:paraId="33914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noWrap w:val="0"/>
            <w:vAlign w:val="center"/>
          </w:tcPr>
          <w:p w14:paraId="6E216219">
            <w:pPr>
              <w:keepNext w:val="0"/>
              <w:keepLines w:val="0"/>
              <w:suppressLineNumbers w:val="0"/>
              <w:spacing w:before="0" w:beforeAutospacing="0" w:after="0" w:afterAutospacing="0" w:line="240" w:lineRule="exact"/>
              <w:ind w:left="0" w:right="0"/>
              <w:rPr>
                <w:rFonts w:hint="default"/>
                <w:color w:val="auto"/>
                <w:szCs w:val="21"/>
                <w:highlight w:val="none"/>
                <w:lang w:val="zh-CN"/>
              </w:rPr>
            </w:pPr>
            <w:r>
              <w:rPr>
                <w:rFonts w:hint="eastAsia"/>
                <w:color w:val="auto"/>
                <w:kern w:val="0"/>
                <w:szCs w:val="21"/>
                <w:highlight w:val="none"/>
              </w:rPr>
              <w:t>采购政策</w:t>
            </w:r>
          </w:p>
        </w:tc>
        <w:tc>
          <w:tcPr>
            <w:tcW w:w="1843" w:type="dxa"/>
            <w:noWrap w:val="0"/>
            <w:vAlign w:val="center"/>
          </w:tcPr>
          <w:p w14:paraId="73870596">
            <w:pPr>
              <w:keepNext w:val="0"/>
              <w:keepLines w:val="0"/>
              <w:suppressLineNumbers w:val="0"/>
              <w:spacing w:before="0" w:beforeAutospacing="0" w:after="0" w:afterAutospacing="0" w:line="240" w:lineRule="exact"/>
              <w:ind w:left="0" w:right="0"/>
              <w:jc w:val="left"/>
              <w:rPr>
                <w:rFonts w:hint="default"/>
                <w:color w:val="auto"/>
                <w:szCs w:val="21"/>
                <w:highlight w:val="none"/>
              </w:rPr>
            </w:pPr>
            <w:r>
              <w:rPr>
                <w:rFonts w:hint="eastAsia"/>
                <w:color w:val="auto"/>
                <w:szCs w:val="21"/>
                <w:highlight w:val="none"/>
              </w:rPr>
              <w:t>落实政府采购政策需满足的资格要求</w:t>
            </w:r>
          </w:p>
        </w:tc>
        <w:tc>
          <w:tcPr>
            <w:tcW w:w="6242" w:type="dxa"/>
            <w:noWrap w:val="0"/>
            <w:vAlign w:val="center"/>
          </w:tcPr>
          <w:p w14:paraId="16ADEC69">
            <w:pPr>
              <w:keepNext w:val="0"/>
              <w:keepLines w:val="0"/>
              <w:suppressLineNumbers w:val="0"/>
              <w:spacing w:before="0" w:beforeAutospacing="0" w:after="0" w:afterAutospacing="0" w:line="240" w:lineRule="exact"/>
              <w:ind w:left="0" w:right="0"/>
              <w:rPr>
                <w:rFonts w:hint="default"/>
                <w:color w:val="auto"/>
                <w:szCs w:val="21"/>
                <w:highlight w:val="none"/>
              </w:rPr>
            </w:pPr>
          </w:p>
          <w:p w14:paraId="41AB88D9">
            <w:pPr>
              <w:keepNext w:val="0"/>
              <w:keepLines w:val="0"/>
              <w:suppressLineNumbers w:val="0"/>
              <w:spacing w:before="0" w:beforeAutospacing="0" w:after="0" w:afterAutospacing="0" w:line="240" w:lineRule="exact"/>
              <w:ind w:left="0" w:right="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无</w:t>
            </w:r>
            <w:r>
              <w:rPr>
                <w:rFonts w:hint="eastAsia"/>
                <w:color w:val="auto"/>
                <w:highlight w:val="none"/>
                <w:lang w:eastAsia="zh-CN"/>
              </w:rPr>
              <w:t>。</w:t>
            </w:r>
          </w:p>
          <w:p w14:paraId="150B8F1F">
            <w:pPr>
              <w:keepNext w:val="0"/>
              <w:keepLines w:val="0"/>
              <w:suppressLineNumbers w:val="0"/>
              <w:spacing w:before="0" w:beforeAutospacing="0" w:after="0" w:afterAutospacing="0" w:line="240" w:lineRule="exact"/>
              <w:ind w:left="0" w:right="0"/>
              <w:jc w:val="left"/>
              <w:rPr>
                <w:rFonts w:hint="default"/>
                <w:color w:val="auto"/>
                <w:szCs w:val="21"/>
                <w:highlight w:val="none"/>
              </w:rPr>
            </w:pPr>
          </w:p>
        </w:tc>
      </w:tr>
      <w:tr w14:paraId="6EF1A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846" w:type="dxa"/>
            <w:vMerge w:val="restart"/>
            <w:noWrap w:val="0"/>
            <w:vAlign w:val="center"/>
          </w:tcPr>
          <w:p w14:paraId="64C3B5B5">
            <w:pPr>
              <w:keepNext w:val="0"/>
              <w:keepLines w:val="0"/>
              <w:suppressLineNumbers w:val="0"/>
              <w:spacing w:before="0" w:beforeAutospacing="0" w:after="0" w:afterAutospacing="0" w:line="240" w:lineRule="exact"/>
              <w:ind w:left="0" w:right="0"/>
              <w:rPr>
                <w:rFonts w:hint="default"/>
                <w:color w:val="auto"/>
                <w:szCs w:val="21"/>
                <w:highlight w:val="none"/>
              </w:rPr>
            </w:pPr>
            <w:r>
              <w:rPr>
                <w:rFonts w:hint="default"/>
                <w:color w:val="auto"/>
                <w:szCs w:val="21"/>
                <w:highlight w:val="none"/>
                <w:lang w:val="zh-CN"/>
              </w:rPr>
              <w:t>供应商应符合的</w:t>
            </w:r>
            <w:r>
              <w:rPr>
                <w:rFonts w:hint="default"/>
                <w:color w:val="auto"/>
                <w:szCs w:val="21"/>
                <w:highlight w:val="none"/>
              </w:rPr>
              <w:t>特定资格</w:t>
            </w:r>
            <w:r>
              <w:rPr>
                <w:rFonts w:hint="eastAsia"/>
                <w:color w:val="auto"/>
                <w:szCs w:val="21"/>
                <w:highlight w:val="none"/>
              </w:rPr>
              <w:t>要求</w:t>
            </w:r>
          </w:p>
        </w:tc>
        <w:tc>
          <w:tcPr>
            <w:tcW w:w="1843" w:type="dxa"/>
            <w:noWrap w:val="0"/>
            <w:vAlign w:val="center"/>
          </w:tcPr>
          <w:p w14:paraId="32E5657E">
            <w:pPr>
              <w:keepNext w:val="0"/>
              <w:keepLines w:val="0"/>
              <w:suppressLineNumbers w:val="0"/>
              <w:spacing w:before="0" w:beforeAutospacing="0" w:after="0" w:afterAutospacing="0" w:line="240" w:lineRule="exact"/>
              <w:ind w:left="0" w:right="0"/>
              <w:jc w:val="left"/>
              <w:rPr>
                <w:rFonts w:hint="default"/>
                <w:color w:val="auto"/>
                <w:szCs w:val="21"/>
                <w:highlight w:val="none"/>
              </w:rPr>
            </w:pPr>
            <w:r>
              <w:rPr>
                <w:rFonts w:hint="default"/>
                <w:color w:val="auto"/>
                <w:szCs w:val="21"/>
                <w:highlight w:val="none"/>
              </w:rPr>
              <w:t>（1）资质</w:t>
            </w:r>
            <w:r>
              <w:rPr>
                <w:rFonts w:hint="eastAsia"/>
                <w:color w:val="auto"/>
                <w:szCs w:val="21"/>
                <w:highlight w:val="none"/>
              </w:rPr>
              <w:t>要求</w:t>
            </w:r>
          </w:p>
        </w:tc>
        <w:tc>
          <w:tcPr>
            <w:tcW w:w="6242" w:type="dxa"/>
            <w:noWrap w:val="0"/>
            <w:vAlign w:val="center"/>
          </w:tcPr>
          <w:p w14:paraId="601039F5">
            <w:pPr>
              <w:keepNext w:val="0"/>
              <w:keepLines w:val="0"/>
              <w:suppressLineNumbers w:val="0"/>
              <w:spacing w:before="0" w:beforeAutospacing="0" w:after="0" w:afterAutospacing="0" w:line="240" w:lineRule="exact"/>
              <w:ind w:left="0" w:right="0"/>
              <w:jc w:val="left"/>
              <w:rPr>
                <w:rFonts w:hint="default"/>
                <w:color w:val="auto"/>
                <w:szCs w:val="21"/>
                <w:highlight w:val="none"/>
              </w:rPr>
            </w:pPr>
            <w:r>
              <w:rPr>
                <w:rFonts w:hint="default"/>
                <w:color w:val="auto"/>
                <w:szCs w:val="21"/>
                <w:highlight w:val="none"/>
              </w:rPr>
              <w:t>须符合</w:t>
            </w:r>
            <w:r>
              <w:rPr>
                <w:rFonts w:hint="eastAsia"/>
                <w:color w:val="auto"/>
                <w:szCs w:val="21"/>
                <w:highlight w:val="none"/>
              </w:rPr>
              <w:t>“磋商公告”</w:t>
            </w:r>
            <w:r>
              <w:rPr>
                <w:rFonts w:hint="default"/>
                <w:color w:val="auto"/>
                <w:szCs w:val="21"/>
                <w:highlight w:val="none"/>
              </w:rPr>
              <w:t>的要求</w:t>
            </w:r>
          </w:p>
        </w:tc>
      </w:tr>
      <w:tr w14:paraId="0AFF2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9" w:hRule="atLeast"/>
        </w:trPr>
        <w:tc>
          <w:tcPr>
            <w:tcW w:w="846" w:type="dxa"/>
            <w:vMerge w:val="continue"/>
            <w:noWrap w:val="0"/>
            <w:vAlign w:val="center"/>
          </w:tcPr>
          <w:p w14:paraId="6DABF648">
            <w:pPr>
              <w:keepNext w:val="0"/>
              <w:keepLines w:val="0"/>
              <w:suppressLineNumbers w:val="0"/>
              <w:spacing w:before="0" w:beforeAutospacing="0" w:after="0" w:afterAutospacing="0" w:line="240" w:lineRule="exact"/>
              <w:ind w:left="0" w:right="0"/>
              <w:rPr>
                <w:rFonts w:hint="default"/>
                <w:color w:val="auto"/>
                <w:szCs w:val="21"/>
                <w:highlight w:val="none"/>
              </w:rPr>
            </w:pPr>
          </w:p>
        </w:tc>
        <w:tc>
          <w:tcPr>
            <w:tcW w:w="1843" w:type="dxa"/>
            <w:noWrap w:val="0"/>
            <w:vAlign w:val="center"/>
          </w:tcPr>
          <w:p w14:paraId="4638D3A5">
            <w:pPr>
              <w:keepNext w:val="0"/>
              <w:keepLines w:val="0"/>
              <w:suppressLineNumbers w:val="0"/>
              <w:spacing w:before="0" w:beforeAutospacing="0" w:after="0" w:afterAutospacing="0" w:line="240" w:lineRule="exact"/>
              <w:ind w:left="0" w:right="0"/>
              <w:jc w:val="left"/>
              <w:rPr>
                <w:rFonts w:hint="default"/>
                <w:color w:val="auto"/>
                <w:szCs w:val="21"/>
                <w:highlight w:val="none"/>
              </w:rPr>
            </w:pPr>
            <w:r>
              <w:rPr>
                <w:rFonts w:hint="default"/>
                <w:color w:val="auto"/>
                <w:szCs w:val="21"/>
                <w:highlight w:val="none"/>
              </w:rPr>
              <w:t>（2）业绩要求</w:t>
            </w:r>
          </w:p>
        </w:tc>
        <w:tc>
          <w:tcPr>
            <w:tcW w:w="6242" w:type="dxa"/>
            <w:noWrap w:val="0"/>
            <w:vAlign w:val="center"/>
          </w:tcPr>
          <w:p w14:paraId="46C269BD">
            <w:pPr>
              <w:keepNext w:val="0"/>
              <w:keepLines w:val="0"/>
              <w:suppressLineNumbers w:val="0"/>
              <w:spacing w:before="0" w:beforeAutospacing="0" w:after="0" w:afterAutospacing="0" w:line="240" w:lineRule="exact"/>
              <w:ind w:left="0" w:right="0"/>
              <w:jc w:val="left"/>
              <w:rPr>
                <w:rFonts w:hint="default"/>
                <w:color w:val="auto"/>
                <w:szCs w:val="21"/>
                <w:highlight w:val="none"/>
              </w:rPr>
            </w:pPr>
            <w:r>
              <w:rPr>
                <w:rFonts w:hint="default"/>
                <w:color w:val="auto"/>
                <w:szCs w:val="21"/>
                <w:highlight w:val="none"/>
              </w:rPr>
              <w:t>须符合</w:t>
            </w:r>
            <w:r>
              <w:rPr>
                <w:rFonts w:hint="eastAsia"/>
                <w:color w:val="auto"/>
                <w:szCs w:val="21"/>
                <w:highlight w:val="none"/>
              </w:rPr>
              <w:t>“磋商公告”</w:t>
            </w:r>
            <w:r>
              <w:rPr>
                <w:rFonts w:hint="default"/>
                <w:color w:val="auto"/>
                <w:szCs w:val="21"/>
                <w:highlight w:val="none"/>
              </w:rPr>
              <w:t>的要求</w:t>
            </w:r>
          </w:p>
        </w:tc>
      </w:tr>
      <w:tr w14:paraId="308A7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4" w:hRule="atLeast"/>
        </w:trPr>
        <w:tc>
          <w:tcPr>
            <w:tcW w:w="846" w:type="dxa"/>
            <w:vMerge w:val="continue"/>
            <w:noWrap w:val="0"/>
            <w:vAlign w:val="center"/>
          </w:tcPr>
          <w:p w14:paraId="7798A0B2">
            <w:pPr>
              <w:keepNext w:val="0"/>
              <w:keepLines w:val="0"/>
              <w:suppressLineNumbers w:val="0"/>
              <w:spacing w:before="0" w:beforeAutospacing="0" w:after="0" w:afterAutospacing="0" w:line="240" w:lineRule="exact"/>
              <w:ind w:left="0" w:right="0"/>
              <w:jc w:val="left"/>
              <w:rPr>
                <w:rFonts w:hint="default"/>
                <w:color w:val="auto"/>
                <w:szCs w:val="21"/>
                <w:highlight w:val="none"/>
              </w:rPr>
            </w:pPr>
          </w:p>
        </w:tc>
        <w:tc>
          <w:tcPr>
            <w:tcW w:w="1843" w:type="dxa"/>
            <w:noWrap w:val="0"/>
            <w:vAlign w:val="center"/>
          </w:tcPr>
          <w:p w14:paraId="0C69726C">
            <w:pPr>
              <w:keepNext w:val="0"/>
              <w:keepLines w:val="0"/>
              <w:suppressLineNumbers w:val="0"/>
              <w:spacing w:before="0" w:beforeAutospacing="0" w:after="0" w:afterAutospacing="0" w:line="240" w:lineRule="exact"/>
              <w:ind w:left="0" w:right="0"/>
              <w:jc w:val="left"/>
              <w:rPr>
                <w:rFonts w:hint="default"/>
                <w:color w:val="auto"/>
                <w:szCs w:val="21"/>
                <w:highlight w:val="none"/>
              </w:rPr>
            </w:pPr>
            <w:r>
              <w:rPr>
                <w:rFonts w:hint="eastAsia"/>
                <w:color w:val="auto"/>
                <w:szCs w:val="21"/>
                <w:highlight w:val="none"/>
              </w:rPr>
              <w:t>（</w:t>
            </w:r>
            <w:r>
              <w:rPr>
                <w:rFonts w:hint="default"/>
                <w:color w:val="auto"/>
                <w:szCs w:val="21"/>
                <w:highlight w:val="none"/>
              </w:rPr>
              <w:t>3</w:t>
            </w:r>
            <w:r>
              <w:rPr>
                <w:rFonts w:hint="eastAsia"/>
                <w:color w:val="auto"/>
                <w:szCs w:val="21"/>
                <w:highlight w:val="none"/>
              </w:rPr>
              <w:t>）供应商不得参加响应的情形</w:t>
            </w:r>
          </w:p>
        </w:tc>
        <w:tc>
          <w:tcPr>
            <w:tcW w:w="6242" w:type="dxa"/>
            <w:noWrap w:val="0"/>
            <w:vAlign w:val="center"/>
          </w:tcPr>
          <w:p w14:paraId="10C8D017">
            <w:pPr>
              <w:keepNext w:val="0"/>
              <w:keepLines w:val="0"/>
              <w:suppressLineNumbers w:val="0"/>
              <w:spacing w:before="0" w:beforeAutospacing="0" w:after="0" w:afterAutospacing="0" w:line="240" w:lineRule="exact"/>
              <w:ind w:left="0" w:right="0"/>
              <w:jc w:val="left"/>
              <w:rPr>
                <w:rFonts w:hint="default"/>
                <w:color w:val="auto"/>
                <w:kern w:val="0"/>
                <w:szCs w:val="21"/>
                <w:highlight w:val="none"/>
              </w:rPr>
            </w:pPr>
            <w:r>
              <w:rPr>
                <w:rFonts w:hint="default"/>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color w:val="auto"/>
                <w:kern w:val="0"/>
                <w:szCs w:val="21"/>
                <w:highlight w:val="none"/>
              </w:rPr>
              <w:t>本</w:t>
            </w:r>
            <w:r>
              <w:rPr>
                <w:rFonts w:hint="default"/>
                <w:color w:val="auto"/>
                <w:kern w:val="0"/>
                <w:szCs w:val="21"/>
                <w:highlight w:val="none"/>
              </w:rPr>
              <w:t>项目的采购活动。</w:t>
            </w:r>
          </w:p>
          <w:p w14:paraId="497A942D">
            <w:pPr>
              <w:keepNext w:val="0"/>
              <w:keepLines w:val="0"/>
              <w:suppressLineNumbers w:val="0"/>
              <w:spacing w:before="0" w:beforeAutospacing="0" w:after="0" w:afterAutospacing="0" w:line="240" w:lineRule="exact"/>
              <w:ind w:left="0" w:right="0"/>
              <w:jc w:val="left"/>
              <w:rPr>
                <w:rFonts w:hint="default"/>
                <w:color w:val="auto"/>
                <w:szCs w:val="21"/>
                <w:highlight w:val="none"/>
              </w:rPr>
            </w:pPr>
            <w:r>
              <w:rPr>
                <w:rFonts w:hint="default"/>
                <w:color w:val="auto"/>
                <w:szCs w:val="21"/>
                <w:highlight w:val="none"/>
              </w:rPr>
              <w:t>须提供，格式见第六章</w:t>
            </w:r>
            <w:r>
              <w:rPr>
                <w:rFonts w:hint="eastAsia"/>
                <w:color w:val="auto"/>
                <w:szCs w:val="21"/>
                <w:highlight w:val="none"/>
              </w:rPr>
              <w:t>响应</w:t>
            </w:r>
            <w:r>
              <w:rPr>
                <w:rFonts w:hint="default"/>
                <w:color w:val="auto"/>
                <w:szCs w:val="21"/>
                <w:highlight w:val="none"/>
              </w:rPr>
              <w:t>文件格式“</w:t>
            </w:r>
            <w:r>
              <w:rPr>
                <w:rFonts w:hint="eastAsia"/>
                <w:color w:val="auto"/>
                <w:szCs w:val="21"/>
                <w:highlight w:val="none"/>
              </w:rPr>
              <w:t>供应商直接控股股东、管理关系信息表</w:t>
            </w:r>
            <w:r>
              <w:rPr>
                <w:rFonts w:hint="default"/>
                <w:color w:val="auto"/>
                <w:szCs w:val="21"/>
                <w:highlight w:val="none"/>
              </w:rPr>
              <w:t>”。</w:t>
            </w:r>
          </w:p>
        </w:tc>
      </w:tr>
      <w:tr w14:paraId="77E51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0DECABB0">
            <w:pPr>
              <w:keepNext w:val="0"/>
              <w:keepLines w:val="0"/>
              <w:suppressLineNumbers w:val="0"/>
              <w:spacing w:before="0" w:beforeAutospacing="0" w:after="0" w:afterAutospacing="0" w:line="240" w:lineRule="exact"/>
              <w:ind w:left="0" w:right="0"/>
              <w:jc w:val="left"/>
              <w:rPr>
                <w:rFonts w:hint="default"/>
                <w:color w:val="auto"/>
                <w:kern w:val="0"/>
                <w:szCs w:val="21"/>
                <w:highlight w:val="none"/>
              </w:rPr>
            </w:pPr>
          </w:p>
        </w:tc>
        <w:tc>
          <w:tcPr>
            <w:tcW w:w="1843" w:type="dxa"/>
            <w:noWrap w:val="0"/>
            <w:vAlign w:val="center"/>
          </w:tcPr>
          <w:p w14:paraId="1824993A">
            <w:pPr>
              <w:keepNext w:val="0"/>
              <w:keepLines w:val="0"/>
              <w:suppressLineNumbers w:val="0"/>
              <w:spacing w:before="0" w:beforeAutospacing="0" w:after="0" w:afterAutospacing="0" w:line="240" w:lineRule="exact"/>
              <w:ind w:left="0" w:right="0"/>
              <w:jc w:val="left"/>
              <w:rPr>
                <w:rFonts w:hint="default"/>
                <w:color w:val="auto"/>
                <w:kern w:val="0"/>
                <w:szCs w:val="21"/>
                <w:highlight w:val="none"/>
              </w:rPr>
            </w:pPr>
            <w:r>
              <w:rPr>
                <w:rFonts w:hint="eastAsia"/>
                <w:color w:val="auto"/>
                <w:szCs w:val="21"/>
                <w:highlight w:val="none"/>
              </w:rPr>
              <w:t>（</w:t>
            </w:r>
            <w:r>
              <w:rPr>
                <w:rFonts w:hint="default"/>
                <w:color w:val="auto"/>
                <w:szCs w:val="21"/>
                <w:highlight w:val="none"/>
              </w:rPr>
              <w:t>4</w:t>
            </w:r>
            <w:r>
              <w:rPr>
                <w:rFonts w:hint="eastAsia"/>
                <w:color w:val="auto"/>
                <w:szCs w:val="21"/>
                <w:highlight w:val="none"/>
              </w:rPr>
              <w:t>）诚信要求</w:t>
            </w:r>
          </w:p>
        </w:tc>
        <w:tc>
          <w:tcPr>
            <w:tcW w:w="6242" w:type="dxa"/>
            <w:noWrap w:val="0"/>
            <w:vAlign w:val="top"/>
          </w:tcPr>
          <w:p w14:paraId="5EA3A2EA">
            <w:pPr>
              <w:keepNext w:val="0"/>
              <w:keepLines w:val="0"/>
              <w:suppressLineNumbers w:val="0"/>
              <w:spacing w:before="0" w:beforeAutospacing="0" w:after="0" w:afterAutospacing="0" w:line="240" w:lineRule="exact"/>
              <w:ind w:left="0" w:right="0"/>
              <w:jc w:val="left"/>
              <w:rPr>
                <w:rFonts w:hint="default"/>
                <w:color w:val="auto"/>
                <w:kern w:val="0"/>
                <w:szCs w:val="21"/>
                <w:highlight w:val="none"/>
              </w:rPr>
            </w:pPr>
            <w:r>
              <w:rPr>
                <w:rFonts w:hint="eastAsia"/>
                <w:color w:val="auto"/>
                <w:szCs w:val="21"/>
                <w:highlight w:val="none"/>
              </w:rPr>
              <w:t>未被列入失信被执行人、</w:t>
            </w:r>
            <w:r>
              <w:rPr>
                <w:rFonts w:hint="default"/>
                <w:color w:val="auto"/>
                <w:szCs w:val="21"/>
                <w:highlight w:val="none"/>
              </w:rPr>
              <w:t>重大税收违法失信主体、政府采购严重违法失信行为记录名单</w:t>
            </w:r>
            <w:r>
              <w:rPr>
                <w:rFonts w:hint="eastAsia"/>
                <w:color w:val="auto"/>
                <w:szCs w:val="21"/>
                <w:highlight w:val="none"/>
              </w:rPr>
              <w:t>。</w:t>
            </w:r>
          </w:p>
        </w:tc>
      </w:tr>
      <w:tr w14:paraId="7B36E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24758455">
            <w:pPr>
              <w:keepNext w:val="0"/>
              <w:keepLines w:val="0"/>
              <w:suppressLineNumbers w:val="0"/>
              <w:spacing w:before="0" w:beforeAutospacing="0" w:after="0" w:afterAutospacing="0" w:line="240" w:lineRule="exact"/>
              <w:ind w:left="0" w:right="0"/>
              <w:jc w:val="left"/>
              <w:rPr>
                <w:rFonts w:hint="default"/>
                <w:color w:val="auto"/>
                <w:kern w:val="0"/>
                <w:szCs w:val="21"/>
                <w:highlight w:val="none"/>
              </w:rPr>
            </w:pPr>
          </w:p>
        </w:tc>
        <w:tc>
          <w:tcPr>
            <w:tcW w:w="1843" w:type="dxa"/>
            <w:noWrap w:val="0"/>
            <w:vAlign w:val="center"/>
          </w:tcPr>
          <w:p w14:paraId="45275A57">
            <w:pPr>
              <w:keepNext w:val="0"/>
              <w:keepLines w:val="0"/>
              <w:suppressLineNumbers w:val="0"/>
              <w:spacing w:before="0" w:beforeAutospacing="0" w:after="0" w:afterAutospacing="0" w:line="240" w:lineRule="exact"/>
              <w:ind w:left="0" w:right="0"/>
              <w:jc w:val="left"/>
              <w:rPr>
                <w:rFonts w:hint="default"/>
                <w:color w:val="auto"/>
                <w:szCs w:val="21"/>
                <w:highlight w:val="none"/>
              </w:rPr>
            </w:pPr>
            <w:r>
              <w:rPr>
                <w:rFonts w:hint="eastAsia"/>
                <w:color w:val="auto"/>
                <w:szCs w:val="21"/>
                <w:highlight w:val="none"/>
              </w:rPr>
              <w:t>（5）分公司</w:t>
            </w:r>
          </w:p>
        </w:tc>
        <w:tc>
          <w:tcPr>
            <w:tcW w:w="6242" w:type="dxa"/>
            <w:noWrap w:val="0"/>
            <w:vAlign w:val="center"/>
          </w:tcPr>
          <w:p w14:paraId="1F7A6E32">
            <w:pPr>
              <w:keepNext w:val="0"/>
              <w:keepLines w:val="0"/>
              <w:suppressLineNumbers w:val="0"/>
              <w:spacing w:before="0" w:beforeAutospacing="0" w:after="0" w:afterAutospacing="0" w:line="240" w:lineRule="exact"/>
              <w:ind w:left="0" w:right="0"/>
              <w:rPr>
                <w:rFonts w:hint="default"/>
                <w:color w:val="auto"/>
                <w:szCs w:val="21"/>
                <w:highlight w:val="none"/>
              </w:rPr>
            </w:pPr>
            <w:r>
              <w:rPr>
                <w:rFonts w:hint="eastAsia"/>
                <w:color w:val="auto"/>
                <w:szCs w:val="21"/>
                <w:highlight w:val="none"/>
              </w:rPr>
              <w:t>允许分公司参与响应的，供应商须提供总公司出具的授权其参与本项目的授权文件或制度。</w:t>
            </w:r>
          </w:p>
        </w:tc>
      </w:tr>
      <w:tr w14:paraId="1D26F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29AA37AD">
            <w:pPr>
              <w:keepNext w:val="0"/>
              <w:keepLines w:val="0"/>
              <w:suppressLineNumbers w:val="0"/>
              <w:spacing w:before="0" w:beforeAutospacing="0" w:after="0" w:afterAutospacing="0" w:line="240" w:lineRule="exact"/>
              <w:ind w:left="0" w:right="0"/>
              <w:jc w:val="left"/>
              <w:rPr>
                <w:rFonts w:hint="default"/>
                <w:color w:val="auto"/>
                <w:kern w:val="0"/>
                <w:szCs w:val="21"/>
                <w:highlight w:val="none"/>
              </w:rPr>
            </w:pPr>
          </w:p>
        </w:tc>
        <w:tc>
          <w:tcPr>
            <w:tcW w:w="1843" w:type="dxa"/>
            <w:noWrap w:val="0"/>
            <w:vAlign w:val="center"/>
          </w:tcPr>
          <w:p w14:paraId="37214F60">
            <w:pPr>
              <w:keepNext w:val="0"/>
              <w:keepLines w:val="0"/>
              <w:suppressLineNumbers w:val="0"/>
              <w:spacing w:before="0" w:beforeAutospacing="0" w:after="0" w:afterAutospacing="0" w:line="240" w:lineRule="exact"/>
              <w:ind w:left="0" w:right="0"/>
              <w:jc w:val="left"/>
              <w:rPr>
                <w:rFonts w:hint="eastAsia"/>
                <w:color w:val="auto"/>
                <w:szCs w:val="21"/>
                <w:highlight w:val="none"/>
              </w:rPr>
            </w:pPr>
            <w:r>
              <w:rPr>
                <w:rFonts w:hint="eastAsia"/>
                <w:color w:val="auto"/>
                <w:szCs w:val="21"/>
                <w:highlight w:val="none"/>
              </w:rPr>
              <w:t>（</w:t>
            </w:r>
            <w:r>
              <w:rPr>
                <w:rFonts w:hint="default"/>
                <w:color w:val="auto"/>
                <w:szCs w:val="21"/>
                <w:highlight w:val="none"/>
              </w:rPr>
              <w:t>6</w:t>
            </w:r>
            <w:r>
              <w:rPr>
                <w:rFonts w:hint="eastAsia"/>
                <w:color w:val="auto"/>
                <w:szCs w:val="21"/>
                <w:highlight w:val="none"/>
              </w:rPr>
              <w:t>）分包</w:t>
            </w:r>
          </w:p>
        </w:tc>
        <w:tc>
          <w:tcPr>
            <w:tcW w:w="6242" w:type="dxa"/>
            <w:noWrap w:val="0"/>
            <w:vAlign w:val="center"/>
          </w:tcPr>
          <w:p w14:paraId="150CF00B">
            <w:pPr>
              <w:keepNext w:val="0"/>
              <w:keepLines w:val="0"/>
              <w:suppressLineNumbers w:val="0"/>
              <w:spacing w:before="0" w:beforeAutospacing="0" w:after="0" w:afterAutospacing="0" w:line="240" w:lineRule="exact"/>
              <w:ind w:left="0" w:right="0"/>
              <w:rPr>
                <w:rFonts w:hint="eastAsia"/>
                <w:color w:val="auto"/>
                <w:szCs w:val="21"/>
                <w:highlight w:val="none"/>
                <w:lang w:val="zh-CN"/>
              </w:rPr>
            </w:pPr>
            <w:r>
              <w:rPr>
                <w:rFonts w:hint="default"/>
                <w:color w:val="auto"/>
                <w:szCs w:val="21"/>
                <w:highlight w:val="none"/>
              </w:rPr>
              <w:t>须符合</w:t>
            </w:r>
            <w:r>
              <w:rPr>
                <w:rFonts w:hint="eastAsia"/>
                <w:color w:val="auto"/>
                <w:szCs w:val="21"/>
                <w:highlight w:val="none"/>
              </w:rPr>
              <w:t>“磋商公告”</w:t>
            </w:r>
            <w:r>
              <w:rPr>
                <w:rFonts w:hint="default"/>
                <w:color w:val="auto"/>
                <w:szCs w:val="21"/>
                <w:highlight w:val="none"/>
              </w:rPr>
              <w:t>的要求</w:t>
            </w:r>
          </w:p>
        </w:tc>
      </w:tr>
      <w:tr w14:paraId="1CB79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3F62483A">
            <w:pPr>
              <w:keepNext w:val="0"/>
              <w:keepLines w:val="0"/>
              <w:suppressLineNumbers w:val="0"/>
              <w:spacing w:before="0" w:beforeAutospacing="0" w:after="0" w:afterAutospacing="0" w:line="240" w:lineRule="exact"/>
              <w:ind w:left="0" w:right="0"/>
              <w:jc w:val="left"/>
              <w:rPr>
                <w:rFonts w:hint="default"/>
                <w:color w:val="auto"/>
                <w:kern w:val="0"/>
                <w:szCs w:val="21"/>
                <w:highlight w:val="none"/>
              </w:rPr>
            </w:pPr>
          </w:p>
        </w:tc>
        <w:tc>
          <w:tcPr>
            <w:tcW w:w="1843" w:type="dxa"/>
            <w:noWrap w:val="0"/>
            <w:vAlign w:val="center"/>
          </w:tcPr>
          <w:p w14:paraId="18B5AE71">
            <w:pPr>
              <w:keepNext w:val="0"/>
              <w:keepLines w:val="0"/>
              <w:suppressLineNumbers w:val="0"/>
              <w:spacing w:before="0" w:beforeAutospacing="0" w:after="0" w:afterAutospacing="0" w:line="240" w:lineRule="exact"/>
              <w:ind w:left="0" w:right="0"/>
              <w:jc w:val="left"/>
              <w:rPr>
                <w:rFonts w:hint="eastAsia"/>
                <w:color w:val="auto"/>
                <w:szCs w:val="21"/>
                <w:highlight w:val="none"/>
              </w:rPr>
            </w:pPr>
            <w:r>
              <w:rPr>
                <w:rFonts w:hint="eastAsia"/>
                <w:color w:val="auto"/>
                <w:szCs w:val="21"/>
                <w:highlight w:val="none"/>
              </w:rPr>
              <w:t>（</w:t>
            </w:r>
            <w:r>
              <w:rPr>
                <w:rFonts w:hint="default"/>
                <w:color w:val="auto"/>
                <w:szCs w:val="21"/>
                <w:highlight w:val="none"/>
              </w:rPr>
              <w:t>7</w:t>
            </w:r>
            <w:r>
              <w:rPr>
                <w:rFonts w:hint="eastAsia"/>
                <w:color w:val="auto"/>
                <w:szCs w:val="21"/>
                <w:highlight w:val="none"/>
              </w:rPr>
              <w:t>）联合体</w:t>
            </w:r>
          </w:p>
        </w:tc>
        <w:tc>
          <w:tcPr>
            <w:tcW w:w="6242" w:type="dxa"/>
            <w:noWrap w:val="0"/>
            <w:vAlign w:val="center"/>
          </w:tcPr>
          <w:p w14:paraId="433DDE71">
            <w:pPr>
              <w:keepNext w:val="0"/>
              <w:keepLines w:val="0"/>
              <w:suppressLineNumbers w:val="0"/>
              <w:spacing w:before="0" w:beforeAutospacing="0" w:after="0" w:afterAutospacing="0" w:line="240" w:lineRule="exact"/>
              <w:ind w:left="0" w:right="0"/>
              <w:rPr>
                <w:rFonts w:hint="eastAsia" w:eastAsia="宋体"/>
                <w:color w:val="auto"/>
                <w:szCs w:val="21"/>
                <w:highlight w:val="none"/>
                <w:lang w:eastAsia="zh-CN"/>
              </w:rPr>
            </w:pPr>
            <w:r>
              <w:rPr>
                <w:rFonts w:hint="eastAsia" w:eastAsia="宋体"/>
                <w:color w:val="auto"/>
                <w:szCs w:val="21"/>
                <w:highlight w:val="none"/>
                <w:lang w:eastAsia="zh-CN"/>
              </w:rPr>
              <w:t>联合体竞标协议书（如有）</w:t>
            </w:r>
          </w:p>
        </w:tc>
      </w:tr>
      <w:tr w14:paraId="7C283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1EB4DB39">
            <w:pPr>
              <w:keepNext w:val="0"/>
              <w:keepLines w:val="0"/>
              <w:suppressLineNumbers w:val="0"/>
              <w:spacing w:before="0" w:beforeAutospacing="0" w:after="0" w:afterAutospacing="0" w:line="240" w:lineRule="exact"/>
              <w:ind w:left="0" w:right="0"/>
              <w:jc w:val="left"/>
              <w:rPr>
                <w:rFonts w:hint="default"/>
                <w:color w:val="auto"/>
                <w:kern w:val="0"/>
                <w:szCs w:val="21"/>
                <w:highlight w:val="none"/>
              </w:rPr>
            </w:pPr>
          </w:p>
        </w:tc>
        <w:tc>
          <w:tcPr>
            <w:tcW w:w="1843" w:type="dxa"/>
            <w:noWrap w:val="0"/>
            <w:vAlign w:val="center"/>
          </w:tcPr>
          <w:p w14:paraId="5E5A506A">
            <w:pPr>
              <w:keepNext w:val="0"/>
              <w:keepLines w:val="0"/>
              <w:suppressLineNumbers w:val="0"/>
              <w:spacing w:before="0" w:beforeAutospacing="0" w:after="0" w:afterAutospacing="0" w:line="240" w:lineRule="exact"/>
              <w:ind w:left="0" w:right="0"/>
              <w:jc w:val="left"/>
              <w:rPr>
                <w:rFonts w:hint="default"/>
                <w:color w:val="auto"/>
                <w:szCs w:val="21"/>
                <w:highlight w:val="none"/>
              </w:rPr>
            </w:pPr>
            <w:r>
              <w:rPr>
                <w:rFonts w:hint="eastAsia"/>
                <w:color w:val="auto"/>
                <w:szCs w:val="21"/>
                <w:highlight w:val="none"/>
              </w:rPr>
              <w:t>（</w:t>
            </w:r>
            <w:r>
              <w:rPr>
                <w:rFonts w:hint="default"/>
                <w:color w:val="auto"/>
                <w:szCs w:val="21"/>
                <w:highlight w:val="none"/>
              </w:rPr>
              <w:t>8</w:t>
            </w:r>
            <w:r>
              <w:rPr>
                <w:rFonts w:hint="eastAsia"/>
                <w:color w:val="auto"/>
                <w:szCs w:val="21"/>
                <w:highlight w:val="none"/>
              </w:rPr>
              <w:t>）其他要求</w:t>
            </w:r>
          </w:p>
        </w:tc>
        <w:tc>
          <w:tcPr>
            <w:tcW w:w="6242" w:type="dxa"/>
            <w:noWrap w:val="0"/>
            <w:vAlign w:val="center"/>
          </w:tcPr>
          <w:p w14:paraId="6CBB4508">
            <w:pPr>
              <w:keepNext w:val="0"/>
              <w:keepLines w:val="0"/>
              <w:suppressLineNumbers w:val="0"/>
              <w:spacing w:before="0" w:beforeAutospacing="0" w:after="0" w:afterAutospacing="0" w:line="312" w:lineRule="auto"/>
              <w:ind w:left="0" w:right="0"/>
              <w:jc w:val="both"/>
              <w:rPr>
                <w:rFonts w:hint="default"/>
                <w:color w:val="auto"/>
                <w:kern w:val="0"/>
                <w:szCs w:val="21"/>
                <w:highlight w:val="none"/>
              </w:rPr>
            </w:pPr>
            <w:r>
              <w:rPr>
                <w:rFonts w:hint="eastAsia"/>
                <w:color w:val="auto"/>
                <w:kern w:val="0"/>
                <w:szCs w:val="21"/>
                <w:highlight w:val="none"/>
              </w:rPr>
              <w:t>按</w:t>
            </w:r>
            <w:r>
              <w:rPr>
                <w:rFonts w:hint="default"/>
                <w:color w:val="auto"/>
                <w:kern w:val="0"/>
                <w:szCs w:val="21"/>
                <w:highlight w:val="none"/>
              </w:rPr>
              <w:t>照</w:t>
            </w:r>
            <w:r>
              <w:rPr>
                <w:rFonts w:hint="eastAsia"/>
                <w:color w:val="auto"/>
                <w:kern w:val="0"/>
                <w:szCs w:val="21"/>
                <w:highlight w:val="none"/>
              </w:rPr>
              <w:t>磋商</w:t>
            </w:r>
            <w:r>
              <w:rPr>
                <w:rFonts w:hint="default"/>
                <w:color w:val="auto"/>
                <w:kern w:val="0"/>
                <w:szCs w:val="21"/>
                <w:highlight w:val="none"/>
              </w:rPr>
              <w:t>公告规定获得</w:t>
            </w:r>
            <w:r>
              <w:rPr>
                <w:rFonts w:hint="eastAsia"/>
                <w:color w:val="auto"/>
                <w:kern w:val="0"/>
                <w:szCs w:val="21"/>
                <w:highlight w:val="none"/>
              </w:rPr>
              <w:t>采购</w:t>
            </w:r>
            <w:r>
              <w:rPr>
                <w:rFonts w:hint="default"/>
                <w:color w:val="auto"/>
                <w:kern w:val="0"/>
                <w:szCs w:val="21"/>
                <w:highlight w:val="none"/>
              </w:rPr>
              <w:t>文件。</w:t>
            </w:r>
            <w:r>
              <w:rPr>
                <w:rFonts w:hint="eastAsia"/>
                <w:color w:val="auto"/>
                <w:kern w:val="0"/>
                <w:szCs w:val="21"/>
                <w:highlight w:val="none"/>
              </w:rPr>
              <w:t>足额、及时缴纳磋商保证金。</w:t>
            </w:r>
          </w:p>
        </w:tc>
      </w:tr>
    </w:tbl>
    <w:p w14:paraId="4FD66144">
      <w:pPr>
        <w:spacing w:before="120" w:line="320" w:lineRule="atLeast"/>
        <w:ind w:firstLine="413" w:firstLineChars="196"/>
        <w:outlineLvl w:val="1"/>
        <w:rPr>
          <w:color w:val="auto"/>
          <w:szCs w:val="21"/>
          <w:highlight w:val="none"/>
        </w:rPr>
      </w:pPr>
      <w:r>
        <w:rPr>
          <w:b/>
          <w:bCs/>
          <w:color w:val="auto"/>
          <w:kern w:val="0"/>
          <w:szCs w:val="21"/>
          <w:highlight w:val="none"/>
        </w:rPr>
        <w:t>3</w:t>
      </w:r>
      <w:r>
        <w:rPr>
          <w:rFonts w:hint="eastAsia"/>
          <w:b/>
          <w:bCs/>
          <w:color w:val="auto"/>
          <w:kern w:val="0"/>
          <w:szCs w:val="21"/>
          <w:highlight w:val="none"/>
        </w:rPr>
        <w:t>.</w:t>
      </w:r>
      <w:r>
        <w:rPr>
          <w:b/>
          <w:bCs/>
          <w:color w:val="auto"/>
          <w:kern w:val="0"/>
          <w:szCs w:val="21"/>
          <w:highlight w:val="none"/>
        </w:rPr>
        <w:t>符合性审查</w:t>
      </w:r>
      <w:r>
        <w:rPr>
          <w:rFonts w:hint="eastAsia"/>
          <w:b/>
          <w:bCs/>
          <w:color w:val="auto"/>
          <w:kern w:val="0"/>
          <w:szCs w:val="21"/>
          <w:highlight w:val="none"/>
        </w:rPr>
        <w:t>标准（不满足任何一项审查内容要求，符合性审查即为不合格）</w:t>
      </w:r>
    </w:p>
    <w:tbl>
      <w:tblPr>
        <w:tblStyle w:val="51"/>
        <w:tblW w:w="893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2"/>
        <w:gridCol w:w="2333"/>
        <w:gridCol w:w="5085"/>
      </w:tblGrid>
      <w:tr w14:paraId="0CCB8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12" w:type="dxa"/>
            <w:noWrap w:val="0"/>
            <w:vAlign w:val="center"/>
          </w:tcPr>
          <w:p w14:paraId="72B3A2B3">
            <w:pPr>
              <w:keepNext w:val="0"/>
              <w:keepLines w:val="0"/>
              <w:suppressLineNumbers w:val="0"/>
              <w:spacing w:before="0" w:beforeAutospacing="0" w:after="0" w:afterAutospacing="0" w:line="240" w:lineRule="exact"/>
              <w:ind w:left="0" w:right="0"/>
              <w:jc w:val="center"/>
              <w:rPr>
                <w:rFonts w:hint="default"/>
                <w:b/>
                <w:color w:val="auto"/>
                <w:kern w:val="0"/>
                <w:szCs w:val="21"/>
                <w:highlight w:val="none"/>
              </w:rPr>
            </w:pPr>
            <w:bookmarkStart w:id="75" w:name="_Hlk48146640"/>
            <w:bookmarkStart w:id="76" w:name="_Hlk20388968"/>
            <w:r>
              <w:rPr>
                <w:rFonts w:hint="eastAsia"/>
                <w:b/>
                <w:color w:val="auto"/>
                <w:kern w:val="0"/>
                <w:szCs w:val="21"/>
                <w:highlight w:val="none"/>
              </w:rPr>
              <w:t>审查</w:t>
            </w:r>
            <w:r>
              <w:rPr>
                <w:rFonts w:hint="default"/>
                <w:b/>
                <w:color w:val="auto"/>
                <w:kern w:val="0"/>
                <w:szCs w:val="21"/>
                <w:highlight w:val="none"/>
              </w:rPr>
              <w:t>因素</w:t>
            </w:r>
          </w:p>
        </w:tc>
        <w:tc>
          <w:tcPr>
            <w:tcW w:w="2333" w:type="dxa"/>
            <w:noWrap w:val="0"/>
            <w:vAlign w:val="center"/>
          </w:tcPr>
          <w:p w14:paraId="51DC0124">
            <w:pPr>
              <w:keepNext w:val="0"/>
              <w:keepLines w:val="0"/>
              <w:suppressLineNumbers w:val="0"/>
              <w:spacing w:before="0" w:beforeAutospacing="0" w:after="0" w:afterAutospacing="0" w:line="240" w:lineRule="exact"/>
              <w:ind w:left="0" w:right="0"/>
              <w:jc w:val="center"/>
              <w:rPr>
                <w:rFonts w:hint="default"/>
                <w:b/>
                <w:color w:val="auto"/>
                <w:kern w:val="0"/>
                <w:szCs w:val="21"/>
                <w:highlight w:val="none"/>
              </w:rPr>
            </w:pPr>
            <w:r>
              <w:rPr>
                <w:rFonts w:hint="eastAsia"/>
                <w:b/>
                <w:color w:val="auto"/>
                <w:kern w:val="0"/>
                <w:szCs w:val="21"/>
                <w:highlight w:val="none"/>
              </w:rPr>
              <w:t>审查内容</w:t>
            </w:r>
          </w:p>
        </w:tc>
        <w:tc>
          <w:tcPr>
            <w:tcW w:w="5085" w:type="dxa"/>
            <w:noWrap w:val="0"/>
            <w:vAlign w:val="top"/>
          </w:tcPr>
          <w:p w14:paraId="2FC565F9">
            <w:pPr>
              <w:keepNext w:val="0"/>
              <w:keepLines w:val="0"/>
              <w:suppressLineNumbers w:val="0"/>
              <w:spacing w:before="0" w:beforeAutospacing="0" w:after="0" w:afterAutospacing="0" w:line="240" w:lineRule="exact"/>
              <w:ind w:left="0" w:right="0"/>
              <w:jc w:val="center"/>
              <w:rPr>
                <w:rFonts w:hint="default"/>
                <w:b/>
                <w:color w:val="auto"/>
                <w:kern w:val="0"/>
                <w:szCs w:val="21"/>
                <w:highlight w:val="none"/>
              </w:rPr>
            </w:pPr>
          </w:p>
          <w:p w14:paraId="545E722A">
            <w:pPr>
              <w:keepNext w:val="0"/>
              <w:keepLines w:val="0"/>
              <w:suppressLineNumbers w:val="0"/>
              <w:spacing w:before="0" w:beforeAutospacing="0" w:after="0" w:afterAutospacing="0" w:line="240" w:lineRule="exact"/>
              <w:ind w:left="0" w:right="0"/>
              <w:jc w:val="center"/>
              <w:rPr>
                <w:rFonts w:hint="default"/>
                <w:b/>
                <w:color w:val="auto"/>
                <w:kern w:val="0"/>
                <w:szCs w:val="21"/>
                <w:highlight w:val="none"/>
              </w:rPr>
            </w:pPr>
            <w:r>
              <w:rPr>
                <w:rFonts w:hint="eastAsia"/>
                <w:b/>
                <w:color w:val="auto"/>
                <w:kern w:val="0"/>
                <w:szCs w:val="21"/>
                <w:highlight w:val="none"/>
              </w:rPr>
              <w:t>说明</w:t>
            </w:r>
          </w:p>
        </w:tc>
      </w:tr>
      <w:tr w14:paraId="348B9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1512" w:type="dxa"/>
            <w:vMerge w:val="restart"/>
            <w:noWrap w:val="0"/>
            <w:vAlign w:val="center"/>
          </w:tcPr>
          <w:p w14:paraId="0853083F">
            <w:pPr>
              <w:keepNext w:val="0"/>
              <w:keepLines w:val="0"/>
              <w:suppressLineNumbers w:val="0"/>
              <w:spacing w:before="0" w:beforeAutospacing="0" w:after="0" w:afterAutospacing="0" w:line="240" w:lineRule="exact"/>
              <w:ind w:left="0" w:right="0"/>
              <w:jc w:val="center"/>
              <w:rPr>
                <w:rFonts w:hint="default"/>
                <w:color w:val="auto"/>
                <w:kern w:val="0"/>
                <w:szCs w:val="21"/>
                <w:highlight w:val="none"/>
              </w:rPr>
            </w:pPr>
            <w:r>
              <w:rPr>
                <w:rFonts w:hint="eastAsia"/>
                <w:color w:val="auto"/>
                <w:kern w:val="0"/>
                <w:szCs w:val="21"/>
                <w:highlight w:val="none"/>
              </w:rPr>
              <w:t>商务资信</w:t>
            </w:r>
          </w:p>
        </w:tc>
        <w:tc>
          <w:tcPr>
            <w:tcW w:w="2333" w:type="dxa"/>
            <w:noWrap w:val="0"/>
            <w:vAlign w:val="center"/>
          </w:tcPr>
          <w:p w14:paraId="14279ABF">
            <w:pPr>
              <w:keepNext w:val="0"/>
              <w:keepLines w:val="0"/>
              <w:suppressLineNumbers w:val="0"/>
              <w:spacing w:before="0" w:beforeAutospacing="0" w:after="0" w:afterAutospacing="0" w:line="240" w:lineRule="exact"/>
              <w:ind w:left="0" w:right="0"/>
              <w:rPr>
                <w:rFonts w:hint="default"/>
                <w:color w:val="auto"/>
                <w:highlight w:val="none"/>
              </w:rPr>
            </w:pPr>
            <w:r>
              <w:rPr>
                <w:rFonts w:hint="eastAsia"/>
                <w:color w:val="auto"/>
                <w:highlight w:val="none"/>
              </w:rPr>
              <w:t>法定代表人身份证明及授权委托书</w:t>
            </w:r>
          </w:p>
        </w:tc>
        <w:tc>
          <w:tcPr>
            <w:tcW w:w="5085" w:type="dxa"/>
            <w:noWrap w:val="0"/>
            <w:vAlign w:val="center"/>
          </w:tcPr>
          <w:p w14:paraId="26AC6D43">
            <w:pPr>
              <w:keepNext w:val="0"/>
              <w:keepLines w:val="0"/>
              <w:suppressLineNumbers w:val="0"/>
              <w:spacing w:before="0" w:beforeAutospacing="0" w:after="0" w:afterAutospacing="0" w:line="240" w:lineRule="exact"/>
              <w:ind w:left="0" w:right="0"/>
              <w:rPr>
                <w:rFonts w:hint="default"/>
                <w:color w:val="auto"/>
                <w:szCs w:val="21"/>
                <w:highlight w:val="none"/>
              </w:rPr>
            </w:pPr>
            <w:r>
              <w:rPr>
                <w:rFonts w:hint="eastAsia"/>
                <w:color w:val="auto"/>
                <w:szCs w:val="21"/>
                <w:highlight w:val="none"/>
              </w:rPr>
              <w:t>授权</w:t>
            </w:r>
            <w:r>
              <w:rPr>
                <w:rFonts w:hint="default"/>
                <w:color w:val="auto"/>
                <w:szCs w:val="21"/>
                <w:highlight w:val="none"/>
              </w:rPr>
              <w:t>代表</w:t>
            </w:r>
            <w:r>
              <w:rPr>
                <w:rFonts w:hint="eastAsia"/>
                <w:color w:val="auto"/>
                <w:szCs w:val="21"/>
                <w:highlight w:val="none"/>
              </w:rPr>
              <w:t>参加响应</w:t>
            </w:r>
            <w:r>
              <w:rPr>
                <w:rFonts w:hint="default"/>
                <w:color w:val="auto"/>
                <w:szCs w:val="21"/>
                <w:highlight w:val="none"/>
              </w:rPr>
              <w:t>时审查</w:t>
            </w:r>
            <w:r>
              <w:rPr>
                <w:rFonts w:hint="default"/>
                <w:color w:val="auto"/>
                <w:highlight w:val="none"/>
              </w:rPr>
              <w:t>：</w:t>
            </w:r>
            <w:r>
              <w:rPr>
                <w:rFonts w:hint="default" w:ascii="宋体" w:hAnsi="宋体"/>
                <w:color w:val="auto"/>
                <w:szCs w:val="21"/>
                <w:highlight w:val="none"/>
              </w:rPr>
              <w:t>法定代表人授权委托书及附件</w:t>
            </w:r>
            <w:r>
              <w:rPr>
                <w:rFonts w:hint="default"/>
                <w:color w:val="auto"/>
                <w:szCs w:val="21"/>
                <w:highlight w:val="none"/>
              </w:rPr>
              <w:t xml:space="preserve"> </w:t>
            </w:r>
          </w:p>
          <w:p w14:paraId="0589F0C4">
            <w:pPr>
              <w:keepNext w:val="0"/>
              <w:keepLines w:val="0"/>
              <w:suppressLineNumbers w:val="0"/>
              <w:spacing w:before="0" w:beforeAutospacing="0" w:after="0" w:afterAutospacing="0" w:line="240" w:lineRule="exact"/>
              <w:ind w:left="0" w:right="0"/>
              <w:rPr>
                <w:rFonts w:hint="default" w:ascii="宋体" w:hAnsi="宋体"/>
                <w:color w:val="auto"/>
                <w:szCs w:val="21"/>
                <w:highlight w:val="none"/>
              </w:rPr>
            </w:pPr>
            <w:r>
              <w:rPr>
                <w:rFonts w:hint="eastAsia"/>
                <w:color w:val="auto"/>
                <w:szCs w:val="21"/>
                <w:highlight w:val="none"/>
              </w:rPr>
              <w:t>法定代表人直接参加响应</w:t>
            </w:r>
            <w:r>
              <w:rPr>
                <w:rFonts w:hint="default"/>
                <w:color w:val="auto"/>
                <w:szCs w:val="21"/>
                <w:highlight w:val="none"/>
              </w:rPr>
              <w:t>时审查</w:t>
            </w:r>
            <w:r>
              <w:rPr>
                <w:rFonts w:hint="default"/>
                <w:color w:val="auto"/>
                <w:highlight w:val="none"/>
              </w:rPr>
              <w:t>：</w:t>
            </w:r>
            <w:r>
              <w:rPr>
                <w:rFonts w:hint="default" w:ascii="宋体" w:hAnsi="宋体"/>
                <w:color w:val="auto"/>
                <w:szCs w:val="21"/>
                <w:highlight w:val="none"/>
              </w:rPr>
              <w:t>法定代表人身份证明</w:t>
            </w:r>
            <w:r>
              <w:rPr>
                <w:rFonts w:hint="eastAsia" w:ascii="宋体" w:hAnsi="宋体"/>
                <w:color w:val="auto"/>
                <w:szCs w:val="21"/>
                <w:highlight w:val="none"/>
              </w:rPr>
              <w:t>及</w:t>
            </w:r>
            <w:r>
              <w:rPr>
                <w:rFonts w:hint="default" w:ascii="宋体" w:hAnsi="宋体"/>
                <w:color w:val="auto"/>
                <w:szCs w:val="21"/>
                <w:highlight w:val="none"/>
              </w:rPr>
              <w:t>附件</w:t>
            </w:r>
          </w:p>
          <w:p w14:paraId="5ED0CE55">
            <w:pPr>
              <w:keepNext w:val="0"/>
              <w:keepLines w:val="0"/>
              <w:suppressLineNumbers w:val="0"/>
              <w:spacing w:before="0" w:beforeAutospacing="0" w:after="0" w:afterAutospacing="0" w:line="240" w:lineRule="exact"/>
              <w:ind w:left="0" w:right="0"/>
              <w:rPr>
                <w:rFonts w:hint="default"/>
                <w:color w:val="auto"/>
                <w:highlight w:val="none"/>
              </w:rPr>
            </w:pPr>
            <w:r>
              <w:rPr>
                <w:rFonts w:hint="default" w:ascii="宋体" w:hAnsi="宋体"/>
                <w:color w:val="auto"/>
                <w:szCs w:val="21"/>
                <w:highlight w:val="none"/>
              </w:rPr>
              <w:t>格式及附件见第六章响应文件格式要求</w:t>
            </w:r>
          </w:p>
        </w:tc>
      </w:tr>
      <w:tr w14:paraId="6096D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12" w:type="dxa"/>
            <w:vMerge w:val="continue"/>
            <w:noWrap w:val="0"/>
            <w:vAlign w:val="center"/>
          </w:tcPr>
          <w:p w14:paraId="7CE44837">
            <w:pPr>
              <w:keepNext w:val="0"/>
              <w:keepLines w:val="0"/>
              <w:suppressLineNumbers w:val="0"/>
              <w:spacing w:before="0" w:beforeAutospacing="0" w:after="0" w:afterAutospacing="0" w:line="240" w:lineRule="exact"/>
              <w:ind w:left="0" w:right="0"/>
              <w:jc w:val="center"/>
              <w:rPr>
                <w:rFonts w:hint="default"/>
                <w:color w:val="auto"/>
                <w:kern w:val="0"/>
                <w:szCs w:val="21"/>
                <w:highlight w:val="none"/>
              </w:rPr>
            </w:pPr>
          </w:p>
        </w:tc>
        <w:tc>
          <w:tcPr>
            <w:tcW w:w="2333" w:type="dxa"/>
            <w:noWrap w:val="0"/>
            <w:vAlign w:val="center"/>
          </w:tcPr>
          <w:p w14:paraId="7A010802">
            <w:pPr>
              <w:keepNext w:val="0"/>
              <w:keepLines w:val="0"/>
              <w:suppressLineNumbers w:val="0"/>
              <w:spacing w:before="0" w:beforeAutospacing="0" w:after="0" w:afterAutospacing="0" w:line="240" w:lineRule="exact"/>
              <w:ind w:left="0" w:right="0"/>
              <w:rPr>
                <w:rFonts w:hint="default"/>
                <w:color w:val="auto"/>
                <w:szCs w:val="21"/>
                <w:highlight w:val="none"/>
              </w:rPr>
            </w:pPr>
            <w:r>
              <w:rPr>
                <w:rFonts w:hint="eastAsia"/>
                <w:color w:val="auto"/>
                <w:szCs w:val="21"/>
                <w:highlight w:val="none"/>
              </w:rPr>
              <w:t>实质性条款响应</w:t>
            </w:r>
          </w:p>
        </w:tc>
        <w:tc>
          <w:tcPr>
            <w:tcW w:w="5085" w:type="dxa"/>
            <w:noWrap w:val="0"/>
            <w:vAlign w:val="center"/>
          </w:tcPr>
          <w:p w14:paraId="3E011B4C">
            <w:pPr>
              <w:keepNext w:val="0"/>
              <w:keepLines w:val="0"/>
              <w:suppressLineNumbers w:val="0"/>
              <w:spacing w:before="0" w:beforeAutospacing="0" w:after="0" w:afterAutospacing="0" w:line="240" w:lineRule="exact"/>
              <w:ind w:left="0" w:right="0"/>
              <w:rPr>
                <w:rFonts w:hint="default"/>
                <w:color w:val="auto"/>
                <w:szCs w:val="21"/>
                <w:highlight w:val="none"/>
              </w:rPr>
            </w:pPr>
            <w:r>
              <w:rPr>
                <w:rFonts w:hint="eastAsia" w:ascii="宋体" w:hAnsi="宋体"/>
                <w:color w:val="auto"/>
                <w:szCs w:val="21"/>
                <w:highlight w:val="none"/>
              </w:rPr>
              <w:t>采购文件实质性要求响应均无负偏离</w:t>
            </w:r>
          </w:p>
        </w:tc>
      </w:tr>
      <w:tr w14:paraId="77B0C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12" w:type="dxa"/>
            <w:vMerge w:val="continue"/>
            <w:noWrap w:val="0"/>
            <w:vAlign w:val="center"/>
          </w:tcPr>
          <w:p w14:paraId="627BB0FC">
            <w:pPr>
              <w:keepNext w:val="0"/>
              <w:keepLines w:val="0"/>
              <w:suppressLineNumbers w:val="0"/>
              <w:spacing w:before="0" w:beforeAutospacing="0" w:after="0" w:afterAutospacing="0" w:line="240" w:lineRule="exact"/>
              <w:ind w:left="0" w:right="0"/>
              <w:jc w:val="center"/>
              <w:rPr>
                <w:rFonts w:hint="default"/>
                <w:color w:val="auto"/>
                <w:kern w:val="0"/>
                <w:szCs w:val="21"/>
                <w:highlight w:val="none"/>
              </w:rPr>
            </w:pPr>
          </w:p>
        </w:tc>
        <w:tc>
          <w:tcPr>
            <w:tcW w:w="2333" w:type="dxa"/>
            <w:noWrap w:val="0"/>
            <w:vAlign w:val="center"/>
          </w:tcPr>
          <w:p w14:paraId="1BD423EE">
            <w:pPr>
              <w:keepNext w:val="0"/>
              <w:keepLines w:val="0"/>
              <w:suppressLineNumbers w:val="0"/>
              <w:spacing w:before="0" w:beforeAutospacing="0" w:after="0" w:afterAutospacing="0" w:line="240" w:lineRule="exact"/>
              <w:ind w:left="0" w:right="0"/>
              <w:rPr>
                <w:rFonts w:hint="default"/>
                <w:color w:val="auto"/>
                <w:szCs w:val="21"/>
                <w:highlight w:val="none"/>
              </w:rPr>
            </w:pPr>
            <w:r>
              <w:rPr>
                <w:rFonts w:hint="eastAsia"/>
                <w:color w:val="auto"/>
                <w:szCs w:val="21"/>
                <w:highlight w:val="none"/>
              </w:rPr>
              <w:t>串通投标</w:t>
            </w:r>
          </w:p>
        </w:tc>
        <w:tc>
          <w:tcPr>
            <w:tcW w:w="5085" w:type="dxa"/>
            <w:noWrap w:val="0"/>
            <w:vAlign w:val="center"/>
          </w:tcPr>
          <w:p w14:paraId="359F251B">
            <w:pPr>
              <w:keepNext w:val="0"/>
              <w:keepLines w:val="0"/>
              <w:suppressLineNumbers w:val="0"/>
              <w:spacing w:before="0" w:beforeAutospacing="0" w:after="0" w:afterAutospacing="0" w:line="240" w:lineRule="exact"/>
              <w:ind w:left="0" w:right="0"/>
              <w:rPr>
                <w:rFonts w:hint="default"/>
                <w:color w:val="auto"/>
                <w:szCs w:val="21"/>
                <w:highlight w:val="none"/>
              </w:rPr>
            </w:pPr>
            <w:r>
              <w:rPr>
                <w:rFonts w:hint="eastAsia" w:ascii="宋体" w:hAnsi="宋体"/>
                <w:color w:val="auto"/>
                <w:szCs w:val="21"/>
                <w:highlight w:val="none"/>
              </w:rPr>
              <w:t>不属于供应商须知正文第</w:t>
            </w:r>
            <w:r>
              <w:rPr>
                <w:rFonts w:hint="default" w:ascii="宋体" w:hAnsi="宋体"/>
                <w:color w:val="auto"/>
                <w:szCs w:val="21"/>
                <w:highlight w:val="none"/>
              </w:rPr>
              <w:t>6</w:t>
            </w:r>
            <w:r>
              <w:rPr>
                <w:rFonts w:hint="eastAsia" w:ascii="宋体" w:hAnsi="宋体"/>
                <w:color w:val="auto"/>
                <w:szCs w:val="21"/>
                <w:highlight w:val="none"/>
              </w:rPr>
              <w:t>.</w:t>
            </w:r>
            <w:r>
              <w:rPr>
                <w:rFonts w:hint="default" w:ascii="宋体" w:hAnsi="宋体"/>
                <w:color w:val="auto"/>
                <w:szCs w:val="21"/>
                <w:highlight w:val="none"/>
              </w:rPr>
              <w:t>3</w:t>
            </w:r>
            <w:r>
              <w:rPr>
                <w:rFonts w:hint="eastAsia" w:ascii="宋体" w:hAnsi="宋体"/>
                <w:color w:val="auto"/>
                <w:szCs w:val="21"/>
                <w:highlight w:val="none"/>
              </w:rPr>
              <w:t>.</w:t>
            </w:r>
            <w:r>
              <w:rPr>
                <w:rFonts w:hint="eastAsia" w:ascii="宋体" w:hAnsi="宋体"/>
                <w:color w:val="auto"/>
                <w:szCs w:val="21"/>
                <w:highlight w:val="none"/>
                <w:lang w:val="en-US" w:eastAsia="zh-CN"/>
              </w:rPr>
              <w:t>9</w:t>
            </w:r>
            <w:r>
              <w:rPr>
                <w:rFonts w:hint="eastAsia" w:ascii="宋体" w:hAnsi="宋体"/>
                <w:color w:val="auto"/>
                <w:szCs w:val="21"/>
                <w:highlight w:val="none"/>
              </w:rPr>
              <w:t>规定的串通投标情形，见</w:t>
            </w:r>
            <w:r>
              <w:rPr>
                <w:rFonts w:hint="default" w:ascii="宋体" w:hAnsi="宋体"/>
                <w:color w:val="auto"/>
                <w:szCs w:val="21"/>
                <w:highlight w:val="none"/>
              </w:rPr>
              <w:t>第六章响应文件格式要求</w:t>
            </w:r>
          </w:p>
        </w:tc>
      </w:tr>
      <w:tr w14:paraId="7AB0B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restart"/>
            <w:noWrap w:val="0"/>
            <w:vAlign w:val="center"/>
          </w:tcPr>
          <w:p w14:paraId="2D090CBF">
            <w:pPr>
              <w:keepNext w:val="0"/>
              <w:keepLines w:val="0"/>
              <w:suppressLineNumbers w:val="0"/>
              <w:spacing w:before="0" w:beforeAutospacing="0" w:after="0" w:afterAutospacing="0" w:line="240" w:lineRule="exact"/>
              <w:ind w:left="0" w:right="0"/>
              <w:jc w:val="center"/>
              <w:rPr>
                <w:rFonts w:hint="default"/>
                <w:color w:val="auto"/>
                <w:kern w:val="0"/>
                <w:szCs w:val="21"/>
                <w:highlight w:val="none"/>
              </w:rPr>
            </w:pPr>
            <w:r>
              <w:rPr>
                <w:rFonts w:hint="eastAsia"/>
                <w:color w:val="auto"/>
                <w:kern w:val="0"/>
                <w:szCs w:val="21"/>
                <w:highlight w:val="none"/>
              </w:rPr>
              <w:t>报价</w:t>
            </w:r>
          </w:p>
        </w:tc>
        <w:tc>
          <w:tcPr>
            <w:tcW w:w="2333" w:type="dxa"/>
            <w:noWrap w:val="0"/>
            <w:vAlign w:val="center"/>
          </w:tcPr>
          <w:p w14:paraId="4150A3D7">
            <w:pPr>
              <w:keepNext w:val="0"/>
              <w:keepLines w:val="0"/>
              <w:suppressLineNumbers w:val="0"/>
              <w:spacing w:before="0" w:beforeAutospacing="0" w:after="0" w:afterAutospacing="0" w:line="240" w:lineRule="exact"/>
              <w:ind w:left="0" w:right="0"/>
              <w:rPr>
                <w:rFonts w:hint="default"/>
                <w:color w:val="auto"/>
                <w:szCs w:val="21"/>
                <w:highlight w:val="none"/>
              </w:rPr>
            </w:pPr>
            <w:r>
              <w:rPr>
                <w:rFonts w:hint="eastAsia"/>
                <w:color w:val="auto"/>
                <w:szCs w:val="21"/>
                <w:highlight w:val="none"/>
              </w:rPr>
              <w:t>有效报价</w:t>
            </w:r>
          </w:p>
        </w:tc>
        <w:tc>
          <w:tcPr>
            <w:tcW w:w="5085" w:type="dxa"/>
            <w:noWrap w:val="0"/>
            <w:vAlign w:val="center"/>
          </w:tcPr>
          <w:p w14:paraId="19D6AF3E">
            <w:pPr>
              <w:keepNext w:val="0"/>
              <w:keepLines w:val="0"/>
              <w:suppressLineNumbers w:val="0"/>
              <w:spacing w:before="0" w:beforeAutospacing="0" w:after="0" w:afterAutospacing="0" w:line="240" w:lineRule="exact"/>
              <w:ind w:left="0" w:right="0"/>
              <w:rPr>
                <w:rFonts w:hint="default"/>
                <w:bCs/>
                <w:color w:val="auto"/>
                <w:kern w:val="0"/>
                <w:szCs w:val="21"/>
                <w:highlight w:val="none"/>
              </w:rPr>
            </w:pPr>
            <w:r>
              <w:rPr>
                <w:rFonts w:hint="eastAsia" w:ascii="Times New Roman" w:hAnsi="Times New Roman" w:eastAsia="宋体" w:cs="Times New Roman"/>
                <w:color w:val="auto"/>
                <w:kern w:val="2"/>
                <w:sz w:val="21"/>
                <w:szCs w:val="24"/>
                <w:highlight w:val="none"/>
                <w:lang w:val="en-US" w:eastAsia="zh-CN" w:bidi="ar"/>
              </w:rPr>
              <w:t>报价未超出采购预算金额，也未超出最高限价（如有）</w:t>
            </w:r>
            <w:r>
              <w:rPr>
                <w:rFonts w:hint="default" w:ascii="宋体" w:hAnsi="宋体" w:eastAsia="宋体" w:cs="宋体"/>
                <w:color w:val="auto"/>
                <w:sz w:val="24"/>
                <w:szCs w:val="24"/>
                <w:highlight w:val="none"/>
                <w:lang w:eastAsia="zh-CN"/>
              </w:rPr>
              <w:t xml:space="preserve"> </w:t>
            </w:r>
          </w:p>
        </w:tc>
      </w:tr>
      <w:tr w14:paraId="71EA3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noWrap w:val="0"/>
            <w:vAlign w:val="center"/>
          </w:tcPr>
          <w:p w14:paraId="22192D99">
            <w:pPr>
              <w:keepNext w:val="0"/>
              <w:keepLines w:val="0"/>
              <w:suppressLineNumbers w:val="0"/>
              <w:spacing w:before="0" w:beforeAutospacing="0" w:after="0" w:afterAutospacing="0" w:line="240" w:lineRule="exact"/>
              <w:ind w:left="0" w:right="0"/>
              <w:jc w:val="center"/>
              <w:rPr>
                <w:rFonts w:hint="default"/>
                <w:color w:val="auto"/>
                <w:kern w:val="0"/>
                <w:szCs w:val="21"/>
                <w:highlight w:val="none"/>
              </w:rPr>
            </w:pPr>
          </w:p>
        </w:tc>
        <w:tc>
          <w:tcPr>
            <w:tcW w:w="2333" w:type="dxa"/>
            <w:noWrap w:val="0"/>
            <w:vAlign w:val="center"/>
          </w:tcPr>
          <w:p w14:paraId="68B86AE2">
            <w:pPr>
              <w:keepNext w:val="0"/>
              <w:keepLines w:val="0"/>
              <w:suppressLineNumbers w:val="0"/>
              <w:spacing w:before="0" w:beforeAutospacing="0" w:after="0" w:afterAutospacing="0" w:line="240" w:lineRule="exact"/>
              <w:ind w:left="0" w:right="0"/>
              <w:rPr>
                <w:rFonts w:hint="default"/>
                <w:bCs/>
                <w:color w:val="auto"/>
                <w:kern w:val="0"/>
                <w:szCs w:val="21"/>
                <w:highlight w:val="none"/>
              </w:rPr>
            </w:pPr>
            <w:r>
              <w:rPr>
                <w:rFonts w:hint="eastAsia"/>
                <w:bCs/>
                <w:color w:val="auto"/>
                <w:kern w:val="0"/>
                <w:szCs w:val="21"/>
                <w:highlight w:val="none"/>
              </w:rPr>
              <w:t>漏项报价</w:t>
            </w:r>
          </w:p>
        </w:tc>
        <w:tc>
          <w:tcPr>
            <w:tcW w:w="5085" w:type="dxa"/>
            <w:noWrap w:val="0"/>
            <w:vAlign w:val="center"/>
          </w:tcPr>
          <w:p w14:paraId="6096DEEB">
            <w:pPr>
              <w:keepNext w:val="0"/>
              <w:keepLines w:val="0"/>
              <w:suppressLineNumbers w:val="0"/>
              <w:spacing w:before="0" w:beforeAutospacing="0" w:after="0" w:afterAutospacing="0" w:line="240" w:lineRule="exact"/>
              <w:ind w:left="0" w:right="0"/>
              <w:rPr>
                <w:rFonts w:hint="default" w:hAnsi="宋体"/>
                <w:color w:val="auto"/>
                <w:szCs w:val="21"/>
                <w:highlight w:val="none"/>
              </w:rPr>
            </w:pPr>
            <w:r>
              <w:rPr>
                <w:rFonts w:hint="eastAsia" w:ascii="宋体" w:hAnsi="宋体"/>
                <w:color w:val="auto"/>
                <w:szCs w:val="21"/>
                <w:highlight w:val="none"/>
              </w:rPr>
              <w:t>未就所投分标进行报价或者存在漏项报价；</w:t>
            </w:r>
          </w:p>
        </w:tc>
      </w:tr>
      <w:tr w14:paraId="28E62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noWrap w:val="0"/>
            <w:vAlign w:val="center"/>
          </w:tcPr>
          <w:p w14:paraId="7E41A114">
            <w:pPr>
              <w:keepNext w:val="0"/>
              <w:keepLines w:val="0"/>
              <w:suppressLineNumbers w:val="0"/>
              <w:spacing w:before="0" w:beforeAutospacing="0" w:after="0" w:afterAutospacing="0" w:line="240" w:lineRule="exact"/>
              <w:ind w:left="0" w:right="0"/>
              <w:jc w:val="center"/>
              <w:rPr>
                <w:rFonts w:hint="default"/>
                <w:color w:val="auto"/>
                <w:kern w:val="0"/>
                <w:szCs w:val="21"/>
                <w:highlight w:val="none"/>
              </w:rPr>
            </w:pPr>
          </w:p>
        </w:tc>
        <w:tc>
          <w:tcPr>
            <w:tcW w:w="2333" w:type="dxa"/>
            <w:noWrap w:val="0"/>
            <w:vAlign w:val="center"/>
          </w:tcPr>
          <w:p w14:paraId="5D7D1EFF">
            <w:pPr>
              <w:keepNext w:val="0"/>
              <w:keepLines w:val="0"/>
              <w:suppressLineNumbers w:val="0"/>
              <w:spacing w:before="0" w:beforeAutospacing="0" w:after="0" w:afterAutospacing="0" w:line="240" w:lineRule="exact"/>
              <w:ind w:left="0" w:right="0"/>
              <w:rPr>
                <w:rFonts w:hint="default" w:hAnsi="宋体"/>
                <w:color w:val="auto"/>
                <w:szCs w:val="21"/>
                <w:highlight w:val="none"/>
              </w:rPr>
            </w:pPr>
            <w:r>
              <w:rPr>
                <w:rFonts w:hint="eastAsia" w:hAnsi="宋体"/>
                <w:color w:val="auto"/>
                <w:szCs w:val="21"/>
                <w:highlight w:val="none"/>
              </w:rPr>
              <w:t>响应报价唯一性</w:t>
            </w:r>
          </w:p>
        </w:tc>
        <w:tc>
          <w:tcPr>
            <w:tcW w:w="5085" w:type="dxa"/>
            <w:noWrap w:val="0"/>
            <w:vAlign w:val="center"/>
          </w:tcPr>
          <w:p w14:paraId="3347F120">
            <w:pPr>
              <w:keepNext w:val="0"/>
              <w:keepLines w:val="0"/>
              <w:suppressLineNumbers w:val="0"/>
              <w:spacing w:before="0" w:beforeAutospacing="0" w:after="0" w:afterAutospacing="0" w:line="240" w:lineRule="exact"/>
              <w:ind w:left="0" w:right="0"/>
              <w:rPr>
                <w:rFonts w:hint="default"/>
                <w:color w:val="auto"/>
                <w:szCs w:val="21"/>
                <w:highlight w:val="none"/>
              </w:rPr>
            </w:pPr>
            <w:r>
              <w:rPr>
                <w:rFonts w:hint="eastAsia" w:ascii="宋体" w:hAnsi="宋体"/>
                <w:color w:val="auto"/>
                <w:szCs w:val="21"/>
                <w:highlight w:val="none"/>
              </w:rPr>
              <w:t>不存在有选择、有条件的最后报价（采购文件允许有备选方案或者其他约定的除外）</w:t>
            </w:r>
          </w:p>
        </w:tc>
      </w:tr>
      <w:tr w14:paraId="1CC6A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noWrap w:val="0"/>
            <w:vAlign w:val="center"/>
          </w:tcPr>
          <w:p w14:paraId="4C54B6FC">
            <w:pPr>
              <w:keepNext w:val="0"/>
              <w:keepLines w:val="0"/>
              <w:suppressLineNumbers w:val="0"/>
              <w:spacing w:before="0" w:beforeAutospacing="0" w:after="0" w:afterAutospacing="0" w:line="240" w:lineRule="exact"/>
              <w:ind w:left="0" w:right="0"/>
              <w:jc w:val="center"/>
              <w:rPr>
                <w:rFonts w:hint="default"/>
                <w:color w:val="auto"/>
                <w:kern w:val="0"/>
                <w:szCs w:val="21"/>
                <w:highlight w:val="none"/>
              </w:rPr>
            </w:pPr>
          </w:p>
        </w:tc>
        <w:tc>
          <w:tcPr>
            <w:tcW w:w="2333" w:type="dxa"/>
            <w:noWrap w:val="0"/>
            <w:vAlign w:val="center"/>
          </w:tcPr>
          <w:p w14:paraId="43A1538E">
            <w:pPr>
              <w:keepNext w:val="0"/>
              <w:keepLines w:val="0"/>
              <w:suppressLineNumbers w:val="0"/>
              <w:spacing w:before="0" w:beforeAutospacing="0" w:after="0" w:afterAutospacing="0" w:line="240" w:lineRule="exact"/>
              <w:ind w:left="0" w:right="0"/>
              <w:rPr>
                <w:rFonts w:hint="default" w:ascii="宋体" w:hAnsi="宋体"/>
                <w:color w:val="auto"/>
                <w:szCs w:val="21"/>
                <w:highlight w:val="none"/>
              </w:rPr>
            </w:pPr>
            <w:r>
              <w:rPr>
                <w:rFonts w:hint="eastAsia"/>
                <w:color w:val="auto"/>
                <w:szCs w:val="21"/>
                <w:highlight w:val="none"/>
              </w:rPr>
              <w:t>响应有效期</w:t>
            </w:r>
          </w:p>
        </w:tc>
        <w:tc>
          <w:tcPr>
            <w:tcW w:w="5085" w:type="dxa"/>
            <w:noWrap w:val="0"/>
            <w:vAlign w:val="center"/>
          </w:tcPr>
          <w:p w14:paraId="1C1EC30C">
            <w:pPr>
              <w:keepNext w:val="0"/>
              <w:keepLines w:val="0"/>
              <w:suppressLineNumbers w:val="0"/>
              <w:spacing w:before="0" w:beforeAutospacing="0" w:after="0" w:afterAutospacing="0" w:line="240" w:lineRule="exact"/>
              <w:ind w:left="0" w:right="0"/>
              <w:rPr>
                <w:rFonts w:hint="default"/>
                <w:color w:val="auto"/>
                <w:szCs w:val="21"/>
                <w:highlight w:val="none"/>
              </w:rPr>
            </w:pPr>
            <w:r>
              <w:rPr>
                <w:rFonts w:hint="eastAsia" w:ascii="宋体" w:hAnsi="宋体"/>
                <w:color w:val="auto"/>
                <w:szCs w:val="21"/>
                <w:highlight w:val="none"/>
              </w:rPr>
              <w:t>满足采购文件规定</w:t>
            </w:r>
          </w:p>
        </w:tc>
      </w:tr>
      <w:bookmarkEnd w:id="75"/>
      <w:bookmarkEnd w:id="76"/>
    </w:tbl>
    <w:p w14:paraId="3DE860A0">
      <w:pPr>
        <w:spacing w:before="120" w:line="320" w:lineRule="atLeast"/>
        <w:rPr>
          <w:rFonts w:hint="eastAsia"/>
          <w:color w:val="auto"/>
          <w:highlight w:val="none"/>
        </w:rPr>
      </w:pPr>
    </w:p>
    <w:p w14:paraId="3FAA3892">
      <w:pPr>
        <w:spacing w:before="120" w:line="320" w:lineRule="atLeast"/>
        <w:rPr>
          <w:rFonts w:hint="eastAsia"/>
          <w:color w:val="auto"/>
          <w:highlight w:val="none"/>
        </w:rPr>
      </w:pPr>
    </w:p>
    <w:p w14:paraId="3A332AC8">
      <w:pPr>
        <w:tabs>
          <w:tab w:val="left" w:pos="1950"/>
        </w:tabs>
        <w:spacing w:before="120" w:line="320" w:lineRule="atLeast"/>
        <w:jc w:val="left"/>
        <w:outlineLvl w:val="1"/>
        <w:rPr>
          <w:rFonts w:hint="eastAsia" w:eastAsia="宋体"/>
          <w:b/>
          <w:bCs/>
          <w:color w:val="auto"/>
          <w:kern w:val="0"/>
          <w:szCs w:val="21"/>
          <w:highlight w:val="none"/>
          <w:lang w:eastAsia="zh-CN"/>
        </w:rPr>
      </w:pPr>
      <w:r>
        <w:rPr>
          <w:b/>
          <w:bCs/>
          <w:color w:val="auto"/>
          <w:kern w:val="0"/>
          <w:highlight w:val="none"/>
        </w:rPr>
        <w:br w:type="page"/>
      </w:r>
      <w:r>
        <w:rPr>
          <w:b/>
          <w:bCs/>
          <w:color w:val="auto"/>
          <w:kern w:val="0"/>
          <w:szCs w:val="21"/>
          <w:highlight w:val="none"/>
        </w:rPr>
        <w:t>4.</w:t>
      </w:r>
      <w:r>
        <w:rPr>
          <w:rFonts w:hint="eastAsia"/>
          <w:b/>
          <w:bCs/>
          <w:color w:val="auto"/>
          <w:kern w:val="0"/>
          <w:szCs w:val="21"/>
          <w:highlight w:val="none"/>
        </w:rPr>
        <w:t>评审标准</w:t>
      </w:r>
    </w:p>
    <w:p w14:paraId="22CCE420">
      <w:pPr>
        <w:ind w:firstLine="420" w:firstLineChars="200"/>
        <w:rPr>
          <w:color w:val="auto"/>
          <w:highlight w:val="none"/>
        </w:rPr>
      </w:pPr>
    </w:p>
    <w:tbl>
      <w:tblPr>
        <w:tblStyle w:val="51"/>
        <w:tblW w:w="8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829"/>
        <w:gridCol w:w="5088"/>
        <w:gridCol w:w="756"/>
        <w:gridCol w:w="1476"/>
      </w:tblGrid>
      <w:tr w14:paraId="781BB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08" w:type="dxa"/>
            <w:noWrap w:val="0"/>
            <w:vAlign w:val="center"/>
          </w:tcPr>
          <w:p w14:paraId="1760AE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829" w:type="dxa"/>
            <w:noWrap w:val="0"/>
            <w:vAlign w:val="center"/>
          </w:tcPr>
          <w:p w14:paraId="69AE4B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类型</w:t>
            </w:r>
          </w:p>
        </w:tc>
        <w:tc>
          <w:tcPr>
            <w:tcW w:w="5088" w:type="dxa"/>
            <w:noWrap w:val="0"/>
            <w:vAlign w:val="center"/>
          </w:tcPr>
          <w:p w14:paraId="289439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评分标准</w:t>
            </w:r>
          </w:p>
        </w:tc>
        <w:tc>
          <w:tcPr>
            <w:tcW w:w="756" w:type="dxa"/>
            <w:noWrap w:val="0"/>
            <w:vAlign w:val="center"/>
          </w:tcPr>
          <w:p w14:paraId="49E955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分值权重</w:t>
            </w:r>
          </w:p>
        </w:tc>
        <w:tc>
          <w:tcPr>
            <w:tcW w:w="1476" w:type="dxa"/>
            <w:noWrap w:val="0"/>
            <w:vAlign w:val="center"/>
          </w:tcPr>
          <w:p w14:paraId="552144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说明</w:t>
            </w:r>
          </w:p>
        </w:tc>
      </w:tr>
      <w:tr w14:paraId="48252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8" w:type="dxa"/>
            <w:vMerge w:val="restart"/>
            <w:noWrap w:val="0"/>
            <w:vAlign w:val="center"/>
          </w:tcPr>
          <w:p w14:paraId="353BA2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p>
        </w:tc>
        <w:tc>
          <w:tcPr>
            <w:tcW w:w="829" w:type="dxa"/>
            <w:vMerge w:val="restart"/>
            <w:noWrap w:val="0"/>
            <w:vAlign w:val="center"/>
          </w:tcPr>
          <w:p w14:paraId="50B4E8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技术</w:t>
            </w:r>
            <w:r>
              <w:rPr>
                <w:rFonts w:hint="eastAsia" w:ascii="宋体" w:hAnsi="宋体" w:eastAsia="宋体" w:cs="宋体"/>
                <w:color w:val="auto"/>
                <w:sz w:val="21"/>
                <w:szCs w:val="21"/>
                <w:highlight w:val="none"/>
                <w:lang w:val="en-US" w:eastAsia="zh-CN"/>
              </w:rPr>
              <w:t>分</w:t>
            </w:r>
            <w:r>
              <w:rPr>
                <w:rFonts w:hint="eastAsia" w:ascii="宋体" w:hAnsi="宋体" w:cs="宋体"/>
                <w:color w:val="auto"/>
                <w:sz w:val="21"/>
                <w:szCs w:val="21"/>
                <w:highlight w:val="none"/>
                <w:lang w:val="en-US" w:eastAsia="zh-CN"/>
              </w:rPr>
              <w:t>（60分）</w:t>
            </w:r>
          </w:p>
        </w:tc>
        <w:tc>
          <w:tcPr>
            <w:tcW w:w="5088" w:type="dxa"/>
            <w:noWrap w:val="0"/>
            <w:vAlign w:val="center"/>
          </w:tcPr>
          <w:p w14:paraId="5F7610E6">
            <w:pPr>
              <w:keepNext w:val="0"/>
              <w:keepLines w:val="0"/>
              <w:suppressLineNumbers w:val="0"/>
              <w:adjustRightInd w:val="0"/>
              <w:snapToGrid w:val="0"/>
              <w:spacing w:before="0" w:beforeAutospacing="0" w:after="0" w:afterAutospacing="0" w:line="400" w:lineRule="exact"/>
              <w:ind w:left="0" w:right="0"/>
              <w:rPr>
                <w:rFonts w:hint="eastAsia" w:ascii="宋体" w:hAnsi="宋体" w:cs="宋体"/>
                <w:b/>
                <w:bCs w:val="0"/>
                <w:color w:val="auto"/>
                <w:kern w:val="0"/>
                <w:szCs w:val="21"/>
                <w:highlight w:val="none"/>
                <w:lang w:bidi="ar"/>
              </w:rPr>
            </w:pPr>
            <w:r>
              <w:rPr>
                <w:rFonts w:hint="eastAsia" w:ascii="宋体" w:hAnsi="宋体" w:cs="宋体"/>
                <w:b/>
                <w:bCs w:val="0"/>
                <w:color w:val="auto"/>
                <w:kern w:val="0"/>
                <w:szCs w:val="21"/>
                <w:highlight w:val="none"/>
                <w:lang w:bidi="ar"/>
              </w:rPr>
              <w:t>技术服务方案分</w:t>
            </w:r>
          </w:p>
          <w:p w14:paraId="187A5A38">
            <w:pPr>
              <w:keepNext w:val="0"/>
              <w:keepLines w:val="0"/>
              <w:suppressLineNumbers w:val="0"/>
              <w:adjustRightInd w:val="0"/>
              <w:snapToGrid w:val="0"/>
              <w:spacing w:before="0" w:beforeAutospacing="0" w:after="0" w:afterAutospacing="0" w:line="400" w:lineRule="exact"/>
              <w:ind w:left="0" w:right="0" w:firstLine="420" w:firstLineChars="200"/>
              <w:rPr>
                <w:rFonts w:hint="default" w:ascii="宋体" w:hAnsi="宋体" w:cs="宋体"/>
                <w:bCs/>
                <w:color w:val="auto"/>
                <w:szCs w:val="21"/>
                <w:highlight w:val="none"/>
              </w:rPr>
            </w:pPr>
            <w:r>
              <w:rPr>
                <w:rFonts w:hint="eastAsia" w:ascii="宋体" w:hAnsi="宋体" w:cs="宋体"/>
                <w:bCs/>
                <w:color w:val="auto"/>
                <w:szCs w:val="21"/>
                <w:highlight w:val="none"/>
                <w:lang w:bidi="ar"/>
              </w:rPr>
              <w:t>一档（</w:t>
            </w:r>
            <w:r>
              <w:rPr>
                <w:rFonts w:hint="eastAsia" w:ascii="宋体" w:hAnsi="宋体" w:cs="宋体"/>
                <w:bCs/>
                <w:color w:val="auto"/>
                <w:szCs w:val="21"/>
                <w:highlight w:val="none"/>
                <w:lang w:val="en-US" w:eastAsia="zh-CN" w:bidi="ar"/>
              </w:rPr>
              <w:t>10</w:t>
            </w:r>
            <w:r>
              <w:rPr>
                <w:rFonts w:hint="default" w:ascii="宋体" w:hAnsi="宋体" w:cs="宋体"/>
                <w:bCs/>
                <w:color w:val="auto"/>
                <w:szCs w:val="21"/>
                <w:highlight w:val="none"/>
                <w:lang w:bidi="ar"/>
              </w:rPr>
              <w:t>分）：供应商提供的方案</w:t>
            </w:r>
            <w:r>
              <w:rPr>
                <w:rFonts w:hint="eastAsia" w:ascii="宋体" w:hAnsi="宋体" w:cs="宋体"/>
                <w:bCs/>
                <w:color w:val="auto"/>
                <w:szCs w:val="21"/>
                <w:highlight w:val="none"/>
                <w:lang w:bidi="ar"/>
              </w:rPr>
              <w:t>符合采购文件要求，测评措施方法能满足项目要求。</w:t>
            </w:r>
          </w:p>
          <w:p w14:paraId="28E3D86F">
            <w:pPr>
              <w:keepNext w:val="0"/>
              <w:keepLines w:val="0"/>
              <w:suppressLineNumbers w:val="0"/>
              <w:adjustRightInd w:val="0"/>
              <w:snapToGrid w:val="0"/>
              <w:spacing w:before="0" w:beforeAutospacing="0" w:after="0" w:afterAutospacing="0" w:line="400" w:lineRule="exact"/>
              <w:ind w:left="0" w:right="0" w:firstLine="420" w:firstLineChars="200"/>
              <w:rPr>
                <w:rFonts w:hint="default" w:ascii="宋体" w:hAnsi="宋体" w:cs="宋体"/>
                <w:bCs/>
                <w:color w:val="auto"/>
                <w:szCs w:val="21"/>
                <w:highlight w:val="none"/>
              </w:rPr>
            </w:pPr>
            <w:r>
              <w:rPr>
                <w:rFonts w:hint="eastAsia" w:ascii="宋体" w:hAnsi="宋体" w:cs="宋体"/>
                <w:bCs/>
                <w:color w:val="auto"/>
                <w:szCs w:val="21"/>
                <w:highlight w:val="none"/>
                <w:lang w:bidi="ar"/>
              </w:rPr>
              <w:t>二档（</w:t>
            </w:r>
            <w:r>
              <w:rPr>
                <w:rFonts w:hint="eastAsia" w:ascii="宋体" w:hAnsi="宋体" w:cs="宋体"/>
                <w:bCs/>
                <w:color w:val="auto"/>
                <w:szCs w:val="21"/>
                <w:highlight w:val="none"/>
                <w:lang w:val="en-US" w:eastAsia="zh-CN" w:bidi="ar"/>
              </w:rPr>
              <w:t>15</w:t>
            </w:r>
            <w:r>
              <w:rPr>
                <w:rFonts w:hint="default" w:ascii="宋体" w:hAnsi="宋体" w:cs="宋体"/>
                <w:bCs/>
                <w:color w:val="auto"/>
                <w:szCs w:val="21"/>
                <w:highlight w:val="none"/>
                <w:lang w:bidi="ar"/>
              </w:rPr>
              <w:t>分）：供应商提供的方案符合采购文件要求，</w:t>
            </w:r>
            <w:r>
              <w:rPr>
                <w:rFonts w:hint="eastAsia" w:ascii="宋体" w:hAnsi="宋体" w:cs="宋体"/>
                <w:bCs/>
                <w:color w:val="auto"/>
                <w:szCs w:val="21"/>
                <w:highlight w:val="none"/>
                <w:lang w:bidi="ar"/>
              </w:rPr>
              <w:t>描述了项目测评实现方式，方案可行。方案描述投入本项目测评的主要内容、采用的测评的标准和测评方法。有具体的人员结构、任务分配和进度安排。</w:t>
            </w:r>
          </w:p>
          <w:p w14:paraId="3217C4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Cs w:val="21"/>
                <w:highlight w:val="none"/>
                <w:lang w:bidi="ar"/>
              </w:rPr>
              <w:t>三档（</w:t>
            </w:r>
            <w:r>
              <w:rPr>
                <w:rFonts w:hint="eastAsia" w:ascii="宋体" w:hAnsi="宋体" w:cs="宋体"/>
                <w:bCs/>
                <w:color w:val="auto"/>
                <w:szCs w:val="21"/>
                <w:highlight w:val="none"/>
                <w:lang w:val="en-US" w:eastAsia="zh-CN" w:bidi="ar"/>
              </w:rPr>
              <w:t>20</w:t>
            </w:r>
            <w:r>
              <w:rPr>
                <w:rFonts w:hint="default" w:ascii="宋体" w:hAnsi="宋体" w:cs="宋体"/>
                <w:bCs/>
                <w:color w:val="auto"/>
                <w:szCs w:val="21"/>
                <w:highlight w:val="none"/>
                <w:lang w:bidi="ar"/>
              </w:rPr>
              <w:t>分）：供应商提供的方案完全满足采购文件要求，具有</w:t>
            </w:r>
            <w:r>
              <w:rPr>
                <w:rFonts w:hint="eastAsia" w:ascii="宋体" w:hAnsi="宋体" w:cs="宋体"/>
                <w:bCs/>
                <w:color w:val="auto"/>
                <w:szCs w:val="21"/>
                <w:highlight w:val="none"/>
                <w:lang w:bidi="ar"/>
              </w:rPr>
              <w:t>先进性。能结合项目实际详细描述投入项目测评的主要内容、采用的测评的标准、测评设备的型号、测评方法和保密承诺。人员结构科学，任务分配妥当，进度安排合理，质量保证措施具体、合理、可操作性强。</w:t>
            </w:r>
          </w:p>
        </w:tc>
        <w:tc>
          <w:tcPr>
            <w:tcW w:w="756" w:type="dxa"/>
            <w:noWrap w:val="0"/>
            <w:vAlign w:val="center"/>
          </w:tcPr>
          <w:p w14:paraId="7B3A10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20分</w:t>
            </w:r>
          </w:p>
        </w:tc>
        <w:tc>
          <w:tcPr>
            <w:tcW w:w="1476" w:type="dxa"/>
            <w:noWrap w:val="0"/>
            <w:vAlign w:val="center"/>
          </w:tcPr>
          <w:p w14:paraId="72401E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未提供或未达到一档要求的不得分。</w:t>
            </w:r>
          </w:p>
        </w:tc>
      </w:tr>
      <w:tr w14:paraId="17BD8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0" w:hRule="atLeast"/>
          <w:jc w:val="center"/>
        </w:trPr>
        <w:tc>
          <w:tcPr>
            <w:tcW w:w="708" w:type="dxa"/>
            <w:vMerge w:val="continue"/>
            <w:noWrap w:val="0"/>
            <w:vAlign w:val="center"/>
          </w:tcPr>
          <w:p w14:paraId="739261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b/>
                <w:color w:val="auto"/>
                <w:sz w:val="21"/>
                <w:szCs w:val="21"/>
                <w:highlight w:val="none"/>
              </w:rPr>
            </w:pPr>
          </w:p>
        </w:tc>
        <w:tc>
          <w:tcPr>
            <w:tcW w:w="829" w:type="dxa"/>
            <w:vMerge w:val="continue"/>
            <w:noWrap w:val="0"/>
            <w:vAlign w:val="center"/>
          </w:tcPr>
          <w:p w14:paraId="5E3628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color w:val="auto"/>
                <w:sz w:val="21"/>
                <w:szCs w:val="21"/>
                <w:highlight w:val="none"/>
              </w:rPr>
            </w:pPr>
          </w:p>
        </w:tc>
        <w:tc>
          <w:tcPr>
            <w:tcW w:w="5088" w:type="dxa"/>
            <w:noWrap w:val="0"/>
            <w:vAlign w:val="center"/>
          </w:tcPr>
          <w:p w14:paraId="36A4E6AE">
            <w:pPr>
              <w:keepNext w:val="0"/>
              <w:keepLines w:val="0"/>
              <w:suppressLineNumbers w:val="0"/>
              <w:wordWrap w:val="0"/>
              <w:snapToGrid w:val="0"/>
              <w:spacing w:before="0" w:beforeAutospacing="0" w:after="0" w:afterAutospacing="0" w:line="360" w:lineRule="auto"/>
              <w:ind w:left="0" w:right="0"/>
              <w:rPr>
                <w:rFonts w:hint="default"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监理实施方案分</w:t>
            </w:r>
          </w:p>
          <w:p w14:paraId="0616D6A3">
            <w:pPr>
              <w:keepNext w:val="0"/>
              <w:keepLines w:val="0"/>
              <w:suppressLineNumbers w:val="0"/>
              <w:wordWrap w:val="0"/>
              <w:snapToGrid w:val="0"/>
              <w:spacing w:before="0" w:beforeAutospacing="0" w:after="0" w:afterAutospacing="0" w:line="360" w:lineRule="auto"/>
              <w:ind w:left="0" w:right="0"/>
              <w:rPr>
                <w:rFonts w:hint="eastAsia" w:ascii="宋体" w:hAnsi="宋体" w:cs="宋体"/>
                <w:color w:val="auto"/>
                <w:szCs w:val="21"/>
                <w:highlight w:val="none"/>
              </w:rPr>
            </w:pPr>
            <w:r>
              <w:rPr>
                <w:rFonts w:hint="eastAsia" w:ascii="宋体" w:hAnsi="宋体" w:cs="宋体"/>
                <w:color w:val="auto"/>
                <w:szCs w:val="21"/>
                <w:highlight w:val="none"/>
              </w:rPr>
              <w:t>一档（</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仅能提供基本的项目实施方案，对本项目监理服务措施，对本项目投资控制措施、进度控制措施、质量控制措施分析简单。</w:t>
            </w:r>
          </w:p>
          <w:p w14:paraId="3C16EC98">
            <w:pPr>
              <w:keepNext w:val="0"/>
              <w:keepLines w:val="0"/>
              <w:suppressLineNumbers w:val="0"/>
              <w:wordWrap w:val="0"/>
              <w:snapToGrid w:val="0"/>
              <w:spacing w:before="0" w:beforeAutospacing="0" w:after="0" w:afterAutospacing="0" w:line="360" w:lineRule="auto"/>
              <w:ind w:left="0" w:right="0"/>
              <w:rPr>
                <w:rFonts w:hint="eastAsia" w:ascii="宋体" w:hAnsi="宋体" w:cs="宋体"/>
                <w:color w:val="auto"/>
                <w:szCs w:val="21"/>
                <w:highlight w:val="none"/>
              </w:rPr>
            </w:pPr>
            <w:r>
              <w:rPr>
                <w:rFonts w:hint="eastAsia" w:ascii="宋体" w:hAnsi="宋体" w:cs="宋体"/>
                <w:color w:val="auto"/>
                <w:szCs w:val="21"/>
                <w:highlight w:val="none"/>
              </w:rPr>
              <w:t>二档（</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分）</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在一档基础上，</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提供的项目监理服务方案中项目服务管理措施明确服务管理内容、范围及措施，进度控制措施详细描述目标、任务、方法、流程及措施，具有较为详细的质量控制措施目标、任务及流程、实施内容，内容理解合理、科学、具体。</w:t>
            </w:r>
          </w:p>
          <w:p w14:paraId="2B9F8B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cs="宋体"/>
                <w:bCs/>
                <w:color w:val="auto"/>
                <w:szCs w:val="21"/>
                <w:highlight w:val="none"/>
                <w:lang w:bidi="ar"/>
              </w:rPr>
            </w:pPr>
            <w:r>
              <w:rPr>
                <w:rFonts w:hint="eastAsia" w:ascii="宋体" w:hAnsi="宋体" w:cs="宋体"/>
                <w:color w:val="auto"/>
                <w:szCs w:val="21"/>
                <w:highlight w:val="none"/>
              </w:rPr>
              <w:t>三档（</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分）</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在二档基础上，</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能提供项目监理服务方案能针对分析应用软件开发项目监理、标准规范体系建设监理、应用支撑平台建设监理等重点难点，内容具体、针对性强、具备可操作性；且提供项目监理服务方案能分析项目监理过程中存在的风险，并且提出具体的防范措施，内容理解详细、针对性强、具备可操作性。</w:t>
            </w:r>
          </w:p>
        </w:tc>
        <w:tc>
          <w:tcPr>
            <w:tcW w:w="756" w:type="dxa"/>
            <w:noWrap w:val="0"/>
            <w:vAlign w:val="center"/>
          </w:tcPr>
          <w:p w14:paraId="76B251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20分</w:t>
            </w:r>
          </w:p>
        </w:tc>
        <w:tc>
          <w:tcPr>
            <w:tcW w:w="1476" w:type="dxa"/>
            <w:noWrap w:val="0"/>
            <w:vAlign w:val="center"/>
          </w:tcPr>
          <w:p w14:paraId="0C9595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未提供或未达到一档要求的不得分。</w:t>
            </w:r>
          </w:p>
        </w:tc>
      </w:tr>
      <w:tr w14:paraId="4BA38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08" w:type="dxa"/>
            <w:vMerge w:val="continue"/>
            <w:noWrap w:val="0"/>
            <w:vAlign w:val="center"/>
          </w:tcPr>
          <w:p w14:paraId="1FF010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b/>
                <w:color w:val="auto"/>
                <w:sz w:val="21"/>
                <w:szCs w:val="21"/>
                <w:highlight w:val="none"/>
              </w:rPr>
            </w:pPr>
          </w:p>
        </w:tc>
        <w:tc>
          <w:tcPr>
            <w:tcW w:w="829" w:type="dxa"/>
            <w:vMerge w:val="continue"/>
            <w:noWrap w:val="0"/>
            <w:vAlign w:val="center"/>
          </w:tcPr>
          <w:p w14:paraId="084841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color w:val="auto"/>
                <w:sz w:val="21"/>
                <w:szCs w:val="21"/>
                <w:highlight w:val="none"/>
              </w:rPr>
            </w:pPr>
          </w:p>
        </w:tc>
        <w:tc>
          <w:tcPr>
            <w:tcW w:w="5088" w:type="dxa"/>
            <w:noWrap w:val="0"/>
            <w:vAlign w:val="center"/>
          </w:tcPr>
          <w:p w14:paraId="1E61D727">
            <w:pPr>
              <w:keepNext w:val="0"/>
              <w:keepLines w:val="0"/>
              <w:suppressLineNumbers w:val="0"/>
              <w:wordWrap w:val="0"/>
              <w:snapToGrid w:val="0"/>
              <w:spacing w:before="0" w:beforeAutospacing="0" w:after="0" w:afterAutospacing="0" w:line="360" w:lineRule="auto"/>
              <w:ind w:left="0" w:right="0"/>
              <w:rPr>
                <w:rFonts w:hint="default" w:ascii="宋体" w:hAnsi="宋体" w:eastAsia="宋体" w:cs="宋体"/>
                <w:b/>
                <w:bCs/>
                <w:color w:val="auto"/>
                <w:szCs w:val="21"/>
                <w:highlight w:val="none"/>
                <w:lang w:val="en-US" w:eastAsia="zh-CN"/>
              </w:rPr>
            </w:pPr>
            <w:bookmarkStart w:id="77" w:name="_Toc11599"/>
            <w:r>
              <w:rPr>
                <w:rFonts w:hint="eastAsia" w:ascii="宋体" w:hAnsi="宋体" w:eastAsia="宋体" w:cs="宋体"/>
                <w:b/>
                <w:bCs/>
                <w:color w:val="auto"/>
                <w:szCs w:val="21"/>
                <w:highlight w:val="none"/>
                <w:lang w:val="en-US" w:eastAsia="zh-CN"/>
              </w:rPr>
              <w:t>售后服务方案</w:t>
            </w:r>
            <w:bookmarkEnd w:id="77"/>
            <w:r>
              <w:rPr>
                <w:rFonts w:hint="eastAsia" w:ascii="宋体" w:hAnsi="宋体" w:eastAsia="宋体" w:cs="宋体"/>
                <w:b/>
                <w:bCs/>
                <w:color w:val="auto"/>
                <w:szCs w:val="21"/>
                <w:highlight w:val="none"/>
                <w:lang w:val="en-US" w:eastAsia="zh-CN"/>
              </w:rPr>
              <w:t>分</w:t>
            </w:r>
          </w:p>
          <w:p w14:paraId="0545F930">
            <w:pPr>
              <w:keepNext w:val="0"/>
              <w:keepLines w:val="0"/>
              <w:suppressLineNumbers w:val="0"/>
              <w:wordWrap w:val="0"/>
              <w:snapToGrid w:val="0"/>
              <w:spacing w:before="0" w:beforeAutospacing="0" w:after="0" w:afterAutospacing="0" w:line="360" w:lineRule="auto"/>
              <w:ind w:left="0" w:right="0" w:firstLine="0"/>
              <w:rPr>
                <w:rFonts w:hint="eastAsia" w:ascii="宋体" w:hAnsi="宋体" w:eastAsia="宋体" w:cs="宋体"/>
                <w:color w:val="auto"/>
                <w:kern w:val="2"/>
                <w:sz w:val="21"/>
                <w:szCs w:val="21"/>
                <w:highlight w:val="none"/>
              </w:rPr>
            </w:pPr>
            <w:r>
              <w:rPr>
                <w:rFonts w:hint="eastAsia" w:ascii="宋体" w:hAnsi="宋体" w:eastAsia="宋体" w:cs="宋体"/>
                <w:b w:val="0"/>
                <w:bCs w:val="0"/>
                <w:color w:val="auto"/>
                <w:kern w:val="2"/>
                <w:sz w:val="21"/>
                <w:szCs w:val="21"/>
                <w:highlight w:val="none"/>
              </w:rPr>
              <w:t>一档（</w:t>
            </w:r>
            <w:r>
              <w:rPr>
                <w:rFonts w:hint="eastAsia" w:ascii="宋体" w:hAnsi="宋体" w:eastAsia="宋体" w:cs="宋体"/>
                <w:b w:val="0"/>
                <w:bCs w:val="0"/>
                <w:color w:val="auto"/>
                <w:kern w:val="2"/>
                <w:sz w:val="21"/>
                <w:szCs w:val="21"/>
                <w:highlight w:val="none"/>
                <w:lang w:val="en-US" w:eastAsia="zh-CN"/>
              </w:rPr>
              <w:t>10</w:t>
            </w:r>
            <w:r>
              <w:rPr>
                <w:rFonts w:hint="eastAsia" w:ascii="宋体" w:hAnsi="宋体" w:eastAsia="宋体" w:cs="宋体"/>
                <w:b w:val="0"/>
                <w:bCs w:val="0"/>
                <w:color w:val="auto"/>
                <w:kern w:val="2"/>
                <w:sz w:val="21"/>
                <w:szCs w:val="21"/>
                <w:highlight w:val="none"/>
              </w:rPr>
              <w:t>分）</w:t>
            </w:r>
            <w:r>
              <w:rPr>
                <w:rFonts w:hint="eastAsia" w:ascii="宋体" w:hAnsi="宋体" w:eastAsia="宋体" w:cs="宋体"/>
                <w:b w:val="0"/>
                <w:bCs w:val="0"/>
                <w:color w:val="auto"/>
                <w:kern w:val="2"/>
                <w:sz w:val="21"/>
                <w:szCs w:val="21"/>
                <w:highlight w:val="none"/>
                <w:lang w:eastAsia="zh-CN"/>
              </w:rPr>
              <w:t>：</w:t>
            </w:r>
            <w:r>
              <w:rPr>
                <w:rFonts w:hint="eastAsia" w:ascii="宋体" w:hAnsi="宋体" w:eastAsia="宋体" w:cs="宋体"/>
                <w:color w:val="auto"/>
                <w:kern w:val="2"/>
                <w:sz w:val="21"/>
                <w:szCs w:val="21"/>
                <w:highlight w:val="none"/>
              </w:rPr>
              <w:t>有基本的售后服务方案，方案简单</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基本满足项目需求</w:t>
            </w:r>
            <w:r>
              <w:rPr>
                <w:rFonts w:hint="eastAsia" w:ascii="宋体" w:hAnsi="宋体" w:eastAsia="宋体" w:cs="宋体"/>
                <w:color w:val="auto"/>
                <w:kern w:val="2"/>
                <w:sz w:val="21"/>
                <w:szCs w:val="21"/>
                <w:highlight w:val="none"/>
              </w:rPr>
              <w:t>；</w:t>
            </w:r>
          </w:p>
          <w:p w14:paraId="74A33A24">
            <w:pPr>
              <w:keepNext w:val="0"/>
              <w:keepLines w:val="0"/>
              <w:suppressLineNumbers w:val="0"/>
              <w:wordWrap w:val="0"/>
              <w:snapToGrid w:val="0"/>
              <w:spacing w:before="0" w:beforeAutospacing="0" w:after="0" w:afterAutospacing="0" w:line="360" w:lineRule="auto"/>
              <w:ind w:left="0" w:right="0" w:firstLine="0"/>
              <w:rPr>
                <w:rFonts w:hint="eastAsia" w:ascii="宋体" w:hAnsi="宋体" w:eastAsia="宋体" w:cs="宋体"/>
                <w:color w:val="auto"/>
                <w:kern w:val="2"/>
                <w:sz w:val="21"/>
                <w:szCs w:val="21"/>
                <w:highlight w:val="none"/>
              </w:rPr>
            </w:pPr>
            <w:r>
              <w:rPr>
                <w:rFonts w:hint="eastAsia" w:ascii="宋体" w:hAnsi="宋体" w:eastAsia="宋体" w:cs="宋体"/>
                <w:b w:val="0"/>
                <w:bCs w:val="0"/>
                <w:color w:val="auto"/>
                <w:kern w:val="2"/>
                <w:sz w:val="21"/>
                <w:szCs w:val="21"/>
                <w:highlight w:val="none"/>
              </w:rPr>
              <w:t>二档（</w:t>
            </w:r>
            <w:r>
              <w:rPr>
                <w:rFonts w:hint="eastAsia" w:ascii="宋体" w:hAnsi="宋体" w:eastAsia="宋体" w:cs="宋体"/>
                <w:b w:val="0"/>
                <w:bCs w:val="0"/>
                <w:color w:val="auto"/>
                <w:kern w:val="2"/>
                <w:sz w:val="21"/>
                <w:szCs w:val="21"/>
                <w:highlight w:val="none"/>
                <w:lang w:val="en-US" w:eastAsia="zh-CN"/>
              </w:rPr>
              <w:t>15</w:t>
            </w:r>
            <w:r>
              <w:rPr>
                <w:rFonts w:hint="eastAsia" w:ascii="宋体" w:hAnsi="宋体" w:eastAsia="宋体" w:cs="宋体"/>
                <w:b w:val="0"/>
                <w:bCs w:val="0"/>
                <w:color w:val="auto"/>
                <w:kern w:val="2"/>
                <w:sz w:val="21"/>
                <w:szCs w:val="21"/>
                <w:highlight w:val="none"/>
              </w:rPr>
              <w:t>分）</w:t>
            </w:r>
            <w:r>
              <w:rPr>
                <w:rFonts w:hint="eastAsia" w:ascii="宋体" w:hAnsi="宋体" w:eastAsia="宋体" w:cs="宋体"/>
                <w:b w:val="0"/>
                <w:bCs w:val="0"/>
                <w:color w:val="auto"/>
                <w:kern w:val="2"/>
                <w:sz w:val="21"/>
                <w:szCs w:val="21"/>
                <w:highlight w:val="none"/>
                <w:lang w:eastAsia="zh-CN"/>
              </w:rPr>
              <w:t>：</w:t>
            </w:r>
            <w:r>
              <w:rPr>
                <w:rFonts w:hint="eastAsia" w:ascii="宋体" w:hAnsi="宋体" w:eastAsia="宋体" w:cs="宋体"/>
                <w:b w:val="0"/>
                <w:bCs w:val="0"/>
                <w:color w:val="auto"/>
                <w:kern w:val="2"/>
                <w:sz w:val="21"/>
                <w:szCs w:val="21"/>
                <w:highlight w:val="none"/>
                <w:lang w:val="en-US" w:eastAsia="zh-CN"/>
              </w:rPr>
              <w:t>在一档的基础上，</w:t>
            </w:r>
            <w:r>
              <w:rPr>
                <w:rFonts w:hint="eastAsia" w:ascii="宋体" w:hAnsi="宋体" w:eastAsia="宋体" w:cs="宋体"/>
                <w:color w:val="auto"/>
                <w:kern w:val="2"/>
                <w:sz w:val="21"/>
                <w:szCs w:val="21"/>
                <w:highlight w:val="none"/>
              </w:rPr>
              <w:t>售后服务方案</w:t>
            </w:r>
            <w:r>
              <w:rPr>
                <w:rFonts w:hint="eastAsia" w:ascii="宋体" w:hAnsi="宋体" w:eastAsia="宋体" w:cs="宋体"/>
                <w:color w:val="auto"/>
                <w:sz w:val="21"/>
                <w:szCs w:val="21"/>
                <w:highlight w:val="none"/>
              </w:rPr>
              <w:t>有售后服务流程，</w:t>
            </w:r>
            <w:r>
              <w:rPr>
                <w:rFonts w:hint="eastAsia" w:ascii="宋体" w:hAnsi="宋体" w:eastAsia="宋体" w:cs="宋体"/>
                <w:color w:val="auto"/>
                <w:kern w:val="2"/>
                <w:sz w:val="21"/>
                <w:szCs w:val="21"/>
                <w:highlight w:val="none"/>
              </w:rPr>
              <w:t>满足项目需求，</w:t>
            </w:r>
            <w:r>
              <w:rPr>
                <w:rFonts w:hint="eastAsia" w:ascii="宋体" w:hAnsi="宋体" w:eastAsia="宋体" w:cs="宋体"/>
                <w:color w:val="auto"/>
                <w:kern w:val="2"/>
                <w:sz w:val="21"/>
                <w:szCs w:val="21"/>
                <w:highlight w:val="none"/>
                <w:lang w:val="en-US" w:eastAsia="zh-CN"/>
              </w:rPr>
              <w:t>有</w:t>
            </w:r>
            <w:r>
              <w:rPr>
                <w:rFonts w:hint="eastAsia" w:ascii="宋体" w:hAnsi="宋体" w:eastAsia="宋体" w:cs="宋体"/>
                <w:color w:val="auto"/>
                <w:kern w:val="2"/>
                <w:sz w:val="21"/>
                <w:szCs w:val="21"/>
                <w:highlight w:val="none"/>
              </w:rPr>
              <w:t>利于</w:t>
            </w:r>
            <w:r>
              <w:rPr>
                <w:rFonts w:hint="eastAsia" w:ascii="宋体" w:hAnsi="宋体" w:eastAsia="宋体" w:cs="宋体"/>
                <w:color w:val="auto"/>
                <w:kern w:val="2"/>
                <w:sz w:val="21"/>
                <w:szCs w:val="21"/>
                <w:highlight w:val="none"/>
                <w:lang w:val="en-US" w:eastAsia="zh-CN"/>
              </w:rPr>
              <w:t>项目</w:t>
            </w:r>
            <w:r>
              <w:rPr>
                <w:rFonts w:hint="eastAsia" w:ascii="宋体" w:hAnsi="宋体" w:eastAsia="宋体" w:cs="宋体"/>
                <w:color w:val="auto"/>
                <w:kern w:val="2"/>
                <w:sz w:val="21"/>
                <w:szCs w:val="21"/>
                <w:highlight w:val="none"/>
              </w:rPr>
              <w:t>实施的，到达现场时间、培训等满足采购人的实际售后</w:t>
            </w:r>
            <w:r>
              <w:rPr>
                <w:rFonts w:hint="eastAsia" w:ascii="宋体" w:hAnsi="宋体" w:eastAsia="宋体" w:cs="宋体"/>
                <w:color w:val="auto"/>
                <w:kern w:val="2"/>
                <w:sz w:val="21"/>
                <w:szCs w:val="21"/>
                <w:highlight w:val="none"/>
                <w:lang w:val="en-US" w:eastAsia="zh-CN"/>
              </w:rPr>
              <w:t>服务</w:t>
            </w:r>
            <w:r>
              <w:rPr>
                <w:rFonts w:hint="eastAsia" w:ascii="宋体" w:hAnsi="宋体" w:eastAsia="宋体" w:cs="宋体"/>
                <w:color w:val="auto"/>
                <w:kern w:val="2"/>
                <w:sz w:val="21"/>
                <w:szCs w:val="21"/>
                <w:highlight w:val="none"/>
              </w:rPr>
              <w:t>需求；</w:t>
            </w:r>
          </w:p>
          <w:p w14:paraId="61DB2B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bCs/>
                <w:color w:val="auto"/>
                <w:sz w:val="21"/>
                <w:szCs w:val="21"/>
                <w:highlight w:val="none"/>
              </w:rPr>
            </w:pPr>
            <w:r>
              <w:rPr>
                <w:rFonts w:hint="eastAsia" w:ascii="宋体" w:hAnsi="宋体" w:eastAsia="宋体" w:cs="宋体"/>
                <w:b w:val="0"/>
                <w:bCs w:val="0"/>
                <w:color w:val="auto"/>
                <w:kern w:val="2"/>
                <w:sz w:val="21"/>
                <w:szCs w:val="21"/>
                <w:highlight w:val="none"/>
              </w:rPr>
              <w:t>三档（</w:t>
            </w:r>
            <w:r>
              <w:rPr>
                <w:rFonts w:hint="eastAsia" w:ascii="宋体" w:hAnsi="宋体" w:eastAsia="宋体" w:cs="宋体"/>
                <w:b w:val="0"/>
                <w:bCs w:val="0"/>
                <w:color w:val="auto"/>
                <w:kern w:val="2"/>
                <w:sz w:val="21"/>
                <w:szCs w:val="21"/>
                <w:highlight w:val="none"/>
                <w:lang w:val="en-US" w:eastAsia="zh-CN"/>
              </w:rPr>
              <w:t>20</w:t>
            </w:r>
            <w:r>
              <w:rPr>
                <w:rFonts w:hint="eastAsia" w:ascii="宋体" w:hAnsi="宋体" w:eastAsia="宋体" w:cs="宋体"/>
                <w:b w:val="0"/>
                <w:bCs w:val="0"/>
                <w:color w:val="auto"/>
                <w:kern w:val="2"/>
                <w:sz w:val="21"/>
                <w:szCs w:val="21"/>
                <w:highlight w:val="none"/>
              </w:rPr>
              <w:t>分）</w:t>
            </w:r>
            <w:r>
              <w:rPr>
                <w:rFonts w:hint="eastAsia" w:ascii="宋体" w:hAnsi="宋体" w:eastAsia="宋体" w:cs="宋体"/>
                <w:b w:val="0"/>
                <w:bCs w:val="0"/>
                <w:color w:val="auto"/>
                <w:kern w:val="2"/>
                <w:sz w:val="21"/>
                <w:szCs w:val="21"/>
                <w:highlight w:val="none"/>
                <w:lang w:eastAsia="zh-CN"/>
              </w:rPr>
              <w:t>：</w:t>
            </w:r>
            <w:r>
              <w:rPr>
                <w:rFonts w:hint="eastAsia" w:ascii="宋体" w:hAnsi="宋体" w:eastAsia="宋体" w:cs="宋体"/>
                <w:b w:val="0"/>
                <w:bCs w:val="0"/>
                <w:color w:val="auto"/>
                <w:kern w:val="2"/>
                <w:sz w:val="21"/>
                <w:szCs w:val="21"/>
                <w:highlight w:val="none"/>
                <w:lang w:val="en-US" w:eastAsia="zh-CN"/>
              </w:rPr>
              <w:t>在二档的基础上，</w:t>
            </w:r>
            <w:r>
              <w:rPr>
                <w:rFonts w:hint="eastAsia" w:ascii="宋体" w:hAnsi="宋体" w:eastAsia="宋体" w:cs="宋体"/>
                <w:color w:val="auto"/>
                <w:kern w:val="2"/>
                <w:sz w:val="21"/>
                <w:szCs w:val="21"/>
                <w:highlight w:val="none"/>
              </w:rPr>
              <w:t>售后服务方案</w:t>
            </w:r>
            <w:r>
              <w:rPr>
                <w:rFonts w:hint="eastAsia" w:ascii="宋体" w:hAnsi="宋体" w:eastAsia="宋体" w:cs="宋体"/>
                <w:color w:val="auto"/>
                <w:sz w:val="21"/>
                <w:szCs w:val="21"/>
                <w:highlight w:val="none"/>
              </w:rPr>
              <w:t>有售后服务流程、应急预案、售后服务响应与处置，并针对售后服务内容提供资源保障措施、保密管理管理措施、文档管理措施以及客户回访</w:t>
            </w:r>
            <w:r>
              <w:rPr>
                <w:rFonts w:hint="eastAsia" w:ascii="宋体" w:hAnsi="宋体" w:eastAsia="宋体" w:cs="宋体"/>
                <w:color w:val="auto"/>
                <w:sz w:val="21"/>
                <w:szCs w:val="21"/>
                <w:highlight w:val="none"/>
                <w:lang w:val="en-US" w:eastAsia="zh-CN"/>
              </w:rPr>
              <w:t>机制</w:t>
            </w:r>
            <w:r>
              <w:rPr>
                <w:rFonts w:hint="eastAsia" w:ascii="宋体" w:hAnsi="宋体" w:eastAsia="宋体" w:cs="宋体"/>
                <w:color w:val="auto"/>
                <w:sz w:val="21"/>
                <w:szCs w:val="21"/>
                <w:highlight w:val="none"/>
              </w:rPr>
              <w:t>与措施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方案</w:t>
            </w:r>
            <w:r>
              <w:rPr>
                <w:rFonts w:hint="eastAsia" w:ascii="宋体" w:hAnsi="宋体" w:eastAsia="宋体" w:cs="宋体"/>
                <w:color w:val="auto"/>
                <w:sz w:val="21"/>
                <w:szCs w:val="21"/>
                <w:highlight w:val="none"/>
              </w:rPr>
              <w:t>详实、具备可操作性强，且内容齐全、详实、可操作性强，吻合实际</w:t>
            </w:r>
            <w:r>
              <w:rPr>
                <w:rFonts w:hint="eastAsia" w:ascii="宋体" w:hAnsi="宋体" w:eastAsia="宋体" w:cs="宋体"/>
                <w:color w:val="auto"/>
                <w:kern w:val="2"/>
                <w:sz w:val="21"/>
                <w:szCs w:val="21"/>
                <w:highlight w:val="none"/>
              </w:rPr>
              <w:t>。</w:t>
            </w:r>
          </w:p>
        </w:tc>
        <w:tc>
          <w:tcPr>
            <w:tcW w:w="756" w:type="dxa"/>
            <w:noWrap w:val="0"/>
            <w:vAlign w:val="center"/>
          </w:tcPr>
          <w:p w14:paraId="603819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w:t>
            </w:r>
          </w:p>
        </w:tc>
        <w:tc>
          <w:tcPr>
            <w:tcW w:w="1476" w:type="dxa"/>
            <w:noWrap w:val="0"/>
            <w:vAlign w:val="center"/>
          </w:tcPr>
          <w:p w14:paraId="622E4A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未提供或未达到一档要求的不得分。</w:t>
            </w:r>
          </w:p>
        </w:tc>
      </w:tr>
      <w:tr w14:paraId="10C0A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08" w:type="dxa"/>
            <w:vMerge w:val="restart"/>
            <w:noWrap w:val="0"/>
            <w:vAlign w:val="center"/>
          </w:tcPr>
          <w:p w14:paraId="0160F2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b/>
                <w:color w:val="auto"/>
                <w:sz w:val="21"/>
                <w:szCs w:val="21"/>
                <w:highlight w:val="none"/>
                <w:lang w:val="en-US" w:eastAsia="zh-CN"/>
              </w:rPr>
            </w:pPr>
            <w:r>
              <w:rPr>
                <w:rFonts w:hint="eastAsia" w:ascii="宋体" w:hAnsi="宋体" w:cs="宋体"/>
                <w:b/>
                <w:color w:val="auto"/>
                <w:sz w:val="21"/>
                <w:szCs w:val="21"/>
                <w:highlight w:val="none"/>
                <w:lang w:val="en-US" w:eastAsia="zh-CN"/>
              </w:rPr>
              <w:t>2</w:t>
            </w:r>
          </w:p>
        </w:tc>
        <w:tc>
          <w:tcPr>
            <w:tcW w:w="829" w:type="dxa"/>
            <w:vMerge w:val="restart"/>
            <w:noWrap w:val="0"/>
            <w:vAlign w:val="center"/>
          </w:tcPr>
          <w:p w14:paraId="60E8B8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商务资信分</w:t>
            </w:r>
          </w:p>
          <w:p w14:paraId="64503A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（30分）</w:t>
            </w:r>
          </w:p>
        </w:tc>
        <w:tc>
          <w:tcPr>
            <w:tcW w:w="5088" w:type="dxa"/>
            <w:noWrap w:val="0"/>
            <w:vAlign w:val="center"/>
          </w:tcPr>
          <w:p w14:paraId="24EB4A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firstLine="211" w:firstLineChars="100"/>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1、</w:t>
            </w:r>
            <w:r>
              <w:rPr>
                <w:rFonts w:hint="eastAsia" w:ascii="宋体" w:hAnsi="宋体" w:eastAsia="宋体" w:cs="宋体"/>
                <w:b/>
                <w:bCs/>
                <w:color w:val="auto"/>
                <w:kern w:val="0"/>
                <w:sz w:val="21"/>
                <w:szCs w:val="21"/>
                <w:highlight w:val="none"/>
              </w:rPr>
              <w:t>团队人员分（</w:t>
            </w:r>
            <w:r>
              <w:rPr>
                <w:rFonts w:hint="eastAsia" w:ascii="宋体" w:hAnsi="宋体" w:cs="宋体"/>
                <w:b/>
                <w:bCs/>
                <w:color w:val="auto"/>
                <w:kern w:val="0"/>
                <w:sz w:val="21"/>
                <w:szCs w:val="21"/>
                <w:highlight w:val="none"/>
                <w:lang w:val="en-US" w:eastAsia="zh-CN"/>
              </w:rPr>
              <w:t>17</w:t>
            </w:r>
            <w:r>
              <w:rPr>
                <w:rFonts w:hint="eastAsia" w:ascii="宋体" w:hAnsi="宋体" w:eastAsia="宋体" w:cs="宋体"/>
                <w:b/>
                <w:bCs/>
                <w:color w:val="auto"/>
                <w:kern w:val="0"/>
                <w:sz w:val="21"/>
                <w:szCs w:val="21"/>
                <w:highlight w:val="none"/>
              </w:rPr>
              <w:t>分）</w:t>
            </w:r>
          </w:p>
          <w:p w14:paraId="30519BDD">
            <w:pPr>
              <w:pStyle w:val="26"/>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contextualSpacing/>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（1）拟投入本项目的项目经理（1人）持有以下证书：</w:t>
            </w:r>
          </w:p>
          <w:p w14:paraId="3ADB61F3">
            <w:pPr>
              <w:pStyle w:val="26"/>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contextualSpacing/>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a.具有信息安全工程师证书；（1分）</w:t>
            </w:r>
          </w:p>
          <w:p w14:paraId="64BBBB5B">
            <w:pPr>
              <w:pStyle w:val="26"/>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contextualSpacing/>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b.具有数据库系统工程师证书；（1分）</w:t>
            </w:r>
          </w:p>
          <w:p w14:paraId="79CAC49B">
            <w:pPr>
              <w:pStyle w:val="26"/>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contextualSpacing/>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c.具有系统分析师证书；（1分）</w:t>
            </w:r>
          </w:p>
          <w:p w14:paraId="2D1E3946">
            <w:pPr>
              <w:pStyle w:val="26"/>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contextualSpacing/>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以上每持有1个证书得1分，满分</w:t>
            </w:r>
            <w:r>
              <w:rPr>
                <w:rFonts w:hint="eastAsia" w:hAnsi="宋体" w:eastAsia="宋体" w:cs="宋体"/>
                <w:bCs/>
                <w:color w:val="auto"/>
                <w:kern w:val="2"/>
                <w:sz w:val="21"/>
                <w:szCs w:val="21"/>
                <w:highlight w:val="none"/>
                <w:lang w:val="en-US" w:eastAsia="zh-CN"/>
              </w:rPr>
              <w:t>3</w:t>
            </w:r>
            <w:r>
              <w:rPr>
                <w:rFonts w:hint="eastAsia" w:ascii="宋体" w:hAnsi="宋体" w:eastAsia="宋体" w:cs="宋体"/>
                <w:bCs/>
                <w:color w:val="auto"/>
                <w:kern w:val="2"/>
                <w:sz w:val="21"/>
                <w:szCs w:val="21"/>
                <w:highlight w:val="none"/>
                <w:lang w:val="en-US" w:eastAsia="zh-CN"/>
              </w:rPr>
              <w:t>分；</w:t>
            </w:r>
          </w:p>
          <w:p w14:paraId="5BCE8BCD">
            <w:pPr>
              <w:pStyle w:val="26"/>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contextualSpacing/>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（2）拟投入本项目的技术负责人（1人）持有以下证书：</w:t>
            </w:r>
          </w:p>
          <w:p w14:paraId="40B6549C">
            <w:pPr>
              <w:pStyle w:val="26"/>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contextualSpacing/>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a.具有系统规划与管理师证书；（1分）</w:t>
            </w:r>
          </w:p>
          <w:p w14:paraId="5AE84B92">
            <w:pPr>
              <w:pStyle w:val="26"/>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contextualSpacing/>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b.具有软件设计师证书；（1分）</w:t>
            </w:r>
          </w:p>
          <w:p w14:paraId="7F73754E">
            <w:pPr>
              <w:pStyle w:val="26"/>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contextualSpacing/>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c.具有网络规划设计师证书；（1分）</w:t>
            </w:r>
          </w:p>
          <w:p w14:paraId="66838BC7">
            <w:pPr>
              <w:pStyle w:val="26"/>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contextualSpacing/>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以上每持有1个证书得1分，满分</w:t>
            </w:r>
            <w:r>
              <w:rPr>
                <w:rFonts w:hint="eastAsia" w:hAnsi="宋体" w:eastAsia="宋体" w:cs="宋体"/>
                <w:bCs/>
                <w:color w:val="auto"/>
                <w:kern w:val="2"/>
                <w:sz w:val="21"/>
                <w:szCs w:val="21"/>
                <w:highlight w:val="none"/>
                <w:lang w:val="en-US" w:eastAsia="zh-CN"/>
              </w:rPr>
              <w:t>3</w:t>
            </w:r>
            <w:r>
              <w:rPr>
                <w:rFonts w:hint="eastAsia" w:ascii="宋体" w:hAnsi="宋体" w:eastAsia="宋体" w:cs="宋体"/>
                <w:bCs/>
                <w:color w:val="auto"/>
                <w:kern w:val="2"/>
                <w:sz w:val="21"/>
                <w:szCs w:val="21"/>
                <w:highlight w:val="none"/>
                <w:lang w:val="en-US" w:eastAsia="zh-CN"/>
              </w:rPr>
              <w:t>分；</w:t>
            </w:r>
          </w:p>
          <w:p w14:paraId="477F666E">
            <w:pPr>
              <w:pStyle w:val="26"/>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contextualSpacing/>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（3）拟投入本项目的总监理工程师（1人），持有以下证书：</w:t>
            </w:r>
          </w:p>
          <w:p w14:paraId="04AA75A2">
            <w:pPr>
              <w:pStyle w:val="26"/>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360" w:lineRule="auto"/>
              <w:ind w:left="0" w:right="0" w:firstLine="0"/>
              <w:contextualSpacing/>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a.持有信息系统监理师证书；（2分）</w:t>
            </w:r>
          </w:p>
          <w:p w14:paraId="0C507814">
            <w:pPr>
              <w:pStyle w:val="26"/>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360" w:lineRule="auto"/>
              <w:ind w:left="0" w:right="0" w:firstLine="0"/>
              <w:contextualSpacing/>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b.具有系统集成项目管理工程师证书；（2分）</w:t>
            </w:r>
          </w:p>
          <w:p w14:paraId="47051FFE">
            <w:pPr>
              <w:pStyle w:val="26"/>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contextualSpacing/>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以上每持有1个证书的得2分，满分</w:t>
            </w:r>
            <w:r>
              <w:rPr>
                <w:rFonts w:hint="eastAsia" w:hAnsi="宋体" w:eastAsia="宋体" w:cs="宋体"/>
                <w:bCs/>
                <w:color w:val="auto"/>
                <w:kern w:val="2"/>
                <w:sz w:val="21"/>
                <w:szCs w:val="21"/>
                <w:highlight w:val="none"/>
                <w:lang w:val="en-US" w:eastAsia="zh-CN"/>
              </w:rPr>
              <w:t>4</w:t>
            </w:r>
            <w:r>
              <w:rPr>
                <w:rFonts w:hint="eastAsia" w:ascii="宋体" w:hAnsi="宋体" w:eastAsia="宋体" w:cs="宋体"/>
                <w:bCs/>
                <w:color w:val="auto"/>
                <w:kern w:val="2"/>
                <w:sz w:val="21"/>
                <w:szCs w:val="21"/>
                <w:highlight w:val="none"/>
                <w:lang w:val="en-US" w:eastAsia="zh-CN"/>
              </w:rPr>
              <w:t>分；</w:t>
            </w:r>
          </w:p>
          <w:p w14:paraId="5E91664B">
            <w:pPr>
              <w:pStyle w:val="26"/>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contextualSpacing/>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（4）拟投入项目组其他成员配备（除项目经理、技术负责人、总监理工程外）持有以下证书：</w:t>
            </w:r>
          </w:p>
          <w:p w14:paraId="15203BA7">
            <w:pPr>
              <w:pStyle w:val="26"/>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contextualSpacing/>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a.具有信息系统监理师证书；（1分）</w:t>
            </w:r>
          </w:p>
          <w:p w14:paraId="2E2E4AB5">
            <w:pPr>
              <w:pStyle w:val="26"/>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contextualSpacing/>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b.具有系统集成项目管理工程师证书；（1分）</w:t>
            </w:r>
          </w:p>
          <w:p w14:paraId="63C57257">
            <w:pPr>
              <w:pStyle w:val="26"/>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contextualSpacing/>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c.具有信息安全工程师证书；（1分）</w:t>
            </w:r>
          </w:p>
          <w:p w14:paraId="74E807FB">
            <w:pPr>
              <w:pStyle w:val="26"/>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contextualSpacing/>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d.具有网络规划设计师证书；（1分）</w:t>
            </w:r>
          </w:p>
          <w:p w14:paraId="69A45B60">
            <w:pPr>
              <w:pStyle w:val="26"/>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contextualSpacing/>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e.具有软件评测师证书；（1分）</w:t>
            </w:r>
          </w:p>
          <w:p w14:paraId="348C5DCB">
            <w:pPr>
              <w:pStyle w:val="26"/>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contextualSpacing/>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f.具有信息系统项目管理师证书；（1分）</w:t>
            </w:r>
          </w:p>
          <w:p w14:paraId="25FB9C09">
            <w:pPr>
              <w:pStyle w:val="26"/>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contextualSpacing/>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g.具有系统架构设计师证书；（1分）</w:t>
            </w:r>
          </w:p>
          <w:p w14:paraId="4ED99B08">
            <w:pPr>
              <w:pStyle w:val="26"/>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contextualSpacing/>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以上证书每持有1</w:t>
            </w:r>
            <w:r>
              <w:rPr>
                <w:rFonts w:hint="eastAsia" w:hAnsi="宋体" w:cs="宋体"/>
                <w:bCs/>
                <w:color w:val="auto"/>
                <w:kern w:val="2"/>
                <w:sz w:val="21"/>
                <w:szCs w:val="21"/>
                <w:highlight w:val="none"/>
                <w:lang w:val="en-US" w:eastAsia="zh-CN"/>
              </w:rPr>
              <w:t>个</w:t>
            </w:r>
            <w:r>
              <w:rPr>
                <w:rFonts w:hint="eastAsia" w:ascii="宋体" w:hAnsi="宋体" w:eastAsia="宋体" w:cs="宋体"/>
                <w:bCs/>
                <w:color w:val="auto"/>
                <w:kern w:val="2"/>
                <w:sz w:val="21"/>
                <w:szCs w:val="21"/>
                <w:highlight w:val="none"/>
                <w:lang w:val="en-US" w:eastAsia="zh-CN"/>
              </w:rPr>
              <w:t>证书得1分，满分</w:t>
            </w:r>
            <w:r>
              <w:rPr>
                <w:rFonts w:hint="eastAsia" w:hAnsi="宋体" w:eastAsia="宋体" w:cs="宋体"/>
                <w:bCs/>
                <w:color w:val="auto"/>
                <w:kern w:val="2"/>
                <w:sz w:val="21"/>
                <w:szCs w:val="21"/>
                <w:highlight w:val="none"/>
                <w:lang w:val="en-US" w:eastAsia="zh-CN"/>
              </w:rPr>
              <w:t>7</w:t>
            </w:r>
            <w:r>
              <w:rPr>
                <w:rFonts w:hint="eastAsia" w:ascii="宋体" w:hAnsi="宋体" w:eastAsia="宋体" w:cs="宋体"/>
                <w:bCs/>
                <w:color w:val="auto"/>
                <w:kern w:val="2"/>
                <w:sz w:val="21"/>
                <w:szCs w:val="21"/>
                <w:highlight w:val="none"/>
                <w:lang w:val="en-US" w:eastAsia="zh-CN"/>
              </w:rPr>
              <w:t>分</w:t>
            </w:r>
            <w:r>
              <w:rPr>
                <w:rFonts w:hint="eastAsia" w:hAnsi="宋体" w:cs="宋体"/>
                <w:bCs/>
                <w:color w:val="auto"/>
                <w:kern w:val="2"/>
                <w:sz w:val="21"/>
                <w:szCs w:val="21"/>
                <w:highlight w:val="none"/>
                <w:lang w:val="en-US" w:eastAsia="zh-CN"/>
              </w:rPr>
              <w:t>。</w:t>
            </w:r>
          </w:p>
          <w:p w14:paraId="5550F3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color w:val="auto"/>
                <w:kern w:val="0"/>
                <w:sz w:val="21"/>
                <w:szCs w:val="21"/>
                <w:highlight w:val="none"/>
              </w:rPr>
            </w:pPr>
            <w:r>
              <w:rPr>
                <w:rFonts w:hint="eastAsia" w:ascii="宋体" w:hAnsi="宋体" w:eastAsia="宋体" w:cs="宋体"/>
                <w:bCs/>
                <w:color w:val="auto"/>
                <w:kern w:val="2"/>
                <w:sz w:val="21"/>
                <w:szCs w:val="21"/>
                <w:highlight w:val="none"/>
                <w:lang w:val="en-US" w:eastAsia="zh-CN"/>
              </w:rPr>
              <w:t>响应文件中提供投入人员的身份证、相应证书复印件或扫描件。</w:t>
            </w:r>
          </w:p>
        </w:tc>
        <w:tc>
          <w:tcPr>
            <w:tcW w:w="756" w:type="dxa"/>
            <w:noWrap w:val="0"/>
            <w:vAlign w:val="center"/>
          </w:tcPr>
          <w:p w14:paraId="044323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w:t>
            </w:r>
          </w:p>
        </w:tc>
        <w:tc>
          <w:tcPr>
            <w:tcW w:w="1476" w:type="dxa"/>
            <w:noWrap w:val="0"/>
            <w:vAlign w:val="center"/>
          </w:tcPr>
          <w:p w14:paraId="607E88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未提供证明文件不得分。</w:t>
            </w:r>
          </w:p>
        </w:tc>
      </w:tr>
      <w:tr w14:paraId="111F6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08" w:type="dxa"/>
            <w:vMerge w:val="continue"/>
            <w:noWrap w:val="0"/>
            <w:vAlign w:val="center"/>
          </w:tcPr>
          <w:p w14:paraId="42FBAE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b/>
                <w:color w:val="auto"/>
                <w:sz w:val="21"/>
                <w:szCs w:val="21"/>
                <w:highlight w:val="none"/>
              </w:rPr>
            </w:pPr>
          </w:p>
        </w:tc>
        <w:tc>
          <w:tcPr>
            <w:tcW w:w="829" w:type="dxa"/>
            <w:vMerge w:val="continue"/>
            <w:noWrap w:val="0"/>
            <w:vAlign w:val="center"/>
          </w:tcPr>
          <w:p w14:paraId="36AD74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color w:val="auto"/>
                <w:sz w:val="21"/>
                <w:szCs w:val="21"/>
                <w:highlight w:val="none"/>
              </w:rPr>
            </w:pPr>
          </w:p>
        </w:tc>
        <w:tc>
          <w:tcPr>
            <w:tcW w:w="5088" w:type="dxa"/>
            <w:noWrap w:val="0"/>
            <w:vAlign w:val="center"/>
          </w:tcPr>
          <w:p w14:paraId="6BE170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2、信誉实力分</w:t>
            </w:r>
          </w:p>
          <w:p w14:paraId="0B608D68">
            <w:pPr>
              <w:pStyle w:val="26"/>
              <w:keepNext w:val="0"/>
              <w:keepLines w:val="0"/>
              <w:suppressLineNumbers w:val="0"/>
              <w:spacing w:before="0" w:beforeAutospacing="0" w:after="0" w:afterAutospacing="0" w:line="400" w:lineRule="exact"/>
              <w:ind w:left="0" w:right="0"/>
              <w:rPr>
                <w:rFonts w:hint="eastAsia" w:ascii="Times New Roman" w:hAnsi="宋体" w:eastAsia="宋体" w:cs="宋体"/>
                <w:bCs/>
                <w:color w:val="auto"/>
                <w:kern w:val="2"/>
                <w:sz w:val="21"/>
                <w:szCs w:val="21"/>
                <w:highlight w:val="none"/>
                <w:lang w:val="en-US" w:eastAsia="zh-CN" w:bidi="ar-SA"/>
              </w:rPr>
            </w:pPr>
            <w:r>
              <w:rPr>
                <w:rFonts w:hint="eastAsia" w:ascii="Times New Roman" w:hAnsi="宋体" w:eastAsia="宋体" w:cs="宋体"/>
                <w:bCs/>
                <w:color w:val="auto"/>
                <w:kern w:val="2"/>
                <w:sz w:val="21"/>
                <w:szCs w:val="21"/>
                <w:highlight w:val="none"/>
                <w:lang w:val="en-US" w:eastAsia="zh-CN" w:bidi="ar-SA"/>
              </w:rPr>
              <w:t>供应商具备 ISO9001质量管理体系认证、ISO27001信息安全管理体系认证，具备一项得</w:t>
            </w:r>
            <w:r>
              <w:rPr>
                <w:rFonts w:hint="eastAsia" w:ascii="Times New Roman" w:hAnsi="宋体" w:cs="宋体"/>
                <w:bCs/>
                <w:color w:val="auto"/>
                <w:kern w:val="2"/>
                <w:sz w:val="21"/>
                <w:szCs w:val="21"/>
                <w:highlight w:val="none"/>
                <w:lang w:val="en-US" w:eastAsia="zh-CN" w:bidi="ar-SA"/>
              </w:rPr>
              <w:t>2</w:t>
            </w:r>
            <w:r>
              <w:rPr>
                <w:rFonts w:hint="eastAsia" w:ascii="Times New Roman" w:hAnsi="宋体" w:eastAsia="宋体" w:cs="宋体"/>
                <w:bCs/>
                <w:color w:val="auto"/>
                <w:kern w:val="2"/>
                <w:sz w:val="21"/>
                <w:szCs w:val="21"/>
                <w:highlight w:val="none"/>
                <w:lang w:val="en-US" w:eastAsia="zh-CN" w:bidi="ar-SA"/>
              </w:rPr>
              <w:t xml:space="preserve"> 分，最高得</w:t>
            </w:r>
            <w:r>
              <w:rPr>
                <w:rFonts w:hint="eastAsia" w:ascii="Times New Roman" w:hAnsi="宋体" w:cs="宋体"/>
                <w:bCs/>
                <w:color w:val="auto"/>
                <w:kern w:val="2"/>
                <w:sz w:val="21"/>
                <w:szCs w:val="21"/>
                <w:highlight w:val="none"/>
                <w:lang w:val="en-US" w:eastAsia="zh-CN" w:bidi="ar-SA"/>
              </w:rPr>
              <w:t>4</w:t>
            </w:r>
            <w:r>
              <w:rPr>
                <w:rFonts w:hint="eastAsia" w:ascii="Times New Roman" w:hAnsi="宋体" w:eastAsia="宋体" w:cs="宋体"/>
                <w:bCs/>
                <w:color w:val="auto"/>
                <w:kern w:val="2"/>
                <w:sz w:val="21"/>
                <w:szCs w:val="21"/>
                <w:highlight w:val="none"/>
                <w:lang w:val="en-US" w:eastAsia="zh-CN" w:bidi="ar-SA"/>
              </w:rPr>
              <w:t>分；</w:t>
            </w:r>
          </w:p>
          <w:p w14:paraId="70035A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bCs/>
                <w:color w:val="auto"/>
                <w:kern w:val="2"/>
                <w:sz w:val="21"/>
                <w:szCs w:val="21"/>
                <w:highlight w:val="none"/>
                <w:lang w:eastAsia="zh-CN"/>
              </w:rPr>
            </w:pPr>
            <w:r>
              <w:rPr>
                <w:rFonts w:hint="eastAsia" w:ascii="Times New Roman" w:hAnsi="宋体" w:eastAsia="宋体" w:cs="宋体"/>
                <w:bCs/>
                <w:color w:val="auto"/>
                <w:kern w:val="2"/>
                <w:sz w:val="21"/>
                <w:szCs w:val="21"/>
                <w:highlight w:val="none"/>
                <w:lang w:val="en-US" w:eastAsia="zh-CN" w:bidi="ar-SA"/>
              </w:rPr>
              <w:t>注：需提供证书复印件加盖供应商公章或电子公章。</w:t>
            </w:r>
          </w:p>
        </w:tc>
        <w:tc>
          <w:tcPr>
            <w:tcW w:w="756" w:type="dxa"/>
            <w:noWrap w:val="0"/>
            <w:vAlign w:val="center"/>
          </w:tcPr>
          <w:p w14:paraId="05B488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1476" w:type="dxa"/>
            <w:noWrap w:val="0"/>
            <w:vAlign w:val="center"/>
          </w:tcPr>
          <w:p w14:paraId="674473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未提供证明文件不得分。</w:t>
            </w:r>
          </w:p>
        </w:tc>
      </w:tr>
      <w:tr w14:paraId="3CFA4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08" w:type="dxa"/>
            <w:vMerge w:val="continue"/>
            <w:noWrap w:val="0"/>
            <w:vAlign w:val="center"/>
          </w:tcPr>
          <w:p w14:paraId="7FFBB9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b/>
                <w:color w:val="auto"/>
                <w:sz w:val="21"/>
                <w:szCs w:val="21"/>
                <w:highlight w:val="none"/>
              </w:rPr>
            </w:pPr>
          </w:p>
        </w:tc>
        <w:tc>
          <w:tcPr>
            <w:tcW w:w="829" w:type="dxa"/>
            <w:vMerge w:val="continue"/>
            <w:noWrap w:val="0"/>
            <w:vAlign w:val="center"/>
          </w:tcPr>
          <w:p w14:paraId="7248D8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color w:val="auto"/>
                <w:sz w:val="21"/>
                <w:szCs w:val="21"/>
                <w:highlight w:val="none"/>
              </w:rPr>
            </w:pPr>
          </w:p>
        </w:tc>
        <w:tc>
          <w:tcPr>
            <w:tcW w:w="5088" w:type="dxa"/>
            <w:noWrap w:val="0"/>
            <w:vAlign w:val="center"/>
          </w:tcPr>
          <w:p w14:paraId="0060BB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b/>
                <w:bCs w:val="0"/>
                <w:color w:val="auto"/>
                <w:kern w:val="2"/>
                <w:sz w:val="21"/>
                <w:szCs w:val="21"/>
                <w:highlight w:val="none"/>
                <w:lang w:val="en-US" w:eastAsia="zh-CN"/>
              </w:rPr>
            </w:pPr>
            <w:r>
              <w:rPr>
                <w:rFonts w:hint="eastAsia" w:ascii="宋体" w:hAnsi="宋体" w:eastAsia="宋体" w:cs="宋体"/>
                <w:b/>
                <w:bCs w:val="0"/>
                <w:color w:val="auto"/>
                <w:kern w:val="2"/>
                <w:sz w:val="21"/>
                <w:szCs w:val="21"/>
                <w:highlight w:val="none"/>
                <w:lang w:val="en-US" w:eastAsia="zh-CN"/>
              </w:rPr>
              <w:t>3、业绩分</w:t>
            </w:r>
          </w:p>
          <w:p w14:paraId="61C81F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bCs/>
                <w:color w:val="auto"/>
                <w:kern w:val="2"/>
                <w:sz w:val="21"/>
                <w:szCs w:val="21"/>
                <w:highlight w:val="none"/>
                <w:lang w:eastAsia="zh-CN"/>
              </w:rPr>
              <w:t>供应商自202</w:t>
            </w:r>
            <w:r>
              <w:rPr>
                <w:rFonts w:hint="eastAsia" w:hAnsi="宋体" w:eastAsia="宋体" w:cs="宋体"/>
                <w:bCs/>
                <w:color w:val="auto"/>
                <w:kern w:val="2"/>
                <w:sz w:val="21"/>
                <w:szCs w:val="21"/>
                <w:highlight w:val="none"/>
                <w:lang w:val="en-US" w:eastAsia="zh-CN"/>
              </w:rPr>
              <w:t>2</w:t>
            </w:r>
            <w:r>
              <w:rPr>
                <w:rFonts w:hint="eastAsia" w:ascii="宋体" w:hAnsi="宋体" w:eastAsia="宋体" w:cs="宋体"/>
                <w:bCs/>
                <w:color w:val="auto"/>
                <w:kern w:val="2"/>
                <w:sz w:val="21"/>
                <w:szCs w:val="21"/>
                <w:highlight w:val="none"/>
                <w:lang w:eastAsia="zh-CN"/>
              </w:rPr>
              <w:t>年1月1日以来具有</w:t>
            </w:r>
            <w:r>
              <w:rPr>
                <w:rFonts w:hint="eastAsia" w:ascii="宋体" w:hAnsi="宋体" w:eastAsia="宋体" w:cs="宋体"/>
                <w:bCs/>
                <w:color w:val="auto"/>
                <w:kern w:val="2"/>
                <w:sz w:val="21"/>
                <w:szCs w:val="21"/>
                <w:highlight w:val="none"/>
                <w:lang w:val="en-US" w:eastAsia="zh-CN"/>
              </w:rPr>
              <w:t>类似（</w:t>
            </w:r>
            <w:r>
              <w:rPr>
                <w:rFonts w:hint="eastAsia" w:ascii="宋体" w:hAnsi="宋体" w:cs="宋体"/>
                <w:bCs/>
                <w:color w:val="auto"/>
                <w:kern w:val="0"/>
                <w:szCs w:val="21"/>
                <w:highlight w:val="none"/>
              </w:rPr>
              <w:t>网络安全等级保护测评或商用密码应用安全性评估或第三方软件测试</w:t>
            </w:r>
            <w:r>
              <w:rPr>
                <w:rFonts w:hint="eastAsia" w:ascii="宋体" w:hAnsi="宋体" w:eastAsia="宋体" w:cs="宋体"/>
                <w:bCs/>
                <w:color w:val="auto"/>
                <w:kern w:val="2"/>
                <w:sz w:val="21"/>
                <w:szCs w:val="21"/>
                <w:highlight w:val="none"/>
                <w:lang w:val="en-US" w:eastAsia="zh-CN"/>
              </w:rPr>
              <w:t>）</w:t>
            </w:r>
            <w:r>
              <w:rPr>
                <w:rFonts w:hint="eastAsia" w:ascii="宋体" w:hAnsi="宋体" w:eastAsia="宋体" w:cs="宋体"/>
                <w:bCs/>
                <w:color w:val="auto"/>
                <w:kern w:val="2"/>
                <w:sz w:val="21"/>
                <w:szCs w:val="21"/>
                <w:highlight w:val="none"/>
                <w:lang w:eastAsia="zh-CN"/>
              </w:rPr>
              <w:t>项目</w:t>
            </w:r>
            <w:r>
              <w:rPr>
                <w:rFonts w:hint="eastAsia" w:ascii="宋体" w:hAnsi="宋体" w:eastAsia="宋体" w:cs="宋体"/>
                <w:bCs/>
                <w:color w:val="auto"/>
                <w:kern w:val="2"/>
                <w:sz w:val="21"/>
                <w:szCs w:val="21"/>
                <w:highlight w:val="none"/>
                <w:lang w:val="en-US" w:eastAsia="zh-CN"/>
              </w:rPr>
              <w:t>或</w:t>
            </w:r>
            <w:r>
              <w:rPr>
                <w:rFonts w:hint="eastAsia" w:hAnsi="宋体" w:eastAsia="宋体" w:cs="宋体"/>
                <w:bCs/>
                <w:color w:val="auto"/>
                <w:kern w:val="2"/>
                <w:sz w:val="21"/>
                <w:szCs w:val="21"/>
                <w:highlight w:val="none"/>
                <w:lang w:val="en-US" w:eastAsia="zh-CN"/>
              </w:rPr>
              <w:t>类似</w:t>
            </w:r>
            <w:r>
              <w:rPr>
                <w:rFonts w:hint="eastAsia" w:ascii="宋体" w:hAnsi="宋体" w:eastAsia="宋体" w:cs="宋体"/>
                <w:bCs/>
                <w:color w:val="auto"/>
                <w:kern w:val="2"/>
                <w:sz w:val="21"/>
                <w:szCs w:val="21"/>
                <w:highlight w:val="none"/>
                <w:lang w:eastAsia="zh-CN"/>
              </w:rPr>
              <w:t>监理业绩的，每个</w:t>
            </w:r>
            <w:r>
              <w:rPr>
                <w:rFonts w:hint="eastAsia" w:ascii="宋体" w:hAnsi="宋体" w:eastAsia="宋体" w:cs="宋体"/>
                <w:bCs/>
                <w:color w:val="auto"/>
                <w:kern w:val="2"/>
                <w:sz w:val="21"/>
                <w:szCs w:val="21"/>
                <w:highlight w:val="none"/>
                <w:lang w:val="en-US" w:eastAsia="zh-CN"/>
              </w:rPr>
              <w:t>1</w:t>
            </w:r>
            <w:r>
              <w:rPr>
                <w:rFonts w:hint="eastAsia" w:ascii="宋体" w:hAnsi="宋体" w:eastAsia="宋体" w:cs="宋体"/>
                <w:bCs/>
                <w:color w:val="auto"/>
                <w:kern w:val="2"/>
                <w:sz w:val="21"/>
                <w:szCs w:val="21"/>
                <w:highlight w:val="none"/>
                <w:lang w:eastAsia="zh-CN"/>
              </w:rPr>
              <w:t>分，满分</w:t>
            </w:r>
            <w:r>
              <w:rPr>
                <w:rFonts w:hint="eastAsia" w:ascii="宋体" w:hAnsi="宋体" w:eastAsia="宋体" w:cs="宋体"/>
                <w:bCs/>
                <w:color w:val="auto"/>
                <w:kern w:val="2"/>
                <w:sz w:val="21"/>
                <w:szCs w:val="21"/>
                <w:highlight w:val="none"/>
                <w:lang w:val="en-US" w:eastAsia="zh-CN"/>
              </w:rPr>
              <w:t>9</w:t>
            </w:r>
            <w:r>
              <w:rPr>
                <w:rFonts w:hint="eastAsia" w:ascii="宋体" w:hAnsi="宋体" w:eastAsia="宋体" w:cs="宋体"/>
                <w:bCs/>
                <w:color w:val="auto"/>
                <w:kern w:val="2"/>
                <w:sz w:val="21"/>
                <w:szCs w:val="21"/>
                <w:highlight w:val="none"/>
                <w:lang w:eastAsia="zh-CN"/>
              </w:rPr>
              <w:t>分。（响应文件中提供</w:t>
            </w:r>
            <w:r>
              <w:rPr>
                <w:rFonts w:hint="eastAsia"/>
                <w:color w:val="auto"/>
                <w:highlight w:val="none"/>
                <w:lang w:val="en-US" w:eastAsia="zh-CN"/>
              </w:rPr>
              <w:t>中标（成交）通知书</w:t>
            </w:r>
            <w:r>
              <w:rPr>
                <w:rFonts w:hint="eastAsia" w:ascii="宋体" w:hAnsi="宋体" w:eastAsia="宋体" w:cs="宋体"/>
                <w:bCs/>
                <w:color w:val="auto"/>
                <w:kern w:val="2"/>
                <w:sz w:val="21"/>
                <w:szCs w:val="21"/>
                <w:highlight w:val="none"/>
                <w:lang w:eastAsia="zh-CN"/>
              </w:rPr>
              <w:t>或合同复印件并加盖公章）。</w:t>
            </w:r>
          </w:p>
        </w:tc>
        <w:tc>
          <w:tcPr>
            <w:tcW w:w="756" w:type="dxa"/>
            <w:noWrap w:val="0"/>
            <w:vAlign w:val="center"/>
          </w:tcPr>
          <w:p w14:paraId="1AEB93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1476" w:type="dxa"/>
            <w:noWrap w:val="0"/>
            <w:vAlign w:val="center"/>
          </w:tcPr>
          <w:p w14:paraId="7A592F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未提供证明文件不得分。</w:t>
            </w:r>
          </w:p>
        </w:tc>
      </w:tr>
    </w:tbl>
    <w:p w14:paraId="4AD2DA6E">
      <w:pPr>
        <w:rPr>
          <w:rFonts w:hint="eastAsia"/>
          <w:b/>
          <w:bCs/>
          <w:color w:val="auto"/>
          <w:highlight w:val="none"/>
          <w:lang w:val="en-US" w:eastAsia="zh-CN"/>
        </w:rPr>
      </w:pPr>
    </w:p>
    <w:p w14:paraId="6E0A24FA">
      <w:pPr>
        <w:rPr>
          <w:rFonts w:hint="default"/>
          <w:b/>
          <w:bCs/>
          <w:color w:val="auto"/>
          <w:highlight w:val="none"/>
          <w:lang w:val="en-US" w:eastAsia="zh-CN"/>
        </w:rPr>
      </w:pPr>
      <w:r>
        <w:rPr>
          <w:rFonts w:hint="default"/>
          <w:b/>
          <w:bCs/>
          <w:color w:val="auto"/>
          <w:highlight w:val="none"/>
          <w:lang w:val="en-US" w:eastAsia="zh-CN"/>
        </w:rPr>
        <w:br w:type="page"/>
      </w:r>
    </w:p>
    <w:p w14:paraId="273AEBF5">
      <w:pPr>
        <w:rPr>
          <w:rFonts w:hint="default"/>
          <w:b/>
          <w:bCs/>
          <w:color w:val="auto"/>
          <w:highlight w:val="none"/>
          <w:lang w:val="en-US" w:eastAsia="zh-CN"/>
        </w:rPr>
      </w:pPr>
    </w:p>
    <w:p w14:paraId="6199F666">
      <w:pPr>
        <w:keepNext w:val="0"/>
        <w:keepLines w:val="0"/>
        <w:pageBreakBefore w:val="0"/>
        <w:widowControl w:val="0"/>
        <w:kinsoku/>
        <w:wordWrap/>
        <w:overflowPunct/>
        <w:topLinePunct w:val="0"/>
        <w:autoSpaceDE/>
        <w:autoSpaceDN/>
        <w:bidi w:val="0"/>
        <w:adjustRightInd/>
        <w:snapToGrid/>
        <w:spacing w:before="313" w:beforeLines="100"/>
        <w:ind w:firstLine="316" w:firstLineChars="150"/>
        <w:textAlignment w:val="auto"/>
        <w:rPr>
          <w:b/>
          <w:bCs/>
          <w:color w:val="auto"/>
          <w:highlight w:val="none"/>
          <w:lang w:val="zh-CN"/>
        </w:rPr>
      </w:pPr>
      <w:r>
        <w:rPr>
          <w:rFonts w:hint="eastAsia"/>
          <w:b/>
          <w:bCs/>
          <w:color w:val="auto"/>
          <w:highlight w:val="none"/>
          <w:lang w:val="zh-CN"/>
        </w:rPr>
        <w:t>（2）最后报价分</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1"/>
        <w:gridCol w:w="893"/>
        <w:gridCol w:w="5208"/>
        <w:gridCol w:w="993"/>
        <w:gridCol w:w="1394"/>
      </w:tblGrid>
      <w:tr w14:paraId="088CB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426" w:type="pct"/>
            <w:noWrap w:val="0"/>
            <w:vAlign w:val="center"/>
          </w:tcPr>
          <w:p w14:paraId="73CCBE0B">
            <w:pPr>
              <w:keepNext w:val="0"/>
              <w:keepLines w:val="0"/>
              <w:suppressLineNumbers w:val="0"/>
              <w:spacing w:before="0" w:beforeAutospacing="0" w:after="0" w:afterAutospacing="0"/>
              <w:ind w:left="0" w:right="0"/>
              <w:jc w:val="center"/>
              <w:rPr>
                <w:rFonts w:hint="default"/>
                <w:b/>
                <w:color w:val="auto"/>
                <w:szCs w:val="21"/>
                <w:highlight w:val="none"/>
              </w:rPr>
            </w:pPr>
            <w:r>
              <w:rPr>
                <w:rFonts w:hint="default"/>
                <w:b/>
                <w:color w:val="auto"/>
                <w:szCs w:val="21"/>
                <w:highlight w:val="none"/>
              </w:rPr>
              <w:t>序号</w:t>
            </w:r>
          </w:p>
        </w:tc>
        <w:tc>
          <w:tcPr>
            <w:tcW w:w="481" w:type="pct"/>
            <w:noWrap w:val="0"/>
            <w:vAlign w:val="center"/>
          </w:tcPr>
          <w:p w14:paraId="7724B3DE">
            <w:pPr>
              <w:keepNext w:val="0"/>
              <w:keepLines w:val="0"/>
              <w:suppressLineNumbers w:val="0"/>
              <w:spacing w:before="0" w:beforeAutospacing="0" w:after="0" w:afterAutospacing="0"/>
              <w:ind w:left="0" w:right="0"/>
              <w:jc w:val="center"/>
              <w:rPr>
                <w:rFonts w:hint="default"/>
                <w:b/>
                <w:color w:val="auto"/>
                <w:szCs w:val="21"/>
                <w:highlight w:val="none"/>
              </w:rPr>
            </w:pPr>
            <w:r>
              <w:rPr>
                <w:rFonts w:hint="eastAsia"/>
                <w:b/>
                <w:color w:val="auto"/>
                <w:szCs w:val="21"/>
                <w:highlight w:val="none"/>
              </w:rPr>
              <w:t>类型</w:t>
            </w:r>
          </w:p>
        </w:tc>
        <w:tc>
          <w:tcPr>
            <w:tcW w:w="2805" w:type="pct"/>
            <w:noWrap w:val="0"/>
            <w:vAlign w:val="center"/>
          </w:tcPr>
          <w:p w14:paraId="7EB33DA0">
            <w:pPr>
              <w:keepNext w:val="0"/>
              <w:keepLines w:val="0"/>
              <w:suppressLineNumbers w:val="0"/>
              <w:spacing w:before="0" w:beforeAutospacing="0" w:after="0" w:afterAutospacing="0"/>
              <w:ind w:left="0" w:right="0"/>
              <w:jc w:val="center"/>
              <w:rPr>
                <w:rFonts w:hint="default"/>
                <w:b/>
                <w:color w:val="auto"/>
                <w:szCs w:val="21"/>
                <w:highlight w:val="none"/>
              </w:rPr>
            </w:pPr>
            <w:r>
              <w:rPr>
                <w:rFonts w:hint="eastAsia"/>
                <w:b/>
                <w:color w:val="auto"/>
                <w:szCs w:val="21"/>
                <w:highlight w:val="none"/>
              </w:rPr>
              <w:t>评分标准</w:t>
            </w:r>
          </w:p>
        </w:tc>
        <w:tc>
          <w:tcPr>
            <w:tcW w:w="535" w:type="pct"/>
            <w:noWrap w:val="0"/>
            <w:vAlign w:val="center"/>
          </w:tcPr>
          <w:p w14:paraId="7AEE1E7F">
            <w:pPr>
              <w:keepNext w:val="0"/>
              <w:keepLines w:val="0"/>
              <w:suppressLineNumbers w:val="0"/>
              <w:spacing w:before="0" w:beforeAutospacing="0" w:after="0" w:afterAutospacing="0"/>
              <w:ind w:left="0" w:right="0"/>
              <w:jc w:val="center"/>
              <w:rPr>
                <w:rFonts w:hint="default"/>
                <w:b/>
                <w:color w:val="auto"/>
                <w:szCs w:val="21"/>
                <w:highlight w:val="none"/>
              </w:rPr>
            </w:pPr>
            <w:r>
              <w:rPr>
                <w:rFonts w:hint="eastAsia"/>
                <w:b/>
                <w:color w:val="auto"/>
                <w:szCs w:val="21"/>
                <w:highlight w:val="none"/>
              </w:rPr>
              <w:t>分值权重</w:t>
            </w:r>
          </w:p>
        </w:tc>
        <w:tc>
          <w:tcPr>
            <w:tcW w:w="751" w:type="pct"/>
            <w:noWrap w:val="0"/>
            <w:vAlign w:val="center"/>
          </w:tcPr>
          <w:p w14:paraId="63042E71">
            <w:pPr>
              <w:keepNext w:val="0"/>
              <w:keepLines w:val="0"/>
              <w:suppressLineNumbers w:val="0"/>
              <w:spacing w:before="0" w:beforeAutospacing="0" w:after="0" w:afterAutospacing="0"/>
              <w:ind w:left="0" w:right="0"/>
              <w:jc w:val="center"/>
              <w:rPr>
                <w:rFonts w:hint="default"/>
                <w:b/>
                <w:color w:val="auto"/>
                <w:szCs w:val="21"/>
                <w:highlight w:val="none"/>
              </w:rPr>
            </w:pPr>
            <w:r>
              <w:rPr>
                <w:rFonts w:hint="default"/>
                <w:b/>
                <w:color w:val="auto"/>
                <w:szCs w:val="21"/>
                <w:highlight w:val="none"/>
              </w:rPr>
              <w:t>说明</w:t>
            </w:r>
          </w:p>
        </w:tc>
      </w:tr>
      <w:tr w14:paraId="6BD04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426" w:type="pct"/>
            <w:noWrap w:val="0"/>
            <w:vAlign w:val="center"/>
          </w:tcPr>
          <w:p w14:paraId="23DEC6EB">
            <w:pPr>
              <w:keepNext w:val="0"/>
              <w:keepLines w:val="0"/>
              <w:suppressLineNumbers w:val="0"/>
              <w:spacing w:before="0" w:beforeAutospacing="0" w:after="0" w:afterAutospacing="0"/>
              <w:ind w:left="0" w:right="0"/>
              <w:jc w:val="center"/>
              <w:rPr>
                <w:rFonts w:hint="default"/>
                <w:b/>
                <w:color w:val="auto"/>
                <w:szCs w:val="21"/>
                <w:highlight w:val="none"/>
              </w:rPr>
            </w:pPr>
            <w:r>
              <w:rPr>
                <w:rFonts w:hint="eastAsia"/>
                <w:b/>
                <w:color w:val="auto"/>
                <w:szCs w:val="21"/>
                <w:highlight w:val="none"/>
              </w:rPr>
              <w:t>1</w:t>
            </w:r>
          </w:p>
        </w:tc>
        <w:tc>
          <w:tcPr>
            <w:tcW w:w="481" w:type="pct"/>
            <w:noWrap w:val="0"/>
            <w:vAlign w:val="center"/>
          </w:tcPr>
          <w:p w14:paraId="557677C2">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响应报价分</w:t>
            </w:r>
          </w:p>
          <w:p w14:paraId="30A25A95">
            <w:pPr>
              <w:keepNext w:val="0"/>
              <w:keepLines w:val="0"/>
              <w:suppressLineNumbers w:val="0"/>
              <w:spacing w:before="0" w:beforeAutospacing="0" w:after="0" w:afterAutospacing="0"/>
              <w:ind w:left="0" w:right="0"/>
              <w:jc w:val="center"/>
              <w:rPr>
                <w:rFonts w:hint="eastAsia" w:eastAsia="宋体"/>
                <w:color w:val="auto"/>
                <w:szCs w:val="21"/>
                <w:highlight w:val="none"/>
                <w:lang w:eastAsia="zh-CN"/>
              </w:rPr>
            </w:pPr>
            <w:r>
              <w:rPr>
                <w:rFonts w:hint="eastAsia"/>
                <w:color w:val="auto"/>
                <w:szCs w:val="21"/>
                <w:highlight w:val="none"/>
                <w:lang w:eastAsia="zh-CN"/>
              </w:rPr>
              <w:t>（</w:t>
            </w:r>
            <w:r>
              <w:rPr>
                <w:rFonts w:hint="eastAsia"/>
                <w:color w:val="auto"/>
                <w:szCs w:val="21"/>
                <w:highlight w:val="none"/>
                <w:lang w:val="en-US" w:eastAsia="zh-CN"/>
              </w:rPr>
              <w:t>10分</w:t>
            </w:r>
            <w:r>
              <w:rPr>
                <w:rFonts w:hint="eastAsia"/>
                <w:color w:val="auto"/>
                <w:szCs w:val="21"/>
                <w:highlight w:val="none"/>
                <w:lang w:eastAsia="zh-CN"/>
              </w:rPr>
              <w:t>）</w:t>
            </w:r>
          </w:p>
        </w:tc>
        <w:tc>
          <w:tcPr>
            <w:tcW w:w="2805" w:type="pct"/>
            <w:noWrap w:val="0"/>
            <w:vAlign w:val="center"/>
          </w:tcPr>
          <w:p w14:paraId="3E29CB6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40" w:lineRule="exact"/>
              <w:ind w:left="0" w:right="0" w:firstLine="420"/>
              <w:jc w:val="left"/>
              <w:textAlignment w:val="baseline"/>
              <w:rPr>
                <w:rFonts w:hint="eastAsia" w:ascii="宋体" w:hAnsi="宋体" w:cs="宋体"/>
                <w:b w:val="0"/>
                <w:bCs/>
                <w:color w:val="auto"/>
                <w:szCs w:val="21"/>
                <w:highlight w:val="none"/>
              </w:rPr>
            </w:pPr>
            <w:r>
              <w:rPr>
                <w:rFonts w:hint="eastAsia" w:ascii="宋体" w:hAnsi="宋体" w:cs="宋体"/>
                <w:b w:val="0"/>
                <w:bCs/>
                <w:color w:val="auto"/>
                <w:szCs w:val="21"/>
                <w:highlight w:val="none"/>
              </w:rPr>
              <w:t>（1）评</w:t>
            </w:r>
            <w:r>
              <w:rPr>
                <w:rFonts w:hint="eastAsia" w:ascii="宋体" w:hAnsi="宋体" w:cs="宋体"/>
                <w:b w:val="0"/>
                <w:bCs/>
                <w:color w:val="auto"/>
                <w:szCs w:val="21"/>
                <w:highlight w:val="none"/>
                <w:lang w:val="en-US" w:eastAsia="zh-CN"/>
              </w:rPr>
              <w:t>审</w:t>
            </w:r>
            <w:r>
              <w:rPr>
                <w:rFonts w:hint="eastAsia" w:ascii="宋体" w:hAnsi="宋体" w:cs="宋体"/>
                <w:b w:val="0"/>
                <w:bCs/>
                <w:color w:val="auto"/>
                <w:szCs w:val="21"/>
                <w:highlight w:val="none"/>
              </w:rPr>
              <w:t>价为</w:t>
            </w:r>
            <w:r>
              <w:rPr>
                <w:rFonts w:hint="eastAsia" w:ascii="宋体" w:hAnsi="宋体" w:cs="宋体"/>
                <w:b w:val="0"/>
                <w:bCs/>
                <w:color w:val="auto"/>
                <w:szCs w:val="21"/>
                <w:highlight w:val="none"/>
                <w:lang w:val="en-US" w:eastAsia="zh-CN"/>
              </w:rPr>
              <w:t>供应商</w:t>
            </w:r>
            <w:r>
              <w:rPr>
                <w:rFonts w:hint="eastAsia" w:ascii="宋体" w:hAnsi="宋体" w:cs="宋体"/>
                <w:b w:val="0"/>
                <w:bCs/>
                <w:color w:val="auto"/>
                <w:szCs w:val="21"/>
                <w:highlight w:val="none"/>
              </w:rPr>
              <w:t>的</w:t>
            </w:r>
            <w:r>
              <w:rPr>
                <w:rFonts w:hint="eastAsia" w:ascii="宋体" w:hAnsi="宋体" w:cs="宋体"/>
                <w:b w:val="0"/>
                <w:bCs/>
                <w:color w:val="auto"/>
                <w:szCs w:val="21"/>
                <w:highlight w:val="none"/>
                <w:lang w:val="en-US" w:eastAsia="zh-CN"/>
              </w:rPr>
              <w:t>响应</w:t>
            </w:r>
            <w:r>
              <w:rPr>
                <w:rFonts w:hint="eastAsia" w:ascii="宋体" w:hAnsi="宋体" w:cs="宋体"/>
                <w:b w:val="0"/>
                <w:bCs/>
                <w:color w:val="auto"/>
                <w:szCs w:val="21"/>
                <w:highlight w:val="none"/>
              </w:rPr>
              <w:t>报价进行政策性扣除后的价格，评</w:t>
            </w:r>
            <w:r>
              <w:rPr>
                <w:rFonts w:hint="eastAsia" w:ascii="宋体" w:hAnsi="宋体" w:cs="宋体"/>
                <w:b w:val="0"/>
                <w:bCs/>
                <w:color w:val="auto"/>
                <w:szCs w:val="21"/>
                <w:highlight w:val="none"/>
                <w:lang w:val="en-US" w:eastAsia="zh-CN"/>
              </w:rPr>
              <w:t>审</w:t>
            </w:r>
            <w:r>
              <w:rPr>
                <w:rFonts w:hint="eastAsia" w:ascii="宋体" w:hAnsi="宋体" w:cs="宋体"/>
                <w:b w:val="0"/>
                <w:bCs/>
                <w:color w:val="auto"/>
                <w:szCs w:val="21"/>
                <w:highlight w:val="none"/>
              </w:rPr>
              <w:t>价只是作为评</w:t>
            </w:r>
            <w:r>
              <w:rPr>
                <w:rFonts w:hint="eastAsia" w:ascii="宋体" w:hAnsi="宋体" w:cs="宋体"/>
                <w:b w:val="0"/>
                <w:bCs/>
                <w:color w:val="auto"/>
                <w:szCs w:val="21"/>
                <w:highlight w:val="none"/>
                <w:lang w:val="en-US" w:eastAsia="zh-CN"/>
              </w:rPr>
              <w:t>审</w:t>
            </w:r>
            <w:r>
              <w:rPr>
                <w:rFonts w:hint="eastAsia" w:ascii="宋体" w:hAnsi="宋体" w:cs="宋体"/>
                <w:b w:val="0"/>
                <w:bCs/>
                <w:color w:val="auto"/>
                <w:szCs w:val="21"/>
                <w:highlight w:val="none"/>
              </w:rPr>
              <w:t>时使用。最终成交供应商的成交金额＝</w:t>
            </w:r>
            <w:r>
              <w:rPr>
                <w:rFonts w:hint="eastAsia" w:ascii="宋体" w:hAnsi="宋体" w:cs="宋体"/>
                <w:b w:val="0"/>
                <w:bCs/>
                <w:color w:val="auto"/>
                <w:szCs w:val="21"/>
                <w:highlight w:val="none"/>
                <w:lang w:val="en-US" w:eastAsia="zh-CN"/>
              </w:rPr>
              <w:t>最终响应</w:t>
            </w:r>
            <w:r>
              <w:rPr>
                <w:rFonts w:hint="eastAsia" w:ascii="宋体" w:hAnsi="宋体" w:cs="宋体"/>
                <w:b w:val="0"/>
                <w:bCs/>
                <w:color w:val="auto"/>
                <w:szCs w:val="21"/>
                <w:highlight w:val="none"/>
              </w:rPr>
              <w:t>报价。</w:t>
            </w:r>
          </w:p>
          <w:p w14:paraId="7119AC0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40" w:lineRule="exact"/>
              <w:ind w:left="0" w:right="0" w:firstLine="420"/>
              <w:jc w:val="left"/>
              <w:textAlignment w:val="baseline"/>
              <w:rPr>
                <w:rFonts w:hint="eastAsia" w:ascii="宋体" w:hAnsi="宋体" w:cs="宋体"/>
                <w:b w:val="0"/>
                <w:bCs/>
                <w:color w:val="auto"/>
                <w:szCs w:val="21"/>
                <w:highlight w:val="none"/>
              </w:rPr>
            </w:pPr>
            <w:r>
              <w:rPr>
                <w:rFonts w:hint="eastAsia" w:ascii="宋体" w:hAnsi="宋体" w:cs="宋体"/>
                <w:b w:val="0"/>
                <w:bCs/>
                <w:color w:val="auto"/>
                <w:szCs w:val="21"/>
                <w:highlight w:val="none"/>
              </w:rPr>
              <w:t>（2）按照《政府采购促进中小企业发展管理办法》（财库〔2020〕46号）和《广西壮族自治区财政厅关于贯彻落实政府采购支持中小企业发展政策的通知》桂财采〔2022〕31号的规定，竞标人在其响应文件中提供《中小企业声明函》，且其服务为小型和微型企业承接的，对其最后报价给予20%的扣除。（响应文件中提供《中小企业声明函》（详见附件格式））</w:t>
            </w:r>
          </w:p>
          <w:p w14:paraId="4AB5A46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40" w:lineRule="exact"/>
              <w:ind w:left="0" w:right="0" w:firstLine="420"/>
              <w:jc w:val="left"/>
              <w:textAlignment w:val="baseline"/>
              <w:rPr>
                <w:rFonts w:hint="eastAsia" w:ascii="宋体" w:hAnsi="宋体" w:cs="宋体"/>
                <w:b w:val="0"/>
                <w:bCs/>
                <w:color w:val="auto"/>
                <w:szCs w:val="21"/>
                <w:highlight w:val="none"/>
              </w:rPr>
            </w:pPr>
            <w:r>
              <w:rPr>
                <w:rFonts w:hint="eastAsia" w:ascii="宋体" w:hAnsi="宋体" w:cs="宋体"/>
                <w:b w:val="0"/>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w:t>
            </w:r>
          </w:p>
          <w:p w14:paraId="49401D8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40" w:lineRule="exact"/>
              <w:ind w:left="0" w:right="0" w:firstLine="420"/>
              <w:jc w:val="left"/>
              <w:textAlignment w:val="baseline"/>
              <w:rPr>
                <w:rFonts w:hint="eastAsia" w:ascii="宋体" w:hAnsi="宋体" w:cs="宋体"/>
                <w:b w:val="0"/>
                <w:bCs/>
                <w:color w:val="auto"/>
                <w:szCs w:val="21"/>
                <w:highlight w:val="none"/>
              </w:rPr>
            </w:pPr>
            <w:r>
              <w:rPr>
                <w:rFonts w:hint="eastAsia" w:ascii="宋体" w:hAnsi="宋体" w:cs="宋体"/>
                <w:b w:val="0"/>
                <w:bCs/>
                <w:color w:val="auto"/>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属于小型、微型企业的，不重复享受政策。</w:t>
            </w:r>
          </w:p>
          <w:p w14:paraId="422AA38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40" w:lineRule="exact"/>
              <w:ind w:left="0" w:right="0" w:firstLine="420"/>
              <w:jc w:val="left"/>
              <w:textAlignment w:val="baseline"/>
              <w:rPr>
                <w:rFonts w:hint="eastAsia" w:ascii="宋体" w:hAnsi="宋体" w:cs="宋体"/>
                <w:b w:val="0"/>
                <w:bCs/>
                <w:color w:val="auto"/>
                <w:szCs w:val="21"/>
                <w:highlight w:val="none"/>
              </w:rPr>
            </w:pPr>
            <w:r>
              <w:rPr>
                <w:rFonts w:hint="eastAsia" w:ascii="宋体" w:hAnsi="宋体" w:cs="宋体"/>
                <w:b w:val="0"/>
                <w:bCs/>
                <w:color w:val="auto"/>
                <w:szCs w:val="21"/>
                <w:highlight w:val="none"/>
              </w:rPr>
              <w:t>（5）政策性扣除计算方法。</w:t>
            </w:r>
          </w:p>
          <w:p w14:paraId="3E64008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40" w:lineRule="exact"/>
              <w:ind w:left="0" w:right="0" w:firstLine="420"/>
              <w:jc w:val="left"/>
              <w:textAlignment w:val="baseline"/>
              <w:rPr>
                <w:rFonts w:hint="eastAsia" w:ascii="宋体" w:hAnsi="宋体" w:cs="宋体"/>
                <w:b w:val="0"/>
                <w:bCs/>
                <w:color w:val="auto"/>
                <w:szCs w:val="21"/>
                <w:highlight w:val="none"/>
              </w:rPr>
            </w:pPr>
            <w:r>
              <w:rPr>
                <w:rFonts w:hint="eastAsia" w:ascii="宋体" w:hAnsi="宋体" w:cs="宋体"/>
                <w:b w:val="0"/>
                <w:bCs/>
                <w:color w:val="auto"/>
                <w:szCs w:val="21"/>
                <w:highlight w:val="none"/>
                <w:lang w:val="en-US" w:eastAsia="zh-CN"/>
              </w:rPr>
              <w:t>供应商</w:t>
            </w:r>
            <w:r>
              <w:rPr>
                <w:rFonts w:hint="eastAsia" w:ascii="宋体" w:hAnsi="宋体" w:cs="宋体"/>
                <w:b w:val="0"/>
                <w:bCs/>
                <w:color w:val="auto"/>
                <w:szCs w:val="21"/>
                <w:highlight w:val="none"/>
              </w:rPr>
              <w:t>所</w:t>
            </w:r>
            <w:r>
              <w:rPr>
                <w:rFonts w:hint="eastAsia" w:ascii="宋体" w:hAnsi="宋体" w:cs="宋体"/>
                <w:b w:val="0"/>
                <w:bCs/>
                <w:color w:val="auto"/>
                <w:szCs w:val="21"/>
                <w:highlight w:val="none"/>
                <w:lang w:val="en-US" w:eastAsia="zh-CN"/>
              </w:rPr>
              <w:t>响应</w:t>
            </w:r>
            <w:r>
              <w:rPr>
                <w:rFonts w:hint="eastAsia" w:ascii="宋体" w:hAnsi="宋体" w:cs="宋体"/>
                <w:b w:val="0"/>
                <w:bCs/>
                <w:color w:val="auto"/>
                <w:szCs w:val="21"/>
                <w:highlight w:val="none"/>
              </w:rPr>
              <w:t>产品被认定为监狱企业或残疾人福利性单位或小型和微型企业产品的，该产品</w:t>
            </w:r>
            <w:r>
              <w:rPr>
                <w:rFonts w:hint="eastAsia" w:ascii="宋体" w:hAnsi="宋体" w:cs="宋体"/>
                <w:b w:val="0"/>
                <w:bCs/>
                <w:color w:val="auto"/>
                <w:szCs w:val="21"/>
                <w:highlight w:val="none"/>
                <w:lang w:val="en-US" w:eastAsia="zh-CN"/>
              </w:rPr>
              <w:t>响应</w:t>
            </w:r>
            <w:r>
              <w:rPr>
                <w:rFonts w:hint="eastAsia" w:ascii="宋体" w:hAnsi="宋体" w:cs="宋体"/>
                <w:b w:val="0"/>
                <w:bCs/>
                <w:color w:val="auto"/>
                <w:szCs w:val="21"/>
                <w:highlight w:val="none"/>
              </w:rPr>
              <w:t>报价给予20%的扣除，扣除后的价格为评</w:t>
            </w:r>
            <w:r>
              <w:rPr>
                <w:rFonts w:hint="eastAsia" w:ascii="宋体" w:hAnsi="宋体" w:cs="宋体"/>
                <w:b w:val="0"/>
                <w:bCs/>
                <w:color w:val="auto"/>
                <w:szCs w:val="21"/>
                <w:highlight w:val="none"/>
                <w:lang w:val="en-US" w:eastAsia="zh-CN"/>
              </w:rPr>
              <w:t>审</w:t>
            </w:r>
            <w:r>
              <w:rPr>
                <w:rFonts w:hint="eastAsia" w:ascii="宋体" w:hAnsi="宋体" w:cs="宋体"/>
                <w:b w:val="0"/>
                <w:bCs/>
                <w:color w:val="auto"/>
                <w:szCs w:val="21"/>
                <w:highlight w:val="none"/>
              </w:rPr>
              <w:t>报价，即该产品的评</w:t>
            </w:r>
            <w:r>
              <w:rPr>
                <w:rFonts w:hint="eastAsia" w:ascii="宋体" w:hAnsi="宋体" w:cs="宋体"/>
                <w:b w:val="0"/>
                <w:bCs/>
                <w:color w:val="auto"/>
                <w:szCs w:val="21"/>
                <w:highlight w:val="none"/>
                <w:lang w:val="en-US" w:eastAsia="zh-CN"/>
              </w:rPr>
              <w:t>审</w:t>
            </w:r>
            <w:r>
              <w:rPr>
                <w:rFonts w:hint="eastAsia" w:ascii="宋体" w:hAnsi="宋体" w:cs="宋体"/>
                <w:b w:val="0"/>
                <w:bCs/>
                <w:color w:val="auto"/>
                <w:szCs w:val="21"/>
                <w:highlight w:val="none"/>
              </w:rPr>
              <w:t>报价=该产品的</w:t>
            </w:r>
            <w:r>
              <w:rPr>
                <w:rFonts w:hint="eastAsia" w:ascii="宋体" w:hAnsi="宋体" w:cs="宋体"/>
                <w:b w:val="0"/>
                <w:bCs/>
                <w:color w:val="auto"/>
                <w:szCs w:val="21"/>
                <w:highlight w:val="none"/>
                <w:lang w:val="en-US" w:eastAsia="zh-CN"/>
              </w:rPr>
              <w:t>响应</w:t>
            </w:r>
            <w:r>
              <w:rPr>
                <w:rFonts w:hint="eastAsia" w:ascii="宋体" w:hAnsi="宋体" w:cs="宋体"/>
                <w:b w:val="0"/>
                <w:bCs/>
                <w:color w:val="auto"/>
                <w:szCs w:val="21"/>
                <w:highlight w:val="none"/>
              </w:rPr>
              <w:t>报价×（1-20%）；大中型企业和其他自然人、法人或者其他组织与小型、微型企业组成联合体</w:t>
            </w:r>
            <w:r>
              <w:rPr>
                <w:rFonts w:hint="eastAsia" w:ascii="宋体" w:hAnsi="宋体" w:cs="宋体"/>
                <w:b w:val="0"/>
                <w:bCs/>
                <w:color w:val="auto"/>
                <w:szCs w:val="21"/>
                <w:highlight w:val="none"/>
                <w:lang w:val="en-US" w:eastAsia="zh-CN"/>
              </w:rPr>
              <w:t>响应</w:t>
            </w:r>
            <w:r>
              <w:rPr>
                <w:rFonts w:hint="eastAsia" w:ascii="宋体" w:hAnsi="宋体" w:cs="宋体"/>
                <w:b w:val="0"/>
                <w:bCs/>
                <w:color w:val="auto"/>
                <w:szCs w:val="21"/>
                <w:highlight w:val="none"/>
              </w:rPr>
              <w:t>，且联合体协议中约定小型、微型企业的协议合同金额占到联合体协议合同总金额30%以上的，联合体</w:t>
            </w:r>
            <w:r>
              <w:rPr>
                <w:rFonts w:hint="eastAsia" w:ascii="宋体" w:hAnsi="宋体" w:cs="宋体"/>
                <w:b w:val="0"/>
                <w:bCs/>
                <w:color w:val="auto"/>
                <w:szCs w:val="21"/>
                <w:highlight w:val="none"/>
                <w:lang w:val="en-US" w:eastAsia="zh-CN"/>
              </w:rPr>
              <w:t>响应</w:t>
            </w:r>
            <w:r>
              <w:rPr>
                <w:rFonts w:hint="eastAsia" w:ascii="宋体" w:hAnsi="宋体" w:cs="宋体"/>
                <w:b w:val="0"/>
                <w:bCs/>
                <w:color w:val="auto"/>
                <w:szCs w:val="21"/>
                <w:highlight w:val="none"/>
              </w:rPr>
              <w:t>价给予4%的扣除，扣除后的价格为评</w:t>
            </w:r>
            <w:r>
              <w:rPr>
                <w:rFonts w:hint="eastAsia" w:ascii="宋体" w:hAnsi="宋体" w:cs="宋体"/>
                <w:b w:val="0"/>
                <w:bCs/>
                <w:color w:val="auto"/>
                <w:szCs w:val="21"/>
                <w:highlight w:val="none"/>
                <w:lang w:val="en-US" w:eastAsia="zh-CN"/>
              </w:rPr>
              <w:t>审</w:t>
            </w:r>
            <w:r>
              <w:rPr>
                <w:rFonts w:hint="eastAsia" w:ascii="宋体" w:hAnsi="宋体" w:cs="宋体"/>
                <w:b w:val="0"/>
                <w:bCs/>
                <w:color w:val="auto"/>
                <w:szCs w:val="21"/>
                <w:highlight w:val="none"/>
              </w:rPr>
              <w:t>价，即评</w:t>
            </w:r>
            <w:r>
              <w:rPr>
                <w:rFonts w:hint="eastAsia" w:ascii="宋体" w:hAnsi="宋体" w:cs="宋体"/>
                <w:b w:val="0"/>
                <w:bCs/>
                <w:color w:val="auto"/>
                <w:szCs w:val="21"/>
                <w:highlight w:val="none"/>
                <w:lang w:val="en-US" w:eastAsia="zh-CN"/>
              </w:rPr>
              <w:t>审</w:t>
            </w:r>
            <w:r>
              <w:rPr>
                <w:rFonts w:hint="eastAsia" w:ascii="宋体" w:hAnsi="宋体" w:cs="宋体"/>
                <w:b w:val="0"/>
                <w:bCs/>
                <w:color w:val="auto"/>
                <w:szCs w:val="21"/>
                <w:highlight w:val="none"/>
              </w:rPr>
              <w:t>报价=</w:t>
            </w:r>
            <w:r>
              <w:rPr>
                <w:rFonts w:hint="eastAsia" w:ascii="宋体" w:hAnsi="宋体" w:cs="宋体"/>
                <w:b w:val="0"/>
                <w:bCs/>
                <w:color w:val="auto"/>
                <w:szCs w:val="21"/>
                <w:highlight w:val="none"/>
                <w:lang w:val="en-US" w:eastAsia="zh-CN"/>
              </w:rPr>
              <w:t>响应</w:t>
            </w:r>
            <w:r>
              <w:rPr>
                <w:rFonts w:hint="eastAsia" w:ascii="宋体" w:hAnsi="宋体" w:cs="宋体"/>
                <w:b w:val="0"/>
                <w:bCs/>
                <w:color w:val="auto"/>
                <w:szCs w:val="21"/>
                <w:highlight w:val="none"/>
              </w:rPr>
              <w:t>报价×（1-4%）；除上述情况外，评审报价=响应报价。</w:t>
            </w:r>
          </w:p>
          <w:p w14:paraId="4A826515">
            <w:pPr>
              <w:keepNext w:val="0"/>
              <w:keepLines w:val="0"/>
              <w:suppressLineNumbers w:val="0"/>
              <w:spacing w:before="0" w:beforeAutospacing="0" w:after="0" w:afterAutospacing="0"/>
              <w:ind w:left="0" w:right="0" w:firstLine="630" w:firstLineChars="300"/>
              <w:rPr>
                <w:rFonts w:hint="default"/>
                <w:color w:val="auto"/>
                <w:szCs w:val="21"/>
                <w:highlight w:val="none"/>
              </w:rPr>
            </w:pPr>
            <w:r>
              <w:rPr>
                <w:rFonts w:hint="eastAsia"/>
                <w:color w:val="auto"/>
                <w:szCs w:val="21"/>
                <w:highlight w:val="none"/>
              </w:rPr>
              <w:t>以满足采购文件要求且</w:t>
            </w:r>
            <w:r>
              <w:rPr>
                <w:rFonts w:hint="eastAsia"/>
                <w:color w:val="auto"/>
                <w:szCs w:val="21"/>
                <w:highlight w:val="none"/>
                <w:lang w:val="en-US" w:eastAsia="zh-CN"/>
              </w:rPr>
              <w:t>最后</w:t>
            </w:r>
            <w:r>
              <w:rPr>
                <w:rFonts w:hint="eastAsia"/>
                <w:color w:val="auto"/>
                <w:szCs w:val="21"/>
                <w:highlight w:val="none"/>
              </w:rPr>
              <w:t>响应价格最低的响应报价为评审基准价，其价格分为满分。其他供应商的价格分统一按照下列公式计算：响应报价得分</w:t>
            </w:r>
            <w:r>
              <w:rPr>
                <w:rFonts w:hint="default"/>
                <w:color w:val="auto"/>
                <w:szCs w:val="21"/>
                <w:highlight w:val="none"/>
              </w:rPr>
              <w:t>=（评审基准价/响应报价）×响应报价分满分分值。</w:t>
            </w:r>
          </w:p>
        </w:tc>
        <w:tc>
          <w:tcPr>
            <w:tcW w:w="535" w:type="pct"/>
            <w:noWrap w:val="0"/>
            <w:vAlign w:val="center"/>
          </w:tcPr>
          <w:p w14:paraId="0E640056">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10</w:t>
            </w:r>
          </w:p>
        </w:tc>
        <w:tc>
          <w:tcPr>
            <w:tcW w:w="751" w:type="pct"/>
            <w:noWrap w:val="0"/>
            <w:vAlign w:val="center"/>
          </w:tcPr>
          <w:p w14:paraId="5FFD08D4">
            <w:pPr>
              <w:keepNext w:val="0"/>
              <w:keepLines w:val="0"/>
              <w:suppressLineNumbers w:val="0"/>
              <w:spacing w:before="0" w:beforeAutospacing="0" w:after="0" w:afterAutospacing="0"/>
              <w:ind w:left="0" w:right="0"/>
              <w:rPr>
                <w:rFonts w:hint="default" w:eastAsia="宋体"/>
                <w:color w:val="auto"/>
                <w:szCs w:val="21"/>
                <w:highlight w:val="none"/>
                <w:lang w:val="en-US" w:eastAsia="zh-CN"/>
              </w:rPr>
            </w:pPr>
            <w:r>
              <w:rPr>
                <w:rFonts w:hint="eastAsia"/>
                <w:color w:val="auto"/>
                <w:szCs w:val="21"/>
                <w:highlight w:val="none"/>
              </w:rPr>
              <w:t>响应报价计算时均为供应商的</w:t>
            </w:r>
            <w:r>
              <w:rPr>
                <w:rFonts w:hint="eastAsia"/>
                <w:color w:val="auto"/>
                <w:szCs w:val="21"/>
                <w:highlight w:val="none"/>
                <w:lang w:val="en-US" w:eastAsia="zh-CN"/>
              </w:rPr>
              <w:t>最后响应报价，</w:t>
            </w:r>
            <w:r>
              <w:rPr>
                <w:rFonts w:hint="eastAsia"/>
                <w:color w:val="auto"/>
                <w:szCs w:val="21"/>
                <w:highlight w:val="none"/>
              </w:rPr>
              <w:t>最终成交金额＝响应报价。</w:t>
            </w:r>
          </w:p>
        </w:tc>
      </w:tr>
    </w:tbl>
    <w:p w14:paraId="51804B18">
      <w:pPr>
        <w:rPr>
          <w:rFonts w:hint="eastAsia"/>
          <w:color w:val="auto"/>
          <w:highlight w:val="none"/>
        </w:rPr>
      </w:pPr>
    </w:p>
    <w:p w14:paraId="451A70BD">
      <w:pPr>
        <w:rPr>
          <w:color w:val="auto"/>
          <w:highlight w:val="none"/>
        </w:rPr>
      </w:pPr>
    </w:p>
    <w:p w14:paraId="6C3710AB">
      <w:pPr>
        <w:rPr>
          <w:color w:val="auto"/>
          <w:highlight w:val="none"/>
        </w:rPr>
      </w:pPr>
    </w:p>
    <w:p w14:paraId="5D1CF8F7">
      <w:pPr>
        <w:rPr>
          <w:color w:val="auto"/>
          <w:highlight w:val="none"/>
        </w:rPr>
      </w:pPr>
    </w:p>
    <w:p w14:paraId="38D9BA8F">
      <w:pPr>
        <w:rPr>
          <w:color w:val="auto"/>
          <w:highlight w:val="none"/>
        </w:rPr>
      </w:pPr>
    </w:p>
    <w:p w14:paraId="7FA585FE">
      <w:pPr>
        <w:rPr>
          <w:color w:val="auto"/>
          <w:highlight w:val="none"/>
        </w:rPr>
      </w:pPr>
    </w:p>
    <w:p w14:paraId="216CBEC5">
      <w:pPr>
        <w:rPr>
          <w:color w:val="auto"/>
          <w:highlight w:val="none"/>
        </w:rPr>
      </w:pPr>
    </w:p>
    <w:p w14:paraId="5DD75B1D">
      <w:pPr>
        <w:ind w:firstLine="315" w:firstLineChars="150"/>
        <w:rPr>
          <w:rFonts w:hint="eastAsia"/>
          <w:color w:val="auto"/>
          <w:highlight w:val="none"/>
        </w:rPr>
      </w:pPr>
    </w:p>
    <w:p w14:paraId="0E8573D6">
      <w:pPr>
        <w:ind w:firstLine="316" w:firstLineChars="150"/>
        <w:rPr>
          <w:b/>
          <w:bCs/>
          <w:color w:val="auto"/>
          <w:highlight w:val="none"/>
        </w:rPr>
      </w:pPr>
      <w:r>
        <w:rPr>
          <w:rFonts w:hint="eastAsia"/>
          <w:b/>
          <w:bCs/>
          <w:color w:val="auto"/>
          <w:highlight w:val="none"/>
        </w:rPr>
        <w:t>（</w:t>
      </w:r>
      <w:r>
        <w:rPr>
          <w:b/>
          <w:bCs/>
          <w:color w:val="auto"/>
          <w:highlight w:val="none"/>
        </w:rPr>
        <w:t>3</w:t>
      </w:r>
      <w:r>
        <w:rPr>
          <w:rFonts w:hint="eastAsia"/>
          <w:b/>
          <w:bCs/>
          <w:color w:val="auto"/>
          <w:highlight w:val="none"/>
        </w:rPr>
        <w:t>）</w:t>
      </w:r>
      <w:r>
        <w:rPr>
          <w:b/>
          <w:bCs/>
          <w:color w:val="auto"/>
          <w:highlight w:val="none"/>
        </w:rPr>
        <w:t>综合得分</w:t>
      </w:r>
    </w:p>
    <w:tbl>
      <w:tblPr>
        <w:tblStyle w:val="5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
        <w:gridCol w:w="3150"/>
        <w:gridCol w:w="3147"/>
        <w:gridCol w:w="2159"/>
      </w:tblGrid>
      <w:tr w14:paraId="1F430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445" w:type="pct"/>
            <w:noWrap w:val="0"/>
            <w:vAlign w:val="center"/>
          </w:tcPr>
          <w:p w14:paraId="736694C6">
            <w:pPr>
              <w:keepNext w:val="0"/>
              <w:keepLines w:val="0"/>
              <w:suppressLineNumbers w:val="0"/>
              <w:spacing w:before="0" w:beforeAutospacing="0" w:after="0" w:afterAutospacing="0"/>
              <w:ind w:left="0" w:right="0"/>
              <w:jc w:val="center"/>
              <w:rPr>
                <w:rFonts w:hint="default"/>
                <w:b/>
                <w:color w:val="auto"/>
                <w:szCs w:val="21"/>
                <w:highlight w:val="none"/>
              </w:rPr>
            </w:pPr>
            <w:r>
              <w:rPr>
                <w:rFonts w:hint="eastAsia"/>
                <w:b/>
                <w:color w:val="auto"/>
                <w:szCs w:val="21"/>
                <w:highlight w:val="none"/>
              </w:rPr>
              <w:t>分项</w:t>
            </w:r>
          </w:p>
        </w:tc>
        <w:tc>
          <w:tcPr>
            <w:tcW w:w="1697" w:type="pct"/>
            <w:noWrap w:val="0"/>
            <w:vAlign w:val="center"/>
          </w:tcPr>
          <w:p w14:paraId="2C90CADA">
            <w:pPr>
              <w:keepNext w:val="0"/>
              <w:keepLines w:val="0"/>
              <w:suppressLineNumbers w:val="0"/>
              <w:spacing w:before="0" w:beforeAutospacing="0" w:after="0" w:afterAutospacing="0"/>
              <w:ind w:left="0" w:right="0"/>
              <w:jc w:val="center"/>
              <w:rPr>
                <w:rFonts w:hint="default"/>
                <w:b/>
                <w:color w:val="auto"/>
                <w:szCs w:val="21"/>
                <w:highlight w:val="none"/>
              </w:rPr>
            </w:pPr>
            <w:r>
              <w:rPr>
                <w:rFonts w:hint="eastAsia"/>
                <w:b/>
                <w:color w:val="auto"/>
                <w:szCs w:val="21"/>
                <w:highlight w:val="none"/>
              </w:rPr>
              <w:t>技术及商务资信分</w:t>
            </w:r>
          </w:p>
        </w:tc>
        <w:tc>
          <w:tcPr>
            <w:tcW w:w="1695" w:type="pct"/>
            <w:noWrap w:val="0"/>
            <w:vAlign w:val="center"/>
          </w:tcPr>
          <w:p w14:paraId="56F75BDF">
            <w:pPr>
              <w:keepNext w:val="0"/>
              <w:keepLines w:val="0"/>
              <w:suppressLineNumbers w:val="0"/>
              <w:spacing w:before="0" w:beforeAutospacing="0" w:after="0" w:afterAutospacing="0"/>
              <w:ind w:left="0" w:right="0"/>
              <w:jc w:val="center"/>
              <w:rPr>
                <w:rFonts w:hint="default"/>
                <w:b/>
                <w:color w:val="auto"/>
                <w:szCs w:val="21"/>
                <w:highlight w:val="none"/>
              </w:rPr>
            </w:pPr>
            <w:r>
              <w:rPr>
                <w:rFonts w:hint="eastAsia"/>
                <w:b/>
                <w:color w:val="auto"/>
                <w:szCs w:val="21"/>
                <w:highlight w:val="none"/>
              </w:rPr>
              <w:t>响应报价得分</w:t>
            </w:r>
          </w:p>
        </w:tc>
        <w:tc>
          <w:tcPr>
            <w:tcW w:w="1161" w:type="pct"/>
            <w:noWrap w:val="0"/>
            <w:vAlign w:val="center"/>
          </w:tcPr>
          <w:p w14:paraId="21ADD1D9">
            <w:pPr>
              <w:keepNext w:val="0"/>
              <w:keepLines w:val="0"/>
              <w:suppressLineNumbers w:val="0"/>
              <w:spacing w:before="0" w:beforeAutospacing="0" w:after="0" w:afterAutospacing="0"/>
              <w:ind w:left="0" w:right="0"/>
              <w:jc w:val="center"/>
              <w:rPr>
                <w:rFonts w:hint="default"/>
                <w:b/>
                <w:color w:val="auto"/>
                <w:szCs w:val="21"/>
                <w:highlight w:val="none"/>
              </w:rPr>
            </w:pPr>
            <w:r>
              <w:rPr>
                <w:rFonts w:hint="eastAsia"/>
                <w:b/>
                <w:color w:val="auto"/>
                <w:szCs w:val="21"/>
                <w:highlight w:val="none"/>
              </w:rPr>
              <w:t>总分</w:t>
            </w:r>
          </w:p>
        </w:tc>
      </w:tr>
      <w:tr w14:paraId="7DA4E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atLeast"/>
          <w:jc w:val="center"/>
        </w:trPr>
        <w:tc>
          <w:tcPr>
            <w:tcW w:w="445" w:type="pct"/>
            <w:noWrap w:val="0"/>
            <w:vAlign w:val="center"/>
          </w:tcPr>
          <w:p w14:paraId="7EB15960">
            <w:pPr>
              <w:keepNext w:val="0"/>
              <w:keepLines w:val="0"/>
              <w:suppressLineNumbers w:val="0"/>
              <w:spacing w:before="0" w:beforeAutospacing="0" w:after="0" w:afterAutospacing="0"/>
              <w:ind w:left="0" w:right="0"/>
              <w:jc w:val="center"/>
              <w:rPr>
                <w:rFonts w:hint="default"/>
                <w:b/>
                <w:color w:val="auto"/>
                <w:szCs w:val="21"/>
                <w:highlight w:val="none"/>
              </w:rPr>
            </w:pPr>
            <w:r>
              <w:rPr>
                <w:rFonts w:hint="eastAsia"/>
                <w:b/>
                <w:color w:val="auto"/>
                <w:szCs w:val="21"/>
                <w:highlight w:val="none"/>
              </w:rPr>
              <w:t>分值</w:t>
            </w:r>
          </w:p>
        </w:tc>
        <w:tc>
          <w:tcPr>
            <w:tcW w:w="1697" w:type="pct"/>
            <w:noWrap w:val="0"/>
            <w:vAlign w:val="center"/>
          </w:tcPr>
          <w:p w14:paraId="212B53EB">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90</w:t>
            </w:r>
          </w:p>
        </w:tc>
        <w:tc>
          <w:tcPr>
            <w:tcW w:w="1695" w:type="pct"/>
            <w:noWrap w:val="0"/>
            <w:vAlign w:val="center"/>
          </w:tcPr>
          <w:p w14:paraId="64816763">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10</w:t>
            </w:r>
          </w:p>
        </w:tc>
        <w:tc>
          <w:tcPr>
            <w:tcW w:w="1161" w:type="pct"/>
            <w:noWrap w:val="0"/>
            <w:vAlign w:val="center"/>
          </w:tcPr>
          <w:p w14:paraId="1CAE3A65">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100</w:t>
            </w:r>
          </w:p>
        </w:tc>
      </w:tr>
      <w:tr w14:paraId="2528F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atLeast"/>
          <w:jc w:val="center"/>
        </w:trPr>
        <w:tc>
          <w:tcPr>
            <w:tcW w:w="5000" w:type="pct"/>
            <w:gridSpan w:val="4"/>
            <w:noWrap w:val="0"/>
            <w:vAlign w:val="center"/>
          </w:tcPr>
          <w:p w14:paraId="5781D7BA">
            <w:pPr>
              <w:keepNext w:val="0"/>
              <w:keepLines w:val="0"/>
              <w:suppressLineNumbers w:val="0"/>
              <w:spacing w:before="0" w:beforeAutospacing="0" w:after="0" w:afterAutospacing="0"/>
              <w:ind w:left="0" w:right="0"/>
              <w:rPr>
                <w:rFonts w:hint="default"/>
                <w:color w:val="auto"/>
                <w:szCs w:val="21"/>
                <w:highlight w:val="none"/>
              </w:rPr>
            </w:pPr>
            <w:r>
              <w:rPr>
                <w:rFonts w:hint="eastAsia"/>
                <w:color w:val="auto"/>
                <w:szCs w:val="21"/>
                <w:highlight w:val="none"/>
              </w:rPr>
              <w:t>综合得分</w:t>
            </w:r>
            <w:r>
              <w:rPr>
                <w:rFonts w:hint="default"/>
                <w:color w:val="auto"/>
                <w:szCs w:val="21"/>
                <w:highlight w:val="none"/>
              </w:rPr>
              <w:t>=</w:t>
            </w:r>
            <w:r>
              <w:rPr>
                <w:rFonts w:hint="eastAsia"/>
                <w:color w:val="auto"/>
                <w:szCs w:val="21"/>
                <w:highlight w:val="none"/>
              </w:rPr>
              <w:t>技术及商务资信分+响应报价得分（</w:t>
            </w:r>
            <w:r>
              <w:rPr>
                <w:rFonts w:hint="eastAsia"/>
                <w:color w:val="auto"/>
                <w:highlight w:val="none"/>
              </w:rPr>
              <w:t>注：各</w:t>
            </w:r>
            <w:r>
              <w:rPr>
                <w:rFonts w:hint="default"/>
                <w:color w:val="auto"/>
                <w:szCs w:val="21"/>
                <w:highlight w:val="none"/>
              </w:rPr>
              <w:t>项评分分值计算保留小数点后两位，小数点后第三位“四舍五入”</w:t>
            </w:r>
            <w:r>
              <w:rPr>
                <w:rFonts w:hint="eastAsia"/>
                <w:color w:val="auto"/>
                <w:szCs w:val="21"/>
                <w:highlight w:val="none"/>
              </w:rPr>
              <w:t>）</w:t>
            </w:r>
          </w:p>
        </w:tc>
      </w:tr>
    </w:tbl>
    <w:p w14:paraId="55967542">
      <w:pPr>
        <w:rPr>
          <w:rFonts w:hint="eastAsia"/>
          <w:bCs/>
          <w:color w:val="auto"/>
          <w:kern w:val="0"/>
          <w:szCs w:val="21"/>
          <w:highlight w:val="none"/>
        </w:rPr>
      </w:pPr>
    </w:p>
    <w:p w14:paraId="5931C3D1">
      <w:pPr>
        <w:rPr>
          <w:color w:val="auto"/>
          <w:highlight w:val="none"/>
        </w:rPr>
      </w:pPr>
      <w:r>
        <w:rPr>
          <w:color w:val="auto"/>
          <w:highlight w:val="none"/>
        </w:rPr>
        <w:br w:type="page"/>
      </w:r>
    </w:p>
    <w:p w14:paraId="7CB81B70">
      <w:pPr>
        <w:spacing w:before="120" w:line="320" w:lineRule="atLeast"/>
        <w:ind w:firstLine="420" w:firstLineChars="200"/>
        <w:rPr>
          <w:color w:val="auto"/>
          <w:highlight w:val="none"/>
        </w:rPr>
      </w:pPr>
      <w:r>
        <w:rPr>
          <w:color w:val="auto"/>
          <w:highlight w:val="none"/>
        </w:rPr>
        <w:t>4.1</w:t>
      </w:r>
      <w:r>
        <w:rPr>
          <w:rFonts w:hint="eastAsia"/>
          <w:color w:val="auto"/>
          <w:highlight w:val="none"/>
        </w:rPr>
        <w:t>偏离认定说明</w:t>
      </w:r>
    </w:p>
    <w:p w14:paraId="02553950">
      <w:pPr>
        <w:spacing w:before="120" w:line="320" w:lineRule="atLeast"/>
        <w:ind w:firstLine="420" w:firstLineChars="200"/>
        <w:rPr>
          <w:color w:val="auto"/>
          <w:szCs w:val="21"/>
          <w:highlight w:val="none"/>
        </w:rPr>
      </w:pPr>
      <w:r>
        <w:rPr>
          <w:rFonts w:hint="eastAsia"/>
          <w:color w:val="auto"/>
          <w:szCs w:val="21"/>
          <w:highlight w:val="none"/>
        </w:rPr>
        <w:t>供应商根据采购需求中技术参数为基准，填写响应表，对于响应表或证明材料与技术参数不符的，按如下规定：</w:t>
      </w:r>
    </w:p>
    <w:p w14:paraId="17A7AFB2">
      <w:pPr>
        <w:spacing w:before="120" w:line="320" w:lineRule="atLeast"/>
        <w:ind w:firstLine="420" w:firstLineChars="200"/>
        <w:rPr>
          <w:color w:val="auto"/>
          <w:szCs w:val="21"/>
          <w:highlight w:val="none"/>
        </w:rPr>
      </w:pPr>
      <w:r>
        <w:rPr>
          <w:rFonts w:hint="eastAsia"/>
          <w:color w:val="auto"/>
          <w:szCs w:val="21"/>
          <w:highlight w:val="none"/>
        </w:rPr>
        <w:t>（1）实质性参数要求提交证明材料的，证明材料没有体现响应表中响应的内容的或未提供证明材料的，视为无效响应。非实质性参数要求提交证明材料的，证明材料没有体现响应表中响应的内容的或未提供证明材料的，视为负偏离。</w:t>
      </w:r>
    </w:p>
    <w:p w14:paraId="4CE1E060">
      <w:pPr>
        <w:spacing w:before="120" w:line="320" w:lineRule="atLeast"/>
        <w:ind w:firstLine="420" w:firstLineChars="200"/>
        <w:rPr>
          <w:color w:val="auto"/>
          <w:szCs w:val="21"/>
          <w:highlight w:val="none"/>
        </w:rPr>
      </w:pPr>
      <w:r>
        <w:rPr>
          <w:rFonts w:hint="eastAsia"/>
          <w:color w:val="auto"/>
          <w:szCs w:val="21"/>
          <w:highlight w:val="none"/>
        </w:rPr>
        <w:t>（2）响应表中响应的内容与证明材料不一致的，以证明材料为准作为评审依据。</w:t>
      </w:r>
    </w:p>
    <w:p w14:paraId="096FA625">
      <w:pPr>
        <w:spacing w:before="120" w:line="320" w:lineRule="atLeast"/>
        <w:ind w:firstLine="420" w:firstLineChars="200"/>
        <w:rPr>
          <w:color w:val="auto"/>
          <w:szCs w:val="21"/>
          <w:highlight w:val="none"/>
        </w:rPr>
      </w:pPr>
      <w:r>
        <w:rPr>
          <w:rFonts w:hint="eastAsia"/>
          <w:color w:val="auto"/>
          <w:szCs w:val="21"/>
          <w:highlight w:val="none"/>
        </w:rPr>
        <w:t>（3）同时出现以上两种情况的，按照（1）-（2）顺序认定。</w:t>
      </w:r>
    </w:p>
    <w:p w14:paraId="1A29E5B2">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）响应表与采购需求中技术参数比较有漏项的，如为实质性参数漏项，视为未响应；如为非实质性参数漏项，视为负偏离。</w:t>
      </w:r>
    </w:p>
    <w:p w14:paraId="533A1F1F">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5</w:t>
      </w:r>
      <w:r>
        <w:rPr>
          <w:rFonts w:hint="eastAsia"/>
          <w:color w:val="auto"/>
          <w:szCs w:val="21"/>
          <w:highlight w:val="none"/>
        </w:rPr>
        <w:t>）一项技术参数有多条小项要求的，必须全部响应。如只响应部分参数，视为漏项，按照（4）判定。评审时以每一条技术参数为评审依据。</w:t>
      </w:r>
    </w:p>
    <w:p w14:paraId="4E37ED78">
      <w:pPr>
        <w:spacing w:before="120" w:line="320" w:lineRule="atLeast"/>
        <w:ind w:firstLine="420" w:firstLineChars="200"/>
        <w:rPr>
          <w:color w:val="auto"/>
          <w:szCs w:val="21"/>
          <w:highlight w:val="none"/>
        </w:rPr>
      </w:pPr>
      <w:r>
        <w:rPr>
          <w:rFonts w:hint="eastAsia"/>
          <w:color w:val="auto"/>
          <w:szCs w:val="21"/>
          <w:highlight w:val="none"/>
        </w:rPr>
        <w:t>（</w:t>
      </w:r>
      <w:r>
        <w:rPr>
          <w:rFonts w:hint="eastAsia"/>
          <w:color w:val="auto"/>
          <w:szCs w:val="21"/>
          <w:highlight w:val="none"/>
          <w:lang w:val="en-US" w:eastAsia="zh-CN"/>
        </w:rPr>
        <w:t>6</w:t>
      </w:r>
      <w:r>
        <w:rPr>
          <w:rFonts w:hint="eastAsia"/>
          <w:color w:val="auto"/>
          <w:szCs w:val="21"/>
          <w:highlight w:val="none"/>
        </w:rPr>
        <w:t>）对于固定参数，响应与采购需求中技术参数一致，视为无偏离，其他均视为负偏离，此类参数无正偏离。</w:t>
      </w:r>
    </w:p>
    <w:p w14:paraId="713DCC80">
      <w:pPr>
        <w:spacing w:before="120" w:line="320" w:lineRule="atLeast"/>
        <w:ind w:firstLine="420" w:firstLineChars="200"/>
        <w:rPr>
          <w:color w:val="auto"/>
          <w:szCs w:val="21"/>
          <w:highlight w:val="none"/>
        </w:rPr>
      </w:pPr>
      <w:r>
        <w:rPr>
          <w:rFonts w:hint="eastAsia"/>
          <w:color w:val="auto"/>
          <w:szCs w:val="21"/>
          <w:highlight w:val="none"/>
        </w:rPr>
        <w:t>（</w:t>
      </w:r>
      <w:r>
        <w:rPr>
          <w:rFonts w:hint="eastAsia"/>
          <w:color w:val="auto"/>
          <w:szCs w:val="21"/>
          <w:highlight w:val="none"/>
          <w:lang w:val="en-US" w:eastAsia="zh-CN"/>
        </w:rPr>
        <w:t>7</w:t>
      </w:r>
      <w:r>
        <w:rPr>
          <w:rFonts w:hint="eastAsia"/>
          <w:color w:val="auto"/>
          <w:szCs w:val="21"/>
          <w:highlight w:val="none"/>
        </w:rPr>
        <w:t>）如采购需求中技术参数有特殊要求与上述说明不一致的，以特殊要求为准。</w:t>
      </w:r>
    </w:p>
    <w:p w14:paraId="63469A82">
      <w:pPr>
        <w:pStyle w:val="26"/>
        <w:snapToGrid w:val="0"/>
        <w:spacing w:before="120" w:after="120" w:line="320" w:lineRule="exact"/>
        <w:jc w:val="center"/>
        <w:outlineLvl w:val="0"/>
        <w:rPr>
          <w:rFonts w:ascii="Times New Roman" w:hAnsi="Times New Roman" w:cs="Times New Roman"/>
          <w:color w:val="auto"/>
          <w:sz w:val="32"/>
          <w:szCs w:val="32"/>
          <w:highlight w:val="none"/>
        </w:rPr>
      </w:pPr>
      <w:r>
        <w:rPr>
          <w:color w:val="auto"/>
          <w:highlight w:val="none"/>
        </w:rPr>
        <w:br w:type="page"/>
      </w:r>
      <w:bookmarkStart w:id="78" w:name="_Toc12317"/>
      <w:r>
        <w:rPr>
          <w:rFonts w:ascii="Times New Roman" w:hAnsi="Times New Roman" w:cs="Times New Roman"/>
          <w:color w:val="auto"/>
          <w:sz w:val="32"/>
          <w:szCs w:val="32"/>
          <w:highlight w:val="none"/>
        </w:rPr>
        <w:t>第五章  合同主要条款格式</w:t>
      </w:r>
      <w:bookmarkEnd w:id="78"/>
    </w:p>
    <w:p w14:paraId="5DE22523">
      <w:pPr>
        <w:pStyle w:val="26"/>
        <w:snapToGrid w:val="0"/>
        <w:jc w:val="center"/>
        <w:rPr>
          <w:rFonts w:ascii="Times New Roman" w:hAnsi="Times New Roman" w:cs="Times New Roman"/>
          <w:b/>
          <w:color w:val="auto"/>
          <w:sz w:val="24"/>
          <w:szCs w:val="24"/>
          <w:highlight w:val="none"/>
        </w:rPr>
      </w:pPr>
    </w:p>
    <w:p w14:paraId="72D05E18">
      <w:pPr>
        <w:spacing w:before="120" w:line="320" w:lineRule="atLeast"/>
        <w:ind w:firstLine="422" w:firstLineChars="200"/>
        <w:jc w:val="center"/>
        <w:outlineLvl w:val="1"/>
        <w:rPr>
          <w:b/>
          <w:bCs/>
          <w:color w:val="auto"/>
          <w:kern w:val="0"/>
          <w:szCs w:val="21"/>
          <w:highlight w:val="none"/>
        </w:rPr>
      </w:pPr>
      <w:r>
        <w:rPr>
          <w:b/>
          <w:bCs/>
          <w:color w:val="auto"/>
          <w:kern w:val="0"/>
          <w:szCs w:val="21"/>
          <w:highlight w:val="none"/>
        </w:rPr>
        <w:t>广西壮族自治区政府采购合同</w:t>
      </w:r>
    </w:p>
    <w:tbl>
      <w:tblPr>
        <w:tblStyle w:val="51"/>
        <w:tblW w:w="0" w:type="auto"/>
        <w:tblInd w:w="0" w:type="dxa"/>
        <w:tblLayout w:type="autofit"/>
        <w:tblCellMar>
          <w:top w:w="0" w:type="dxa"/>
          <w:left w:w="108" w:type="dxa"/>
          <w:bottom w:w="0" w:type="dxa"/>
          <w:right w:w="108" w:type="dxa"/>
        </w:tblCellMar>
      </w:tblPr>
      <w:tblGrid>
        <w:gridCol w:w="2325"/>
        <w:gridCol w:w="2317"/>
        <w:gridCol w:w="2325"/>
        <w:gridCol w:w="2319"/>
      </w:tblGrid>
      <w:tr w14:paraId="66A7459D">
        <w:tblPrEx>
          <w:tblCellMar>
            <w:top w:w="0" w:type="dxa"/>
            <w:left w:w="108" w:type="dxa"/>
            <w:bottom w:w="0" w:type="dxa"/>
            <w:right w:w="108" w:type="dxa"/>
          </w:tblCellMar>
        </w:tblPrEx>
        <w:tc>
          <w:tcPr>
            <w:tcW w:w="2336" w:type="dxa"/>
            <w:noWrap w:val="0"/>
            <w:vAlign w:val="top"/>
          </w:tcPr>
          <w:p w14:paraId="32E9672C">
            <w:pPr>
              <w:keepNext w:val="0"/>
              <w:keepLines w:val="0"/>
              <w:suppressLineNumbers w:val="0"/>
              <w:snapToGrid w:val="0"/>
              <w:spacing w:before="0" w:beforeAutospacing="0" w:after="0" w:afterAutospacing="0" w:line="360" w:lineRule="exact"/>
              <w:ind w:left="0" w:right="480"/>
              <w:jc w:val="left"/>
              <w:rPr>
                <w:rFonts w:hint="default"/>
                <w:bCs/>
                <w:color w:val="auto"/>
                <w:szCs w:val="21"/>
                <w:highlight w:val="none"/>
              </w:rPr>
            </w:pPr>
            <w:r>
              <w:rPr>
                <w:rFonts w:hint="eastAsia"/>
                <w:bCs/>
                <w:color w:val="auto"/>
                <w:szCs w:val="21"/>
                <w:highlight w:val="none"/>
              </w:rPr>
              <w:t>合同编号：</w:t>
            </w:r>
          </w:p>
        </w:tc>
        <w:tc>
          <w:tcPr>
            <w:tcW w:w="2336" w:type="dxa"/>
            <w:noWrap w:val="0"/>
            <w:vAlign w:val="top"/>
          </w:tcPr>
          <w:p w14:paraId="4354C5CB">
            <w:pPr>
              <w:keepNext w:val="0"/>
              <w:keepLines w:val="0"/>
              <w:suppressLineNumbers w:val="0"/>
              <w:snapToGrid w:val="0"/>
              <w:spacing w:before="0" w:beforeAutospacing="0" w:after="0" w:afterAutospacing="0" w:line="360" w:lineRule="exact"/>
              <w:ind w:left="0" w:right="480"/>
              <w:jc w:val="left"/>
              <w:rPr>
                <w:rFonts w:hint="default"/>
                <w:bCs/>
                <w:color w:val="auto"/>
                <w:szCs w:val="21"/>
                <w:highlight w:val="none"/>
              </w:rPr>
            </w:pPr>
          </w:p>
        </w:tc>
        <w:tc>
          <w:tcPr>
            <w:tcW w:w="2336" w:type="dxa"/>
            <w:noWrap w:val="0"/>
            <w:vAlign w:val="top"/>
          </w:tcPr>
          <w:p w14:paraId="4B1E4964">
            <w:pPr>
              <w:keepNext w:val="0"/>
              <w:keepLines w:val="0"/>
              <w:suppressLineNumbers w:val="0"/>
              <w:snapToGrid w:val="0"/>
              <w:spacing w:before="0" w:beforeAutospacing="0" w:after="0" w:afterAutospacing="0" w:line="360" w:lineRule="exact"/>
              <w:ind w:left="0" w:right="480"/>
              <w:jc w:val="left"/>
              <w:rPr>
                <w:rFonts w:hint="default"/>
                <w:bCs/>
                <w:color w:val="auto"/>
                <w:szCs w:val="21"/>
                <w:highlight w:val="none"/>
              </w:rPr>
            </w:pPr>
            <w:r>
              <w:rPr>
                <w:rFonts w:hint="eastAsia"/>
                <w:bCs/>
                <w:color w:val="auto"/>
                <w:szCs w:val="21"/>
                <w:highlight w:val="none"/>
              </w:rPr>
              <w:t>采购计划号：</w:t>
            </w:r>
          </w:p>
        </w:tc>
        <w:tc>
          <w:tcPr>
            <w:tcW w:w="2337" w:type="dxa"/>
            <w:noWrap w:val="0"/>
            <w:vAlign w:val="top"/>
          </w:tcPr>
          <w:p w14:paraId="674EA602">
            <w:pPr>
              <w:keepNext w:val="0"/>
              <w:keepLines w:val="0"/>
              <w:suppressLineNumbers w:val="0"/>
              <w:snapToGrid w:val="0"/>
              <w:spacing w:before="0" w:beforeAutospacing="0" w:after="0" w:afterAutospacing="0" w:line="360" w:lineRule="exact"/>
              <w:ind w:left="0" w:right="480"/>
              <w:jc w:val="left"/>
              <w:rPr>
                <w:rFonts w:hint="default"/>
                <w:bCs/>
                <w:color w:val="auto"/>
                <w:szCs w:val="21"/>
                <w:highlight w:val="none"/>
              </w:rPr>
            </w:pPr>
          </w:p>
        </w:tc>
      </w:tr>
      <w:tr w14:paraId="727034C4">
        <w:tblPrEx>
          <w:tblCellMar>
            <w:top w:w="0" w:type="dxa"/>
            <w:left w:w="108" w:type="dxa"/>
            <w:bottom w:w="0" w:type="dxa"/>
            <w:right w:w="108" w:type="dxa"/>
          </w:tblCellMar>
        </w:tblPrEx>
        <w:tc>
          <w:tcPr>
            <w:tcW w:w="2336" w:type="dxa"/>
            <w:noWrap w:val="0"/>
            <w:vAlign w:val="top"/>
          </w:tcPr>
          <w:p w14:paraId="61BF6269">
            <w:pPr>
              <w:keepNext w:val="0"/>
              <w:keepLines w:val="0"/>
              <w:suppressLineNumbers w:val="0"/>
              <w:snapToGrid w:val="0"/>
              <w:spacing w:before="0" w:beforeAutospacing="0" w:after="0" w:afterAutospacing="0" w:line="360" w:lineRule="exact"/>
              <w:ind w:left="0" w:right="480"/>
              <w:jc w:val="left"/>
              <w:rPr>
                <w:rFonts w:hint="default"/>
                <w:bCs/>
                <w:color w:val="auto"/>
                <w:szCs w:val="21"/>
                <w:highlight w:val="none"/>
              </w:rPr>
            </w:pPr>
            <w:r>
              <w:rPr>
                <w:rFonts w:hint="eastAsia"/>
                <w:bCs/>
                <w:color w:val="auto"/>
                <w:szCs w:val="21"/>
                <w:highlight w:val="none"/>
              </w:rPr>
              <w:t>项目名称：</w:t>
            </w:r>
          </w:p>
        </w:tc>
        <w:tc>
          <w:tcPr>
            <w:tcW w:w="2336" w:type="dxa"/>
            <w:noWrap w:val="0"/>
            <w:vAlign w:val="top"/>
          </w:tcPr>
          <w:p w14:paraId="75405F00">
            <w:pPr>
              <w:keepNext w:val="0"/>
              <w:keepLines w:val="0"/>
              <w:suppressLineNumbers w:val="0"/>
              <w:snapToGrid w:val="0"/>
              <w:spacing w:before="0" w:beforeAutospacing="0" w:after="0" w:afterAutospacing="0" w:line="360" w:lineRule="exact"/>
              <w:ind w:left="0" w:right="480"/>
              <w:jc w:val="left"/>
              <w:rPr>
                <w:rFonts w:hint="default"/>
                <w:bCs/>
                <w:color w:val="auto"/>
                <w:szCs w:val="21"/>
                <w:highlight w:val="none"/>
              </w:rPr>
            </w:pPr>
          </w:p>
        </w:tc>
        <w:tc>
          <w:tcPr>
            <w:tcW w:w="2336" w:type="dxa"/>
            <w:noWrap w:val="0"/>
            <w:vAlign w:val="top"/>
          </w:tcPr>
          <w:p w14:paraId="4FD0666F">
            <w:pPr>
              <w:keepNext w:val="0"/>
              <w:keepLines w:val="0"/>
              <w:suppressLineNumbers w:val="0"/>
              <w:snapToGrid w:val="0"/>
              <w:spacing w:before="0" w:beforeAutospacing="0" w:after="0" w:afterAutospacing="0" w:line="360" w:lineRule="exact"/>
              <w:ind w:left="0" w:right="480"/>
              <w:jc w:val="left"/>
              <w:rPr>
                <w:rFonts w:hint="default"/>
                <w:bCs/>
                <w:color w:val="auto"/>
                <w:szCs w:val="21"/>
                <w:highlight w:val="none"/>
              </w:rPr>
            </w:pPr>
            <w:r>
              <w:rPr>
                <w:rFonts w:hint="eastAsia"/>
                <w:bCs/>
                <w:color w:val="auto"/>
                <w:szCs w:val="21"/>
                <w:highlight w:val="none"/>
              </w:rPr>
              <w:t>项目编号：</w:t>
            </w:r>
          </w:p>
        </w:tc>
        <w:tc>
          <w:tcPr>
            <w:tcW w:w="2337" w:type="dxa"/>
            <w:noWrap w:val="0"/>
            <w:vAlign w:val="top"/>
          </w:tcPr>
          <w:p w14:paraId="0245F8AE">
            <w:pPr>
              <w:keepNext w:val="0"/>
              <w:keepLines w:val="0"/>
              <w:suppressLineNumbers w:val="0"/>
              <w:snapToGrid w:val="0"/>
              <w:spacing w:before="0" w:beforeAutospacing="0" w:after="0" w:afterAutospacing="0" w:line="360" w:lineRule="exact"/>
              <w:ind w:left="0" w:right="480"/>
              <w:jc w:val="left"/>
              <w:rPr>
                <w:rFonts w:hint="default"/>
                <w:bCs/>
                <w:color w:val="auto"/>
                <w:szCs w:val="21"/>
                <w:highlight w:val="none"/>
              </w:rPr>
            </w:pPr>
          </w:p>
        </w:tc>
      </w:tr>
      <w:tr w14:paraId="784ECCF1">
        <w:tblPrEx>
          <w:tblCellMar>
            <w:top w:w="0" w:type="dxa"/>
            <w:left w:w="108" w:type="dxa"/>
            <w:bottom w:w="0" w:type="dxa"/>
            <w:right w:w="108" w:type="dxa"/>
          </w:tblCellMar>
        </w:tblPrEx>
        <w:tc>
          <w:tcPr>
            <w:tcW w:w="2336" w:type="dxa"/>
            <w:noWrap w:val="0"/>
            <w:vAlign w:val="top"/>
          </w:tcPr>
          <w:p w14:paraId="7EE5FE10">
            <w:pPr>
              <w:keepNext w:val="0"/>
              <w:keepLines w:val="0"/>
              <w:suppressLineNumbers w:val="0"/>
              <w:snapToGrid w:val="0"/>
              <w:spacing w:before="0" w:beforeAutospacing="0" w:after="0" w:afterAutospacing="0" w:line="360" w:lineRule="exact"/>
              <w:ind w:left="0" w:right="0"/>
              <w:jc w:val="left"/>
              <w:rPr>
                <w:rFonts w:hint="default"/>
                <w:bCs/>
                <w:color w:val="auto"/>
                <w:szCs w:val="21"/>
                <w:highlight w:val="none"/>
              </w:rPr>
            </w:pPr>
            <w:r>
              <w:rPr>
                <w:rFonts w:hint="eastAsia"/>
                <w:bCs/>
                <w:color w:val="auto"/>
                <w:szCs w:val="21"/>
                <w:highlight w:val="none"/>
              </w:rPr>
              <w:t>采购人（甲方）：</w:t>
            </w:r>
          </w:p>
        </w:tc>
        <w:tc>
          <w:tcPr>
            <w:tcW w:w="2336" w:type="dxa"/>
            <w:noWrap w:val="0"/>
            <w:vAlign w:val="top"/>
          </w:tcPr>
          <w:p w14:paraId="39EFB80F">
            <w:pPr>
              <w:keepNext w:val="0"/>
              <w:keepLines w:val="0"/>
              <w:suppressLineNumbers w:val="0"/>
              <w:snapToGrid w:val="0"/>
              <w:spacing w:before="0" w:beforeAutospacing="0" w:after="0" w:afterAutospacing="0" w:line="360" w:lineRule="exact"/>
              <w:ind w:left="0" w:right="480"/>
              <w:jc w:val="left"/>
              <w:rPr>
                <w:rFonts w:hint="default"/>
                <w:bCs/>
                <w:color w:val="auto"/>
                <w:szCs w:val="21"/>
                <w:highlight w:val="none"/>
              </w:rPr>
            </w:pPr>
          </w:p>
        </w:tc>
        <w:tc>
          <w:tcPr>
            <w:tcW w:w="2336" w:type="dxa"/>
            <w:noWrap w:val="0"/>
            <w:vAlign w:val="top"/>
          </w:tcPr>
          <w:p w14:paraId="0C6824D1">
            <w:pPr>
              <w:keepNext w:val="0"/>
              <w:keepLines w:val="0"/>
              <w:suppressLineNumbers w:val="0"/>
              <w:snapToGrid w:val="0"/>
              <w:spacing w:before="0" w:beforeAutospacing="0" w:after="0" w:afterAutospacing="0" w:line="360" w:lineRule="exact"/>
              <w:ind w:left="0" w:right="0"/>
              <w:jc w:val="left"/>
              <w:rPr>
                <w:rFonts w:hint="default"/>
                <w:bCs/>
                <w:color w:val="auto"/>
                <w:szCs w:val="21"/>
                <w:highlight w:val="none"/>
              </w:rPr>
            </w:pPr>
            <w:r>
              <w:rPr>
                <w:rFonts w:hint="eastAsia"/>
                <w:bCs/>
                <w:color w:val="auto"/>
                <w:szCs w:val="21"/>
                <w:highlight w:val="none"/>
              </w:rPr>
              <w:t>供应商（乙方）：</w:t>
            </w:r>
          </w:p>
        </w:tc>
        <w:tc>
          <w:tcPr>
            <w:tcW w:w="2337" w:type="dxa"/>
            <w:noWrap w:val="0"/>
            <w:vAlign w:val="top"/>
          </w:tcPr>
          <w:p w14:paraId="46D3918D">
            <w:pPr>
              <w:keepNext w:val="0"/>
              <w:keepLines w:val="0"/>
              <w:suppressLineNumbers w:val="0"/>
              <w:snapToGrid w:val="0"/>
              <w:spacing w:before="0" w:beforeAutospacing="0" w:after="0" w:afterAutospacing="0" w:line="360" w:lineRule="exact"/>
              <w:ind w:left="0" w:right="480"/>
              <w:jc w:val="left"/>
              <w:rPr>
                <w:rFonts w:hint="default"/>
                <w:bCs/>
                <w:color w:val="auto"/>
                <w:szCs w:val="21"/>
                <w:highlight w:val="none"/>
              </w:rPr>
            </w:pPr>
          </w:p>
        </w:tc>
      </w:tr>
      <w:tr w14:paraId="559B02D9">
        <w:tblPrEx>
          <w:tblCellMar>
            <w:top w:w="0" w:type="dxa"/>
            <w:left w:w="108" w:type="dxa"/>
            <w:bottom w:w="0" w:type="dxa"/>
            <w:right w:w="108" w:type="dxa"/>
          </w:tblCellMar>
        </w:tblPrEx>
        <w:tc>
          <w:tcPr>
            <w:tcW w:w="2336" w:type="dxa"/>
            <w:noWrap w:val="0"/>
            <w:vAlign w:val="top"/>
          </w:tcPr>
          <w:p w14:paraId="702D583D">
            <w:pPr>
              <w:keepNext w:val="0"/>
              <w:keepLines w:val="0"/>
              <w:suppressLineNumbers w:val="0"/>
              <w:snapToGrid w:val="0"/>
              <w:spacing w:before="0" w:beforeAutospacing="0" w:after="0" w:afterAutospacing="0" w:line="360" w:lineRule="exact"/>
              <w:ind w:left="0" w:right="480"/>
              <w:jc w:val="left"/>
              <w:rPr>
                <w:rFonts w:hint="default"/>
                <w:bCs/>
                <w:color w:val="auto"/>
                <w:szCs w:val="21"/>
                <w:highlight w:val="none"/>
              </w:rPr>
            </w:pPr>
            <w:r>
              <w:rPr>
                <w:rFonts w:hint="eastAsia"/>
                <w:bCs/>
                <w:color w:val="auto"/>
                <w:szCs w:val="21"/>
                <w:highlight w:val="none"/>
              </w:rPr>
              <w:t>签订地点：</w:t>
            </w:r>
          </w:p>
        </w:tc>
        <w:tc>
          <w:tcPr>
            <w:tcW w:w="2336" w:type="dxa"/>
            <w:noWrap w:val="0"/>
            <w:vAlign w:val="top"/>
          </w:tcPr>
          <w:p w14:paraId="6C1BE2D1">
            <w:pPr>
              <w:keepNext w:val="0"/>
              <w:keepLines w:val="0"/>
              <w:suppressLineNumbers w:val="0"/>
              <w:snapToGrid w:val="0"/>
              <w:spacing w:before="0" w:beforeAutospacing="0" w:after="0" w:afterAutospacing="0" w:line="360" w:lineRule="exact"/>
              <w:ind w:left="0" w:right="480"/>
              <w:jc w:val="left"/>
              <w:rPr>
                <w:rFonts w:hint="default"/>
                <w:bCs/>
                <w:color w:val="auto"/>
                <w:szCs w:val="21"/>
                <w:highlight w:val="none"/>
              </w:rPr>
            </w:pPr>
          </w:p>
        </w:tc>
        <w:tc>
          <w:tcPr>
            <w:tcW w:w="2336" w:type="dxa"/>
            <w:noWrap w:val="0"/>
            <w:vAlign w:val="top"/>
          </w:tcPr>
          <w:p w14:paraId="0EF72423">
            <w:pPr>
              <w:keepNext w:val="0"/>
              <w:keepLines w:val="0"/>
              <w:suppressLineNumbers w:val="0"/>
              <w:snapToGrid w:val="0"/>
              <w:spacing w:before="0" w:beforeAutospacing="0" w:after="0" w:afterAutospacing="0" w:line="360" w:lineRule="exact"/>
              <w:ind w:left="0" w:right="480"/>
              <w:jc w:val="left"/>
              <w:rPr>
                <w:rFonts w:hint="default"/>
                <w:bCs/>
                <w:color w:val="auto"/>
                <w:szCs w:val="21"/>
                <w:highlight w:val="none"/>
              </w:rPr>
            </w:pPr>
            <w:r>
              <w:rPr>
                <w:rFonts w:hint="eastAsia"/>
                <w:bCs/>
                <w:color w:val="auto"/>
                <w:szCs w:val="21"/>
                <w:highlight w:val="none"/>
              </w:rPr>
              <w:t>签订时间：</w:t>
            </w:r>
          </w:p>
        </w:tc>
        <w:tc>
          <w:tcPr>
            <w:tcW w:w="2337" w:type="dxa"/>
            <w:noWrap w:val="0"/>
            <w:vAlign w:val="top"/>
          </w:tcPr>
          <w:p w14:paraId="6E940E3A">
            <w:pPr>
              <w:keepNext w:val="0"/>
              <w:keepLines w:val="0"/>
              <w:suppressLineNumbers w:val="0"/>
              <w:snapToGrid w:val="0"/>
              <w:spacing w:before="0" w:beforeAutospacing="0" w:after="0" w:afterAutospacing="0" w:line="360" w:lineRule="exact"/>
              <w:ind w:left="0" w:right="480"/>
              <w:jc w:val="left"/>
              <w:rPr>
                <w:rFonts w:hint="default"/>
                <w:bCs/>
                <w:color w:val="auto"/>
                <w:szCs w:val="21"/>
                <w:highlight w:val="none"/>
              </w:rPr>
            </w:pPr>
          </w:p>
        </w:tc>
      </w:tr>
    </w:tbl>
    <w:p w14:paraId="3421B897">
      <w:pPr>
        <w:snapToGrid w:val="0"/>
        <w:spacing w:line="360" w:lineRule="exact"/>
        <w:ind w:right="480" w:firstLine="5985" w:firstLineChars="2850"/>
        <w:rPr>
          <w:bCs/>
          <w:color w:val="auto"/>
          <w:szCs w:val="21"/>
          <w:highlight w:val="none"/>
        </w:rPr>
      </w:pPr>
    </w:p>
    <w:p w14:paraId="15AD71FC">
      <w:pPr>
        <w:pStyle w:val="26"/>
        <w:spacing w:line="300" w:lineRule="exact"/>
        <w:ind w:firstLine="420" w:firstLineChars="200"/>
        <w:rPr>
          <w:rFonts w:ascii="Times New Roman" w:hAnsi="Times New Roman" w:cs="Times New Roman"/>
          <w:color w:val="auto"/>
          <w:highlight w:val="none"/>
        </w:rPr>
      </w:pPr>
      <w:r>
        <w:rPr>
          <w:rFonts w:ascii="Times New Roman" w:hAnsi="Times New Roman" w:cs="Times New Roman"/>
          <w:color w:val="auto"/>
          <w:highlight w:val="none"/>
        </w:rPr>
        <w:t>根据《中华人民共和国政府采购法》</w:t>
      </w:r>
      <w:r>
        <w:rPr>
          <w:rFonts w:hint="eastAsia" w:ascii="Times New Roman" w:hAnsi="Times New Roman" w:cs="Times New Roman"/>
          <w:color w:val="auto"/>
          <w:highlight w:val="none"/>
        </w:rPr>
        <w:t>、</w:t>
      </w:r>
      <w:r>
        <w:rPr>
          <w:rFonts w:ascii="Times New Roman" w:hAnsi="Times New Roman" w:cs="Times New Roman"/>
          <w:color w:val="auto"/>
          <w:highlight w:val="none"/>
        </w:rPr>
        <w:t>《中华人民共和国政府采购法</w:t>
      </w:r>
      <w:r>
        <w:rPr>
          <w:rFonts w:hint="eastAsia" w:ascii="Times New Roman" w:hAnsi="Times New Roman" w:cs="Times New Roman"/>
          <w:color w:val="auto"/>
          <w:highlight w:val="none"/>
        </w:rPr>
        <w:t>实施条例</w:t>
      </w:r>
      <w:r>
        <w:rPr>
          <w:rFonts w:ascii="Times New Roman" w:hAnsi="Times New Roman" w:cs="Times New Roman"/>
          <w:color w:val="auto"/>
          <w:highlight w:val="none"/>
        </w:rPr>
        <w:t>》等法律、法规规定，按照采购文件规定</w:t>
      </w:r>
      <w:r>
        <w:rPr>
          <w:rFonts w:hint="eastAsia" w:ascii="Times New Roman" w:hAnsi="Times New Roman" w:cs="Times New Roman"/>
          <w:color w:val="auto"/>
          <w:highlight w:val="none"/>
        </w:rPr>
        <w:t>、</w:t>
      </w:r>
      <w:r>
        <w:rPr>
          <w:rFonts w:ascii="Times New Roman" w:hAnsi="Times New Roman" w:cs="Times New Roman"/>
          <w:color w:val="auto"/>
          <w:highlight w:val="none"/>
        </w:rPr>
        <w:t>乙方响应文件及其承诺</w:t>
      </w:r>
      <w:r>
        <w:rPr>
          <w:rFonts w:hint="eastAsia" w:ascii="Times New Roman" w:hAnsi="Times New Roman" w:cs="Times New Roman"/>
          <w:color w:val="auto"/>
          <w:highlight w:val="none"/>
        </w:rPr>
        <w:t>和中标通知书</w:t>
      </w:r>
      <w:r>
        <w:rPr>
          <w:rFonts w:ascii="Times New Roman" w:hAnsi="Times New Roman" w:cs="Times New Roman"/>
          <w:color w:val="auto"/>
          <w:highlight w:val="none"/>
        </w:rPr>
        <w:t>，甲乙双方签订本合同。</w:t>
      </w:r>
    </w:p>
    <w:p w14:paraId="0013AA0E">
      <w:pPr>
        <w:snapToGrid w:val="0"/>
        <w:spacing w:line="360" w:lineRule="exact"/>
        <w:ind w:firstLine="422" w:firstLineChars="200"/>
        <w:rPr>
          <w:b/>
          <w:color w:val="auto"/>
          <w:szCs w:val="21"/>
          <w:highlight w:val="none"/>
        </w:rPr>
      </w:pPr>
      <w:r>
        <w:rPr>
          <w:b/>
          <w:color w:val="auto"/>
          <w:szCs w:val="21"/>
          <w:highlight w:val="none"/>
        </w:rPr>
        <w:t>第一条　项目概况及服务范围</w:t>
      </w:r>
    </w:p>
    <w:p w14:paraId="230534C3">
      <w:pPr>
        <w:snapToGrid w:val="0"/>
        <w:spacing w:line="360" w:lineRule="exact"/>
        <w:ind w:firstLine="420" w:firstLineChars="200"/>
        <w:rPr>
          <w:rFonts w:hint="default"/>
          <w:color w:val="auto"/>
          <w:kern w:val="0"/>
          <w:szCs w:val="21"/>
          <w:highlight w:val="none"/>
          <w:lang w:val="en-US" w:eastAsia="zh-CN"/>
        </w:rPr>
      </w:pPr>
      <w:r>
        <w:rPr>
          <w:color w:val="auto"/>
          <w:szCs w:val="21"/>
          <w:highlight w:val="none"/>
        </w:rPr>
        <w:t>1.</w:t>
      </w:r>
      <w:r>
        <w:rPr>
          <w:rFonts w:hint="eastAsia"/>
          <w:color w:val="auto"/>
          <w:kern w:val="0"/>
          <w:szCs w:val="21"/>
          <w:highlight w:val="none"/>
          <w:lang w:val="en-US" w:eastAsia="zh-CN"/>
        </w:rPr>
        <w:t>标项名称：</w:t>
      </w:r>
      <w:r>
        <w:rPr>
          <w:rFonts w:hint="eastAsia"/>
          <w:color w:val="auto"/>
          <w:kern w:val="0"/>
          <w:szCs w:val="21"/>
          <w:highlight w:val="none"/>
          <w:lang w:eastAsia="zh-CN"/>
        </w:rPr>
        <w:t>广西交通运输治超联网系统平台</w:t>
      </w:r>
      <w:r>
        <w:rPr>
          <w:rFonts w:hint="eastAsia"/>
          <w:color w:val="auto"/>
          <w:kern w:val="0"/>
          <w:szCs w:val="21"/>
          <w:highlight w:val="none"/>
          <w:lang w:val="en-US" w:eastAsia="zh-CN"/>
        </w:rPr>
        <w:t>升级建设其他服务</w:t>
      </w:r>
    </w:p>
    <w:p w14:paraId="2F697611">
      <w:pPr>
        <w:snapToGrid w:val="0"/>
        <w:spacing w:line="360" w:lineRule="exact"/>
        <w:ind w:firstLine="420" w:firstLineChars="200"/>
        <w:rPr>
          <w:color w:val="auto"/>
          <w:szCs w:val="21"/>
          <w:highlight w:val="none"/>
        </w:rPr>
      </w:pPr>
      <w:r>
        <w:rPr>
          <w:color w:val="auto"/>
          <w:szCs w:val="21"/>
          <w:highlight w:val="none"/>
        </w:rPr>
        <w:t xml:space="preserve">2.服务内容及范围：  </w:t>
      </w:r>
    </w:p>
    <w:p w14:paraId="70BF432D">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left"/>
        <w:textAlignment w:val="auto"/>
        <w:rPr>
          <w:color w:val="auto"/>
          <w:kern w:val="0"/>
          <w:szCs w:val="21"/>
          <w:highlight w:val="none"/>
        </w:rPr>
      </w:pPr>
      <w:r>
        <w:rPr>
          <w:color w:val="auto"/>
          <w:szCs w:val="21"/>
          <w:highlight w:val="none"/>
        </w:rPr>
        <w:t>3.服务期：</w:t>
      </w:r>
      <w:r>
        <w:rPr>
          <w:rFonts w:hint="eastAsia"/>
          <w:color w:val="auto"/>
          <w:kern w:val="0"/>
          <w:szCs w:val="21"/>
          <w:highlight w:val="none"/>
          <w:lang w:val="en-US" w:eastAsia="zh-CN"/>
        </w:rPr>
        <w:t>2025年12月至2026年11月；</w:t>
      </w:r>
    </w:p>
    <w:p w14:paraId="498EB398">
      <w:pPr>
        <w:snapToGrid w:val="0"/>
        <w:spacing w:line="360" w:lineRule="exact"/>
        <w:ind w:firstLine="420" w:firstLineChars="200"/>
        <w:rPr>
          <w:color w:val="auto"/>
          <w:szCs w:val="21"/>
          <w:highlight w:val="none"/>
        </w:rPr>
      </w:pPr>
      <w:r>
        <w:rPr>
          <w:rFonts w:hint="eastAsia"/>
          <w:color w:val="auto"/>
          <w:szCs w:val="21"/>
          <w:highlight w:val="none"/>
          <w:lang w:val="en-US" w:eastAsia="zh-CN"/>
        </w:rPr>
        <w:t>4.交付地点：</w:t>
      </w:r>
      <w:r>
        <w:rPr>
          <w:color w:val="auto"/>
          <w:szCs w:val="21"/>
          <w:highlight w:val="none"/>
          <w:u w:val="single"/>
        </w:rPr>
        <w:t xml:space="preserve"> </w:t>
      </w:r>
      <w:r>
        <w:rPr>
          <w:rFonts w:hint="eastAsia"/>
          <w:color w:val="auto"/>
          <w:szCs w:val="21"/>
          <w:highlight w:val="none"/>
          <w:u w:val="single"/>
          <w:lang w:val="en-US" w:eastAsia="zh-CN"/>
        </w:rPr>
        <w:t>甲方指定地点。</w:t>
      </w:r>
      <w:r>
        <w:rPr>
          <w:color w:val="auto"/>
          <w:szCs w:val="21"/>
          <w:highlight w:val="none"/>
        </w:rPr>
        <w:t xml:space="preserve"> </w:t>
      </w:r>
    </w:p>
    <w:p w14:paraId="0B725E88">
      <w:pPr>
        <w:snapToGrid w:val="0"/>
        <w:spacing w:line="360" w:lineRule="exact"/>
        <w:ind w:firstLine="420" w:firstLineChars="200"/>
        <w:rPr>
          <w:color w:val="auto"/>
          <w:szCs w:val="21"/>
          <w:highlight w:val="none"/>
        </w:rPr>
      </w:pPr>
      <w:r>
        <w:rPr>
          <w:color w:val="auto"/>
          <w:szCs w:val="21"/>
          <w:highlight w:val="none"/>
        </w:rPr>
        <w:t>5.报价要求：</w:t>
      </w:r>
      <w:r>
        <w:rPr>
          <w:rFonts w:hint="eastAsia"/>
          <w:color w:val="auto"/>
          <w:szCs w:val="21"/>
          <w:highlight w:val="none"/>
        </w:rPr>
        <w:t>包含完成本项目所有服务内容所涉及的专家费、咨询、调研、知识产权、劳务、旅差、管理、材料、保险等相关服务费用、验收专家劳务费（如有）、验收会务费（如有）、利润、税金、政策性文件规定及合同包含的应有风险、责任及其它所有成本费用的总和，采购人不再另行支付任何费用。（采购需求另有约定的，从其约定。）</w:t>
      </w:r>
      <w:r>
        <w:rPr>
          <w:color w:val="auto"/>
          <w:szCs w:val="21"/>
          <w:highlight w:val="none"/>
        </w:rPr>
        <w:t>。</w:t>
      </w:r>
    </w:p>
    <w:p w14:paraId="49153CCE">
      <w:pPr>
        <w:pStyle w:val="26"/>
        <w:spacing w:line="300" w:lineRule="exact"/>
        <w:ind w:firstLine="420" w:firstLineChars="200"/>
        <w:rPr>
          <w:rFonts w:hint="eastAsia" w:ascii="Times New Roman" w:hAnsi="Times New Roman" w:cs="Times New Roman"/>
          <w:color w:val="auto"/>
          <w:highlight w:val="none"/>
        </w:rPr>
      </w:pPr>
      <w:r>
        <w:rPr>
          <w:rFonts w:ascii="Times New Roman" w:hAnsi="Times New Roman" w:cs="Times New Roman"/>
          <w:color w:val="auto"/>
          <w:highlight w:val="none"/>
        </w:rPr>
        <w:t>6</w:t>
      </w:r>
      <w:r>
        <w:rPr>
          <w:rFonts w:hint="eastAsia" w:ascii="Times New Roman" w:hAnsi="Times New Roman" w:cs="Times New Roman"/>
          <w:color w:val="auto"/>
          <w:highlight w:val="none"/>
        </w:rPr>
        <w:t>.合同价格形式：</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 xml:space="preserve">固定总价 </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 xml:space="preserve">□固定单价 </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□成本补偿 □绩效激励 □其他</w:t>
      </w:r>
    </w:p>
    <w:p w14:paraId="0B108F14">
      <w:pPr>
        <w:snapToGrid w:val="0"/>
        <w:spacing w:line="360" w:lineRule="exact"/>
        <w:ind w:firstLine="422" w:firstLineChars="200"/>
        <w:rPr>
          <w:b/>
          <w:color w:val="auto"/>
          <w:szCs w:val="21"/>
          <w:highlight w:val="none"/>
        </w:rPr>
      </w:pPr>
      <w:r>
        <w:rPr>
          <w:b/>
          <w:color w:val="auto"/>
          <w:szCs w:val="21"/>
          <w:highlight w:val="none"/>
        </w:rPr>
        <w:t>第二条　服务交付成果（产品）清单</w:t>
      </w:r>
    </w:p>
    <w:p w14:paraId="2B80E5F5">
      <w:pPr>
        <w:spacing w:line="400" w:lineRule="exact"/>
        <w:ind w:firstLine="420" w:firstLine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lang w:eastAsia="zh-CN"/>
        </w:rPr>
        <w:t>.</w:t>
      </w:r>
      <w:r>
        <w:rPr>
          <w:rFonts w:ascii="宋体" w:hAnsi="宋体"/>
          <w:color w:val="auto"/>
          <w:szCs w:val="21"/>
          <w:highlight w:val="none"/>
        </w:rPr>
        <w:t>项目一览表</w:t>
      </w:r>
    </w:p>
    <w:tbl>
      <w:tblPr>
        <w:tblStyle w:val="51"/>
        <w:tblW w:w="9060"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2300"/>
        <w:gridCol w:w="709"/>
        <w:gridCol w:w="4987"/>
      </w:tblGrid>
      <w:tr w14:paraId="298AD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tcBorders>
              <w:top w:val="single" w:color="auto" w:sz="4" w:space="0"/>
              <w:left w:val="single" w:color="auto" w:sz="4" w:space="0"/>
              <w:bottom w:val="single" w:color="auto" w:sz="4" w:space="0"/>
              <w:right w:val="single" w:color="auto" w:sz="4" w:space="0"/>
            </w:tcBorders>
            <w:noWrap/>
            <w:vAlign w:val="center"/>
          </w:tcPr>
          <w:p w14:paraId="2B694608">
            <w:pPr>
              <w:keepNext w:val="0"/>
              <w:keepLines w:val="0"/>
              <w:suppressLineNumbers w:val="0"/>
              <w:spacing w:before="0" w:beforeAutospacing="0" w:after="0" w:afterAutospacing="0" w:line="400" w:lineRule="exact"/>
              <w:ind w:left="0" w:right="0"/>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标项</w:t>
            </w:r>
          </w:p>
        </w:tc>
        <w:tc>
          <w:tcPr>
            <w:tcW w:w="2300" w:type="dxa"/>
            <w:tcBorders>
              <w:top w:val="single" w:color="auto" w:sz="4" w:space="0"/>
              <w:left w:val="single" w:color="auto" w:sz="4" w:space="0"/>
              <w:bottom w:val="single" w:color="auto" w:sz="4" w:space="0"/>
              <w:right w:val="single" w:color="auto" w:sz="4" w:space="0"/>
            </w:tcBorders>
            <w:noWrap/>
            <w:vAlign w:val="center"/>
          </w:tcPr>
          <w:p w14:paraId="01A4AE1F">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r>
              <w:rPr>
                <w:rFonts w:hint="default" w:ascii="宋体" w:hAnsi="宋体"/>
                <w:color w:val="auto"/>
                <w:szCs w:val="21"/>
                <w:highlight w:val="none"/>
              </w:rPr>
              <w:t>名称</w:t>
            </w:r>
          </w:p>
        </w:tc>
        <w:tc>
          <w:tcPr>
            <w:tcW w:w="709" w:type="dxa"/>
            <w:tcBorders>
              <w:top w:val="single" w:color="auto" w:sz="4" w:space="0"/>
              <w:left w:val="single" w:color="auto" w:sz="4" w:space="0"/>
              <w:bottom w:val="single" w:color="auto" w:sz="4" w:space="0"/>
              <w:right w:val="single" w:color="auto" w:sz="4" w:space="0"/>
            </w:tcBorders>
            <w:noWrap/>
            <w:vAlign w:val="center"/>
          </w:tcPr>
          <w:p w14:paraId="33CDC324">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r>
              <w:rPr>
                <w:rFonts w:hint="default" w:ascii="宋体" w:hAnsi="宋体"/>
                <w:color w:val="auto"/>
                <w:szCs w:val="21"/>
                <w:highlight w:val="none"/>
              </w:rPr>
              <w:t>数量</w:t>
            </w:r>
          </w:p>
        </w:tc>
        <w:tc>
          <w:tcPr>
            <w:tcW w:w="4987" w:type="dxa"/>
            <w:tcBorders>
              <w:top w:val="single" w:color="auto" w:sz="4" w:space="0"/>
              <w:left w:val="single" w:color="auto" w:sz="4" w:space="0"/>
              <w:bottom w:val="single" w:color="auto" w:sz="4" w:space="0"/>
              <w:right w:val="single" w:color="auto" w:sz="4" w:space="0"/>
            </w:tcBorders>
            <w:noWrap/>
            <w:vAlign w:val="center"/>
          </w:tcPr>
          <w:p w14:paraId="67186149">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r>
              <w:rPr>
                <w:rFonts w:hint="default" w:ascii="宋体" w:hAnsi="宋体"/>
                <w:color w:val="auto"/>
                <w:szCs w:val="21"/>
                <w:highlight w:val="none"/>
              </w:rPr>
              <w:t>服务内容</w:t>
            </w:r>
          </w:p>
        </w:tc>
      </w:tr>
      <w:tr w14:paraId="59A96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tcBorders>
              <w:top w:val="single" w:color="auto" w:sz="4" w:space="0"/>
              <w:left w:val="single" w:color="auto" w:sz="4" w:space="0"/>
              <w:bottom w:val="single" w:color="auto" w:sz="4" w:space="0"/>
              <w:right w:val="single" w:color="auto" w:sz="4" w:space="0"/>
            </w:tcBorders>
            <w:noWrap/>
            <w:vAlign w:val="center"/>
          </w:tcPr>
          <w:p w14:paraId="20482F3E">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p>
        </w:tc>
        <w:tc>
          <w:tcPr>
            <w:tcW w:w="2300" w:type="dxa"/>
            <w:tcBorders>
              <w:top w:val="single" w:color="auto" w:sz="4" w:space="0"/>
              <w:left w:val="single" w:color="auto" w:sz="4" w:space="0"/>
              <w:bottom w:val="single" w:color="auto" w:sz="4" w:space="0"/>
              <w:right w:val="single" w:color="auto" w:sz="4" w:space="0"/>
            </w:tcBorders>
            <w:noWrap/>
            <w:vAlign w:val="center"/>
          </w:tcPr>
          <w:p w14:paraId="0187EDBF">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noWrap/>
            <w:vAlign w:val="center"/>
          </w:tcPr>
          <w:p w14:paraId="4815D866">
            <w:pPr>
              <w:keepNext w:val="0"/>
              <w:keepLines w:val="0"/>
              <w:suppressLineNumbers w:val="0"/>
              <w:spacing w:before="0" w:beforeAutospacing="0" w:after="0" w:afterAutospacing="0" w:line="400" w:lineRule="exact"/>
              <w:ind w:left="0" w:right="0"/>
              <w:rPr>
                <w:rFonts w:hint="default" w:ascii="宋体" w:hAnsi="宋体"/>
                <w:color w:val="auto"/>
                <w:szCs w:val="21"/>
                <w:highlight w:val="none"/>
              </w:rPr>
            </w:pPr>
          </w:p>
        </w:tc>
        <w:tc>
          <w:tcPr>
            <w:tcW w:w="4987" w:type="dxa"/>
            <w:tcBorders>
              <w:top w:val="single" w:color="auto" w:sz="4" w:space="0"/>
              <w:left w:val="single" w:color="auto" w:sz="4" w:space="0"/>
              <w:bottom w:val="single" w:color="auto" w:sz="4" w:space="0"/>
              <w:right w:val="single" w:color="auto" w:sz="4" w:space="0"/>
            </w:tcBorders>
            <w:noWrap/>
            <w:vAlign w:val="center"/>
          </w:tcPr>
          <w:p w14:paraId="28F41CD6">
            <w:pPr>
              <w:keepNext w:val="0"/>
              <w:keepLines w:val="0"/>
              <w:suppressLineNumbers w:val="0"/>
              <w:spacing w:before="0" w:beforeAutospacing="0" w:after="0" w:afterAutospacing="0" w:line="400" w:lineRule="exact"/>
              <w:ind w:left="0" w:right="0"/>
              <w:rPr>
                <w:rFonts w:hint="eastAsia" w:ascii="宋体" w:hAnsi="宋体" w:eastAsia="宋体"/>
                <w:color w:val="auto"/>
                <w:szCs w:val="21"/>
                <w:highlight w:val="none"/>
                <w:lang w:val="en-US" w:eastAsia="zh-CN"/>
              </w:rPr>
            </w:pPr>
          </w:p>
        </w:tc>
      </w:tr>
      <w:tr w14:paraId="2163C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gridSpan w:val="4"/>
            <w:tcBorders>
              <w:top w:val="single" w:color="auto" w:sz="4" w:space="0"/>
              <w:left w:val="single" w:color="auto" w:sz="4" w:space="0"/>
              <w:bottom w:val="single" w:color="auto" w:sz="4" w:space="0"/>
              <w:right w:val="single" w:color="auto" w:sz="4" w:space="0"/>
            </w:tcBorders>
            <w:noWrap/>
            <w:vAlign w:val="center"/>
          </w:tcPr>
          <w:p w14:paraId="7AF5B8A2">
            <w:pPr>
              <w:keepNext w:val="0"/>
              <w:keepLines w:val="0"/>
              <w:suppressLineNumbers w:val="0"/>
              <w:spacing w:before="0" w:beforeAutospacing="0" w:after="0" w:afterAutospacing="0" w:line="400" w:lineRule="exact"/>
              <w:ind w:left="0" w:right="0"/>
              <w:rPr>
                <w:rFonts w:hint="eastAsia" w:ascii="宋体" w:hAnsi="宋体"/>
                <w:bCs/>
                <w:color w:val="auto"/>
                <w:szCs w:val="21"/>
                <w:highlight w:val="none"/>
              </w:rPr>
            </w:pPr>
            <w:r>
              <w:rPr>
                <w:rFonts w:hint="default" w:ascii="宋体" w:hAnsi="宋体"/>
                <w:color w:val="auto"/>
                <w:szCs w:val="21"/>
                <w:highlight w:val="none"/>
              </w:rPr>
              <w:t>人民币合计金额（大写）：</w:t>
            </w:r>
            <w:r>
              <w:rPr>
                <w:rFonts w:hint="default" w:ascii="宋体" w:hAnsi="宋体"/>
                <w:color w:val="auto"/>
                <w:szCs w:val="21"/>
                <w:highlight w:val="none"/>
                <w:u w:val="single"/>
              </w:rPr>
              <w:t xml:space="preserve">             </w:t>
            </w:r>
            <w:r>
              <w:rPr>
                <w:rFonts w:hint="default" w:ascii="宋体" w:hAnsi="宋体"/>
                <w:color w:val="auto"/>
                <w:szCs w:val="21"/>
                <w:highlight w:val="none"/>
              </w:rPr>
              <w:t>（¥</w:t>
            </w:r>
            <w:r>
              <w:rPr>
                <w:rFonts w:hint="default" w:ascii="宋体" w:hAnsi="宋体"/>
                <w:color w:val="auto"/>
                <w:szCs w:val="21"/>
                <w:highlight w:val="none"/>
                <w:u w:val="single"/>
              </w:rPr>
              <w:t xml:space="preserve">            </w:t>
            </w:r>
            <w:r>
              <w:rPr>
                <w:rFonts w:hint="default" w:ascii="宋体" w:hAnsi="宋体"/>
                <w:color w:val="auto"/>
                <w:szCs w:val="21"/>
                <w:highlight w:val="none"/>
              </w:rPr>
              <w:t xml:space="preserve">） </w:t>
            </w:r>
          </w:p>
        </w:tc>
      </w:tr>
    </w:tbl>
    <w:p w14:paraId="69EFE21C">
      <w:pPr>
        <w:spacing w:line="400" w:lineRule="exact"/>
        <w:ind w:firstLine="420" w:firstLineChars="200"/>
        <w:rPr>
          <w:color w:val="auto"/>
          <w:highlight w:val="none"/>
        </w:rPr>
      </w:pPr>
      <w:r>
        <w:rPr>
          <w:rFonts w:ascii="宋体" w:hAnsi="宋体"/>
          <w:color w:val="auto"/>
          <w:szCs w:val="21"/>
          <w:highlight w:val="none"/>
        </w:rPr>
        <w:t>2</w:t>
      </w:r>
      <w:r>
        <w:rPr>
          <w:rFonts w:hint="eastAsia" w:ascii="宋体" w:hAnsi="宋体"/>
          <w:color w:val="auto"/>
          <w:szCs w:val="21"/>
          <w:highlight w:val="none"/>
          <w:lang w:eastAsia="zh-CN"/>
        </w:rPr>
        <w:t>.</w:t>
      </w:r>
      <w:r>
        <w:rPr>
          <w:rFonts w:ascii="宋体" w:hAnsi="宋体"/>
          <w:color w:val="auto"/>
          <w:szCs w:val="21"/>
          <w:highlight w:val="none"/>
        </w:rPr>
        <w:t>合同合计金额</w:t>
      </w:r>
      <w:r>
        <w:rPr>
          <w:rFonts w:hint="eastAsia" w:ascii="宋体" w:hAnsi="宋体"/>
          <w:color w:val="auto"/>
          <w:szCs w:val="21"/>
          <w:highlight w:val="none"/>
        </w:rPr>
        <w:t>是履行合同的最终价格，</w:t>
      </w:r>
      <w:r>
        <w:rPr>
          <w:rFonts w:ascii="宋体" w:hAnsi="宋体"/>
          <w:color w:val="auto"/>
          <w:szCs w:val="21"/>
          <w:highlight w:val="none"/>
        </w:rPr>
        <w:t>应包括但不限于项目所有服务内容、资料收集、</w:t>
      </w:r>
      <w:r>
        <w:rPr>
          <w:rFonts w:hint="eastAsia" w:ascii="宋体" w:hAnsi="宋体"/>
          <w:color w:val="auto"/>
          <w:szCs w:val="21"/>
          <w:highlight w:val="none"/>
        </w:rPr>
        <w:t>专家劳务</w:t>
      </w:r>
      <w:r>
        <w:rPr>
          <w:rFonts w:ascii="宋体" w:hAnsi="宋体"/>
          <w:color w:val="auto"/>
          <w:szCs w:val="21"/>
          <w:highlight w:val="none"/>
        </w:rPr>
        <w:t>、项目所需投入的人员、技术、交通、差旅、采购代理服务、验收等费用、包含各项保险费用和各项税金。</w:t>
      </w:r>
    </w:p>
    <w:p w14:paraId="1F830730">
      <w:pPr>
        <w:snapToGrid w:val="0"/>
        <w:spacing w:line="360" w:lineRule="exact"/>
        <w:ind w:firstLine="422" w:firstLineChars="200"/>
        <w:rPr>
          <w:b/>
          <w:color w:val="auto"/>
          <w:szCs w:val="21"/>
          <w:highlight w:val="none"/>
        </w:rPr>
      </w:pPr>
      <w:r>
        <w:rPr>
          <w:b/>
          <w:color w:val="auto"/>
          <w:szCs w:val="21"/>
          <w:highlight w:val="none"/>
        </w:rPr>
        <w:t>第三条  甲方权利和义务</w:t>
      </w:r>
    </w:p>
    <w:p w14:paraId="7BDDBEED">
      <w:pPr>
        <w:snapToGrid w:val="0"/>
        <w:spacing w:line="360" w:lineRule="exact"/>
        <w:ind w:firstLine="420" w:firstLineChars="200"/>
        <w:rPr>
          <w:color w:val="auto"/>
          <w:szCs w:val="21"/>
          <w:highlight w:val="none"/>
        </w:rPr>
      </w:pPr>
      <w:r>
        <w:rPr>
          <w:color w:val="auto"/>
          <w:szCs w:val="21"/>
          <w:highlight w:val="none"/>
        </w:rPr>
        <w:t>1. 甲方有权要求乙方按时、按质、按量、按计划与合同协议约定完成本项目，并有权对乙方工作情况进行监督。</w:t>
      </w:r>
    </w:p>
    <w:p w14:paraId="1C6D4425">
      <w:pPr>
        <w:snapToGrid w:val="0"/>
        <w:spacing w:line="360" w:lineRule="exact"/>
        <w:ind w:firstLine="420" w:firstLineChars="200"/>
        <w:rPr>
          <w:color w:val="auto"/>
          <w:szCs w:val="21"/>
          <w:highlight w:val="none"/>
        </w:rPr>
      </w:pPr>
      <w:r>
        <w:rPr>
          <w:color w:val="auto"/>
          <w:szCs w:val="21"/>
          <w:highlight w:val="none"/>
        </w:rPr>
        <w:t>2. 根据项目进度，甲方有权及时对乙方提交的方案提出修改意见，并要求乙方按修改意见完成服务工作。</w:t>
      </w:r>
    </w:p>
    <w:p w14:paraId="5F8B0F71">
      <w:pPr>
        <w:snapToGrid w:val="0"/>
        <w:spacing w:line="360" w:lineRule="exact"/>
        <w:ind w:firstLine="420" w:firstLineChars="200"/>
        <w:rPr>
          <w:color w:val="auto"/>
          <w:szCs w:val="21"/>
          <w:highlight w:val="none"/>
        </w:rPr>
      </w:pPr>
      <w:r>
        <w:rPr>
          <w:color w:val="auto"/>
          <w:szCs w:val="21"/>
          <w:highlight w:val="none"/>
        </w:rPr>
        <w:t>3. 乙方配备的项目投入人员应得到甲方的认可；对派遣到甲方的服务人员进行管理、考核、检查与奖惩。</w:t>
      </w:r>
    </w:p>
    <w:p w14:paraId="627C4E5A">
      <w:pPr>
        <w:snapToGrid w:val="0"/>
        <w:spacing w:line="360" w:lineRule="exact"/>
        <w:ind w:firstLine="420" w:firstLineChars="200"/>
        <w:rPr>
          <w:strike/>
          <w:color w:val="auto"/>
          <w:szCs w:val="21"/>
          <w:highlight w:val="none"/>
        </w:rPr>
      </w:pPr>
      <w:r>
        <w:rPr>
          <w:color w:val="auto"/>
          <w:szCs w:val="21"/>
          <w:highlight w:val="none"/>
        </w:rPr>
        <w:t>4.甲方有权要求乙方更换不合格的</w:t>
      </w:r>
      <w:r>
        <w:rPr>
          <w:rFonts w:hint="eastAsia"/>
          <w:color w:val="auto"/>
          <w:szCs w:val="21"/>
          <w:highlight w:val="none"/>
          <w:lang w:val="en-US" w:eastAsia="zh-CN"/>
        </w:rPr>
        <w:t>驻场</w:t>
      </w:r>
      <w:r>
        <w:rPr>
          <w:color w:val="auto"/>
          <w:szCs w:val="21"/>
          <w:highlight w:val="none"/>
        </w:rPr>
        <w:t>工作人员。</w:t>
      </w:r>
    </w:p>
    <w:p w14:paraId="3CDE1741">
      <w:pPr>
        <w:snapToGrid w:val="0"/>
        <w:spacing w:line="360" w:lineRule="exact"/>
        <w:ind w:firstLine="420" w:firstLineChars="200"/>
        <w:rPr>
          <w:color w:val="auto"/>
          <w:szCs w:val="21"/>
          <w:highlight w:val="none"/>
        </w:rPr>
      </w:pPr>
      <w:r>
        <w:rPr>
          <w:color w:val="auto"/>
          <w:szCs w:val="21"/>
          <w:highlight w:val="none"/>
        </w:rPr>
        <w:t>5. 按合同要求及时向乙方支付产品和服务费用。</w:t>
      </w:r>
    </w:p>
    <w:p w14:paraId="7F0241AA">
      <w:pPr>
        <w:snapToGrid w:val="0"/>
        <w:spacing w:line="360" w:lineRule="exact"/>
        <w:ind w:firstLine="420" w:firstLineChars="200"/>
        <w:rPr>
          <w:rFonts w:hint="eastAsia"/>
          <w:color w:val="auto"/>
          <w:szCs w:val="21"/>
          <w:highlight w:val="none"/>
        </w:rPr>
      </w:pPr>
      <w:r>
        <w:rPr>
          <w:rFonts w:hint="eastAsia"/>
          <w:color w:val="auto"/>
          <w:szCs w:val="21"/>
          <w:highlight w:val="none"/>
        </w:rPr>
        <w:t>6</w:t>
      </w:r>
      <w:r>
        <w:rPr>
          <w:color w:val="auto"/>
          <w:szCs w:val="21"/>
          <w:highlight w:val="none"/>
        </w:rPr>
        <w:t>.</w:t>
      </w:r>
      <w:r>
        <w:rPr>
          <w:rFonts w:hint="eastAsia"/>
          <w:color w:val="auto"/>
          <w:highlight w:val="none"/>
        </w:rPr>
        <w:t xml:space="preserve"> </w:t>
      </w:r>
      <w:r>
        <w:rPr>
          <w:rFonts w:hint="default" w:ascii="Times New Roman" w:hAnsi="Times New Roman" w:eastAsia="宋体" w:cs="Times New Roman"/>
          <w:i w:val="0"/>
          <w:iCs w:val="0"/>
          <w:caps w:val="0"/>
          <w:color w:val="auto"/>
          <w:spacing w:val="0"/>
          <w:kern w:val="2"/>
          <w:sz w:val="21"/>
          <w:szCs w:val="21"/>
          <w:highlight w:val="none"/>
          <w:lang w:val="en-US" w:eastAsia="zh-CN" w:bidi="ar"/>
        </w:rPr>
        <w:t>知识产权归属：（1）乙方根据本合同约定向甲方提供的所有工作成果、报告、资料、软件、数据及其他交付物，其全部知识产权（包括但不限于著作权、专利权、专有技术、商业秘密等）归甲方独家所有。（2）乙方在履行本合同过程中所使用的背景知识产权（即乙方在合同签订前已有的知识产权）仍归乙方所有，但乙方特此授予甲方一项不可撤销的、永久的、全球性的、免费的、非排他性的许可，允许甲方为实现本合同目的而使用该等背景知识产权。（3）乙方保证其向甲方提供的所有工作成果不侵犯任何第三方的知识产权。若因乙方交付物导致甲方遭受任何第三方知识产权侵权索赔，乙方应负责处理并承担全部责任，包括但不限于赔偿甲方遭受的全部损失、支付相关律师费和其他合理费用。</w:t>
      </w:r>
      <w:r>
        <w:rPr>
          <w:rFonts w:hint="eastAsia"/>
          <w:color w:val="auto"/>
          <w:szCs w:val="21"/>
          <w:highlight w:val="none"/>
        </w:rPr>
        <w:t xml:space="preserve">   </w:t>
      </w:r>
    </w:p>
    <w:p w14:paraId="42E9E2E2">
      <w:pPr>
        <w:snapToGrid w:val="0"/>
        <w:spacing w:line="360" w:lineRule="exact"/>
        <w:ind w:firstLine="420" w:firstLineChars="200"/>
        <w:rPr>
          <w:rFonts w:hint="eastAsia"/>
          <w:color w:val="auto"/>
          <w:szCs w:val="21"/>
          <w:highlight w:val="none"/>
          <w:u w:val="single"/>
        </w:rPr>
      </w:pPr>
      <w:r>
        <w:rPr>
          <w:rFonts w:hint="eastAsia"/>
          <w:color w:val="auto"/>
          <w:highlight w:val="none"/>
        </w:rPr>
        <w:t>7.产权纠纷</w:t>
      </w:r>
      <w:r>
        <w:rPr>
          <w:rFonts w:hint="eastAsia"/>
          <w:color w:val="auto"/>
          <w:szCs w:val="21"/>
          <w:highlight w:val="none"/>
        </w:rPr>
        <w:t>处理方式：</w:t>
      </w:r>
      <w:r>
        <w:rPr>
          <w:rFonts w:hint="eastAsia"/>
          <w:color w:val="auto"/>
          <w:szCs w:val="21"/>
          <w:highlight w:val="none"/>
          <w:u w:val="single"/>
          <w:lang w:val="en-US" w:eastAsia="zh-CN"/>
        </w:rPr>
        <w:t>甲方</w:t>
      </w:r>
      <w:r>
        <w:rPr>
          <w:rFonts w:hint="eastAsia"/>
          <w:color w:val="auto"/>
          <w:szCs w:val="21"/>
          <w:highlight w:val="none"/>
          <w:u w:val="single"/>
        </w:rPr>
        <w:t>在中华人民共和国境内使用供应商提供的产品及服务时免受第三方提出的侵犯其专利权或其它知识产权的起诉。如果第三方提出侵权指控，乙方应妥善处理纠纷并承担由此而引起的一切法律责任和费用。</w:t>
      </w:r>
    </w:p>
    <w:p w14:paraId="589BD744">
      <w:pPr>
        <w:snapToGrid w:val="0"/>
        <w:spacing w:line="360" w:lineRule="exact"/>
        <w:ind w:firstLine="422" w:firstLineChars="200"/>
        <w:rPr>
          <w:b/>
          <w:color w:val="auto"/>
          <w:szCs w:val="21"/>
          <w:highlight w:val="none"/>
        </w:rPr>
      </w:pPr>
      <w:r>
        <w:rPr>
          <w:b/>
          <w:color w:val="auto"/>
          <w:szCs w:val="21"/>
          <w:highlight w:val="none"/>
        </w:rPr>
        <w:t>第四条  乙方权利和义务</w:t>
      </w:r>
    </w:p>
    <w:p w14:paraId="188AC88C">
      <w:pPr>
        <w:snapToGrid w:val="0"/>
        <w:spacing w:line="360" w:lineRule="exact"/>
        <w:ind w:firstLine="420" w:firstLineChars="200"/>
        <w:rPr>
          <w:color w:val="auto"/>
          <w:szCs w:val="21"/>
          <w:highlight w:val="none"/>
        </w:rPr>
      </w:pPr>
      <w:r>
        <w:rPr>
          <w:color w:val="auto"/>
          <w:szCs w:val="21"/>
          <w:highlight w:val="none"/>
        </w:rPr>
        <w:t>1. 严格履行合同文件（含采购文件、响应文件等）约定和承诺的服务内容和质量标准，保证甲方项目的相关工作质量和进度。</w:t>
      </w:r>
    </w:p>
    <w:p w14:paraId="023AA793">
      <w:pPr>
        <w:snapToGrid w:val="0"/>
        <w:spacing w:line="360" w:lineRule="exact"/>
        <w:ind w:firstLine="420" w:firstLineChars="200"/>
        <w:rPr>
          <w:color w:val="auto"/>
          <w:szCs w:val="21"/>
          <w:highlight w:val="none"/>
        </w:rPr>
      </w:pPr>
      <w:r>
        <w:rPr>
          <w:color w:val="auto"/>
          <w:szCs w:val="21"/>
          <w:highlight w:val="none"/>
        </w:rPr>
        <w:t>2. 必须严格实施乙方响应文件中承诺的人力资源配置。在必须补充或更换人员时，必须补充或更换优于或等同于响应文件所承诺资质的服务人员，并需取得甲方书面同意。</w:t>
      </w:r>
    </w:p>
    <w:p w14:paraId="18D549DC">
      <w:pPr>
        <w:snapToGrid w:val="0"/>
        <w:spacing w:line="360" w:lineRule="exact"/>
        <w:ind w:firstLine="420" w:firstLineChars="200"/>
        <w:rPr>
          <w:color w:val="auto"/>
          <w:szCs w:val="21"/>
          <w:highlight w:val="none"/>
        </w:rPr>
      </w:pPr>
      <w:r>
        <w:rPr>
          <w:color w:val="auto"/>
          <w:szCs w:val="21"/>
          <w:highlight w:val="none"/>
        </w:rPr>
        <w:t>3. 乙方项目负责人及服务团队成员须与响应文件保持一致。合同存续期内，未经甲方书面要求或同意，项目负责人不应调整。项目负责人及服务团队成员必须保证在岗工作时间和重要活动在岗，如有变化，须取得甲方同意。</w:t>
      </w:r>
    </w:p>
    <w:p w14:paraId="3A4A1D92">
      <w:pPr>
        <w:snapToGrid w:val="0"/>
        <w:spacing w:line="360" w:lineRule="exact"/>
        <w:ind w:firstLine="420" w:firstLineChars="200"/>
        <w:rPr>
          <w:color w:val="auto"/>
          <w:szCs w:val="21"/>
          <w:highlight w:val="none"/>
        </w:rPr>
      </w:pPr>
      <w:r>
        <w:rPr>
          <w:color w:val="auto"/>
          <w:szCs w:val="21"/>
          <w:highlight w:val="none"/>
        </w:rPr>
        <w:t>4.乙方依本合同约定向甲方提供的报告、资料、文件等内容及服务成果后，甲方即对上述内容享有充分、完整和排他的著作权和知识产权。未经甲方书面许可，乙方不得向任何第三方提供上述报告、资料、文件等内容及服务成果。即使向履行本合同有关的人员提供，也应注意保密并限于履行合同的必需范围。</w:t>
      </w:r>
    </w:p>
    <w:p w14:paraId="6414E5D1">
      <w:pPr>
        <w:snapToGrid w:val="0"/>
        <w:spacing w:line="360" w:lineRule="exact"/>
        <w:ind w:firstLine="420" w:firstLineChars="200"/>
        <w:rPr>
          <w:color w:val="auto"/>
          <w:szCs w:val="21"/>
          <w:highlight w:val="none"/>
        </w:rPr>
      </w:pPr>
      <w:r>
        <w:rPr>
          <w:color w:val="auto"/>
          <w:szCs w:val="21"/>
          <w:highlight w:val="none"/>
        </w:rPr>
        <w:t>5. 乙方服务人员应履行保密义务。如乙方因违反本条约定给甲方造成损失的，乙方应当承担相应的法律责任，并赔偿由此给甲方造成的一切损失。</w:t>
      </w:r>
    </w:p>
    <w:p w14:paraId="673710ED">
      <w:pPr>
        <w:snapToGrid w:val="0"/>
        <w:spacing w:line="360" w:lineRule="exact"/>
        <w:ind w:firstLine="420" w:firstLineChars="200"/>
        <w:rPr>
          <w:rFonts w:hint="eastAsia"/>
          <w:color w:val="auto"/>
          <w:szCs w:val="21"/>
          <w:highlight w:val="none"/>
        </w:rPr>
      </w:pPr>
      <w:r>
        <w:rPr>
          <w:color w:val="auto"/>
          <w:szCs w:val="21"/>
          <w:highlight w:val="none"/>
        </w:rPr>
        <w:t>6. 按照合同约定收取服务费，当甲方出现无故拖欠费用时，乙方有权采取适当方式进行催缴，若甲方仍未支付费用，乙方有权停止工作。</w:t>
      </w:r>
    </w:p>
    <w:p w14:paraId="694AB343">
      <w:pPr>
        <w:snapToGrid w:val="0"/>
        <w:spacing w:line="360" w:lineRule="exact"/>
        <w:ind w:firstLine="422" w:firstLineChars="200"/>
        <w:rPr>
          <w:b/>
          <w:color w:val="auto"/>
          <w:szCs w:val="21"/>
          <w:highlight w:val="none"/>
        </w:rPr>
      </w:pPr>
      <w:r>
        <w:rPr>
          <w:b/>
          <w:color w:val="auto"/>
          <w:szCs w:val="21"/>
          <w:highlight w:val="none"/>
        </w:rPr>
        <w:t>第五条  包装和运输</w:t>
      </w:r>
    </w:p>
    <w:p w14:paraId="11A85E37">
      <w:pPr>
        <w:snapToGrid w:val="0"/>
        <w:spacing w:line="360" w:lineRule="exact"/>
        <w:ind w:firstLine="420" w:firstLineChars="200"/>
        <w:rPr>
          <w:color w:val="auto"/>
          <w:szCs w:val="21"/>
          <w:highlight w:val="none"/>
        </w:rPr>
      </w:pPr>
      <w:r>
        <w:rPr>
          <w:color w:val="auto"/>
          <w:szCs w:val="21"/>
          <w:highlight w:val="none"/>
        </w:rPr>
        <w:t>1.乙方提供的服务交付成果或产品均应按采购文件要求的包装材料、包装标准、包装方式进行包装，每一包装单元内应附详细的交付清单和质量合格证，如有缺失应及时补齐，否则视为逾期交付。</w:t>
      </w:r>
    </w:p>
    <w:p w14:paraId="79A3D119">
      <w:pPr>
        <w:snapToGrid w:val="0"/>
        <w:spacing w:line="360" w:lineRule="exact"/>
        <w:ind w:firstLine="420" w:firstLineChars="200"/>
        <w:rPr>
          <w:color w:val="auto"/>
          <w:szCs w:val="21"/>
          <w:highlight w:val="none"/>
        </w:rPr>
      </w:pPr>
      <w:r>
        <w:rPr>
          <w:color w:val="auto"/>
          <w:szCs w:val="21"/>
          <w:highlight w:val="none"/>
        </w:rPr>
        <w:t>2. 乙方负责服务交付成果、产品的运输。服务交付成果、产品的运输方式由乙方自定。服务交付成果、产品运输合理损耗及计算方法由乙方负责。</w:t>
      </w:r>
    </w:p>
    <w:p w14:paraId="3BF00AA6">
      <w:pPr>
        <w:pStyle w:val="26"/>
        <w:spacing w:line="300" w:lineRule="exact"/>
        <w:ind w:firstLine="420" w:firstLineChars="200"/>
        <w:rPr>
          <w:rFonts w:hint="eastAsia" w:ascii="Times New Roman" w:hAnsi="Times New Roman" w:cs="Times New Roman"/>
          <w:color w:val="auto"/>
          <w:highlight w:val="none"/>
        </w:rPr>
      </w:pPr>
      <w:r>
        <w:rPr>
          <w:rFonts w:ascii="Times New Roman" w:hAnsi="Times New Roman" w:cs="Times New Roman"/>
          <w:color w:val="auto"/>
          <w:highlight w:val="none"/>
        </w:rPr>
        <w:t>3.</w:t>
      </w:r>
      <w:r>
        <w:rPr>
          <w:rFonts w:hint="eastAsia" w:ascii="Times New Roman" w:hAnsi="Times New Roman" w:cs="Times New Roman"/>
          <w:color w:val="auto"/>
          <w:highlight w:val="none"/>
        </w:rPr>
        <w:t>乙方提供的产品包装及快递包装应满足《财政部等三部门联合印发商品包装和快递包装政府采购需求标准（试行）》财办库【2020】123号文要求。</w:t>
      </w:r>
    </w:p>
    <w:p w14:paraId="379E7206">
      <w:pPr>
        <w:snapToGrid w:val="0"/>
        <w:spacing w:line="360" w:lineRule="exact"/>
        <w:ind w:firstLine="422" w:firstLineChars="200"/>
        <w:rPr>
          <w:color w:val="auto"/>
          <w:szCs w:val="21"/>
          <w:highlight w:val="none"/>
        </w:rPr>
      </w:pPr>
      <w:r>
        <w:rPr>
          <w:b/>
          <w:color w:val="auto"/>
          <w:szCs w:val="21"/>
          <w:highlight w:val="none"/>
        </w:rPr>
        <w:t>第六条  交付和验收</w:t>
      </w:r>
    </w:p>
    <w:p w14:paraId="030ACC01">
      <w:pPr>
        <w:snapToGrid w:val="0"/>
        <w:spacing w:line="360" w:lineRule="exact"/>
        <w:ind w:firstLine="420" w:firstLineChars="200"/>
        <w:rPr>
          <w:color w:val="auto"/>
          <w:szCs w:val="21"/>
          <w:highlight w:val="none"/>
        </w:rPr>
      </w:pPr>
      <w:r>
        <w:rPr>
          <w:color w:val="auto"/>
          <w:szCs w:val="21"/>
          <w:highlight w:val="none"/>
        </w:rPr>
        <w:t>1.交付使用时间：</w:t>
      </w:r>
      <w:r>
        <w:rPr>
          <w:color w:val="auto"/>
          <w:szCs w:val="21"/>
          <w:highlight w:val="none"/>
          <w:u w:val="single"/>
        </w:rPr>
        <w:t>按乙方响应文件中所承诺的时间</w:t>
      </w:r>
      <w:r>
        <w:rPr>
          <w:color w:val="auto"/>
          <w:szCs w:val="21"/>
          <w:highlight w:val="none"/>
        </w:rPr>
        <w:t>；地点：</w:t>
      </w:r>
      <w:r>
        <w:rPr>
          <w:color w:val="auto"/>
          <w:szCs w:val="21"/>
          <w:highlight w:val="none"/>
          <w:u w:val="single"/>
        </w:rPr>
        <w:t>甲方指定地点</w:t>
      </w:r>
      <w:r>
        <w:rPr>
          <w:color w:val="auto"/>
          <w:szCs w:val="21"/>
          <w:highlight w:val="none"/>
        </w:rPr>
        <w:t>。</w:t>
      </w:r>
    </w:p>
    <w:p w14:paraId="448D0CE5">
      <w:pPr>
        <w:snapToGrid w:val="0"/>
        <w:spacing w:line="300" w:lineRule="exact"/>
        <w:ind w:firstLine="420" w:firstLineChars="200"/>
        <w:rPr>
          <w:color w:val="auto"/>
          <w:highlight w:val="none"/>
        </w:rPr>
      </w:pPr>
      <w:r>
        <w:rPr>
          <w:color w:val="auto"/>
          <w:highlight w:val="none"/>
        </w:rPr>
        <w:t>2.</w:t>
      </w:r>
      <w:r>
        <w:rPr>
          <w:rFonts w:hint="eastAsia"/>
          <w:color w:val="auto"/>
          <w:highlight w:val="none"/>
        </w:rPr>
        <w:t>交付标准：</w:t>
      </w:r>
      <w:r>
        <w:rPr>
          <w:color w:val="auto"/>
          <w:highlight w:val="none"/>
        </w:rPr>
        <w:t>乙方交</w:t>
      </w:r>
      <w:r>
        <w:rPr>
          <w:rFonts w:hint="eastAsia"/>
          <w:color w:val="auto"/>
          <w:highlight w:val="none"/>
        </w:rPr>
        <w:t>付</w:t>
      </w:r>
      <w:r>
        <w:rPr>
          <w:color w:val="auto"/>
          <w:highlight w:val="none"/>
        </w:rPr>
        <w:t>前应对</w:t>
      </w:r>
      <w:r>
        <w:rPr>
          <w:color w:val="auto"/>
          <w:szCs w:val="21"/>
          <w:highlight w:val="none"/>
        </w:rPr>
        <w:t>产品或服务成果</w:t>
      </w:r>
      <w:r>
        <w:rPr>
          <w:color w:val="auto"/>
          <w:highlight w:val="none"/>
        </w:rPr>
        <w:t>作出全面检查</w:t>
      </w:r>
      <w:r>
        <w:rPr>
          <w:rFonts w:hint="eastAsia"/>
          <w:color w:val="auto"/>
          <w:highlight w:val="none"/>
        </w:rPr>
        <w:t>后</w:t>
      </w:r>
      <w:r>
        <w:rPr>
          <w:color w:val="auto"/>
          <w:highlight w:val="none"/>
        </w:rPr>
        <w:t>，</w:t>
      </w:r>
      <w:r>
        <w:rPr>
          <w:color w:val="auto"/>
          <w:szCs w:val="21"/>
          <w:highlight w:val="none"/>
        </w:rPr>
        <w:t>将</w:t>
      </w:r>
      <w:r>
        <w:rPr>
          <w:rFonts w:hint="eastAsia"/>
          <w:color w:val="auto"/>
          <w:szCs w:val="21"/>
          <w:highlight w:val="none"/>
        </w:rPr>
        <w:t>符合合同文件要求的</w:t>
      </w:r>
      <w:r>
        <w:rPr>
          <w:color w:val="auto"/>
          <w:szCs w:val="21"/>
          <w:highlight w:val="none"/>
        </w:rPr>
        <w:t>产品或服务成果交付给甲方。</w:t>
      </w:r>
    </w:p>
    <w:p w14:paraId="028234F9">
      <w:pPr>
        <w:snapToGrid w:val="0"/>
        <w:spacing w:line="300" w:lineRule="exact"/>
        <w:ind w:firstLine="420" w:firstLineChars="200"/>
        <w:rPr>
          <w:color w:val="auto"/>
          <w:highlight w:val="none"/>
        </w:rPr>
      </w:pPr>
      <w:r>
        <w:rPr>
          <w:rFonts w:hint="eastAsia"/>
          <w:color w:val="auto"/>
          <w:highlight w:val="none"/>
        </w:rPr>
        <w:t>3</w:t>
      </w:r>
      <w:r>
        <w:rPr>
          <w:color w:val="auto"/>
          <w:highlight w:val="none"/>
        </w:rPr>
        <w:t>.</w:t>
      </w:r>
      <w:r>
        <w:rPr>
          <w:rFonts w:hint="eastAsia"/>
          <w:color w:val="auto"/>
          <w:highlight w:val="none"/>
        </w:rPr>
        <w:t>验收程序：验收一般分为到货验收和最终验收两次单项验收。经甲方同意，两次单项验收可以合并进行。本项目采用的验收方式为：</w:t>
      </w:r>
      <w:r>
        <w:rPr>
          <w:rFonts w:hint="eastAsia"/>
          <w:color w:val="auto"/>
          <w:highlight w:val="none"/>
        </w:rPr>
        <w:sym w:font="Wingdings 2" w:char="00A3"/>
      </w:r>
      <w:r>
        <w:rPr>
          <w:rFonts w:hint="eastAsia"/>
          <w:color w:val="auto"/>
          <w:highlight w:val="none"/>
        </w:rPr>
        <w:t xml:space="preserve">到货验收（如有）  </w:t>
      </w:r>
      <w:r>
        <w:rPr>
          <w:rFonts w:hint="eastAsia"/>
          <w:color w:val="auto"/>
          <w:highlight w:val="none"/>
        </w:rPr>
        <w:sym w:font="Wingdings 2" w:char="0052"/>
      </w:r>
      <w:r>
        <w:rPr>
          <w:rFonts w:hint="eastAsia"/>
          <w:color w:val="auto"/>
          <w:highlight w:val="none"/>
        </w:rPr>
        <w:t>最终验收  □合并验收</w:t>
      </w:r>
    </w:p>
    <w:p w14:paraId="7F6484C6">
      <w:pPr>
        <w:snapToGrid w:val="0"/>
        <w:spacing w:line="300" w:lineRule="exact"/>
        <w:ind w:firstLine="420" w:firstLineChars="200"/>
        <w:rPr>
          <w:color w:val="auto"/>
          <w:highlight w:val="none"/>
        </w:rPr>
      </w:pPr>
      <w:r>
        <w:rPr>
          <w:rFonts w:hint="eastAsia"/>
          <w:color w:val="auto"/>
          <w:highlight w:val="none"/>
        </w:rPr>
        <w:t>（1）到货验收：</w:t>
      </w:r>
      <w:r>
        <w:rPr>
          <w:rFonts w:hint="eastAsia"/>
          <w:color w:val="auto"/>
          <w:szCs w:val="21"/>
          <w:highlight w:val="none"/>
        </w:rPr>
        <w:t>在项目中如有提供货物的，</w:t>
      </w:r>
      <w:r>
        <w:rPr>
          <w:color w:val="auto"/>
          <w:highlight w:val="none"/>
        </w:rPr>
        <w:t>甲方</w:t>
      </w:r>
      <w:r>
        <w:rPr>
          <w:rFonts w:hint="eastAsia"/>
          <w:color w:val="auto"/>
          <w:highlight w:val="none"/>
        </w:rPr>
        <w:t>在接到</w:t>
      </w:r>
      <w:r>
        <w:rPr>
          <w:color w:val="auto"/>
          <w:highlight w:val="none"/>
        </w:rPr>
        <w:t>乙方</w:t>
      </w:r>
      <w:r>
        <w:rPr>
          <w:rFonts w:hint="eastAsia"/>
          <w:color w:val="auto"/>
          <w:highlight w:val="none"/>
        </w:rPr>
        <w:t>通知后对交付</w:t>
      </w:r>
      <w:r>
        <w:rPr>
          <w:color w:val="auto"/>
          <w:highlight w:val="none"/>
        </w:rPr>
        <w:t>的</w:t>
      </w:r>
      <w:r>
        <w:rPr>
          <w:color w:val="auto"/>
          <w:szCs w:val="21"/>
          <w:highlight w:val="none"/>
        </w:rPr>
        <w:t>产品</w:t>
      </w:r>
      <w:r>
        <w:rPr>
          <w:color w:val="auto"/>
          <w:highlight w:val="none"/>
        </w:rPr>
        <w:t>依据</w:t>
      </w:r>
      <w:r>
        <w:rPr>
          <w:rFonts w:hint="eastAsia"/>
          <w:color w:val="auto"/>
          <w:highlight w:val="none"/>
        </w:rPr>
        <w:t>验收标准</w:t>
      </w:r>
      <w:r>
        <w:rPr>
          <w:color w:val="auto"/>
          <w:highlight w:val="none"/>
        </w:rPr>
        <w:t>进行</w:t>
      </w:r>
      <w:r>
        <w:rPr>
          <w:rFonts w:hint="eastAsia"/>
          <w:color w:val="auto"/>
          <w:highlight w:val="none"/>
        </w:rPr>
        <w:t>到货验收</w:t>
      </w:r>
      <w:r>
        <w:rPr>
          <w:color w:val="auto"/>
          <w:highlight w:val="none"/>
        </w:rPr>
        <w:t>，</w:t>
      </w:r>
      <w:r>
        <w:rPr>
          <w:rFonts w:hint="eastAsia"/>
          <w:color w:val="auto"/>
          <w:highlight w:val="none"/>
        </w:rPr>
        <w:t>对品牌、规格型号、</w:t>
      </w:r>
      <w:r>
        <w:rPr>
          <w:color w:val="auto"/>
          <w:highlight w:val="none"/>
        </w:rPr>
        <w:t>外观、</w:t>
      </w:r>
      <w:r>
        <w:rPr>
          <w:rFonts w:hint="eastAsia"/>
          <w:color w:val="auto"/>
          <w:highlight w:val="none"/>
        </w:rPr>
        <w:t>有关资料及备品备件、包装要求</w:t>
      </w:r>
      <w:r>
        <w:rPr>
          <w:color w:val="auto"/>
          <w:highlight w:val="none"/>
        </w:rPr>
        <w:t>符合采购文件</w:t>
      </w:r>
      <w:r>
        <w:rPr>
          <w:rFonts w:hint="eastAsia"/>
          <w:color w:val="auto"/>
          <w:highlight w:val="none"/>
        </w:rPr>
        <w:t>及合同</w:t>
      </w:r>
      <w:r>
        <w:rPr>
          <w:color w:val="auto"/>
          <w:highlight w:val="none"/>
        </w:rPr>
        <w:t>要求的，</w:t>
      </w:r>
      <w:r>
        <w:rPr>
          <w:rFonts w:hint="eastAsia"/>
          <w:color w:val="auto"/>
          <w:highlight w:val="none"/>
        </w:rPr>
        <w:t>视为到货验收合格</w:t>
      </w:r>
      <w:r>
        <w:rPr>
          <w:color w:val="auto"/>
          <w:highlight w:val="none"/>
        </w:rPr>
        <w:t>给予签收</w:t>
      </w:r>
      <w:r>
        <w:rPr>
          <w:rFonts w:hint="eastAsia"/>
          <w:color w:val="auto"/>
          <w:highlight w:val="none"/>
        </w:rPr>
        <w:t>。</w:t>
      </w:r>
    </w:p>
    <w:p w14:paraId="3F5D026B">
      <w:pPr>
        <w:snapToGrid w:val="0"/>
        <w:spacing w:line="300" w:lineRule="exact"/>
        <w:ind w:firstLine="420" w:firstLineChars="200"/>
        <w:rPr>
          <w:rFonts w:hint="eastAsia"/>
          <w:color w:val="auto"/>
          <w:highlight w:val="none"/>
        </w:rPr>
      </w:pPr>
      <w:r>
        <w:rPr>
          <w:rFonts w:hint="eastAsia"/>
          <w:color w:val="auto"/>
          <w:highlight w:val="none"/>
        </w:rPr>
        <w:t>（2）最终验收：交付的</w:t>
      </w:r>
      <w:r>
        <w:rPr>
          <w:color w:val="auto"/>
          <w:szCs w:val="21"/>
          <w:highlight w:val="none"/>
        </w:rPr>
        <w:t>产品或服务成果</w:t>
      </w:r>
      <w:r>
        <w:rPr>
          <w:rFonts w:hint="eastAsia"/>
          <w:color w:val="auto"/>
          <w:szCs w:val="21"/>
          <w:highlight w:val="none"/>
        </w:rPr>
        <w:t>在</w:t>
      </w:r>
      <w:r>
        <w:rPr>
          <w:rFonts w:hint="eastAsia"/>
          <w:color w:val="auto"/>
          <w:highlight w:val="none"/>
        </w:rPr>
        <w:t>满足合同交付标准后，依照本合同验收标准进行最终验收。甲方在乙方通知后进行最终验收。</w:t>
      </w:r>
    </w:p>
    <w:p w14:paraId="483BF549">
      <w:pPr>
        <w:snapToGrid w:val="0"/>
        <w:spacing w:line="300" w:lineRule="exact"/>
        <w:ind w:firstLine="420" w:firstLineChars="200"/>
        <w:rPr>
          <w:rFonts w:hint="eastAsia"/>
          <w:color w:val="auto"/>
          <w:highlight w:val="none"/>
        </w:rPr>
      </w:pPr>
      <w:r>
        <w:rPr>
          <w:rFonts w:hint="eastAsia"/>
          <w:color w:val="auto"/>
          <w:highlight w:val="none"/>
        </w:rPr>
        <w:t>（3）合并验收：</w:t>
      </w:r>
      <w:r>
        <w:rPr>
          <w:rStyle w:val="58"/>
          <w:rFonts w:hint="eastAsia"/>
          <w:color w:val="auto"/>
          <w:highlight w:val="none"/>
        </w:rPr>
        <w:t>将以上两项验收合并进行。</w:t>
      </w:r>
    </w:p>
    <w:p w14:paraId="6B3C77F0">
      <w:pPr>
        <w:snapToGrid w:val="0"/>
        <w:spacing w:line="300" w:lineRule="exact"/>
        <w:ind w:firstLine="420" w:firstLineChars="200"/>
        <w:rPr>
          <w:rFonts w:hint="eastAsia"/>
          <w:color w:val="auto"/>
          <w:highlight w:val="none"/>
        </w:rPr>
      </w:pPr>
      <w:r>
        <w:rPr>
          <w:rFonts w:hint="eastAsia"/>
          <w:color w:val="auto"/>
          <w:highlight w:val="none"/>
        </w:rPr>
        <w:t>4.</w:t>
      </w:r>
      <w:r>
        <w:rPr>
          <w:color w:val="auto"/>
          <w:highlight w:val="none"/>
        </w:rPr>
        <w:t>验收标准：按国家有关</w:t>
      </w:r>
      <w:r>
        <w:rPr>
          <w:rFonts w:hint="eastAsia"/>
          <w:color w:val="auto"/>
          <w:highlight w:val="none"/>
        </w:rPr>
        <w:t>标准</w:t>
      </w:r>
      <w:r>
        <w:rPr>
          <w:color w:val="auto"/>
          <w:highlight w:val="none"/>
        </w:rPr>
        <w:t>以及甲方采购文件的</w:t>
      </w:r>
      <w:r>
        <w:rPr>
          <w:rFonts w:hint="eastAsia"/>
          <w:color w:val="auto"/>
          <w:highlight w:val="none"/>
        </w:rPr>
        <w:t>采购需求</w:t>
      </w:r>
      <w:r>
        <w:rPr>
          <w:color w:val="auto"/>
          <w:highlight w:val="none"/>
        </w:rPr>
        <w:t>、乙方的响应文件</w:t>
      </w:r>
      <w:r>
        <w:rPr>
          <w:rFonts w:hint="eastAsia"/>
          <w:color w:val="auto"/>
          <w:highlight w:val="none"/>
        </w:rPr>
        <w:t>响应</w:t>
      </w:r>
      <w:r>
        <w:rPr>
          <w:color w:val="auto"/>
          <w:highlight w:val="none"/>
        </w:rPr>
        <w:t>及承诺与本合同约定进行验收；</w:t>
      </w:r>
      <w:r>
        <w:rPr>
          <w:rFonts w:hint="eastAsia"/>
          <w:color w:val="auto"/>
          <w:highlight w:val="none"/>
        </w:rPr>
        <w:t>上述标准如</w:t>
      </w:r>
      <w:r>
        <w:rPr>
          <w:color w:val="auto"/>
          <w:highlight w:val="none"/>
        </w:rPr>
        <w:t>有</w:t>
      </w:r>
      <w:r>
        <w:rPr>
          <w:rFonts w:hint="eastAsia"/>
          <w:color w:val="auto"/>
          <w:highlight w:val="none"/>
        </w:rPr>
        <w:t>不一致事项</w:t>
      </w:r>
      <w:r>
        <w:rPr>
          <w:color w:val="auto"/>
          <w:highlight w:val="none"/>
        </w:rPr>
        <w:t>，</w:t>
      </w:r>
      <w:r>
        <w:rPr>
          <w:rFonts w:hint="eastAsia"/>
          <w:color w:val="auto"/>
          <w:highlight w:val="none"/>
        </w:rPr>
        <w:t>以</w:t>
      </w:r>
      <w:r>
        <w:rPr>
          <w:color w:val="auto"/>
          <w:highlight w:val="none"/>
        </w:rPr>
        <w:t>采购文件与响应文件中</w:t>
      </w:r>
      <w:r>
        <w:rPr>
          <w:rFonts w:hint="eastAsia"/>
          <w:color w:val="auto"/>
          <w:highlight w:val="none"/>
        </w:rPr>
        <w:t>对应要求或指标中</w:t>
      </w:r>
      <w:r>
        <w:rPr>
          <w:color w:val="auto"/>
          <w:highlight w:val="none"/>
        </w:rPr>
        <w:t>较优</w:t>
      </w:r>
      <w:r>
        <w:rPr>
          <w:rFonts w:hint="eastAsia"/>
          <w:color w:val="auto"/>
          <w:highlight w:val="none"/>
        </w:rPr>
        <w:t>作为验收标准。如果交付的</w:t>
      </w:r>
      <w:r>
        <w:rPr>
          <w:color w:val="auto"/>
          <w:szCs w:val="21"/>
          <w:highlight w:val="none"/>
        </w:rPr>
        <w:t>产品或服务成果</w:t>
      </w:r>
      <w:r>
        <w:rPr>
          <w:rFonts w:hint="eastAsia"/>
          <w:color w:val="auto"/>
          <w:highlight w:val="none"/>
        </w:rPr>
        <w:t>中有执行国家强制标准的，则验收标准不得低于国家强制标准。</w:t>
      </w:r>
    </w:p>
    <w:p w14:paraId="02FF9701">
      <w:pPr>
        <w:pStyle w:val="26"/>
        <w:spacing w:line="300" w:lineRule="exact"/>
        <w:ind w:firstLine="420" w:firstLineChars="200"/>
        <w:jc w:val="left"/>
        <w:rPr>
          <w:rFonts w:hint="eastAsia"/>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w:t>
      </w:r>
      <w:r>
        <w:rPr>
          <w:rFonts w:hint="eastAsia" w:ascii="Times New Roman" w:hAnsi="Times New Roman" w:cs="Times New Roman"/>
          <w:color w:val="auto"/>
          <w:highlight w:val="none"/>
        </w:rPr>
        <w:t>验收地点及验收期限：验收地点为产品</w:t>
      </w:r>
      <w:r>
        <w:rPr>
          <w:color w:val="auto"/>
          <w:highlight w:val="none"/>
        </w:rPr>
        <w:t>或服务成果</w:t>
      </w:r>
      <w:r>
        <w:rPr>
          <w:rFonts w:hint="eastAsia" w:ascii="Times New Roman" w:hAnsi="Times New Roman" w:cs="Times New Roman"/>
          <w:color w:val="auto"/>
          <w:highlight w:val="none"/>
        </w:rPr>
        <w:t>交付地点；</w:t>
      </w:r>
      <w:r>
        <w:rPr>
          <w:rFonts w:hint="eastAsia"/>
          <w:color w:val="auto"/>
          <w:highlight w:val="none"/>
        </w:rPr>
        <w:t>各单项验收应在甲方收到乙方的书面验收申请后5个工作日内组织。乙方在提出验收申请时，应确保已具备验收条件。</w:t>
      </w:r>
      <w:r>
        <w:rPr>
          <w:color w:val="auto"/>
          <w:highlight w:val="none"/>
        </w:rPr>
        <w:t>甲方</w:t>
      </w:r>
      <w:r>
        <w:rPr>
          <w:rFonts w:hint="eastAsia"/>
          <w:color w:val="auto"/>
          <w:highlight w:val="none"/>
        </w:rPr>
        <w:t>收到乙方书面通知后</w:t>
      </w:r>
      <w:r>
        <w:rPr>
          <w:color w:val="auto"/>
          <w:highlight w:val="none"/>
        </w:rPr>
        <w:t>无故不进行验收工作</w:t>
      </w:r>
      <w:r>
        <w:rPr>
          <w:rFonts w:hint="eastAsia"/>
          <w:color w:val="auto"/>
          <w:highlight w:val="none"/>
        </w:rPr>
        <w:t>的，验收期限结束之日起视为当次单项验收合格。</w:t>
      </w:r>
    </w:p>
    <w:p w14:paraId="0FB809ED">
      <w:pPr>
        <w:pStyle w:val="26"/>
        <w:spacing w:line="300" w:lineRule="exact"/>
        <w:ind w:firstLine="420" w:firstLineChars="200"/>
        <w:jc w:val="left"/>
        <w:rPr>
          <w:rFonts w:hint="eastAsia"/>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验收</w:t>
      </w:r>
      <w:r>
        <w:rPr>
          <w:rFonts w:hint="eastAsia" w:ascii="Times New Roman" w:hAnsi="Times New Roman" w:cs="Times New Roman"/>
          <w:color w:val="auto"/>
          <w:highlight w:val="none"/>
        </w:rPr>
        <w:t>结果：在任一单项验收环节，甲、乙双方代表均应在场，交付的产品</w:t>
      </w:r>
      <w:r>
        <w:rPr>
          <w:color w:val="auto"/>
          <w:highlight w:val="none"/>
        </w:rPr>
        <w:t>或服务成果</w:t>
      </w:r>
      <w:r>
        <w:rPr>
          <w:rFonts w:hint="eastAsia" w:ascii="Times New Roman" w:hAnsi="Times New Roman" w:cs="Times New Roman"/>
          <w:color w:val="auto"/>
          <w:highlight w:val="none"/>
        </w:rPr>
        <w:t>符合验收标准的为单项验收合格，不符合验收标准的为单项验收不合格。验收结果由甲方出具</w:t>
      </w:r>
      <w:r>
        <w:rPr>
          <w:color w:val="auto"/>
          <w:highlight w:val="none"/>
        </w:rPr>
        <w:t>验收结果报告</w:t>
      </w:r>
      <w:r>
        <w:rPr>
          <w:rFonts w:hint="eastAsia"/>
          <w:color w:val="auto"/>
          <w:highlight w:val="none"/>
        </w:rPr>
        <w:t>或</w:t>
      </w:r>
      <w:r>
        <w:rPr>
          <w:color w:val="auto"/>
          <w:highlight w:val="none"/>
        </w:rPr>
        <w:t>验收书</w:t>
      </w:r>
      <w:r>
        <w:rPr>
          <w:rFonts w:hint="eastAsia"/>
          <w:color w:val="auto"/>
          <w:highlight w:val="none"/>
        </w:rPr>
        <w:t>，</w:t>
      </w:r>
      <w:r>
        <w:rPr>
          <w:color w:val="auto"/>
          <w:highlight w:val="none"/>
        </w:rPr>
        <w:t>列明各项标准的验收情况</w:t>
      </w:r>
      <w:r>
        <w:rPr>
          <w:rFonts w:hint="eastAsia"/>
          <w:color w:val="auto"/>
          <w:highlight w:val="none"/>
        </w:rPr>
        <w:t>，由甲、乙双方代表共同签字确认并加盖甲方公章</w:t>
      </w:r>
      <w:r>
        <w:rPr>
          <w:color w:val="auto"/>
          <w:highlight w:val="none"/>
        </w:rPr>
        <w:t>，甲乙双方各执一份</w:t>
      </w:r>
      <w:r>
        <w:rPr>
          <w:rFonts w:hint="eastAsia"/>
          <w:color w:val="auto"/>
          <w:highlight w:val="none"/>
        </w:rPr>
        <w:t>。验收结果报告或验收书经双方代表签字后即视为验收结果已通知甲、乙双方。如乙方对验收结果有异议的，应在验收现场以书面的形式出具说明，否则视为认可验收结果。</w:t>
      </w:r>
    </w:p>
    <w:p w14:paraId="69E7FAD9">
      <w:pPr>
        <w:pStyle w:val="26"/>
        <w:spacing w:line="300" w:lineRule="exact"/>
        <w:ind w:firstLine="420" w:firstLineChars="200"/>
        <w:jc w:val="left"/>
        <w:rPr>
          <w:rFonts w:hint="eastAsia"/>
          <w:color w:val="auto"/>
          <w:highlight w:val="none"/>
        </w:rPr>
      </w:pPr>
      <w:r>
        <w:rPr>
          <w:rFonts w:hint="eastAsia" w:ascii="Times New Roman" w:hAnsi="Times New Roman" w:cs="Times New Roman"/>
          <w:color w:val="auto"/>
          <w:highlight w:val="none"/>
        </w:rPr>
        <w:t>7.不予签收或单项验收不合格的，</w:t>
      </w:r>
      <w:r>
        <w:rPr>
          <w:rFonts w:hint="eastAsia"/>
          <w:color w:val="auto"/>
          <w:highlight w:val="none"/>
        </w:rPr>
        <w:t>乙方应在当次验收后</w:t>
      </w:r>
      <w:r>
        <w:rPr>
          <w:rFonts w:hint="eastAsia"/>
          <w:color w:val="auto"/>
          <w:highlight w:val="none"/>
          <w:u w:val="single"/>
        </w:rPr>
        <w:t>5</w:t>
      </w:r>
      <w:r>
        <w:rPr>
          <w:rFonts w:hint="eastAsia"/>
          <w:color w:val="auto"/>
          <w:highlight w:val="none"/>
        </w:rPr>
        <w:t>个工作日内就不符合要求项以补充、更换、修理等甲方认可的方式进行整改并重新验收，未按时进行整改或整改后重新验收仍不合格的</w:t>
      </w:r>
      <w:r>
        <w:rPr>
          <w:color w:val="auto"/>
          <w:highlight w:val="none"/>
        </w:rPr>
        <w:t>视为逾期</w:t>
      </w:r>
      <w:r>
        <w:rPr>
          <w:rFonts w:hint="eastAsia"/>
          <w:color w:val="auto"/>
          <w:highlight w:val="none"/>
        </w:rPr>
        <w:t>交付，逾期交付最长不得超过</w:t>
      </w:r>
      <w:r>
        <w:rPr>
          <w:rFonts w:hint="eastAsia"/>
          <w:color w:val="auto"/>
          <w:highlight w:val="none"/>
          <w:u w:val="single"/>
        </w:rPr>
        <w:t>3</w:t>
      </w:r>
      <w:r>
        <w:rPr>
          <w:color w:val="auto"/>
          <w:highlight w:val="none"/>
          <w:u w:val="single"/>
        </w:rPr>
        <w:t>0</w:t>
      </w:r>
      <w:r>
        <w:rPr>
          <w:rFonts w:hint="eastAsia"/>
          <w:color w:val="auto"/>
          <w:highlight w:val="none"/>
        </w:rPr>
        <w:t>日，超过</w:t>
      </w:r>
      <w:r>
        <w:rPr>
          <w:color w:val="auto"/>
          <w:highlight w:val="none"/>
          <w:u w:val="single"/>
        </w:rPr>
        <w:t>30</w:t>
      </w:r>
      <w:r>
        <w:rPr>
          <w:rFonts w:hint="eastAsia"/>
          <w:color w:val="auto"/>
          <w:highlight w:val="none"/>
        </w:rPr>
        <w:t>日则视为最终验收不合格</w:t>
      </w:r>
      <w:r>
        <w:rPr>
          <w:color w:val="auto"/>
          <w:highlight w:val="none"/>
        </w:rPr>
        <w:t>。</w:t>
      </w:r>
      <w:r>
        <w:rPr>
          <w:rFonts w:hint="eastAsia"/>
          <w:color w:val="auto"/>
          <w:highlight w:val="none"/>
        </w:rPr>
        <w:t>逾期交付不影响本条第1款约定的使用时间。</w:t>
      </w:r>
    </w:p>
    <w:p w14:paraId="05ABF4D1">
      <w:pPr>
        <w:snapToGrid w:val="0"/>
        <w:spacing w:line="360" w:lineRule="exact"/>
        <w:ind w:firstLine="420" w:firstLineChars="200"/>
        <w:rPr>
          <w:color w:val="auto"/>
          <w:szCs w:val="21"/>
          <w:highlight w:val="none"/>
        </w:rPr>
      </w:pPr>
      <w:r>
        <w:rPr>
          <w:rFonts w:hint="eastAsia"/>
          <w:color w:val="auto"/>
          <w:szCs w:val="21"/>
          <w:highlight w:val="none"/>
        </w:rPr>
        <w:t>8</w:t>
      </w:r>
      <w:r>
        <w:rPr>
          <w:color w:val="auto"/>
          <w:szCs w:val="21"/>
          <w:highlight w:val="none"/>
        </w:rPr>
        <w:t>.甲方</w:t>
      </w:r>
      <w:r>
        <w:rPr>
          <w:rFonts w:hint="eastAsia"/>
          <w:color w:val="auto"/>
          <w:highlight w:val="none"/>
        </w:rPr>
        <w:t>有权委托第三方机构组织验收</w:t>
      </w:r>
      <w:r>
        <w:rPr>
          <w:color w:val="auto"/>
          <w:highlight w:val="none"/>
        </w:rPr>
        <w:t>，</w:t>
      </w:r>
      <w:r>
        <w:rPr>
          <w:rFonts w:hint="eastAsia"/>
          <w:color w:val="auto"/>
          <w:highlight w:val="none"/>
        </w:rPr>
        <w:t>验收按上述规定执行，</w:t>
      </w:r>
      <w:r>
        <w:rPr>
          <w:color w:val="auto"/>
          <w:highlight w:val="none"/>
        </w:rPr>
        <w:t>乙方</w:t>
      </w:r>
      <w:r>
        <w:rPr>
          <w:rFonts w:hint="eastAsia"/>
          <w:color w:val="auto"/>
          <w:highlight w:val="none"/>
        </w:rPr>
        <w:t>应予以</w:t>
      </w:r>
      <w:r>
        <w:rPr>
          <w:color w:val="auto"/>
          <w:highlight w:val="none"/>
        </w:rPr>
        <w:t>配合。</w:t>
      </w:r>
    </w:p>
    <w:p w14:paraId="4C71E631">
      <w:pPr>
        <w:snapToGrid w:val="0"/>
        <w:spacing w:line="360" w:lineRule="exact"/>
        <w:ind w:firstLine="420" w:firstLineChars="200"/>
        <w:rPr>
          <w:color w:val="auto"/>
          <w:szCs w:val="21"/>
          <w:highlight w:val="none"/>
        </w:rPr>
      </w:pPr>
      <w:r>
        <w:rPr>
          <w:rFonts w:hint="eastAsia"/>
          <w:color w:val="auto"/>
          <w:szCs w:val="21"/>
          <w:highlight w:val="none"/>
        </w:rPr>
        <w:t>9</w:t>
      </w:r>
      <w:r>
        <w:rPr>
          <w:color w:val="auto"/>
          <w:szCs w:val="21"/>
          <w:highlight w:val="none"/>
        </w:rPr>
        <w:t>. 其他未尽事宜应严格按照《关于印发广西壮族自治区政府采购项目履约验收管理办法的通知》[桂财采〔2015〕22号]以及《财政部关于进一步加强政府采购需求和履约验收管理的指导意见》[财库〔2016〕205号]规定执行。</w:t>
      </w:r>
    </w:p>
    <w:p w14:paraId="69C36E41">
      <w:pPr>
        <w:snapToGrid w:val="0"/>
        <w:spacing w:line="300" w:lineRule="exact"/>
        <w:ind w:firstLine="420" w:firstLineChars="200"/>
        <w:rPr>
          <w:color w:val="auto"/>
          <w:szCs w:val="21"/>
          <w:highlight w:val="none"/>
        </w:rPr>
      </w:pPr>
      <w:r>
        <w:rPr>
          <w:rFonts w:hint="eastAsia"/>
          <w:color w:val="auto"/>
          <w:szCs w:val="21"/>
          <w:highlight w:val="none"/>
        </w:rPr>
        <w:t>10</w:t>
      </w:r>
      <w:r>
        <w:rPr>
          <w:color w:val="auto"/>
          <w:szCs w:val="21"/>
          <w:highlight w:val="none"/>
        </w:rPr>
        <w:t>.甲方委托第三方组织</w:t>
      </w:r>
      <w:r>
        <w:rPr>
          <w:rFonts w:hint="eastAsia"/>
          <w:color w:val="auto"/>
          <w:szCs w:val="21"/>
          <w:highlight w:val="none"/>
        </w:rPr>
        <w:t>验收</w:t>
      </w:r>
      <w:r>
        <w:rPr>
          <w:color w:val="auto"/>
          <w:szCs w:val="21"/>
          <w:highlight w:val="none"/>
        </w:rPr>
        <w:t>的，其验收时间</w:t>
      </w:r>
      <w:r>
        <w:rPr>
          <w:rFonts w:hint="eastAsia"/>
          <w:color w:val="auto"/>
          <w:szCs w:val="21"/>
          <w:highlight w:val="none"/>
        </w:rPr>
        <w:t>、验收程序</w:t>
      </w:r>
      <w:r>
        <w:rPr>
          <w:color w:val="auto"/>
          <w:szCs w:val="21"/>
          <w:highlight w:val="none"/>
        </w:rPr>
        <w:t>以该项目验收方案确定的验收时间</w:t>
      </w:r>
      <w:r>
        <w:rPr>
          <w:rFonts w:hint="eastAsia"/>
          <w:color w:val="auto"/>
          <w:szCs w:val="21"/>
          <w:highlight w:val="none"/>
        </w:rPr>
        <w:t>、验收程序</w:t>
      </w:r>
      <w:r>
        <w:rPr>
          <w:color w:val="auto"/>
          <w:szCs w:val="21"/>
          <w:highlight w:val="none"/>
        </w:rPr>
        <w:t>为准，验收结果以该项目验收报告结论为准。</w:t>
      </w:r>
    </w:p>
    <w:p w14:paraId="678260D7">
      <w:pPr>
        <w:pStyle w:val="26"/>
        <w:snapToGrid w:val="0"/>
        <w:spacing w:before="120" w:after="120" w:line="300" w:lineRule="exact"/>
        <w:ind w:firstLine="420" w:firstLineChars="200"/>
        <w:jc w:val="left"/>
        <w:rPr>
          <w:rFonts w:hint="eastAsia" w:ascii="Times New Roman" w:hAnsi="Times New Roman" w:cs="Times New Roman"/>
          <w:color w:val="auto"/>
          <w:highlight w:val="none"/>
        </w:rPr>
      </w:pPr>
      <w:r>
        <w:rPr>
          <w:rFonts w:hint="eastAsia" w:ascii="Times New Roman" w:hAnsi="Times New Roman" w:cs="Times New Roman"/>
          <w:color w:val="auto"/>
          <w:highlight w:val="none"/>
        </w:rPr>
        <w:t>11</w:t>
      </w:r>
      <w:r>
        <w:rPr>
          <w:rFonts w:ascii="Times New Roman" w:hAnsi="Times New Roman" w:cs="Times New Roman"/>
          <w:color w:val="auto"/>
          <w:highlight w:val="none"/>
        </w:rPr>
        <w:t>.</w:t>
      </w:r>
      <w:r>
        <w:rPr>
          <w:rFonts w:hint="eastAsia" w:ascii="Times New Roman" w:hAnsi="Times New Roman" w:cs="Times New Roman"/>
          <w:color w:val="auto"/>
          <w:highlight w:val="none"/>
        </w:rPr>
        <w:t>履约验收方案详见附件。</w:t>
      </w:r>
    </w:p>
    <w:p w14:paraId="531EB78E">
      <w:pPr>
        <w:snapToGrid w:val="0"/>
        <w:spacing w:line="360" w:lineRule="exact"/>
        <w:ind w:firstLine="422" w:firstLineChars="200"/>
        <w:rPr>
          <w:b/>
          <w:color w:val="auto"/>
          <w:szCs w:val="21"/>
          <w:highlight w:val="none"/>
        </w:rPr>
      </w:pPr>
      <w:r>
        <w:rPr>
          <w:b/>
          <w:color w:val="auto"/>
          <w:szCs w:val="21"/>
          <w:highlight w:val="none"/>
        </w:rPr>
        <w:t>第七条  安装和培训</w:t>
      </w:r>
    </w:p>
    <w:p w14:paraId="7DB9E921">
      <w:pPr>
        <w:snapToGrid w:val="0"/>
        <w:spacing w:line="360" w:lineRule="exact"/>
        <w:ind w:firstLine="420" w:firstLineChars="200"/>
        <w:rPr>
          <w:color w:val="auto"/>
          <w:szCs w:val="21"/>
          <w:highlight w:val="none"/>
        </w:rPr>
      </w:pPr>
      <w:r>
        <w:rPr>
          <w:color w:val="auto"/>
          <w:szCs w:val="21"/>
          <w:highlight w:val="none"/>
        </w:rPr>
        <w:t>1.甲方应提供必要安装条件（如场地、电源、水源等）。</w:t>
      </w:r>
    </w:p>
    <w:p w14:paraId="0FE15722">
      <w:pPr>
        <w:snapToGrid w:val="0"/>
        <w:spacing w:line="360" w:lineRule="exact"/>
        <w:ind w:firstLine="420" w:firstLineChars="200"/>
        <w:rPr>
          <w:rFonts w:hint="eastAsia" w:eastAsia="宋体"/>
          <w:color w:val="auto"/>
          <w:szCs w:val="21"/>
          <w:highlight w:val="none"/>
          <w:u w:val="single"/>
          <w:lang w:val="en-US" w:eastAsia="zh-CN"/>
        </w:rPr>
      </w:pPr>
      <w:r>
        <w:rPr>
          <w:color w:val="auto"/>
          <w:szCs w:val="21"/>
          <w:highlight w:val="none"/>
        </w:rPr>
        <w:t>2.乙方负责甲方有关人员的培训。培训时间、地点：</w:t>
      </w:r>
      <w:r>
        <w:rPr>
          <w:color w:val="auto"/>
          <w:szCs w:val="21"/>
          <w:highlight w:val="none"/>
          <w:u w:val="single"/>
        </w:rPr>
        <w:t xml:space="preserve"> </w:t>
      </w:r>
      <w:r>
        <w:rPr>
          <w:rFonts w:hint="eastAsia"/>
          <w:color w:val="auto"/>
          <w:szCs w:val="21"/>
          <w:highlight w:val="none"/>
          <w:u w:val="single"/>
          <w:lang w:eastAsia="zh-CN"/>
        </w:rPr>
        <w:t>根据业务需求提供，以甲方通知为准。</w:t>
      </w:r>
    </w:p>
    <w:p w14:paraId="142E13B8">
      <w:pPr>
        <w:snapToGrid w:val="0"/>
        <w:spacing w:line="360" w:lineRule="exact"/>
        <w:ind w:firstLine="422" w:firstLineChars="200"/>
        <w:rPr>
          <w:b/>
          <w:color w:val="auto"/>
          <w:szCs w:val="21"/>
          <w:highlight w:val="none"/>
        </w:rPr>
      </w:pPr>
      <w:r>
        <w:rPr>
          <w:b/>
          <w:color w:val="auto"/>
          <w:szCs w:val="21"/>
          <w:highlight w:val="none"/>
        </w:rPr>
        <w:t>第八条  售后服务</w:t>
      </w:r>
    </w:p>
    <w:p w14:paraId="22BE9CBA">
      <w:pPr>
        <w:snapToGrid w:val="0"/>
        <w:spacing w:line="360" w:lineRule="exact"/>
        <w:ind w:firstLine="420" w:firstLineChars="200"/>
        <w:rPr>
          <w:rFonts w:hint="default" w:ascii="Times New Roman" w:hAnsi="Times New Roman" w:eastAsia="宋体" w:cs="Times New Roman"/>
          <w:i w:val="0"/>
          <w:iCs w:val="0"/>
          <w:caps w:val="0"/>
          <w:color w:val="auto"/>
          <w:spacing w:val="0"/>
          <w:kern w:val="2"/>
          <w:sz w:val="21"/>
          <w:szCs w:val="21"/>
          <w:highlight w:val="none"/>
          <w:lang w:val="en-US" w:eastAsia="zh-CN" w:bidi="ar"/>
        </w:rPr>
      </w:pPr>
      <w:r>
        <w:rPr>
          <w:rFonts w:hint="default" w:ascii="Times New Roman" w:hAnsi="Times New Roman" w:eastAsia="宋体" w:cs="Times New Roman"/>
          <w:i w:val="0"/>
          <w:iCs w:val="0"/>
          <w:caps w:val="0"/>
          <w:color w:val="auto"/>
          <w:spacing w:val="0"/>
          <w:kern w:val="2"/>
          <w:sz w:val="21"/>
          <w:szCs w:val="21"/>
          <w:highlight w:val="none"/>
          <w:lang w:val="en-US" w:eastAsia="zh-CN" w:bidi="ar"/>
        </w:rPr>
        <w:t>1.乙方应按照国家有关法律法规、采购文件、响应文件和本合同约定，为甲方提供全面、及时、高效的售后服务。</w:t>
      </w:r>
    </w:p>
    <w:p w14:paraId="37D0E779">
      <w:pPr>
        <w:snapToGrid w:val="0"/>
        <w:spacing w:line="360" w:lineRule="exact"/>
        <w:ind w:firstLine="420" w:firstLineChars="200"/>
        <w:rPr>
          <w:rFonts w:hint="default" w:ascii="Times New Roman" w:hAnsi="Times New Roman" w:eastAsia="宋体" w:cs="Times New Roman"/>
          <w:i w:val="0"/>
          <w:iCs w:val="0"/>
          <w:caps w:val="0"/>
          <w:color w:val="auto"/>
          <w:spacing w:val="0"/>
          <w:kern w:val="2"/>
          <w:sz w:val="21"/>
          <w:szCs w:val="21"/>
          <w:highlight w:val="none"/>
          <w:lang w:val="en-US" w:eastAsia="zh-CN" w:bidi="ar"/>
        </w:rPr>
      </w:pPr>
      <w:r>
        <w:rPr>
          <w:rFonts w:hint="eastAsia" w:cs="Times New Roman"/>
          <w:i w:val="0"/>
          <w:iCs w:val="0"/>
          <w:caps w:val="0"/>
          <w:color w:val="auto"/>
          <w:spacing w:val="0"/>
          <w:kern w:val="2"/>
          <w:sz w:val="21"/>
          <w:szCs w:val="21"/>
          <w:highlight w:val="none"/>
          <w:lang w:val="en-US" w:eastAsia="zh-CN" w:bidi="ar"/>
        </w:rPr>
        <w:t>2</w:t>
      </w:r>
      <w:r>
        <w:rPr>
          <w:rFonts w:hint="default" w:ascii="Times New Roman" w:hAnsi="Times New Roman" w:eastAsia="宋体" w:cs="Times New Roman"/>
          <w:i w:val="0"/>
          <w:iCs w:val="0"/>
          <w:caps w:val="0"/>
          <w:color w:val="auto"/>
          <w:spacing w:val="0"/>
          <w:kern w:val="2"/>
          <w:sz w:val="21"/>
          <w:szCs w:val="21"/>
          <w:highlight w:val="none"/>
          <w:lang w:val="en-US" w:eastAsia="zh-CN" w:bidi="ar"/>
        </w:rPr>
        <w:t>.响应时效：乙方在接到甲方关于系统故障或问题的通知后，应在2小时内响应，8小时内到达甲方现场（南宁市内），24小时内解决一般性问题，重大问题应在48小时内提出解决方案并在7日内解决。</w:t>
      </w:r>
    </w:p>
    <w:p w14:paraId="2ED01345">
      <w:pPr>
        <w:snapToGrid w:val="0"/>
        <w:spacing w:line="360" w:lineRule="exact"/>
        <w:ind w:firstLine="420" w:firstLineChars="200"/>
        <w:rPr>
          <w:rFonts w:hint="default" w:ascii="Times New Roman" w:hAnsi="Times New Roman" w:eastAsia="宋体" w:cs="Times New Roman"/>
          <w:i w:val="0"/>
          <w:iCs w:val="0"/>
          <w:caps w:val="0"/>
          <w:color w:val="auto"/>
          <w:spacing w:val="0"/>
          <w:kern w:val="2"/>
          <w:sz w:val="21"/>
          <w:szCs w:val="21"/>
          <w:highlight w:val="none"/>
          <w:lang w:val="en-US" w:eastAsia="zh-CN" w:bidi="ar"/>
        </w:rPr>
      </w:pPr>
      <w:r>
        <w:rPr>
          <w:rFonts w:hint="eastAsia" w:cs="Times New Roman"/>
          <w:i w:val="0"/>
          <w:iCs w:val="0"/>
          <w:caps w:val="0"/>
          <w:color w:val="auto"/>
          <w:spacing w:val="0"/>
          <w:kern w:val="2"/>
          <w:sz w:val="21"/>
          <w:szCs w:val="21"/>
          <w:highlight w:val="none"/>
          <w:lang w:val="en-US" w:eastAsia="zh-CN" w:bidi="ar"/>
        </w:rPr>
        <w:t>3</w:t>
      </w:r>
      <w:r>
        <w:rPr>
          <w:rFonts w:hint="default" w:ascii="Times New Roman" w:hAnsi="Times New Roman" w:eastAsia="宋体" w:cs="Times New Roman"/>
          <w:i w:val="0"/>
          <w:iCs w:val="0"/>
          <w:caps w:val="0"/>
          <w:color w:val="auto"/>
          <w:spacing w:val="0"/>
          <w:kern w:val="2"/>
          <w:sz w:val="21"/>
          <w:szCs w:val="21"/>
          <w:highlight w:val="none"/>
          <w:lang w:val="en-US" w:eastAsia="zh-CN" w:bidi="ar"/>
        </w:rPr>
        <w:t>.乙方应设立专门的技术支持团队，为甲方提供7×24小时技术支持热线，确保系统稳定运行。</w:t>
      </w:r>
    </w:p>
    <w:p w14:paraId="5C2B2B7A">
      <w:pPr>
        <w:snapToGrid w:val="0"/>
        <w:spacing w:line="360" w:lineRule="exact"/>
        <w:ind w:firstLine="420" w:firstLineChars="200"/>
        <w:rPr>
          <w:b/>
          <w:color w:val="auto"/>
          <w:szCs w:val="21"/>
          <w:highlight w:val="none"/>
        </w:rPr>
      </w:pPr>
      <w:r>
        <w:rPr>
          <w:rFonts w:hint="eastAsia" w:cs="Times New Roman"/>
          <w:i w:val="0"/>
          <w:iCs w:val="0"/>
          <w:caps w:val="0"/>
          <w:color w:val="auto"/>
          <w:spacing w:val="0"/>
          <w:kern w:val="2"/>
          <w:sz w:val="21"/>
          <w:szCs w:val="21"/>
          <w:highlight w:val="none"/>
          <w:lang w:val="en-US" w:eastAsia="zh-CN" w:bidi="ar"/>
        </w:rPr>
        <w:t>4</w:t>
      </w:r>
      <w:r>
        <w:rPr>
          <w:rFonts w:hint="default" w:ascii="Times New Roman" w:hAnsi="Times New Roman" w:eastAsia="宋体" w:cs="Times New Roman"/>
          <w:i w:val="0"/>
          <w:iCs w:val="0"/>
          <w:caps w:val="0"/>
          <w:color w:val="auto"/>
          <w:spacing w:val="0"/>
          <w:kern w:val="2"/>
          <w:sz w:val="21"/>
          <w:szCs w:val="21"/>
          <w:highlight w:val="none"/>
          <w:lang w:val="en-US" w:eastAsia="zh-CN" w:bidi="ar"/>
        </w:rPr>
        <w:t>.乙方提供的售后服务标准不得低于其在响应文件中承诺的标准，且必须达到或优于采购文件规定的服务质量标准。</w:t>
      </w:r>
    </w:p>
    <w:p w14:paraId="50D49892">
      <w:pPr>
        <w:snapToGrid w:val="0"/>
        <w:spacing w:line="360" w:lineRule="exact"/>
        <w:ind w:firstLine="422" w:firstLineChars="200"/>
        <w:rPr>
          <w:color w:val="auto"/>
          <w:szCs w:val="21"/>
          <w:highlight w:val="none"/>
        </w:rPr>
      </w:pPr>
      <w:r>
        <w:rPr>
          <w:b/>
          <w:color w:val="auto"/>
          <w:szCs w:val="21"/>
          <w:highlight w:val="none"/>
        </w:rPr>
        <w:t>第九条　付款方式</w:t>
      </w:r>
    </w:p>
    <w:p w14:paraId="43A05EF1">
      <w:pPr>
        <w:widowControl/>
        <w:spacing w:line="500" w:lineRule="exact"/>
        <w:ind w:firstLine="420"/>
        <w:jc w:val="left"/>
        <w:rPr>
          <w:rFonts w:hint="eastAsia" w:ascii="宋体" w:hAnsi="宋体"/>
          <w:color w:val="auto"/>
          <w:sz w:val="22"/>
          <w:szCs w:val="22"/>
          <w:highlight w:val="none"/>
          <w:lang w:val="en-US" w:eastAsia="zh-CN"/>
        </w:rPr>
      </w:pPr>
      <w:r>
        <w:rPr>
          <w:rFonts w:hint="eastAsia" w:ascii="宋体" w:hAnsi="宋体"/>
          <w:color w:val="auto"/>
          <w:sz w:val="22"/>
          <w:szCs w:val="22"/>
          <w:highlight w:val="none"/>
          <w:lang w:val="en-US" w:eastAsia="zh-CN"/>
        </w:rPr>
        <w:t>1.2026年第一季度支付合同价的20%；第二季度支付合同价的30%，累计支付至合同价的50%；第三季度支付合同价的30%，累计支付至合同价的80%；第四季度支付合同价的20%，累计支付至合同价的100%。</w:t>
      </w:r>
    </w:p>
    <w:p w14:paraId="59C5E3DD">
      <w:pPr>
        <w:widowControl/>
        <w:spacing w:line="500" w:lineRule="exact"/>
        <w:ind w:firstLine="420"/>
        <w:jc w:val="left"/>
        <w:rPr>
          <w:rFonts w:hint="eastAsia" w:ascii="宋体" w:hAnsi="宋体"/>
          <w:color w:val="auto"/>
          <w:sz w:val="22"/>
          <w:szCs w:val="22"/>
          <w:highlight w:val="none"/>
        </w:rPr>
      </w:pPr>
      <w:r>
        <w:rPr>
          <w:rFonts w:hint="eastAsia" w:ascii="宋体" w:hAnsi="宋体"/>
          <w:color w:val="auto"/>
          <w:sz w:val="22"/>
          <w:szCs w:val="22"/>
          <w:highlight w:val="none"/>
          <w:lang w:val="en-US" w:eastAsia="zh-CN"/>
        </w:rPr>
        <w:t>2.</w:t>
      </w:r>
      <w:r>
        <w:rPr>
          <w:rFonts w:hint="eastAsia" w:ascii="宋体" w:hAnsi="宋体"/>
          <w:color w:val="auto"/>
          <w:sz w:val="22"/>
          <w:szCs w:val="22"/>
          <w:highlight w:val="none"/>
        </w:rPr>
        <w:t>前三季度提供第1个月服务后，</w:t>
      </w:r>
      <w:r>
        <w:rPr>
          <w:rFonts w:hint="eastAsia" w:ascii="宋体" w:hAnsi="宋体"/>
          <w:color w:val="auto"/>
          <w:sz w:val="22"/>
          <w:szCs w:val="22"/>
          <w:highlight w:val="none"/>
          <w:lang w:val="en-US" w:eastAsia="zh-CN"/>
        </w:rPr>
        <w:t>乙方向甲方提出书面申请，经甲方审核通过后10个工作日内支付</w:t>
      </w:r>
      <w:r>
        <w:rPr>
          <w:rFonts w:hint="eastAsia" w:ascii="宋体" w:hAnsi="宋体"/>
          <w:color w:val="auto"/>
          <w:sz w:val="22"/>
          <w:szCs w:val="22"/>
          <w:highlight w:val="none"/>
        </w:rPr>
        <w:t>；第四季度，</w:t>
      </w:r>
      <w:r>
        <w:rPr>
          <w:rFonts w:hint="eastAsia" w:ascii="宋体" w:hAnsi="宋体"/>
          <w:color w:val="auto"/>
          <w:sz w:val="22"/>
          <w:szCs w:val="22"/>
          <w:highlight w:val="none"/>
          <w:lang w:val="en-US" w:eastAsia="zh-CN"/>
        </w:rPr>
        <w:t>乙方完成最终成果并通过验收后</w:t>
      </w:r>
      <w:r>
        <w:rPr>
          <w:rFonts w:hint="eastAsia" w:ascii="宋体" w:hAnsi="宋体"/>
          <w:color w:val="auto"/>
          <w:sz w:val="22"/>
          <w:szCs w:val="22"/>
          <w:highlight w:val="none"/>
        </w:rPr>
        <w:t>，</w:t>
      </w:r>
      <w:r>
        <w:rPr>
          <w:rFonts w:hint="eastAsia" w:ascii="宋体" w:hAnsi="宋体"/>
          <w:color w:val="auto"/>
          <w:sz w:val="22"/>
          <w:szCs w:val="22"/>
          <w:highlight w:val="none"/>
          <w:lang w:val="en-US" w:eastAsia="zh-CN"/>
        </w:rPr>
        <w:t>乙方向甲方提出书面申请，经甲方审核通过后10个工作日内支付</w:t>
      </w:r>
      <w:r>
        <w:rPr>
          <w:rFonts w:hint="eastAsia" w:ascii="宋体" w:hAnsi="宋体"/>
          <w:color w:val="auto"/>
          <w:sz w:val="22"/>
          <w:szCs w:val="22"/>
          <w:highlight w:val="none"/>
        </w:rPr>
        <w:t>。</w:t>
      </w:r>
    </w:p>
    <w:p w14:paraId="26065198">
      <w:pPr>
        <w:widowControl/>
        <w:spacing w:line="500" w:lineRule="exact"/>
        <w:ind w:firstLine="420"/>
        <w:jc w:val="left"/>
        <w:rPr>
          <w:rFonts w:hint="default" w:ascii="宋体" w:hAnsi="宋体"/>
          <w:color w:val="auto"/>
          <w:sz w:val="22"/>
          <w:szCs w:val="22"/>
          <w:highlight w:val="none"/>
          <w:lang w:val="en-US" w:eastAsia="zh-CN"/>
        </w:rPr>
      </w:pPr>
      <w:r>
        <w:rPr>
          <w:rFonts w:hint="eastAsia" w:ascii="宋体" w:hAnsi="宋体"/>
          <w:color w:val="auto"/>
          <w:sz w:val="22"/>
          <w:szCs w:val="22"/>
          <w:highlight w:val="none"/>
          <w:lang w:val="en-US" w:eastAsia="zh-CN"/>
        </w:rPr>
        <w:t>3每次支付前，乙方须向甲方提供与当期计量支付金额等额的增值税普通发票。</w:t>
      </w:r>
    </w:p>
    <w:p w14:paraId="77898859">
      <w:pPr>
        <w:snapToGrid w:val="0"/>
        <w:spacing w:line="360" w:lineRule="exact"/>
        <w:ind w:firstLine="422" w:firstLineChars="200"/>
        <w:rPr>
          <w:b/>
          <w:color w:val="auto"/>
          <w:szCs w:val="21"/>
          <w:highlight w:val="none"/>
        </w:rPr>
      </w:pPr>
      <w:r>
        <w:rPr>
          <w:b/>
          <w:color w:val="auto"/>
          <w:szCs w:val="21"/>
          <w:highlight w:val="none"/>
        </w:rPr>
        <w:t xml:space="preserve">第十条履约保证金  </w:t>
      </w:r>
    </w:p>
    <w:p w14:paraId="40F03FA3">
      <w:pPr>
        <w:snapToGrid w:val="0"/>
        <w:spacing w:line="360" w:lineRule="exact"/>
        <w:ind w:firstLine="420" w:firstLineChars="200"/>
        <w:rPr>
          <w:rFonts w:hint="eastAsia"/>
          <w:color w:val="auto"/>
          <w:szCs w:val="21"/>
          <w:highlight w:val="none"/>
          <w:lang w:eastAsia="zh-CN"/>
        </w:rPr>
      </w:pPr>
      <w:r>
        <w:rPr>
          <w:rFonts w:hint="eastAsia"/>
          <w:color w:val="auto"/>
          <w:szCs w:val="21"/>
          <w:highlight w:val="none"/>
          <w:lang w:eastAsia="zh-CN"/>
        </w:rPr>
        <w:t>无。</w:t>
      </w:r>
    </w:p>
    <w:p w14:paraId="5B0F9E49">
      <w:pPr>
        <w:snapToGrid w:val="0"/>
        <w:spacing w:line="360" w:lineRule="exact"/>
        <w:ind w:firstLine="422" w:firstLineChars="200"/>
        <w:rPr>
          <w:b/>
          <w:color w:val="auto"/>
          <w:szCs w:val="21"/>
          <w:highlight w:val="none"/>
        </w:rPr>
      </w:pPr>
      <w:r>
        <w:rPr>
          <w:b/>
          <w:color w:val="auto"/>
          <w:szCs w:val="21"/>
          <w:highlight w:val="none"/>
        </w:rPr>
        <w:t>第十一条 税费</w:t>
      </w:r>
    </w:p>
    <w:p w14:paraId="64910504">
      <w:pPr>
        <w:spacing w:line="400" w:lineRule="exact"/>
        <w:ind w:firstLine="420" w:firstLineChars="200"/>
        <w:rPr>
          <w:rFonts w:ascii="宋体" w:hAnsi="宋体"/>
          <w:color w:val="auto"/>
          <w:szCs w:val="21"/>
          <w:highlight w:val="none"/>
        </w:rPr>
      </w:pPr>
      <w:r>
        <w:rPr>
          <w:rFonts w:ascii="宋体" w:hAnsi="宋体"/>
          <w:color w:val="auto"/>
          <w:szCs w:val="21"/>
          <w:highlight w:val="none"/>
        </w:rPr>
        <w:t>本合同执行中相关的一切税费均由乙方负担，合同另有约定的除外。</w:t>
      </w:r>
    </w:p>
    <w:p w14:paraId="5C043127">
      <w:pPr>
        <w:snapToGrid w:val="0"/>
        <w:spacing w:line="360" w:lineRule="exact"/>
        <w:ind w:firstLine="422" w:firstLineChars="200"/>
        <w:rPr>
          <w:b/>
          <w:color w:val="auto"/>
          <w:szCs w:val="21"/>
          <w:highlight w:val="none"/>
        </w:rPr>
      </w:pPr>
      <w:r>
        <w:rPr>
          <w:b/>
          <w:color w:val="auto"/>
          <w:szCs w:val="21"/>
          <w:highlight w:val="none"/>
        </w:rPr>
        <w:t>第十</w:t>
      </w:r>
      <w:r>
        <w:rPr>
          <w:rFonts w:hint="eastAsia"/>
          <w:b/>
          <w:color w:val="auto"/>
          <w:szCs w:val="21"/>
          <w:highlight w:val="none"/>
        </w:rPr>
        <w:t>二</w:t>
      </w:r>
      <w:r>
        <w:rPr>
          <w:b/>
          <w:color w:val="auto"/>
          <w:szCs w:val="21"/>
          <w:highlight w:val="none"/>
        </w:rPr>
        <w:t>条　违约责任</w:t>
      </w:r>
    </w:p>
    <w:p w14:paraId="1D7425B4">
      <w:pPr>
        <w:snapToGrid w:val="0"/>
        <w:spacing w:line="400" w:lineRule="exact"/>
        <w:ind w:firstLine="420" w:firstLineChars="200"/>
        <w:rPr>
          <w:rFonts w:ascii="宋体" w:hAnsi="宋体"/>
          <w:color w:val="auto"/>
          <w:szCs w:val="21"/>
          <w:highlight w:val="none"/>
        </w:rPr>
      </w:pPr>
      <w:r>
        <w:rPr>
          <w:rFonts w:ascii="宋体" w:hAnsi="宋体"/>
          <w:color w:val="auto"/>
          <w:szCs w:val="21"/>
          <w:highlight w:val="none"/>
        </w:rPr>
        <w:t>1、</w:t>
      </w:r>
      <w:r>
        <w:rPr>
          <w:rFonts w:hint="default" w:ascii="宋体" w:hAnsi="宋体" w:eastAsia="宋体" w:cs="Times New Roman"/>
          <w:i w:val="0"/>
          <w:iCs w:val="0"/>
          <w:caps w:val="0"/>
          <w:color w:val="auto"/>
          <w:spacing w:val="0"/>
          <w:kern w:val="2"/>
          <w:sz w:val="21"/>
          <w:szCs w:val="21"/>
          <w:highlight w:val="none"/>
          <w:lang w:val="en-US" w:eastAsia="zh-CN" w:bidi="ar"/>
        </w:rPr>
        <w:t>除不可抗力原因外，乙方未按合同约定履行任何义务（包括但不限于服务交付、文件提交、人员配备、配合义务等）发生逾期的，每逾期一日，应按合同总金额的万分之三（0.03%）向甲方支付违约金，违约金不设上限。该违约金不影响甲方主张其他违约责任，包括但不限于解除合同、要求赔偿损失、要求支付维权费用等。乙方逾期超过30日的，甲方有权单方解除合同。</w:t>
      </w:r>
      <w:r>
        <w:rPr>
          <w:rFonts w:ascii="宋体" w:hAnsi="宋体"/>
          <w:color w:val="auto"/>
          <w:szCs w:val="21"/>
          <w:highlight w:val="none"/>
        </w:rPr>
        <w:t xml:space="preserve"> </w:t>
      </w:r>
    </w:p>
    <w:p w14:paraId="15D37FAD">
      <w:pPr>
        <w:snapToGrid w:val="0"/>
        <w:spacing w:line="400" w:lineRule="exact"/>
        <w:ind w:firstLine="420" w:firstLineChars="200"/>
        <w:rPr>
          <w:rFonts w:ascii="宋体" w:hAnsi="宋体"/>
          <w:color w:val="auto"/>
          <w:szCs w:val="21"/>
          <w:highlight w:val="none"/>
        </w:rPr>
      </w:pPr>
      <w:r>
        <w:rPr>
          <w:rFonts w:ascii="宋体" w:hAnsi="宋体"/>
          <w:color w:val="auto"/>
          <w:szCs w:val="21"/>
          <w:highlight w:val="none"/>
        </w:rPr>
        <w:t>2、乙方提供的服务如侵犯了第三方合法权益而引发的任何纠纷或者诉讼，均由乙方负责交涉并承担全部责任，因此导致甲方遭受损失的，乙方应承担全部赔偿责任。</w:t>
      </w:r>
    </w:p>
    <w:p w14:paraId="6FD481DD">
      <w:pPr>
        <w:snapToGrid w:val="0"/>
        <w:spacing w:line="400" w:lineRule="exact"/>
        <w:ind w:firstLine="420" w:firstLineChars="200"/>
        <w:rPr>
          <w:rFonts w:ascii="宋体" w:hAnsi="宋体"/>
          <w:color w:val="auto"/>
          <w:szCs w:val="21"/>
          <w:highlight w:val="none"/>
        </w:rPr>
      </w:pPr>
      <w:r>
        <w:rPr>
          <w:rFonts w:ascii="宋体" w:hAnsi="宋体"/>
          <w:color w:val="auto"/>
          <w:szCs w:val="21"/>
          <w:highlight w:val="none"/>
        </w:rPr>
        <w:t>3、</w:t>
      </w:r>
      <w:r>
        <w:rPr>
          <w:rFonts w:hint="default" w:ascii="宋体" w:hAnsi="宋体" w:eastAsia="宋体" w:cs="Times New Roman"/>
          <w:i w:val="0"/>
          <w:iCs w:val="0"/>
          <w:caps w:val="0"/>
          <w:color w:val="auto"/>
          <w:spacing w:val="0"/>
          <w:kern w:val="2"/>
          <w:sz w:val="21"/>
          <w:szCs w:val="21"/>
          <w:highlight w:val="none"/>
          <w:lang w:val="en-US" w:eastAsia="zh-CN" w:bidi="ar"/>
        </w:rPr>
        <w:t>甲方无正当理由延期付款的，每天向乙方偿付延期款额万分之1滞纳金，但滞纳金累计不得超过延期款额5%。若延期付款系因乙方履约存在瑕疵、质量问题或违反合同约定所致，甲方有权暂缓付款且不承担任何滞纳金责任。甲方暂缓付款期间，乙方仍应继续履行合同义务，不得以此为由中止或延迟提供服务。</w:t>
      </w:r>
    </w:p>
    <w:p w14:paraId="2458F1F0">
      <w:pPr>
        <w:snapToGrid w:val="0"/>
        <w:spacing w:line="400" w:lineRule="exact"/>
        <w:ind w:firstLine="420" w:firstLineChars="200"/>
        <w:rPr>
          <w:rFonts w:ascii="宋体" w:hAnsi="宋体"/>
          <w:color w:val="auto"/>
          <w:szCs w:val="21"/>
          <w:highlight w:val="none"/>
        </w:rPr>
      </w:pPr>
      <w:r>
        <w:rPr>
          <w:rFonts w:ascii="宋体" w:hAnsi="宋体"/>
          <w:color w:val="auto"/>
          <w:szCs w:val="21"/>
          <w:highlight w:val="none"/>
        </w:rPr>
        <w:t>4、</w:t>
      </w:r>
      <w:r>
        <w:rPr>
          <w:rFonts w:hint="default" w:ascii="宋体" w:hAnsi="宋体" w:eastAsia="宋体" w:cs="Times New Roman"/>
          <w:i w:val="0"/>
          <w:iCs w:val="0"/>
          <w:caps w:val="0"/>
          <w:color w:val="auto"/>
          <w:spacing w:val="0"/>
          <w:kern w:val="2"/>
          <w:sz w:val="21"/>
          <w:szCs w:val="21"/>
          <w:highlight w:val="none"/>
          <w:lang w:val="en-US" w:eastAsia="zh-CN" w:bidi="ar"/>
        </w:rPr>
        <w:t>除本合同另有约定外，乙方未按本合同约定和采购文件规定、投标文件中规定的服务承诺提供服务的，每发生一次违约行为，乙方应按本合同合计金额的10%向甲方支付违约金，且乙方还应赔偿甲方所受的全部损失。若乙方的违约行为严重影响合同目的实现，或在甲方书面通知后7日内未完成整改，或累计发生两次以上违约行为，甲方有权单方解除合同。</w:t>
      </w:r>
    </w:p>
    <w:p w14:paraId="7043258D">
      <w:pPr>
        <w:snapToGrid w:val="0"/>
        <w:spacing w:line="400" w:lineRule="exact"/>
        <w:ind w:firstLine="420" w:firstLineChars="200"/>
        <w:rPr>
          <w:rFonts w:hint="eastAsia" w:ascii="宋体" w:hAnsi="宋体"/>
          <w:color w:val="auto"/>
          <w:szCs w:val="21"/>
          <w:highlight w:val="none"/>
        </w:rPr>
      </w:pPr>
      <w:r>
        <w:rPr>
          <w:rFonts w:ascii="宋体" w:hAnsi="宋体"/>
          <w:color w:val="auto"/>
          <w:szCs w:val="21"/>
          <w:highlight w:val="none"/>
        </w:rPr>
        <w:t>5、</w:t>
      </w:r>
      <w:r>
        <w:rPr>
          <w:rFonts w:hint="eastAsia" w:ascii="宋体" w:hAnsi="宋体" w:eastAsia="宋体" w:cs="Times New Roman"/>
          <w:i w:val="0"/>
          <w:iCs w:val="0"/>
          <w:caps w:val="0"/>
          <w:color w:val="auto"/>
          <w:spacing w:val="0"/>
          <w:kern w:val="2"/>
          <w:sz w:val="21"/>
          <w:szCs w:val="21"/>
          <w:highlight w:val="none"/>
          <w:lang w:val="en-US" w:eastAsia="zh-CN" w:bidi="ar"/>
        </w:rPr>
        <w:t>因乙方违约导致甲方单方解除合同的，乙方须同时承担以下全部责任：（</w:t>
      </w:r>
      <w:r>
        <w:rPr>
          <w:rFonts w:hint="eastAsia" w:ascii="宋体" w:hAnsi="宋体" w:cs="Times New Roman"/>
          <w:i w:val="0"/>
          <w:iCs w:val="0"/>
          <w:caps w:val="0"/>
          <w:color w:val="auto"/>
          <w:spacing w:val="0"/>
          <w:kern w:val="2"/>
          <w:sz w:val="21"/>
          <w:szCs w:val="21"/>
          <w:highlight w:val="none"/>
          <w:lang w:val="en-US" w:eastAsia="zh-CN" w:bidi="ar"/>
        </w:rPr>
        <w:t>1</w:t>
      </w:r>
      <w:r>
        <w:rPr>
          <w:rFonts w:hint="eastAsia" w:ascii="宋体" w:hAnsi="宋体" w:eastAsia="宋体" w:cs="Times New Roman"/>
          <w:i w:val="0"/>
          <w:iCs w:val="0"/>
          <w:caps w:val="0"/>
          <w:color w:val="auto"/>
          <w:spacing w:val="0"/>
          <w:kern w:val="2"/>
          <w:sz w:val="21"/>
          <w:szCs w:val="21"/>
          <w:highlight w:val="none"/>
          <w:lang w:val="en-US" w:eastAsia="zh-CN" w:bidi="ar"/>
        </w:rPr>
        <w:t>）无条件全额退还甲方已支付的全部款项；（</w:t>
      </w:r>
      <w:r>
        <w:rPr>
          <w:rFonts w:hint="eastAsia" w:ascii="宋体" w:hAnsi="宋体" w:cs="Times New Roman"/>
          <w:i w:val="0"/>
          <w:iCs w:val="0"/>
          <w:caps w:val="0"/>
          <w:color w:val="auto"/>
          <w:spacing w:val="0"/>
          <w:kern w:val="2"/>
          <w:sz w:val="21"/>
          <w:szCs w:val="21"/>
          <w:highlight w:val="none"/>
          <w:lang w:val="en-US" w:eastAsia="zh-CN" w:bidi="ar"/>
        </w:rPr>
        <w:t>2</w:t>
      </w:r>
      <w:r>
        <w:rPr>
          <w:rFonts w:hint="eastAsia" w:ascii="宋体" w:hAnsi="宋体" w:eastAsia="宋体" w:cs="Times New Roman"/>
          <w:i w:val="0"/>
          <w:iCs w:val="0"/>
          <w:caps w:val="0"/>
          <w:color w:val="auto"/>
          <w:spacing w:val="0"/>
          <w:kern w:val="2"/>
          <w:sz w:val="21"/>
          <w:szCs w:val="21"/>
          <w:highlight w:val="none"/>
          <w:lang w:val="en-US" w:eastAsia="zh-CN" w:bidi="ar"/>
        </w:rPr>
        <w:t>）向甲方支付相当于合同总价款20%的违约金；（</w:t>
      </w:r>
      <w:r>
        <w:rPr>
          <w:rFonts w:hint="eastAsia" w:ascii="宋体" w:hAnsi="宋体" w:cs="Times New Roman"/>
          <w:i w:val="0"/>
          <w:iCs w:val="0"/>
          <w:caps w:val="0"/>
          <w:color w:val="auto"/>
          <w:spacing w:val="0"/>
          <w:kern w:val="2"/>
          <w:sz w:val="21"/>
          <w:szCs w:val="21"/>
          <w:highlight w:val="none"/>
          <w:lang w:val="en-US" w:eastAsia="zh-CN" w:bidi="ar"/>
        </w:rPr>
        <w:t>3</w:t>
      </w:r>
      <w:r>
        <w:rPr>
          <w:rFonts w:hint="eastAsia" w:ascii="宋体" w:hAnsi="宋体" w:eastAsia="宋体" w:cs="Times New Roman"/>
          <w:i w:val="0"/>
          <w:iCs w:val="0"/>
          <w:caps w:val="0"/>
          <w:color w:val="auto"/>
          <w:spacing w:val="0"/>
          <w:kern w:val="2"/>
          <w:sz w:val="21"/>
          <w:szCs w:val="21"/>
          <w:highlight w:val="none"/>
          <w:lang w:val="en-US" w:eastAsia="zh-CN" w:bidi="ar"/>
        </w:rPr>
        <w:t>）继续履行合同项下其他违约责任，包括但不限于赔偿甲方实际损失、承担甲方为实现债权而产生的律师费、诉讼费、调查费、公证费、鉴定费、保全费、诉讼财产保全责任保险费等维权费用，以及继续履行保密义务等。乙方应在收到甲方解除合同通知之日起5日内完成退款义务，逾期未退还款项的，还应按每日万分之三的标准支付资金占用费。</w:t>
      </w:r>
      <w:r>
        <w:rPr>
          <w:rFonts w:hint="eastAsia" w:ascii="宋体" w:hAnsi="宋体"/>
          <w:color w:val="auto"/>
          <w:szCs w:val="21"/>
          <w:highlight w:val="none"/>
        </w:rPr>
        <w:t>。</w:t>
      </w:r>
    </w:p>
    <w:p w14:paraId="448934E0">
      <w:pPr>
        <w:pStyle w:val="26"/>
        <w:snapToGrid w:val="0"/>
        <w:spacing w:before="120" w:after="120" w:line="360" w:lineRule="exact"/>
        <w:ind w:firstLine="411" w:firstLineChars="196"/>
        <w:rPr>
          <w:rFonts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因乙方违约，导致甲方为维护自己的合法权益所产生的一切费用（包括但不限于律师费、诉讼费、调查费、公证费、鉴定费、保全费、诉讼财产保全责任保险费等费用）均由乙方承担。</w:t>
      </w:r>
    </w:p>
    <w:p w14:paraId="62539E5B">
      <w:pPr>
        <w:pStyle w:val="26"/>
        <w:snapToGrid w:val="0"/>
        <w:spacing w:before="120" w:after="120" w:line="360" w:lineRule="exact"/>
        <w:ind w:firstLine="413" w:firstLineChars="196"/>
        <w:rPr>
          <w:rFonts w:ascii="Times New Roman" w:hAnsi="Times New Roman" w:cs="Times New Roman"/>
          <w:b/>
          <w:color w:val="auto"/>
          <w:highlight w:val="none"/>
        </w:rPr>
      </w:pPr>
      <w:r>
        <w:rPr>
          <w:rFonts w:ascii="Times New Roman" w:hAnsi="Times New Roman" w:cs="Times New Roman"/>
          <w:b/>
          <w:color w:val="auto"/>
          <w:highlight w:val="none"/>
        </w:rPr>
        <w:t>第十</w:t>
      </w:r>
      <w:r>
        <w:rPr>
          <w:rFonts w:hint="eastAsia" w:ascii="Times New Roman" w:hAnsi="Times New Roman" w:cs="Times New Roman"/>
          <w:b/>
          <w:color w:val="auto"/>
          <w:highlight w:val="none"/>
        </w:rPr>
        <w:t>三</w:t>
      </w:r>
      <w:r>
        <w:rPr>
          <w:rFonts w:ascii="Times New Roman" w:hAnsi="Times New Roman" w:cs="Times New Roman"/>
          <w:b/>
          <w:color w:val="auto"/>
          <w:highlight w:val="none"/>
        </w:rPr>
        <w:t>条 不可抗力事件处理</w:t>
      </w:r>
    </w:p>
    <w:p w14:paraId="5D496C2D">
      <w:pPr>
        <w:spacing w:line="400" w:lineRule="exact"/>
        <w:ind w:firstLine="420" w:firstLineChars="200"/>
        <w:rPr>
          <w:rFonts w:ascii="宋体" w:hAnsi="宋体"/>
          <w:color w:val="auto"/>
          <w:szCs w:val="21"/>
          <w:highlight w:val="none"/>
        </w:rPr>
      </w:pPr>
      <w:r>
        <w:rPr>
          <w:rFonts w:ascii="宋体" w:hAnsi="宋体"/>
          <w:color w:val="auto"/>
          <w:szCs w:val="21"/>
          <w:highlight w:val="none"/>
        </w:rPr>
        <w:t>1、在合同有效期内，任何一方因不可抗力事件导致不能履行合同，则合同履行期可延长，其延长期与不可抗力影响期相同。</w:t>
      </w:r>
    </w:p>
    <w:p w14:paraId="369EA1B0">
      <w:pPr>
        <w:spacing w:line="400" w:lineRule="exact"/>
        <w:ind w:firstLine="420" w:firstLineChars="200"/>
        <w:rPr>
          <w:rFonts w:ascii="宋体" w:hAnsi="宋体"/>
          <w:color w:val="auto"/>
          <w:szCs w:val="21"/>
          <w:highlight w:val="none"/>
        </w:rPr>
      </w:pPr>
      <w:r>
        <w:rPr>
          <w:rFonts w:ascii="宋体" w:hAnsi="宋体"/>
          <w:color w:val="auto"/>
          <w:szCs w:val="21"/>
          <w:highlight w:val="none"/>
        </w:rPr>
        <w:t>2、不可抗力事件发生后，应立即通知对方，并寄送有关权威机构出具的证明。声称受到不可抗力影响的一方应在任何时候采取合理的行动，以避免或尽量减少不可抗力事件对本合同履约及双方利益的影响。因主观原因延误，未及时采取必要措施而导致损失扩大的，不能免除责任。</w:t>
      </w:r>
    </w:p>
    <w:p w14:paraId="03614F25">
      <w:pPr>
        <w:spacing w:line="400" w:lineRule="exact"/>
        <w:ind w:firstLine="420" w:firstLineChars="200"/>
        <w:rPr>
          <w:rFonts w:ascii="宋体" w:hAnsi="宋体"/>
          <w:color w:val="auto"/>
          <w:szCs w:val="21"/>
          <w:highlight w:val="none"/>
        </w:rPr>
      </w:pPr>
      <w:r>
        <w:rPr>
          <w:rFonts w:ascii="宋体" w:hAnsi="宋体"/>
          <w:color w:val="auto"/>
          <w:szCs w:val="21"/>
          <w:highlight w:val="none"/>
        </w:rPr>
        <w:t>3、不可抗力事件延续一百二十天以上，双方应通过友好协商，确定是否继续履行合同。</w:t>
      </w:r>
    </w:p>
    <w:p w14:paraId="03DA89B6">
      <w:pPr>
        <w:snapToGrid w:val="0"/>
        <w:spacing w:line="360" w:lineRule="exact"/>
        <w:ind w:firstLine="422" w:firstLineChars="200"/>
        <w:rPr>
          <w:color w:val="auto"/>
          <w:szCs w:val="21"/>
          <w:highlight w:val="none"/>
        </w:rPr>
      </w:pPr>
      <w:r>
        <w:rPr>
          <w:b/>
          <w:color w:val="auto"/>
          <w:szCs w:val="21"/>
          <w:highlight w:val="none"/>
        </w:rPr>
        <w:t>第十</w:t>
      </w:r>
      <w:r>
        <w:rPr>
          <w:rFonts w:hint="eastAsia"/>
          <w:b/>
          <w:color w:val="auto"/>
          <w:szCs w:val="21"/>
          <w:highlight w:val="none"/>
        </w:rPr>
        <w:t>四</w:t>
      </w:r>
      <w:r>
        <w:rPr>
          <w:b/>
          <w:color w:val="auto"/>
          <w:szCs w:val="21"/>
          <w:highlight w:val="none"/>
        </w:rPr>
        <w:t>条  合同争议解决</w:t>
      </w:r>
    </w:p>
    <w:p w14:paraId="188BD9A4">
      <w:pPr>
        <w:snapToGrid w:val="0"/>
        <w:spacing w:line="400" w:lineRule="exact"/>
        <w:ind w:firstLine="420" w:firstLineChars="200"/>
        <w:rPr>
          <w:rFonts w:ascii="宋体" w:hAnsi="宋体"/>
          <w:color w:val="auto"/>
          <w:szCs w:val="21"/>
          <w:highlight w:val="none"/>
        </w:rPr>
      </w:pPr>
      <w:r>
        <w:rPr>
          <w:rFonts w:ascii="宋体" w:hAnsi="宋体"/>
          <w:color w:val="auto"/>
          <w:szCs w:val="21"/>
          <w:highlight w:val="none"/>
        </w:rPr>
        <w:t>1、因服务质量问题发生争议的，应邀请国家认可的质量检测机构进行鉴定。服务符合标准的，鉴定费由甲方承担；服务不符合标准的，鉴定费由乙方承担。</w:t>
      </w:r>
    </w:p>
    <w:p w14:paraId="29F54078">
      <w:pPr>
        <w:snapToGrid w:val="0"/>
        <w:spacing w:line="400" w:lineRule="exact"/>
        <w:ind w:firstLine="420" w:firstLineChars="200"/>
        <w:rPr>
          <w:rFonts w:ascii="宋体" w:hAnsi="宋体"/>
          <w:color w:val="auto"/>
          <w:szCs w:val="21"/>
          <w:highlight w:val="none"/>
        </w:rPr>
      </w:pPr>
      <w:r>
        <w:rPr>
          <w:rFonts w:ascii="宋体" w:hAnsi="宋体"/>
          <w:color w:val="auto"/>
          <w:szCs w:val="21"/>
          <w:highlight w:val="none"/>
        </w:rPr>
        <w:t>2、因履行本合同引起的或者与本合同有关的争议，甲乙双方应首先通过友好协商解决，如果协商不能解决，可向甲方所在地有管辖权的人民法院提起诉讼。</w:t>
      </w:r>
    </w:p>
    <w:p w14:paraId="3A8F780A">
      <w:pPr>
        <w:snapToGrid w:val="0"/>
        <w:spacing w:line="400" w:lineRule="exact"/>
        <w:ind w:firstLine="420" w:firstLineChars="200"/>
        <w:rPr>
          <w:rFonts w:ascii="宋体" w:hAnsi="宋体"/>
          <w:color w:val="auto"/>
          <w:szCs w:val="21"/>
          <w:highlight w:val="none"/>
        </w:rPr>
      </w:pPr>
      <w:r>
        <w:rPr>
          <w:rFonts w:ascii="宋体" w:hAnsi="宋体"/>
          <w:color w:val="auto"/>
          <w:szCs w:val="21"/>
          <w:highlight w:val="none"/>
        </w:rPr>
        <w:t>3、诉讼期间，本合同继续履行。</w:t>
      </w:r>
    </w:p>
    <w:p w14:paraId="3630E61B">
      <w:pPr>
        <w:pStyle w:val="26"/>
        <w:snapToGrid w:val="0"/>
        <w:spacing w:before="120" w:after="120" w:line="360" w:lineRule="exact"/>
        <w:ind w:firstLine="422" w:firstLineChars="200"/>
        <w:rPr>
          <w:rFonts w:ascii="Times New Roman" w:hAnsi="Times New Roman" w:cs="Times New Roman"/>
          <w:b/>
          <w:color w:val="auto"/>
          <w:highlight w:val="none"/>
        </w:rPr>
      </w:pPr>
      <w:r>
        <w:rPr>
          <w:rFonts w:ascii="Times New Roman" w:hAnsi="Times New Roman" w:cs="Times New Roman"/>
          <w:b/>
          <w:color w:val="auto"/>
          <w:highlight w:val="none"/>
        </w:rPr>
        <w:t>第十</w:t>
      </w:r>
      <w:r>
        <w:rPr>
          <w:rFonts w:hint="eastAsia" w:ascii="Times New Roman" w:hAnsi="Times New Roman" w:cs="Times New Roman"/>
          <w:b/>
          <w:color w:val="auto"/>
          <w:highlight w:val="none"/>
        </w:rPr>
        <w:t>五</w:t>
      </w:r>
      <w:r>
        <w:rPr>
          <w:rFonts w:ascii="Times New Roman" w:hAnsi="Times New Roman" w:cs="Times New Roman"/>
          <w:b/>
          <w:color w:val="auto"/>
          <w:highlight w:val="none"/>
        </w:rPr>
        <w:t>条 合同生效及其它</w:t>
      </w:r>
    </w:p>
    <w:p w14:paraId="3653E75A">
      <w:pPr>
        <w:spacing w:line="400" w:lineRule="exact"/>
        <w:ind w:firstLine="420" w:firstLineChars="200"/>
        <w:rPr>
          <w:rFonts w:ascii="宋体" w:hAnsi="宋体"/>
          <w:color w:val="auto"/>
          <w:szCs w:val="21"/>
          <w:highlight w:val="none"/>
        </w:rPr>
      </w:pPr>
      <w:r>
        <w:rPr>
          <w:rFonts w:ascii="宋体" w:hAnsi="宋体"/>
          <w:color w:val="auto"/>
          <w:szCs w:val="21"/>
          <w:highlight w:val="none"/>
        </w:rPr>
        <w:t>1、合同经双方法定代表人或者授权代表签字并加盖单位公章后生效（委托代理人签字的需后附法定代表人授权委托书，格式自拟）。</w:t>
      </w:r>
    </w:p>
    <w:p w14:paraId="3CC2523F">
      <w:pPr>
        <w:spacing w:line="400" w:lineRule="exact"/>
        <w:ind w:firstLine="420" w:firstLineChars="200"/>
        <w:rPr>
          <w:rFonts w:ascii="宋体" w:hAnsi="宋体"/>
          <w:color w:val="auto"/>
          <w:szCs w:val="21"/>
          <w:highlight w:val="none"/>
        </w:rPr>
      </w:pPr>
      <w:r>
        <w:rPr>
          <w:rFonts w:ascii="宋体" w:hAnsi="宋体"/>
          <w:color w:val="auto"/>
          <w:szCs w:val="21"/>
          <w:highlight w:val="none"/>
        </w:rPr>
        <w:t>2、合同执行中涉及采购资金和采购内容修改或者补充的，须经财政部门审批，并签书面补充协议报财政部门备案，方可作为主合同不可分割的一部分。</w:t>
      </w:r>
    </w:p>
    <w:p w14:paraId="08E16138">
      <w:pPr>
        <w:spacing w:line="400" w:lineRule="exact"/>
        <w:ind w:firstLine="420" w:firstLineChars="200"/>
        <w:rPr>
          <w:rFonts w:ascii="宋体" w:hAnsi="宋体"/>
          <w:color w:val="auto"/>
          <w:szCs w:val="21"/>
          <w:highlight w:val="none"/>
        </w:rPr>
      </w:pPr>
      <w:r>
        <w:rPr>
          <w:rFonts w:ascii="宋体" w:hAnsi="宋体"/>
          <w:color w:val="auto"/>
          <w:szCs w:val="21"/>
          <w:highlight w:val="none"/>
        </w:rPr>
        <w:t>3、本合同未尽事宜，遵照《中华人民共和国民法典》有关条文执行。</w:t>
      </w:r>
    </w:p>
    <w:p w14:paraId="77A3917B">
      <w:pPr>
        <w:snapToGrid w:val="0"/>
        <w:spacing w:line="360" w:lineRule="exact"/>
        <w:ind w:firstLine="422" w:firstLineChars="200"/>
        <w:rPr>
          <w:b/>
          <w:color w:val="auto"/>
          <w:szCs w:val="21"/>
          <w:highlight w:val="none"/>
        </w:rPr>
      </w:pPr>
      <w:r>
        <w:rPr>
          <w:b/>
          <w:color w:val="auto"/>
          <w:szCs w:val="21"/>
          <w:highlight w:val="none"/>
        </w:rPr>
        <w:t>第十</w:t>
      </w:r>
      <w:r>
        <w:rPr>
          <w:rFonts w:hint="eastAsia"/>
          <w:b/>
          <w:color w:val="auto"/>
          <w:szCs w:val="21"/>
          <w:highlight w:val="none"/>
        </w:rPr>
        <w:t>六</w:t>
      </w:r>
      <w:r>
        <w:rPr>
          <w:b/>
          <w:color w:val="auto"/>
          <w:szCs w:val="21"/>
          <w:highlight w:val="none"/>
        </w:rPr>
        <w:t>条　合同的变更、终止与转让</w:t>
      </w:r>
    </w:p>
    <w:p w14:paraId="12695F3C">
      <w:pPr>
        <w:spacing w:line="400" w:lineRule="exact"/>
        <w:ind w:firstLine="420" w:firstLineChars="200"/>
        <w:rPr>
          <w:rFonts w:hint="eastAsia" w:ascii="宋体" w:hAnsi="宋体" w:eastAsia="宋体" w:cs="Times New Roman"/>
          <w:color w:val="auto"/>
          <w:szCs w:val="21"/>
          <w:highlight w:val="none"/>
        </w:rPr>
      </w:pPr>
      <w:r>
        <w:rPr>
          <w:rFonts w:ascii="宋体" w:hAnsi="宋体" w:eastAsia="宋体" w:cs="Times New Roman"/>
          <w:color w:val="auto"/>
          <w:szCs w:val="21"/>
          <w:highlight w:val="none"/>
        </w:rPr>
        <w:t>1</w:t>
      </w:r>
      <w:r>
        <w:rPr>
          <w:rFonts w:hint="eastAsia" w:ascii="宋体" w:hAnsi="宋体" w:eastAsia="宋体" w:cs="宋体"/>
          <w:color w:val="auto"/>
          <w:szCs w:val="21"/>
          <w:highlight w:val="none"/>
        </w:rPr>
        <w:t>、除《中华人民共和国政府采购法》第五十条规定或者合同约定的情形外，本合同一经签订，甲乙双方不得擅自变更、中止或者终止。</w:t>
      </w:r>
    </w:p>
    <w:p w14:paraId="74DBFFC7">
      <w:pPr>
        <w:spacing w:line="400" w:lineRule="exact"/>
        <w:ind w:firstLine="420" w:firstLineChars="200"/>
        <w:rPr>
          <w:rFonts w:hint="eastAsia" w:ascii="宋体" w:hAnsi="宋体" w:eastAsia="宋体" w:cs="Times New Roman"/>
          <w:color w:val="auto"/>
          <w:szCs w:val="21"/>
          <w:highlight w:val="none"/>
        </w:rPr>
      </w:pPr>
      <w:r>
        <w:rPr>
          <w:rFonts w:ascii="宋体" w:hAnsi="宋体" w:eastAsia="宋体" w:cs="Times New Roman"/>
          <w:color w:val="auto"/>
          <w:szCs w:val="21"/>
          <w:highlight w:val="none"/>
        </w:rPr>
        <w:t>2</w:t>
      </w:r>
      <w:r>
        <w:rPr>
          <w:rFonts w:hint="eastAsia" w:ascii="宋体" w:hAnsi="宋体" w:eastAsia="宋体" w:cs="宋体"/>
          <w:color w:val="auto"/>
          <w:szCs w:val="21"/>
          <w:highlight w:val="none"/>
        </w:rPr>
        <w:t>、乙方不得擅自转让其应履行的合同义务。</w:t>
      </w:r>
    </w:p>
    <w:p w14:paraId="715B239F">
      <w:pPr>
        <w:snapToGrid w:val="0"/>
        <w:spacing w:line="360" w:lineRule="exact"/>
        <w:ind w:firstLine="422" w:firstLineChars="200"/>
        <w:rPr>
          <w:rFonts w:hint="eastAsia"/>
          <w:b/>
          <w:color w:val="auto"/>
          <w:szCs w:val="21"/>
          <w:highlight w:val="none"/>
        </w:rPr>
      </w:pPr>
      <w:r>
        <w:rPr>
          <w:b/>
          <w:color w:val="auto"/>
          <w:szCs w:val="21"/>
          <w:highlight w:val="none"/>
        </w:rPr>
        <w:t>第十</w:t>
      </w:r>
      <w:r>
        <w:rPr>
          <w:rFonts w:hint="eastAsia"/>
          <w:b/>
          <w:color w:val="auto"/>
          <w:szCs w:val="21"/>
          <w:highlight w:val="none"/>
        </w:rPr>
        <w:t>七</w:t>
      </w:r>
      <w:r>
        <w:rPr>
          <w:b/>
          <w:color w:val="auto"/>
          <w:szCs w:val="21"/>
          <w:highlight w:val="none"/>
        </w:rPr>
        <w:t>条　</w:t>
      </w:r>
      <w:r>
        <w:rPr>
          <w:rFonts w:hint="eastAsia"/>
          <w:b/>
          <w:color w:val="auto"/>
          <w:szCs w:val="21"/>
          <w:highlight w:val="none"/>
        </w:rPr>
        <w:t>合同文件的组成</w:t>
      </w:r>
    </w:p>
    <w:p w14:paraId="336E7293">
      <w:pPr>
        <w:snapToGrid w:val="0"/>
        <w:spacing w:line="360" w:lineRule="exact"/>
        <w:ind w:firstLine="420" w:firstLineChars="200"/>
        <w:rPr>
          <w:color w:val="auto"/>
          <w:szCs w:val="21"/>
          <w:highlight w:val="none"/>
        </w:rPr>
      </w:pPr>
      <w:r>
        <w:rPr>
          <w:color w:val="auto"/>
          <w:szCs w:val="21"/>
          <w:highlight w:val="none"/>
        </w:rPr>
        <w:t>1.</w:t>
      </w:r>
      <w:r>
        <w:rPr>
          <w:rFonts w:hint="eastAsia" w:hAnsi="宋体" w:cs="宋体"/>
          <w:color w:val="auto"/>
          <w:kern w:val="0"/>
          <w:highlight w:val="none"/>
        </w:rPr>
        <w:t>政府采购合同；</w:t>
      </w:r>
    </w:p>
    <w:p w14:paraId="6D0B7579">
      <w:pPr>
        <w:snapToGrid w:val="0"/>
        <w:spacing w:line="360" w:lineRule="exact"/>
        <w:ind w:firstLine="420" w:firstLineChars="200"/>
        <w:rPr>
          <w:color w:val="auto"/>
          <w:szCs w:val="21"/>
          <w:highlight w:val="none"/>
        </w:rPr>
      </w:pPr>
      <w:r>
        <w:rPr>
          <w:rFonts w:hint="eastAsia"/>
          <w:color w:val="auto"/>
          <w:szCs w:val="21"/>
          <w:highlight w:val="none"/>
        </w:rPr>
        <w:t>2</w:t>
      </w:r>
      <w:r>
        <w:rPr>
          <w:color w:val="auto"/>
          <w:szCs w:val="21"/>
          <w:highlight w:val="none"/>
        </w:rPr>
        <w:t>.</w:t>
      </w:r>
      <w:r>
        <w:rPr>
          <w:rFonts w:hint="eastAsia"/>
          <w:color w:val="auto"/>
          <w:szCs w:val="21"/>
          <w:highlight w:val="none"/>
          <w:lang w:val="en-US" w:eastAsia="zh-CN"/>
        </w:rPr>
        <w:t>成交</w:t>
      </w:r>
      <w:r>
        <w:rPr>
          <w:color w:val="auto"/>
          <w:szCs w:val="21"/>
          <w:highlight w:val="none"/>
        </w:rPr>
        <w:t>通知书</w:t>
      </w:r>
      <w:r>
        <w:rPr>
          <w:rFonts w:hint="eastAsia"/>
          <w:color w:val="auto"/>
          <w:szCs w:val="21"/>
          <w:highlight w:val="none"/>
        </w:rPr>
        <w:t>（如有）</w:t>
      </w:r>
      <w:r>
        <w:rPr>
          <w:color w:val="auto"/>
          <w:szCs w:val="21"/>
          <w:highlight w:val="none"/>
        </w:rPr>
        <w:t>；</w:t>
      </w:r>
    </w:p>
    <w:p w14:paraId="28F3EDC2">
      <w:pPr>
        <w:snapToGrid w:val="0"/>
        <w:spacing w:line="360" w:lineRule="exact"/>
        <w:ind w:firstLine="420" w:firstLineChars="200"/>
        <w:rPr>
          <w:color w:val="auto"/>
          <w:szCs w:val="21"/>
          <w:highlight w:val="none"/>
        </w:rPr>
      </w:pPr>
      <w:r>
        <w:rPr>
          <w:rFonts w:hint="eastAsia"/>
          <w:color w:val="auto"/>
          <w:szCs w:val="21"/>
          <w:highlight w:val="none"/>
        </w:rPr>
        <w:t>3</w:t>
      </w:r>
      <w:r>
        <w:rPr>
          <w:color w:val="auto"/>
          <w:szCs w:val="21"/>
          <w:highlight w:val="none"/>
        </w:rPr>
        <w:t>.乙方的响应文件；</w:t>
      </w:r>
    </w:p>
    <w:p w14:paraId="40B04925">
      <w:pPr>
        <w:snapToGrid w:val="0"/>
        <w:spacing w:line="360" w:lineRule="exact"/>
        <w:ind w:firstLine="420" w:firstLineChars="200"/>
        <w:rPr>
          <w:color w:val="auto"/>
          <w:szCs w:val="21"/>
          <w:highlight w:val="none"/>
        </w:rPr>
      </w:pPr>
      <w:r>
        <w:rPr>
          <w:rFonts w:hint="eastAsia"/>
          <w:color w:val="auto"/>
          <w:szCs w:val="21"/>
          <w:highlight w:val="none"/>
        </w:rPr>
        <w:t>4</w:t>
      </w:r>
      <w:r>
        <w:rPr>
          <w:color w:val="auto"/>
          <w:szCs w:val="21"/>
          <w:highlight w:val="none"/>
        </w:rPr>
        <w:t>.</w:t>
      </w:r>
      <w:r>
        <w:rPr>
          <w:rFonts w:hint="eastAsia"/>
          <w:color w:val="auto"/>
          <w:szCs w:val="21"/>
          <w:highlight w:val="none"/>
        </w:rPr>
        <w:t>采购文件</w:t>
      </w:r>
      <w:r>
        <w:rPr>
          <w:color w:val="auto"/>
          <w:szCs w:val="21"/>
          <w:highlight w:val="none"/>
        </w:rPr>
        <w:t>；</w:t>
      </w:r>
    </w:p>
    <w:p w14:paraId="4F395AE0">
      <w:pPr>
        <w:snapToGrid w:val="0"/>
        <w:spacing w:line="300" w:lineRule="exact"/>
        <w:ind w:firstLine="420" w:firstLineChars="200"/>
        <w:rPr>
          <w:color w:val="auto"/>
          <w:szCs w:val="21"/>
          <w:highlight w:val="none"/>
          <w:u w:val="single"/>
        </w:rPr>
      </w:pPr>
      <w:r>
        <w:rPr>
          <w:rFonts w:hint="eastAsia"/>
          <w:color w:val="auto"/>
          <w:highlight w:val="none"/>
        </w:rPr>
        <w:t>5.其他合同文件。</w:t>
      </w:r>
    </w:p>
    <w:p w14:paraId="095D9674">
      <w:pPr>
        <w:snapToGrid w:val="0"/>
        <w:spacing w:line="360" w:lineRule="exact"/>
        <w:ind w:firstLine="422" w:firstLineChars="200"/>
        <w:rPr>
          <w:color w:val="auto"/>
          <w:szCs w:val="21"/>
          <w:highlight w:val="none"/>
        </w:rPr>
      </w:pPr>
      <w:r>
        <w:rPr>
          <w:b/>
          <w:color w:val="auto"/>
          <w:szCs w:val="21"/>
          <w:highlight w:val="none"/>
        </w:rPr>
        <w:t>第十</w:t>
      </w:r>
      <w:r>
        <w:rPr>
          <w:rFonts w:hint="eastAsia"/>
          <w:b/>
          <w:color w:val="auto"/>
          <w:szCs w:val="21"/>
          <w:highlight w:val="none"/>
        </w:rPr>
        <w:t>八</w:t>
      </w:r>
      <w:r>
        <w:rPr>
          <w:b/>
          <w:color w:val="auto"/>
          <w:szCs w:val="21"/>
          <w:highlight w:val="none"/>
        </w:rPr>
        <w:t>条　</w:t>
      </w:r>
      <w:r>
        <w:rPr>
          <w:color w:val="auto"/>
          <w:szCs w:val="21"/>
          <w:highlight w:val="none"/>
        </w:rPr>
        <w:t>本合同一式</w:t>
      </w:r>
      <w:r>
        <w:rPr>
          <w:rFonts w:hint="eastAsia"/>
          <w:color w:val="auto"/>
          <w:szCs w:val="21"/>
          <w:highlight w:val="none"/>
          <w:lang w:eastAsia="zh-CN"/>
        </w:rPr>
        <w:t>九</w:t>
      </w:r>
      <w:r>
        <w:rPr>
          <w:color w:val="auto"/>
          <w:szCs w:val="21"/>
          <w:highlight w:val="none"/>
        </w:rPr>
        <w:t>份，具有同等法律效力。甲</w:t>
      </w:r>
      <w:r>
        <w:rPr>
          <w:rFonts w:hint="eastAsia"/>
          <w:color w:val="auto"/>
          <w:szCs w:val="21"/>
          <w:highlight w:val="none"/>
        </w:rPr>
        <w:t>、乙双方各执</w:t>
      </w:r>
      <w:r>
        <w:rPr>
          <w:rFonts w:hint="eastAsia"/>
          <w:color w:val="auto"/>
          <w:szCs w:val="21"/>
          <w:highlight w:val="none"/>
          <w:lang w:eastAsia="zh-CN"/>
        </w:rPr>
        <w:t>四</w:t>
      </w:r>
      <w:r>
        <w:rPr>
          <w:color w:val="auto"/>
          <w:szCs w:val="21"/>
          <w:highlight w:val="none"/>
        </w:rPr>
        <w:t>份，</w:t>
      </w:r>
      <w:r>
        <w:rPr>
          <w:color w:val="auto"/>
          <w:spacing w:val="4"/>
          <w:szCs w:val="21"/>
          <w:highlight w:val="none"/>
        </w:rPr>
        <w:t>采购代理机构</w:t>
      </w:r>
      <w:r>
        <w:rPr>
          <w:color w:val="auto"/>
          <w:szCs w:val="21"/>
          <w:highlight w:val="none"/>
        </w:rPr>
        <w:t>各一份。</w:t>
      </w:r>
    </w:p>
    <w:p w14:paraId="38E4DB93">
      <w:pPr>
        <w:snapToGrid w:val="0"/>
        <w:spacing w:line="360" w:lineRule="exact"/>
        <w:ind w:firstLine="420" w:firstLineChars="200"/>
        <w:rPr>
          <w:color w:val="auto"/>
          <w:szCs w:val="21"/>
          <w:highlight w:val="none"/>
        </w:rPr>
      </w:pPr>
      <w:r>
        <w:rPr>
          <w:color w:val="auto"/>
          <w:szCs w:val="21"/>
          <w:highlight w:val="none"/>
        </w:rPr>
        <w:t>本合同经甲乙双方法定代表人或被授权代表签字并加盖单位公章后生效。</w:t>
      </w:r>
    </w:p>
    <w:tbl>
      <w:tblPr>
        <w:tblStyle w:val="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7"/>
        <w:gridCol w:w="4688"/>
      </w:tblGrid>
      <w:tr w14:paraId="44B2E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5" w:hRule="atLeast"/>
        </w:trPr>
        <w:tc>
          <w:tcPr>
            <w:tcW w:w="4437" w:type="dxa"/>
            <w:noWrap w:val="0"/>
            <w:vAlign w:val="top"/>
          </w:tcPr>
          <w:p w14:paraId="64802542">
            <w:pPr>
              <w:keepNext w:val="0"/>
              <w:keepLines w:val="0"/>
              <w:suppressLineNumbers w:val="0"/>
              <w:snapToGrid w:val="0"/>
              <w:spacing w:before="0" w:beforeAutospacing="0" w:after="0" w:afterAutospacing="0" w:line="400" w:lineRule="exact"/>
              <w:ind w:left="0" w:right="0"/>
              <w:jc w:val="left"/>
              <w:rPr>
                <w:rFonts w:hint="default" w:ascii="宋体" w:hAnsi="宋体"/>
                <w:color w:val="auto"/>
                <w:szCs w:val="21"/>
                <w:highlight w:val="none"/>
              </w:rPr>
            </w:pPr>
            <w:r>
              <w:rPr>
                <w:rFonts w:hint="default" w:ascii="宋体" w:hAnsi="宋体"/>
                <w:color w:val="auto"/>
                <w:szCs w:val="21"/>
                <w:highlight w:val="none"/>
                <w:lang w:bidi="ar"/>
              </w:rPr>
              <w:t>甲方：（章）广西壮族自治区交通运输厅</w:t>
            </w:r>
          </w:p>
          <w:p w14:paraId="3233C23D">
            <w:pPr>
              <w:keepNext w:val="0"/>
              <w:keepLines w:val="0"/>
              <w:suppressLineNumbers w:val="0"/>
              <w:snapToGrid w:val="0"/>
              <w:spacing w:before="0" w:beforeAutospacing="0" w:after="0" w:afterAutospacing="0" w:line="400" w:lineRule="exact"/>
              <w:ind w:left="0" w:right="0" w:firstLine="945" w:firstLineChars="450"/>
              <w:jc w:val="right"/>
              <w:rPr>
                <w:rFonts w:hint="default" w:ascii="宋体" w:hAnsi="宋体"/>
                <w:color w:val="auto"/>
                <w:szCs w:val="21"/>
                <w:highlight w:val="none"/>
              </w:rPr>
            </w:pPr>
          </w:p>
          <w:p w14:paraId="670DE250">
            <w:pPr>
              <w:pStyle w:val="19"/>
              <w:keepNext w:val="0"/>
              <w:keepLines w:val="0"/>
              <w:suppressLineNumbers w:val="0"/>
              <w:spacing w:before="0" w:beforeAutospacing="0" w:after="0" w:afterAutospacing="0" w:line="400" w:lineRule="exact"/>
              <w:ind w:left="0" w:right="0"/>
              <w:jc w:val="right"/>
              <w:rPr>
                <w:rFonts w:hint="default"/>
                <w:color w:val="auto"/>
                <w:szCs w:val="21"/>
                <w:highlight w:val="none"/>
              </w:rPr>
            </w:pPr>
            <w:r>
              <w:rPr>
                <w:rFonts w:hint="default" w:ascii="宋体" w:hAnsi="宋体"/>
                <w:color w:val="auto"/>
                <w:sz w:val="21"/>
                <w:szCs w:val="21"/>
                <w:highlight w:val="none"/>
                <w:lang w:bidi="ar"/>
              </w:rPr>
              <w:t>202</w:t>
            </w:r>
            <w:r>
              <w:rPr>
                <w:rFonts w:hint="eastAsia" w:ascii="宋体" w:hAnsi="宋体"/>
                <w:color w:val="auto"/>
                <w:sz w:val="21"/>
                <w:szCs w:val="21"/>
                <w:highlight w:val="none"/>
                <w:lang w:val="en-US" w:eastAsia="zh-CN" w:bidi="ar"/>
              </w:rPr>
              <w:t>5</w:t>
            </w:r>
            <w:r>
              <w:rPr>
                <w:rFonts w:hint="default" w:ascii="宋体" w:hAnsi="宋体"/>
                <w:color w:val="auto"/>
                <w:sz w:val="21"/>
                <w:szCs w:val="21"/>
                <w:highlight w:val="none"/>
                <w:lang w:bidi="ar"/>
              </w:rPr>
              <w:t>年   月   日</w:t>
            </w:r>
          </w:p>
        </w:tc>
        <w:tc>
          <w:tcPr>
            <w:tcW w:w="4688" w:type="dxa"/>
            <w:noWrap w:val="0"/>
            <w:vAlign w:val="center"/>
          </w:tcPr>
          <w:p w14:paraId="3EAD0F94">
            <w:pPr>
              <w:keepNext w:val="0"/>
              <w:keepLines w:val="0"/>
              <w:suppressLineNumbers w:val="0"/>
              <w:snapToGrid w:val="0"/>
              <w:spacing w:before="0" w:beforeAutospacing="0" w:after="0" w:afterAutospacing="0" w:line="360" w:lineRule="exact"/>
              <w:ind w:left="0" w:right="0"/>
              <w:rPr>
                <w:rFonts w:hint="default"/>
                <w:color w:val="auto"/>
                <w:szCs w:val="21"/>
                <w:highlight w:val="none"/>
              </w:rPr>
            </w:pPr>
            <w:r>
              <w:rPr>
                <w:rFonts w:hint="default"/>
                <w:color w:val="auto"/>
                <w:szCs w:val="21"/>
                <w:highlight w:val="none"/>
              </w:rPr>
              <w:t xml:space="preserve">乙方（章）              </w:t>
            </w:r>
          </w:p>
          <w:p w14:paraId="340B3C11">
            <w:pPr>
              <w:keepNext w:val="0"/>
              <w:keepLines w:val="0"/>
              <w:suppressLineNumbers w:val="0"/>
              <w:snapToGrid w:val="0"/>
              <w:spacing w:before="0" w:beforeAutospacing="0" w:after="0" w:afterAutospacing="0" w:line="360" w:lineRule="exact"/>
              <w:ind w:left="0" w:right="0"/>
              <w:jc w:val="right"/>
              <w:rPr>
                <w:rFonts w:hint="default"/>
                <w:color w:val="auto"/>
                <w:szCs w:val="21"/>
                <w:highlight w:val="none"/>
              </w:rPr>
            </w:pPr>
          </w:p>
        </w:tc>
      </w:tr>
      <w:tr w14:paraId="7A86A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4437" w:type="dxa"/>
            <w:noWrap w:val="0"/>
            <w:vAlign w:val="center"/>
          </w:tcPr>
          <w:p w14:paraId="2AD09096">
            <w:pPr>
              <w:pStyle w:val="19"/>
              <w:keepNext w:val="0"/>
              <w:keepLines w:val="0"/>
              <w:suppressLineNumbers w:val="0"/>
              <w:spacing w:before="0" w:beforeAutospacing="0" w:after="0" w:afterAutospacing="0" w:line="400" w:lineRule="exact"/>
              <w:ind w:left="0" w:right="0"/>
              <w:rPr>
                <w:rFonts w:hint="default"/>
                <w:color w:val="auto"/>
                <w:szCs w:val="21"/>
                <w:highlight w:val="none"/>
              </w:rPr>
            </w:pPr>
            <w:r>
              <w:rPr>
                <w:rFonts w:hint="default" w:ascii="宋体" w:hAnsi="宋体"/>
                <w:color w:val="auto"/>
                <w:sz w:val="21"/>
                <w:szCs w:val="21"/>
                <w:highlight w:val="none"/>
                <w:lang w:bidi="ar"/>
              </w:rPr>
              <w:t>单位地址：广西南宁市兴宁区新民路67号</w:t>
            </w:r>
          </w:p>
        </w:tc>
        <w:tc>
          <w:tcPr>
            <w:tcW w:w="4688" w:type="dxa"/>
            <w:noWrap w:val="0"/>
            <w:vAlign w:val="center"/>
          </w:tcPr>
          <w:p w14:paraId="28486E2B">
            <w:pPr>
              <w:keepNext w:val="0"/>
              <w:keepLines w:val="0"/>
              <w:suppressLineNumbers w:val="0"/>
              <w:snapToGrid w:val="0"/>
              <w:spacing w:before="0" w:beforeAutospacing="0" w:after="0" w:afterAutospacing="0" w:line="360" w:lineRule="exact"/>
              <w:ind w:left="0" w:right="0"/>
              <w:rPr>
                <w:rFonts w:hint="default"/>
                <w:color w:val="auto"/>
                <w:szCs w:val="21"/>
                <w:highlight w:val="none"/>
              </w:rPr>
            </w:pPr>
            <w:r>
              <w:rPr>
                <w:rFonts w:hint="default"/>
                <w:color w:val="auto"/>
                <w:szCs w:val="21"/>
                <w:highlight w:val="none"/>
              </w:rPr>
              <w:t>单位地址：</w:t>
            </w:r>
          </w:p>
        </w:tc>
      </w:tr>
      <w:tr w14:paraId="3C3EB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437" w:type="dxa"/>
            <w:noWrap w:val="0"/>
            <w:vAlign w:val="center"/>
          </w:tcPr>
          <w:p w14:paraId="60EE8776">
            <w:pPr>
              <w:pStyle w:val="19"/>
              <w:keepNext w:val="0"/>
              <w:keepLines w:val="0"/>
              <w:suppressLineNumbers w:val="0"/>
              <w:spacing w:before="0" w:beforeAutospacing="0" w:after="0" w:afterAutospacing="0" w:line="400" w:lineRule="exact"/>
              <w:ind w:left="0" w:right="0"/>
              <w:rPr>
                <w:rFonts w:hint="default"/>
                <w:color w:val="auto"/>
                <w:szCs w:val="21"/>
                <w:highlight w:val="none"/>
              </w:rPr>
            </w:pPr>
            <w:r>
              <w:rPr>
                <w:rFonts w:hint="default" w:ascii="宋体" w:hAnsi="宋体"/>
                <w:color w:val="auto"/>
                <w:sz w:val="21"/>
                <w:szCs w:val="21"/>
                <w:highlight w:val="none"/>
                <w:lang w:bidi="ar"/>
              </w:rPr>
              <w:t>法定代表人：</w:t>
            </w:r>
          </w:p>
        </w:tc>
        <w:tc>
          <w:tcPr>
            <w:tcW w:w="4688" w:type="dxa"/>
            <w:noWrap w:val="0"/>
            <w:vAlign w:val="center"/>
          </w:tcPr>
          <w:p w14:paraId="52B61D20">
            <w:pPr>
              <w:keepNext w:val="0"/>
              <w:keepLines w:val="0"/>
              <w:suppressLineNumbers w:val="0"/>
              <w:snapToGrid w:val="0"/>
              <w:spacing w:before="0" w:beforeAutospacing="0" w:after="0" w:afterAutospacing="0" w:line="360" w:lineRule="exact"/>
              <w:ind w:left="0" w:right="0"/>
              <w:rPr>
                <w:rFonts w:hint="default"/>
                <w:color w:val="auto"/>
                <w:szCs w:val="21"/>
                <w:highlight w:val="none"/>
              </w:rPr>
            </w:pPr>
            <w:r>
              <w:rPr>
                <w:rFonts w:hint="default"/>
                <w:color w:val="auto"/>
                <w:szCs w:val="21"/>
                <w:highlight w:val="none"/>
              </w:rPr>
              <w:t>法定代表人：</w:t>
            </w:r>
          </w:p>
        </w:tc>
      </w:tr>
      <w:tr w14:paraId="57FC4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4437" w:type="dxa"/>
            <w:noWrap w:val="0"/>
            <w:vAlign w:val="center"/>
          </w:tcPr>
          <w:p w14:paraId="33E27A4F">
            <w:pPr>
              <w:pStyle w:val="19"/>
              <w:keepNext w:val="0"/>
              <w:keepLines w:val="0"/>
              <w:suppressLineNumbers w:val="0"/>
              <w:spacing w:before="0" w:beforeAutospacing="0" w:after="0" w:afterAutospacing="0" w:line="400" w:lineRule="exact"/>
              <w:ind w:left="0" w:right="0"/>
              <w:rPr>
                <w:rFonts w:hint="default"/>
                <w:color w:val="auto"/>
                <w:szCs w:val="21"/>
                <w:highlight w:val="none"/>
              </w:rPr>
            </w:pPr>
            <w:r>
              <w:rPr>
                <w:rFonts w:hint="default" w:ascii="宋体" w:hAnsi="宋体"/>
                <w:color w:val="auto"/>
                <w:sz w:val="21"/>
                <w:szCs w:val="21"/>
                <w:highlight w:val="none"/>
                <w:lang w:bidi="ar"/>
              </w:rPr>
              <w:t>委托代理人：</w:t>
            </w:r>
          </w:p>
        </w:tc>
        <w:tc>
          <w:tcPr>
            <w:tcW w:w="4688" w:type="dxa"/>
            <w:noWrap w:val="0"/>
            <w:vAlign w:val="center"/>
          </w:tcPr>
          <w:p w14:paraId="2E91E503">
            <w:pPr>
              <w:keepNext w:val="0"/>
              <w:keepLines w:val="0"/>
              <w:suppressLineNumbers w:val="0"/>
              <w:snapToGrid w:val="0"/>
              <w:spacing w:before="0" w:beforeAutospacing="0" w:after="0" w:afterAutospacing="0" w:line="360" w:lineRule="exact"/>
              <w:ind w:left="0" w:right="0"/>
              <w:rPr>
                <w:rFonts w:hint="default"/>
                <w:color w:val="auto"/>
                <w:szCs w:val="21"/>
                <w:highlight w:val="none"/>
              </w:rPr>
            </w:pPr>
            <w:r>
              <w:rPr>
                <w:rFonts w:hint="default"/>
                <w:color w:val="auto"/>
                <w:szCs w:val="21"/>
                <w:highlight w:val="none"/>
              </w:rPr>
              <w:t>委托代理人</w:t>
            </w:r>
          </w:p>
        </w:tc>
      </w:tr>
      <w:tr w14:paraId="73744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trPr>
        <w:tc>
          <w:tcPr>
            <w:tcW w:w="4437" w:type="dxa"/>
            <w:noWrap w:val="0"/>
            <w:vAlign w:val="center"/>
          </w:tcPr>
          <w:p w14:paraId="5C1E4048">
            <w:pPr>
              <w:pStyle w:val="19"/>
              <w:keepNext w:val="0"/>
              <w:keepLines w:val="0"/>
              <w:suppressLineNumbers w:val="0"/>
              <w:spacing w:before="0" w:beforeAutospacing="0" w:after="0" w:afterAutospacing="0" w:line="400" w:lineRule="exact"/>
              <w:ind w:left="0" w:right="0"/>
              <w:rPr>
                <w:rFonts w:hint="default"/>
                <w:color w:val="auto"/>
                <w:szCs w:val="21"/>
                <w:highlight w:val="none"/>
              </w:rPr>
            </w:pPr>
            <w:r>
              <w:rPr>
                <w:rFonts w:hint="default" w:ascii="宋体" w:hAnsi="宋体"/>
                <w:color w:val="auto"/>
                <w:sz w:val="21"/>
                <w:szCs w:val="21"/>
                <w:highlight w:val="none"/>
                <w:lang w:bidi="ar"/>
              </w:rPr>
              <w:t xml:space="preserve">电话： </w:t>
            </w:r>
            <w:r>
              <w:rPr>
                <w:rFonts w:hint="eastAsia" w:ascii="宋体" w:hAnsi="宋体"/>
                <w:color w:val="auto"/>
                <w:sz w:val="21"/>
                <w:szCs w:val="21"/>
                <w:highlight w:val="none"/>
                <w:lang w:bidi="ar"/>
              </w:rPr>
              <w:t>0771-</w:t>
            </w:r>
          </w:p>
        </w:tc>
        <w:tc>
          <w:tcPr>
            <w:tcW w:w="4688" w:type="dxa"/>
            <w:noWrap w:val="0"/>
            <w:vAlign w:val="center"/>
          </w:tcPr>
          <w:p w14:paraId="279EBFF7">
            <w:pPr>
              <w:keepNext w:val="0"/>
              <w:keepLines w:val="0"/>
              <w:suppressLineNumbers w:val="0"/>
              <w:snapToGrid w:val="0"/>
              <w:spacing w:before="0" w:beforeAutospacing="0" w:after="0" w:afterAutospacing="0" w:line="360" w:lineRule="exact"/>
              <w:ind w:left="0" w:right="0"/>
              <w:rPr>
                <w:rFonts w:hint="default"/>
                <w:color w:val="auto"/>
                <w:szCs w:val="21"/>
                <w:highlight w:val="none"/>
              </w:rPr>
            </w:pPr>
            <w:r>
              <w:rPr>
                <w:rFonts w:hint="default"/>
                <w:color w:val="auto"/>
                <w:szCs w:val="21"/>
                <w:highlight w:val="none"/>
              </w:rPr>
              <w:t>电话：</w:t>
            </w:r>
          </w:p>
        </w:tc>
      </w:tr>
      <w:tr w14:paraId="037F4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4437" w:type="dxa"/>
            <w:noWrap w:val="0"/>
            <w:vAlign w:val="center"/>
          </w:tcPr>
          <w:p w14:paraId="1F743326">
            <w:pPr>
              <w:pStyle w:val="19"/>
              <w:keepNext w:val="0"/>
              <w:keepLines w:val="0"/>
              <w:suppressLineNumbers w:val="0"/>
              <w:spacing w:before="0" w:beforeAutospacing="0" w:after="0" w:afterAutospacing="0" w:line="400" w:lineRule="exact"/>
              <w:ind w:left="0" w:right="0"/>
              <w:rPr>
                <w:rFonts w:hint="default"/>
                <w:color w:val="auto"/>
                <w:szCs w:val="21"/>
                <w:highlight w:val="none"/>
              </w:rPr>
            </w:pPr>
            <w:r>
              <w:rPr>
                <w:rFonts w:hint="default" w:ascii="宋体" w:hAnsi="宋体"/>
                <w:color w:val="auto"/>
                <w:sz w:val="21"/>
                <w:szCs w:val="21"/>
                <w:highlight w:val="none"/>
                <w:lang w:bidi="ar"/>
              </w:rPr>
              <w:t>开户银行：</w:t>
            </w:r>
            <w:r>
              <w:rPr>
                <w:rFonts w:hint="eastAsia" w:ascii="宋体" w:hAnsi="宋体"/>
                <w:color w:val="auto"/>
                <w:sz w:val="21"/>
                <w:szCs w:val="21"/>
                <w:highlight w:val="none"/>
                <w:lang w:eastAsia="zh-CN" w:bidi="ar"/>
              </w:rPr>
              <w:t>中国工商银行南宁市公园支行</w:t>
            </w:r>
            <w:r>
              <w:rPr>
                <w:rFonts w:hint="default" w:ascii="宋体" w:hAnsi="宋体"/>
                <w:color w:val="auto"/>
                <w:sz w:val="21"/>
                <w:szCs w:val="21"/>
                <w:highlight w:val="none"/>
                <w:lang w:bidi="ar"/>
              </w:rPr>
              <w:t xml:space="preserve"> </w:t>
            </w:r>
          </w:p>
        </w:tc>
        <w:tc>
          <w:tcPr>
            <w:tcW w:w="4688" w:type="dxa"/>
            <w:noWrap w:val="0"/>
            <w:vAlign w:val="center"/>
          </w:tcPr>
          <w:p w14:paraId="3EF8934B">
            <w:pPr>
              <w:keepNext w:val="0"/>
              <w:keepLines w:val="0"/>
              <w:suppressLineNumbers w:val="0"/>
              <w:snapToGrid w:val="0"/>
              <w:spacing w:before="0" w:beforeAutospacing="0" w:after="0" w:afterAutospacing="0" w:line="360" w:lineRule="exact"/>
              <w:ind w:left="0" w:right="0"/>
              <w:rPr>
                <w:rFonts w:hint="default"/>
                <w:color w:val="auto"/>
                <w:szCs w:val="21"/>
                <w:highlight w:val="none"/>
              </w:rPr>
            </w:pPr>
            <w:r>
              <w:rPr>
                <w:rFonts w:hint="default"/>
                <w:color w:val="auto"/>
                <w:szCs w:val="21"/>
                <w:highlight w:val="none"/>
              </w:rPr>
              <w:t>开户银行：</w:t>
            </w:r>
          </w:p>
        </w:tc>
      </w:tr>
      <w:tr w14:paraId="60C2C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trPr>
        <w:tc>
          <w:tcPr>
            <w:tcW w:w="4437" w:type="dxa"/>
            <w:noWrap w:val="0"/>
            <w:vAlign w:val="center"/>
          </w:tcPr>
          <w:p w14:paraId="42BD0AA4">
            <w:pPr>
              <w:pStyle w:val="19"/>
              <w:keepNext w:val="0"/>
              <w:keepLines w:val="0"/>
              <w:suppressLineNumbers w:val="0"/>
              <w:spacing w:before="0" w:beforeAutospacing="0" w:after="0" w:afterAutospacing="0" w:line="400" w:lineRule="exact"/>
              <w:ind w:left="0" w:right="0"/>
              <w:rPr>
                <w:rFonts w:hint="default" w:eastAsia="宋体"/>
                <w:color w:val="auto"/>
                <w:szCs w:val="21"/>
                <w:highlight w:val="none"/>
                <w:lang w:val="en-US" w:eastAsia="zh-CN"/>
              </w:rPr>
            </w:pPr>
            <w:r>
              <w:rPr>
                <w:rFonts w:hint="default" w:ascii="宋体" w:hAnsi="宋体"/>
                <w:color w:val="auto"/>
                <w:sz w:val="21"/>
                <w:szCs w:val="21"/>
                <w:highlight w:val="none"/>
                <w:lang w:bidi="ar"/>
              </w:rPr>
              <w:t xml:space="preserve">账号： </w:t>
            </w:r>
            <w:r>
              <w:rPr>
                <w:rFonts w:hint="eastAsia" w:ascii="宋体" w:hAnsi="宋体"/>
                <w:color w:val="auto"/>
                <w:sz w:val="21"/>
                <w:szCs w:val="21"/>
                <w:highlight w:val="none"/>
                <w:lang w:val="en-US" w:eastAsia="zh-CN" w:bidi="ar"/>
              </w:rPr>
              <w:t>2102 1011 0924 9000 342</w:t>
            </w:r>
          </w:p>
        </w:tc>
        <w:tc>
          <w:tcPr>
            <w:tcW w:w="4688" w:type="dxa"/>
            <w:noWrap w:val="0"/>
            <w:vAlign w:val="center"/>
          </w:tcPr>
          <w:p w14:paraId="78DF1368">
            <w:pPr>
              <w:keepNext w:val="0"/>
              <w:keepLines w:val="0"/>
              <w:suppressLineNumbers w:val="0"/>
              <w:snapToGrid w:val="0"/>
              <w:spacing w:before="0" w:beforeAutospacing="0" w:after="0" w:afterAutospacing="0" w:line="360" w:lineRule="exact"/>
              <w:ind w:left="0" w:right="0"/>
              <w:rPr>
                <w:rFonts w:hint="default"/>
                <w:color w:val="auto"/>
                <w:szCs w:val="21"/>
                <w:highlight w:val="none"/>
              </w:rPr>
            </w:pPr>
            <w:r>
              <w:rPr>
                <w:rFonts w:hint="default"/>
                <w:color w:val="auto"/>
                <w:szCs w:val="21"/>
                <w:highlight w:val="none"/>
              </w:rPr>
              <w:t>账号：</w:t>
            </w:r>
          </w:p>
        </w:tc>
      </w:tr>
    </w:tbl>
    <w:p w14:paraId="0FC22483">
      <w:pPr>
        <w:snapToGrid w:val="0"/>
        <w:spacing w:line="360" w:lineRule="exact"/>
        <w:ind w:firstLine="420" w:firstLineChars="200"/>
        <w:rPr>
          <w:color w:val="auto"/>
          <w:szCs w:val="21"/>
          <w:highlight w:val="none"/>
        </w:rPr>
      </w:pPr>
    </w:p>
    <w:p w14:paraId="75D037D9">
      <w:pPr>
        <w:spacing w:before="120" w:line="320" w:lineRule="atLeast"/>
        <w:jc w:val="left"/>
        <w:outlineLvl w:val="1"/>
        <w:rPr>
          <w:b/>
          <w:bCs/>
          <w:color w:val="auto"/>
          <w:kern w:val="0"/>
          <w:szCs w:val="21"/>
          <w:highlight w:val="none"/>
        </w:rPr>
      </w:pPr>
      <w:r>
        <w:rPr>
          <w:color w:val="auto"/>
          <w:szCs w:val="21"/>
          <w:highlight w:val="none"/>
        </w:rPr>
        <w:br w:type="page"/>
      </w:r>
      <w:r>
        <w:rPr>
          <w:b/>
          <w:bCs/>
          <w:color w:val="auto"/>
          <w:kern w:val="0"/>
          <w:szCs w:val="21"/>
          <w:highlight w:val="none"/>
        </w:rPr>
        <w:t>合同附件1</w:t>
      </w:r>
    </w:p>
    <w:p w14:paraId="5AB5EE53">
      <w:pPr>
        <w:snapToGrid w:val="0"/>
        <w:rPr>
          <w:color w:val="auto"/>
          <w:sz w:val="18"/>
          <w:szCs w:val="18"/>
          <w:highlight w:val="none"/>
        </w:rPr>
      </w:pPr>
    </w:p>
    <w:tbl>
      <w:tblPr>
        <w:tblStyle w:val="51"/>
        <w:tblW w:w="9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640"/>
      </w:tblGrid>
      <w:tr w14:paraId="18D4D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noWrap w:val="0"/>
            <w:vAlign w:val="center"/>
          </w:tcPr>
          <w:p w14:paraId="75A23E40">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供</w:t>
            </w:r>
          </w:p>
          <w:p w14:paraId="25E3FD14">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应</w:t>
            </w:r>
          </w:p>
          <w:p w14:paraId="6C5DC89A">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商</w:t>
            </w:r>
          </w:p>
          <w:p w14:paraId="72F2160F">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申</w:t>
            </w:r>
          </w:p>
          <w:p w14:paraId="7E4BA6F3">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请</w:t>
            </w:r>
          </w:p>
        </w:tc>
        <w:tc>
          <w:tcPr>
            <w:tcW w:w="8640" w:type="dxa"/>
            <w:noWrap w:val="0"/>
            <w:vAlign w:val="center"/>
          </w:tcPr>
          <w:p w14:paraId="5623605A">
            <w:pPr>
              <w:keepNext w:val="0"/>
              <w:keepLines w:val="0"/>
              <w:suppressLineNumbers w:val="0"/>
              <w:spacing w:before="0" w:beforeAutospacing="0" w:after="0" w:afterAutospacing="0"/>
              <w:ind w:left="0" w:right="0"/>
              <w:rPr>
                <w:rFonts w:hint="default"/>
                <w:color w:val="auto"/>
                <w:szCs w:val="21"/>
                <w:highlight w:val="none"/>
              </w:rPr>
            </w:pPr>
            <w:r>
              <w:rPr>
                <w:rFonts w:hint="default"/>
                <w:color w:val="auto"/>
                <w:szCs w:val="21"/>
                <w:highlight w:val="none"/>
              </w:rPr>
              <w:t>项目编号：</w:t>
            </w:r>
          </w:p>
        </w:tc>
      </w:tr>
      <w:tr w14:paraId="3FBF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noWrap w:val="0"/>
            <w:vAlign w:val="center"/>
          </w:tcPr>
          <w:p w14:paraId="523761CF">
            <w:pPr>
              <w:keepNext w:val="0"/>
              <w:keepLines w:val="0"/>
              <w:suppressLineNumbers w:val="0"/>
              <w:spacing w:before="0" w:beforeAutospacing="0" w:after="0" w:afterAutospacing="0"/>
              <w:ind w:left="0" w:right="0"/>
              <w:rPr>
                <w:rFonts w:hint="default"/>
                <w:color w:val="auto"/>
                <w:szCs w:val="21"/>
                <w:highlight w:val="none"/>
              </w:rPr>
            </w:pPr>
          </w:p>
        </w:tc>
        <w:tc>
          <w:tcPr>
            <w:tcW w:w="8640" w:type="dxa"/>
            <w:noWrap w:val="0"/>
            <w:vAlign w:val="center"/>
          </w:tcPr>
          <w:p w14:paraId="3EEFABD3">
            <w:pPr>
              <w:keepNext w:val="0"/>
              <w:keepLines w:val="0"/>
              <w:suppressLineNumbers w:val="0"/>
              <w:spacing w:before="0" w:beforeAutospacing="0" w:after="0" w:afterAutospacing="0"/>
              <w:ind w:left="0" w:right="0"/>
              <w:rPr>
                <w:rFonts w:hint="default"/>
                <w:color w:val="auto"/>
                <w:szCs w:val="21"/>
                <w:highlight w:val="none"/>
              </w:rPr>
            </w:pPr>
            <w:r>
              <w:rPr>
                <w:rFonts w:hint="default"/>
                <w:color w:val="auto"/>
                <w:szCs w:val="21"/>
                <w:highlight w:val="none"/>
              </w:rPr>
              <w:t>项目名称：</w:t>
            </w:r>
          </w:p>
        </w:tc>
      </w:tr>
      <w:tr w14:paraId="204F3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noWrap w:val="0"/>
            <w:vAlign w:val="top"/>
          </w:tcPr>
          <w:p w14:paraId="5FA832D2">
            <w:pPr>
              <w:keepNext w:val="0"/>
              <w:keepLines w:val="0"/>
              <w:suppressLineNumbers w:val="0"/>
              <w:spacing w:before="0" w:beforeAutospacing="0" w:after="0" w:afterAutospacing="0"/>
              <w:ind w:left="0" w:right="0"/>
              <w:rPr>
                <w:rFonts w:hint="default"/>
                <w:color w:val="auto"/>
                <w:szCs w:val="21"/>
                <w:highlight w:val="none"/>
              </w:rPr>
            </w:pPr>
          </w:p>
        </w:tc>
        <w:tc>
          <w:tcPr>
            <w:tcW w:w="8640" w:type="dxa"/>
            <w:noWrap w:val="0"/>
            <w:vAlign w:val="top"/>
          </w:tcPr>
          <w:p w14:paraId="3911C904">
            <w:pPr>
              <w:keepNext w:val="0"/>
              <w:keepLines w:val="0"/>
              <w:suppressLineNumbers w:val="0"/>
              <w:spacing w:before="0" w:beforeAutospacing="0" w:after="0" w:afterAutospacing="0"/>
              <w:ind w:left="0" w:right="0"/>
              <w:rPr>
                <w:rFonts w:hint="default"/>
                <w:color w:val="auto"/>
                <w:szCs w:val="21"/>
                <w:highlight w:val="none"/>
              </w:rPr>
            </w:pPr>
            <w:r>
              <w:rPr>
                <w:rFonts w:hint="default"/>
                <w:color w:val="auto"/>
                <w:szCs w:val="21"/>
                <w:highlight w:val="none"/>
              </w:rPr>
              <w:t xml:space="preserve">  </w:t>
            </w:r>
          </w:p>
          <w:p w14:paraId="1F1D7390">
            <w:pPr>
              <w:keepNext w:val="0"/>
              <w:keepLines w:val="0"/>
              <w:suppressLineNumbers w:val="0"/>
              <w:spacing w:before="0" w:beforeAutospacing="0" w:after="0" w:afterAutospacing="0" w:line="400" w:lineRule="exact"/>
              <w:ind w:left="0" w:right="0" w:firstLine="420" w:firstLineChars="200"/>
              <w:rPr>
                <w:rFonts w:hint="default"/>
                <w:color w:val="auto"/>
                <w:szCs w:val="21"/>
                <w:highlight w:val="none"/>
              </w:rPr>
            </w:pPr>
            <w:r>
              <w:rPr>
                <w:rFonts w:hint="default"/>
                <w:color w:val="auto"/>
                <w:szCs w:val="21"/>
                <w:highlight w:val="none"/>
              </w:rPr>
              <w:t>该项目已于</w:t>
            </w:r>
            <w:r>
              <w:rPr>
                <w:rFonts w:hint="default"/>
                <w:color w:val="auto"/>
                <w:szCs w:val="21"/>
                <w:highlight w:val="none"/>
                <w:u w:val="single"/>
              </w:rPr>
              <w:t xml:space="preserve">       </w:t>
            </w:r>
            <w:r>
              <w:rPr>
                <w:rFonts w:hint="default"/>
                <w:color w:val="auto"/>
                <w:szCs w:val="21"/>
                <w:highlight w:val="none"/>
              </w:rPr>
              <w:t>年</w:t>
            </w:r>
            <w:r>
              <w:rPr>
                <w:rFonts w:hint="default"/>
                <w:color w:val="auto"/>
                <w:szCs w:val="21"/>
                <w:highlight w:val="none"/>
                <w:u w:val="single"/>
              </w:rPr>
              <w:t xml:space="preserve">     </w:t>
            </w:r>
            <w:r>
              <w:rPr>
                <w:rFonts w:hint="default"/>
                <w:color w:val="auto"/>
                <w:szCs w:val="21"/>
                <w:highlight w:val="none"/>
              </w:rPr>
              <w:t>月</w:t>
            </w:r>
            <w:r>
              <w:rPr>
                <w:rFonts w:hint="default"/>
                <w:color w:val="auto"/>
                <w:szCs w:val="21"/>
                <w:highlight w:val="none"/>
                <w:u w:val="single"/>
              </w:rPr>
              <w:t xml:space="preserve">     </w:t>
            </w:r>
            <w:r>
              <w:rPr>
                <w:rFonts w:hint="default"/>
                <w:color w:val="auto"/>
                <w:szCs w:val="21"/>
                <w:highlight w:val="none"/>
              </w:rPr>
              <w:t>日验收并交付使用。根据合同规定，该项目的履约保证金期限于</w:t>
            </w:r>
            <w:r>
              <w:rPr>
                <w:rFonts w:hint="default"/>
                <w:color w:val="auto"/>
                <w:szCs w:val="21"/>
                <w:highlight w:val="none"/>
                <w:u w:val="single"/>
              </w:rPr>
              <w:t xml:space="preserve">         </w:t>
            </w:r>
            <w:r>
              <w:rPr>
                <w:rFonts w:hint="default"/>
                <w:color w:val="auto"/>
                <w:szCs w:val="21"/>
                <w:highlight w:val="none"/>
              </w:rPr>
              <w:t>年</w:t>
            </w:r>
            <w:r>
              <w:rPr>
                <w:rFonts w:hint="default"/>
                <w:color w:val="auto"/>
                <w:szCs w:val="21"/>
                <w:highlight w:val="none"/>
                <w:u w:val="single"/>
              </w:rPr>
              <w:t xml:space="preserve">      </w:t>
            </w:r>
            <w:r>
              <w:rPr>
                <w:rFonts w:hint="default"/>
                <w:color w:val="auto"/>
                <w:szCs w:val="21"/>
                <w:highlight w:val="none"/>
              </w:rPr>
              <w:t>月</w:t>
            </w:r>
            <w:r>
              <w:rPr>
                <w:rFonts w:hint="default"/>
                <w:color w:val="auto"/>
                <w:szCs w:val="21"/>
                <w:highlight w:val="none"/>
                <w:u w:val="single"/>
              </w:rPr>
              <w:t xml:space="preserve">       </w:t>
            </w:r>
            <w:r>
              <w:rPr>
                <w:rFonts w:hint="default"/>
                <w:color w:val="auto"/>
                <w:szCs w:val="21"/>
                <w:highlight w:val="none"/>
              </w:rPr>
              <w:t>日已满，请将履约保证金</w:t>
            </w:r>
          </w:p>
          <w:p w14:paraId="44B585DF">
            <w:pPr>
              <w:keepNext w:val="0"/>
              <w:keepLines w:val="0"/>
              <w:suppressLineNumbers w:val="0"/>
              <w:spacing w:before="0" w:beforeAutospacing="0" w:after="0" w:afterAutospacing="0" w:line="400" w:lineRule="exact"/>
              <w:ind w:left="0" w:right="0"/>
              <w:rPr>
                <w:rFonts w:hint="default"/>
                <w:color w:val="auto"/>
                <w:szCs w:val="21"/>
                <w:highlight w:val="none"/>
              </w:rPr>
            </w:pPr>
            <w:r>
              <w:rPr>
                <w:rFonts w:hint="default"/>
                <w:color w:val="auto"/>
                <w:szCs w:val="21"/>
                <w:highlight w:val="none"/>
                <w:u w:val="single"/>
              </w:rPr>
              <w:t xml:space="preserve">                                        </w:t>
            </w:r>
            <w:r>
              <w:rPr>
                <w:rFonts w:hint="default"/>
                <w:color w:val="auto"/>
                <w:szCs w:val="21"/>
                <w:highlight w:val="none"/>
              </w:rPr>
              <w:t>（大写）¥</w:t>
            </w:r>
            <w:r>
              <w:rPr>
                <w:rFonts w:hint="default"/>
                <w:color w:val="auto"/>
                <w:szCs w:val="21"/>
                <w:highlight w:val="none"/>
                <w:u w:val="single"/>
              </w:rPr>
              <w:t xml:space="preserve">          </w:t>
            </w:r>
            <w:r>
              <w:rPr>
                <w:rFonts w:hint="default"/>
                <w:color w:val="auto"/>
                <w:szCs w:val="21"/>
                <w:highlight w:val="none"/>
              </w:rPr>
              <w:t>（小写）退付到达以下账户。</w:t>
            </w:r>
          </w:p>
          <w:p w14:paraId="087C1962">
            <w:pPr>
              <w:keepNext w:val="0"/>
              <w:keepLines w:val="0"/>
              <w:suppressLineNumbers w:val="0"/>
              <w:spacing w:before="0" w:beforeAutospacing="0" w:after="0" w:afterAutospacing="0" w:line="400" w:lineRule="exact"/>
              <w:ind w:left="0" w:right="0" w:firstLine="705"/>
              <w:rPr>
                <w:rFonts w:hint="default"/>
                <w:color w:val="auto"/>
                <w:szCs w:val="21"/>
                <w:highlight w:val="none"/>
              </w:rPr>
            </w:pPr>
            <w:r>
              <w:rPr>
                <w:rFonts w:hint="default"/>
                <w:color w:val="auto"/>
                <w:szCs w:val="21"/>
                <w:highlight w:val="none"/>
              </w:rPr>
              <w:t>单位名称：</w:t>
            </w:r>
          </w:p>
          <w:p w14:paraId="7FD82735">
            <w:pPr>
              <w:keepNext w:val="0"/>
              <w:keepLines w:val="0"/>
              <w:suppressLineNumbers w:val="0"/>
              <w:spacing w:before="0" w:beforeAutospacing="0" w:after="0" w:afterAutospacing="0" w:line="400" w:lineRule="exact"/>
              <w:ind w:left="0" w:right="0" w:firstLine="705"/>
              <w:rPr>
                <w:rFonts w:hint="default"/>
                <w:color w:val="auto"/>
                <w:szCs w:val="21"/>
                <w:highlight w:val="none"/>
              </w:rPr>
            </w:pPr>
            <w:r>
              <w:rPr>
                <w:rFonts w:hint="default"/>
                <w:color w:val="auto"/>
                <w:szCs w:val="21"/>
                <w:highlight w:val="none"/>
              </w:rPr>
              <w:t>开户银行：</w:t>
            </w:r>
          </w:p>
          <w:p w14:paraId="52079539">
            <w:pPr>
              <w:keepNext w:val="0"/>
              <w:keepLines w:val="0"/>
              <w:suppressLineNumbers w:val="0"/>
              <w:spacing w:before="0" w:beforeAutospacing="0" w:after="0" w:afterAutospacing="0" w:line="400" w:lineRule="exact"/>
              <w:ind w:left="0" w:right="0" w:firstLine="705"/>
              <w:rPr>
                <w:rFonts w:hint="default"/>
                <w:color w:val="auto"/>
                <w:szCs w:val="21"/>
                <w:highlight w:val="none"/>
              </w:rPr>
            </w:pPr>
            <w:r>
              <w:rPr>
                <w:rFonts w:hint="default"/>
                <w:color w:val="auto"/>
                <w:szCs w:val="21"/>
                <w:highlight w:val="none"/>
              </w:rPr>
              <w:t>账   号：</w:t>
            </w:r>
          </w:p>
          <w:p w14:paraId="2B7C00BD">
            <w:pPr>
              <w:keepNext w:val="0"/>
              <w:keepLines w:val="0"/>
              <w:suppressLineNumbers w:val="0"/>
              <w:spacing w:before="0" w:beforeAutospacing="0" w:after="0" w:afterAutospacing="0" w:line="400" w:lineRule="exact"/>
              <w:ind w:left="0" w:right="0"/>
              <w:rPr>
                <w:rFonts w:hint="default"/>
                <w:color w:val="auto"/>
                <w:szCs w:val="21"/>
                <w:highlight w:val="none"/>
              </w:rPr>
            </w:pPr>
            <w:r>
              <w:rPr>
                <w:rFonts w:hint="default"/>
                <w:color w:val="auto"/>
                <w:szCs w:val="21"/>
                <w:highlight w:val="none"/>
              </w:rPr>
              <w:t>联系人及电话：</w:t>
            </w:r>
          </w:p>
          <w:p w14:paraId="6CB97E4A">
            <w:pPr>
              <w:keepNext w:val="0"/>
              <w:keepLines w:val="0"/>
              <w:suppressLineNumbers w:val="0"/>
              <w:spacing w:before="0" w:beforeAutospacing="0" w:after="0" w:afterAutospacing="0" w:line="400" w:lineRule="exact"/>
              <w:ind w:left="0" w:right="0"/>
              <w:rPr>
                <w:rFonts w:hint="default"/>
                <w:color w:val="auto"/>
                <w:szCs w:val="21"/>
                <w:highlight w:val="none"/>
              </w:rPr>
            </w:pPr>
          </w:p>
          <w:p w14:paraId="43D57E0F">
            <w:pPr>
              <w:keepNext w:val="0"/>
              <w:keepLines w:val="0"/>
              <w:suppressLineNumbers w:val="0"/>
              <w:spacing w:before="0" w:beforeAutospacing="0" w:after="0" w:afterAutospacing="0" w:line="520" w:lineRule="exact"/>
              <w:ind w:left="0" w:right="0"/>
              <w:jc w:val="center"/>
              <w:rPr>
                <w:rFonts w:hint="default"/>
                <w:color w:val="auto"/>
                <w:szCs w:val="21"/>
                <w:highlight w:val="none"/>
              </w:rPr>
            </w:pPr>
            <w:r>
              <w:rPr>
                <w:rFonts w:hint="default"/>
                <w:color w:val="auto"/>
                <w:szCs w:val="21"/>
                <w:highlight w:val="none"/>
              </w:rPr>
              <w:t xml:space="preserve">                                     供应商</w:t>
            </w:r>
            <w:r>
              <w:rPr>
                <w:rFonts w:hint="eastAsia"/>
                <w:color w:val="auto"/>
                <w:szCs w:val="21"/>
                <w:highlight w:val="none"/>
              </w:rPr>
              <w:t>公</w:t>
            </w:r>
            <w:r>
              <w:rPr>
                <w:rFonts w:hint="default"/>
                <w:color w:val="auto"/>
                <w:szCs w:val="21"/>
                <w:highlight w:val="none"/>
              </w:rPr>
              <w:t>章：</w:t>
            </w:r>
          </w:p>
          <w:p w14:paraId="3ACDCD97">
            <w:pPr>
              <w:keepNext w:val="0"/>
              <w:keepLines w:val="0"/>
              <w:suppressLineNumbers w:val="0"/>
              <w:spacing w:before="0" w:beforeAutospacing="0" w:after="0" w:afterAutospacing="0" w:line="520" w:lineRule="exact"/>
              <w:ind w:left="0" w:right="0"/>
              <w:jc w:val="center"/>
              <w:rPr>
                <w:rFonts w:hint="default"/>
                <w:color w:val="auto"/>
                <w:szCs w:val="21"/>
                <w:highlight w:val="none"/>
              </w:rPr>
            </w:pPr>
            <w:r>
              <w:rPr>
                <w:rFonts w:hint="default"/>
                <w:color w:val="auto"/>
                <w:szCs w:val="21"/>
                <w:highlight w:val="none"/>
              </w:rPr>
              <w:t xml:space="preserve">                           年    月     日</w:t>
            </w:r>
          </w:p>
        </w:tc>
      </w:tr>
      <w:tr w14:paraId="03F46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233DF517">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采</w:t>
            </w:r>
          </w:p>
          <w:p w14:paraId="5AD9594E">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购</w:t>
            </w:r>
          </w:p>
          <w:p w14:paraId="7F74E24B">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单</w:t>
            </w:r>
          </w:p>
          <w:p w14:paraId="44A1D0B2">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位</w:t>
            </w:r>
          </w:p>
          <w:p w14:paraId="4CDC7CE9">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意</w:t>
            </w:r>
          </w:p>
          <w:p w14:paraId="689DEB05">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见</w:t>
            </w:r>
          </w:p>
        </w:tc>
        <w:tc>
          <w:tcPr>
            <w:tcW w:w="8640" w:type="dxa"/>
            <w:noWrap w:val="0"/>
            <w:vAlign w:val="top"/>
          </w:tcPr>
          <w:p w14:paraId="592EEB9A">
            <w:pPr>
              <w:keepNext w:val="0"/>
              <w:keepLines w:val="0"/>
              <w:suppressLineNumbers w:val="0"/>
              <w:spacing w:before="0" w:beforeAutospacing="0" w:after="0" w:afterAutospacing="0"/>
              <w:ind w:left="0" w:right="0"/>
              <w:rPr>
                <w:rFonts w:hint="default"/>
                <w:color w:val="auto"/>
                <w:szCs w:val="21"/>
                <w:highlight w:val="none"/>
              </w:rPr>
            </w:pPr>
          </w:p>
          <w:p w14:paraId="008B514C">
            <w:pPr>
              <w:keepNext w:val="0"/>
              <w:keepLines w:val="0"/>
              <w:suppressLineNumbers w:val="0"/>
              <w:spacing w:before="0" w:beforeAutospacing="0" w:after="0" w:afterAutospacing="0"/>
              <w:ind w:left="0" w:right="0"/>
              <w:rPr>
                <w:rFonts w:hint="default"/>
                <w:color w:val="auto"/>
                <w:szCs w:val="21"/>
                <w:highlight w:val="none"/>
              </w:rPr>
            </w:pPr>
            <w:r>
              <w:rPr>
                <w:rFonts w:hint="default"/>
                <w:color w:val="auto"/>
                <w:szCs w:val="21"/>
                <w:highlight w:val="none"/>
              </w:rPr>
              <w:t>退付意见：是否同意退付履约保证金及退付金额：</w:t>
            </w:r>
          </w:p>
          <w:p w14:paraId="376C02FA">
            <w:pPr>
              <w:keepNext w:val="0"/>
              <w:keepLines w:val="0"/>
              <w:suppressLineNumbers w:val="0"/>
              <w:spacing w:before="0" w:beforeAutospacing="0" w:after="0" w:afterAutospacing="0"/>
              <w:ind w:left="0" w:right="0"/>
              <w:rPr>
                <w:rFonts w:hint="default"/>
                <w:color w:val="auto"/>
                <w:szCs w:val="21"/>
                <w:highlight w:val="none"/>
              </w:rPr>
            </w:pPr>
          </w:p>
          <w:p w14:paraId="77947324">
            <w:pPr>
              <w:keepNext w:val="0"/>
              <w:keepLines w:val="0"/>
              <w:suppressLineNumbers w:val="0"/>
              <w:spacing w:before="0" w:beforeAutospacing="0" w:after="0" w:afterAutospacing="0"/>
              <w:ind w:left="0" w:right="0"/>
              <w:rPr>
                <w:rFonts w:hint="default"/>
                <w:color w:val="auto"/>
                <w:szCs w:val="21"/>
                <w:highlight w:val="none"/>
              </w:rPr>
            </w:pPr>
          </w:p>
          <w:p w14:paraId="2765CE46">
            <w:pPr>
              <w:keepNext w:val="0"/>
              <w:keepLines w:val="0"/>
              <w:suppressLineNumbers w:val="0"/>
              <w:spacing w:before="0" w:beforeAutospacing="0" w:after="0" w:afterAutospacing="0" w:line="520" w:lineRule="exact"/>
              <w:ind w:left="0" w:right="0"/>
              <w:rPr>
                <w:rFonts w:hint="default"/>
                <w:color w:val="auto"/>
                <w:szCs w:val="21"/>
                <w:highlight w:val="none"/>
              </w:rPr>
            </w:pPr>
            <w:r>
              <w:rPr>
                <w:rFonts w:hint="default"/>
                <w:color w:val="auto"/>
                <w:szCs w:val="21"/>
                <w:highlight w:val="none"/>
              </w:rPr>
              <w:t>联系人及电话：                                 采购单位</w:t>
            </w:r>
            <w:r>
              <w:rPr>
                <w:rFonts w:hint="eastAsia"/>
                <w:color w:val="auto"/>
                <w:szCs w:val="21"/>
                <w:highlight w:val="none"/>
              </w:rPr>
              <w:t>公</w:t>
            </w:r>
            <w:r>
              <w:rPr>
                <w:rFonts w:hint="default"/>
                <w:color w:val="auto"/>
                <w:szCs w:val="21"/>
                <w:highlight w:val="none"/>
              </w:rPr>
              <w:t>章</w:t>
            </w:r>
          </w:p>
          <w:p w14:paraId="5370580A">
            <w:pPr>
              <w:keepNext w:val="0"/>
              <w:keepLines w:val="0"/>
              <w:suppressLineNumbers w:val="0"/>
              <w:spacing w:before="0" w:beforeAutospacing="0" w:after="0" w:afterAutospacing="0" w:line="520" w:lineRule="exact"/>
              <w:ind w:left="0" w:right="0"/>
              <w:jc w:val="center"/>
              <w:rPr>
                <w:rFonts w:hint="default"/>
                <w:color w:val="auto"/>
                <w:szCs w:val="21"/>
                <w:highlight w:val="none"/>
              </w:rPr>
            </w:pPr>
            <w:r>
              <w:rPr>
                <w:rFonts w:hint="default"/>
                <w:color w:val="auto"/>
                <w:szCs w:val="21"/>
                <w:highlight w:val="none"/>
              </w:rPr>
              <w:t xml:space="preserve">                                        年    月     日</w:t>
            </w:r>
          </w:p>
        </w:tc>
      </w:tr>
      <w:tr w14:paraId="7880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5ACE5FFB">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财</w:t>
            </w:r>
          </w:p>
          <w:p w14:paraId="10FCBD54">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务</w:t>
            </w:r>
          </w:p>
          <w:p w14:paraId="2A875EAB">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部</w:t>
            </w:r>
          </w:p>
          <w:p w14:paraId="305F1563">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门</w:t>
            </w:r>
          </w:p>
          <w:p w14:paraId="4BC18147">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意</w:t>
            </w:r>
          </w:p>
          <w:p w14:paraId="6E081FFA">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见</w:t>
            </w:r>
          </w:p>
        </w:tc>
        <w:tc>
          <w:tcPr>
            <w:tcW w:w="8640" w:type="dxa"/>
            <w:noWrap w:val="0"/>
            <w:vAlign w:val="top"/>
          </w:tcPr>
          <w:p w14:paraId="5F79AC24">
            <w:pPr>
              <w:keepNext w:val="0"/>
              <w:keepLines w:val="0"/>
              <w:suppressLineNumbers w:val="0"/>
              <w:spacing w:before="0" w:beforeAutospacing="0" w:after="0" w:afterAutospacing="0" w:line="640" w:lineRule="exact"/>
              <w:ind w:left="0" w:right="0"/>
              <w:rPr>
                <w:rFonts w:hint="default"/>
                <w:color w:val="auto"/>
                <w:szCs w:val="21"/>
                <w:highlight w:val="none"/>
              </w:rPr>
            </w:pPr>
            <w:r>
              <w:rPr>
                <w:rFonts w:hint="default"/>
                <w:color w:val="auto"/>
                <w:szCs w:val="21"/>
                <w:highlight w:val="none"/>
              </w:rPr>
              <w:t>此表于</w:t>
            </w:r>
            <w:r>
              <w:rPr>
                <w:rFonts w:hint="default"/>
                <w:color w:val="auto"/>
                <w:szCs w:val="21"/>
                <w:highlight w:val="none"/>
                <w:u w:val="single"/>
              </w:rPr>
              <w:t xml:space="preserve">     </w:t>
            </w:r>
            <w:r>
              <w:rPr>
                <w:rFonts w:hint="default"/>
                <w:color w:val="auto"/>
                <w:szCs w:val="21"/>
                <w:highlight w:val="none"/>
              </w:rPr>
              <w:t>年</w:t>
            </w:r>
            <w:r>
              <w:rPr>
                <w:rFonts w:hint="default"/>
                <w:color w:val="auto"/>
                <w:szCs w:val="21"/>
                <w:highlight w:val="none"/>
                <w:u w:val="single"/>
              </w:rPr>
              <w:t xml:space="preserve">    </w:t>
            </w:r>
            <w:r>
              <w:rPr>
                <w:rFonts w:hint="default"/>
                <w:color w:val="auto"/>
                <w:szCs w:val="21"/>
                <w:highlight w:val="none"/>
              </w:rPr>
              <w:t xml:space="preserve"> 月 </w:t>
            </w:r>
            <w:r>
              <w:rPr>
                <w:rFonts w:hint="default"/>
                <w:color w:val="auto"/>
                <w:szCs w:val="21"/>
                <w:highlight w:val="none"/>
                <w:u w:val="single"/>
              </w:rPr>
              <w:t xml:space="preserve">   </w:t>
            </w:r>
            <w:r>
              <w:rPr>
                <w:rFonts w:hint="default"/>
                <w:color w:val="auto"/>
                <w:szCs w:val="21"/>
                <w:highlight w:val="none"/>
              </w:rPr>
              <w:t xml:space="preserve"> 日收到。</w:t>
            </w:r>
          </w:p>
          <w:p w14:paraId="27C466BD">
            <w:pPr>
              <w:keepNext w:val="0"/>
              <w:keepLines w:val="0"/>
              <w:suppressLineNumbers w:val="0"/>
              <w:spacing w:before="0" w:beforeAutospacing="0" w:after="0" w:afterAutospacing="0" w:line="640" w:lineRule="exact"/>
              <w:ind w:left="0" w:right="0"/>
              <w:rPr>
                <w:rFonts w:hint="default"/>
                <w:color w:val="auto"/>
                <w:szCs w:val="21"/>
                <w:highlight w:val="none"/>
              </w:rPr>
            </w:pPr>
            <w:r>
              <w:rPr>
                <w:rFonts w:hint="default"/>
                <w:color w:val="auto"/>
                <w:szCs w:val="21"/>
                <w:highlight w:val="none"/>
              </w:rPr>
              <w:t>会计审核：</w:t>
            </w:r>
          </w:p>
          <w:p w14:paraId="6C111EB6">
            <w:pPr>
              <w:keepNext w:val="0"/>
              <w:keepLines w:val="0"/>
              <w:suppressLineNumbers w:val="0"/>
              <w:spacing w:before="0" w:beforeAutospacing="0" w:after="0" w:afterAutospacing="0" w:line="640" w:lineRule="exact"/>
              <w:ind w:left="0" w:right="0"/>
              <w:rPr>
                <w:rFonts w:hint="default"/>
                <w:color w:val="auto"/>
                <w:szCs w:val="21"/>
                <w:highlight w:val="none"/>
              </w:rPr>
            </w:pPr>
            <w:r>
              <w:rPr>
                <w:rFonts w:hint="default"/>
                <w:color w:val="auto"/>
                <w:szCs w:val="21"/>
                <w:highlight w:val="none"/>
              </w:rPr>
              <w:t>财务负责人审核：</w:t>
            </w:r>
          </w:p>
          <w:p w14:paraId="4B5452A1">
            <w:pPr>
              <w:keepNext w:val="0"/>
              <w:keepLines w:val="0"/>
              <w:suppressLineNumbers w:val="0"/>
              <w:spacing w:before="0" w:beforeAutospacing="0" w:after="0" w:afterAutospacing="0" w:line="640" w:lineRule="exact"/>
              <w:ind w:left="0" w:right="0"/>
              <w:rPr>
                <w:rFonts w:hint="default"/>
                <w:color w:val="auto"/>
                <w:szCs w:val="21"/>
                <w:highlight w:val="none"/>
              </w:rPr>
            </w:pPr>
            <w:r>
              <w:rPr>
                <w:rFonts w:hint="default"/>
                <w:color w:val="auto"/>
                <w:szCs w:val="21"/>
                <w:highlight w:val="none"/>
              </w:rPr>
              <w:t>单位负责人签字：</w:t>
            </w:r>
          </w:p>
          <w:p w14:paraId="3DDB044A">
            <w:pPr>
              <w:keepNext w:val="0"/>
              <w:keepLines w:val="0"/>
              <w:suppressLineNumbers w:val="0"/>
              <w:spacing w:before="0" w:beforeAutospacing="0" w:after="0" w:afterAutospacing="0" w:line="640" w:lineRule="exact"/>
              <w:ind w:left="0" w:right="0"/>
              <w:rPr>
                <w:rFonts w:hint="default"/>
                <w:color w:val="auto"/>
                <w:szCs w:val="21"/>
                <w:highlight w:val="none"/>
              </w:rPr>
            </w:pPr>
            <w:r>
              <w:rPr>
                <w:rFonts w:hint="default"/>
                <w:color w:val="auto"/>
                <w:szCs w:val="21"/>
                <w:highlight w:val="none"/>
              </w:rPr>
              <w:t>出纳办理转账日期：</w:t>
            </w:r>
          </w:p>
        </w:tc>
      </w:tr>
    </w:tbl>
    <w:p w14:paraId="3A1DE275">
      <w:pPr>
        <w:pStyle w:val="19"/>
        <w:ind w:left="450" w:leftChars="114" w:hanging="211" w:hangingChars="100"/>
        <w:rPr>
          <w:b/>
          <w:bCs/>
          <w:color w:val="auto"/>
          <w:sz w:val="21"/>
          <w:szCs w:val="21"/>
          <w:highlight w:val="none"/>
        </w:rPr>
      </w:pPr>
      <w:r>
        <w:rPr>
          <w:b/>
          <w:bCs/>
          <w:color w:val="auto"/>
          <w:sz w:val="21"/>
          <w:szCs w:val="21"/>
          <w:highlight w:val="none"/>
        </w:rPr>
        <w:t>注：供应商凭经采购单位审批的退付意见书到相关财务部办理履约保证金退付事宜。</w:t>
      </w:r>
    </w:p>
    <w:p w14:paraId="699716A6">
      <w:pPr>
        <w:spacing w:before="120" w:line="320" w:lineRule="atLeast"/>
        <w:jc w:val="left"/>
        <w:outlineLvl w:val="1"/>
        <w:rPr>
          <w:b/>
          <w:bCs/>
          <w:color w:val="auto"/>
          <w:kern w:val="0"/>
          <w:szCs w:val="21"/>
          <w:highlight w:val="none"/>
        </w:rPr>
      </w:pPr>
      <w:r>
        <w:rPr>
          <w:b/>
          <w:color w:val="auto"/>
          <w:sz w:val="32"/>
          <w:szCs w:val="32"/>
          <w:highlight w:val="none"/>
        </w:rPr>
        <w:br w:type="page"/>
      </w:r>
      <w:r>
        <w:rPr>
          <w:b/>
          <w:bCs/>
          <w:color w:val="auto"/>
          <w:kern w:val="0"/>
          <w:szCs w:val="21"/>
          <w:highlight w:val="none"/>
        </w:rPr>
        <w:t>合同附件2</w:t>
      </w:r>
    </w:p>
    <w:p w14:paraId="42C5A57A">
      <w:pPr>
        <w:snapToGrid w:val="0"/>
        <w:spacing w:line="360" w:lineRule="exact"/>
        <w:jc w:val="center"/>
        <w:rPr>
          <w:b/>
          <w:bCs/>
          <w:color w:val="auto"/>
          <w:szCs w:val="21"/>
          <w:highlight w:val="none"/>
        </w:rPr>
      </w:pPr>
    </w:p>
    <w:p w14:paraId="37B572FD">
      <w:pPr>
        <w:snapToGrid w:val="0"/>
        <w:spacing w:line="360" w:lineRule="exact"/>
        <w:jc w:val="center"/>
        <w:rPr>
          <w:b/>
          <w:bCs/>
          <w:color w:val="auto"/>
          <w:szCs w:val="21"/>
          <w:highlight w:val="none"/>
        </w:rPr>
      </w:pPr>
      <w:r>
        <w:rPr>
          <w:b/>
          <w:bCs/>
          <w:color w:val="auto"/>
          <w:szCs w:val="21"/>
          <w:highlight w:val="none"/>
        </w:rPr>
        <w:t>履约</w:t>
      </w:r>
      <w:r>
        <w:rPr>
          <w:rFonts w:hint="eastAsia"/>
          <w:b/>
          <w:bCs/>
          <w:color w:val="auto"/>
          <w:szCs w:val="21"/>
          <w:highlight w:val="none"/>
        </w:rPr>
        <w:t>验收方案</w:t>
      </w:r>
    </w:p>
    <w:p w14:paraId="218B5E2A">
      <w:pPr>
        <w:widowControl/>
        <w:jc w:val="left"/>
        <w:rPr>
          <w:color w:val="auto"/>
          <w:szCs w:val="21"/>
          <w:highlight w:val="none"/>
        </w:rPr>
      </w:pPr>
    </w:p>
    <w:p w14:paraId="65908DA9">
      <w:pPr>
        <w:pStyle w:val="26"/>
        <w:snapToGrid w:val="0"/>
        <w:jc w:val="center"/>
        <w:rPr>
          <w:rFonts w:ascii="Times New Roman" w:hAnsi="Times New Roman" w:cs="Times New Roman"/>
          <w:b/>
          <w:color w:val="auto"/>
          <w:sz w:val="24"/>
          <w:szCs w:val="24"/>
          <w:highlight w:val="none"/>
        </w:rPr>
      </w:pPr>
      <w:r>
        <w:rPr>
          <w:rFonts w:hint="eastAsia" w:eastAsia="楷体_GB2312"/>
          <w:b/>
          <w:color w:val="auto"/>
          <w:sz w:val="24"/>
          <w:szCs w:val="24"/>
          <w:highlight w:val="none"/>
        </w:rPr>
        <w:t>【备注：本方案除无法确定的内容外，所有选项必须选择，所有空格必须填写内容】</w:t>
      </w:r>
    </w:p>
    <w:p w14:paraId="2E472F65">
      <w:pPr>
        <w:pStyle w:val="173"/>
        <w:ind w:firstLineChars="0"/>
        <w:rPr>
          <w:rFonts w:ascii="Times New Roman" w:hAnsi="Times New Roman" w:eastAsia="宋体"/>
          <w:color w:val="auto"/>
          <w:kern w:val="2"/>
          <w:sz w:val="21"/>
          <w:szCs w:val="21"/>
          <w:highlight w:val="none"/>
        </w:rPr>
      </w:pPr>
    </w:p>
    <w:p w14:paraId="242C0A0B">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1.履约验收工作参加人员</w:t>
      </w:r>
    </w:p>
    <w:p w14:paraId="63247234">
      <w:pPr>
        <w:spacing w:before="120" w:line="320" w:lineRule="exact"/>
        <w:jc w:val="left"/>
        <w:rPr>
          <w:rFonts w:ascii="宋体" w:hAnsi="宋体" w:cs="宋体"/>
          <w:color w:val="auto"/>
          <w:szCs w:val="21"/>
          <w:highlight w:val="none"/>
        </w:rPr>
      </w:pPr>
      <w:r>
        <w:rPr>
          <w:rFonts w:hint="eastAsia" w:ascii="宋体" w:hAnsi="宋体" w:cs="宋体"/>
          <w:b/>
          <w:bCs/>
          <w:color w:val="auto"/>
          <w:szCs w:val="21"/>
          <w:highlight w:val="none"/>
        </w:rPr>
        <w:t>1.1履约验收主体单位</w:t>
      </w:r>
    </w:p>
    <w:p w14:paraId="3C0FBD8A">
      <w:pPr>
        <w:spacing w:before="120" w:line="320" w:lineRule="exact"/>
        <w:ind w:firstLine="420" w:firstLineChars="200"/>
        <w:jc w:val="left"/>
        <w:rPr>
          <w:rFonts w:ascii="宋体" w:hAnsi="宋体" w:cs="宋体"/>
          <w:color w:val="auto"/>
          <w:szCs w:val="21"/>
          <w:highlight w:val="none"/>
          <w:u w:val="single"/>
        </w:rPr>
      </w:pPr>
      <w:r>
        <w:rPr>
          <w:rStyle w:val="58"/>
          <w:rFonts w:hint="eastAsia"/>
          <w:color w:val="auto"/>
          <w:highlight w:val="none"/>
          <w:u w:val="single"/>
        </w:rPr>
        <w:t>采购人</w:t>
      </w:r>
      <w:r>
        <w:rPr>
          <w:rStyle w:val="58"/>
          <w:rFonts w:hint="eastAsia"/>
          <w:color w:val="auto"/>
          <w:highlight w:val="none"/>
        </w:rPr>
        <w:t>（如委托第三方机构签订，应注明收费方式）</w:t>
      </w:r>
    </w:p>
    <w:p w14:paraId="20B692C3">
      <w:pPr>
        <w:spacing w:before="120" w:line="320" w:lineRule="exact"/>
        <w:jc w:val="left"/>
        <w:rPr>
          <w:rFonts w:ascii="宋体" w:hAnsi="宋体" w:cs="宋体"/>
          <w:color w:val="auto"/>
          <w:szCs w:val="21"/>
          <w:highlight w:val="none"/>
        </w:rPr>
      </w:pPr>
      <w:r>
        <w:rPr>
          <w:rFonts w:hint="eastAsia" w:ascii="宋体" w:hAnsi="宋体" w:cs="宋体"/>
          <w:b/>
          <w:bCs/>
          <w:color w:val="auto"/>
          <w:szCs w:val="21"/>
          <w:highlight w:val="none"/>
        </w:rPr>
        <w:t>1.2履约验收参加人员</w:t>
      </w:r>
    </w:p>
    <w:p w14:paraId="3A7CD19D">
      <w:pPr>
        <w:spacing w:before="120" w:line="320" w:lineRule="exact"/>
        <w:ind w:firstLine="420" w:firstLineChars="200"/>
        <w:jc w:val="left"/>
        <w:rPr>
          <w:rFonts w:ascii="宋体" w:hAnsi="宋体" w:cs="宋体"/>
          <w:color w:val="auto"/>
          <w:szCs w:val="21"/>
          <w:highlight w:val="none"/>
          <w:u w:val="single"/>
        </w:rPr>
      </w:pPr>
      <w:r>
        <w:rPr>
          <w:rFonts w:hint="eastAsia"/>
          <w:color w:val="auto"/>
          <w:highlight w:val="none"/>
        </w:rPr>
        <w:t>采购人代表、委托机构代表、成交供应商代表及采购人邀请的其他人员</w:t>
      </w:r>
    </w:p>
    <w:p w14:paraId="3D0A6DF3">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2.履约验收时间</w:t>
      </w:r>
    </w:p>
    <w:p w14:paraId="21269C7E">
      <w:pPr>
        <w:spacing w:before="120" w:line="320" w:lineRule="exact"/>
        <w:jc w:val="left"/>
        <w:rPr>
          <w:rFonts w:ascii="宋体" w:hAnsi="宋体" w:cs="宋体"/>
          <w:color w:val="auto"/>
          <w:szCs w:val="21"/>
          <w:highlight w:val="none"/>
        </w:rPr>
      </w:pPr>
      <w:r>
        <w:rPr>
          <w:rFonts w:hint="eastAsia" w:ascii="宋体" w:hAnsi="宋体" w:cs="宋体"/>
          <w:color w:val="auto"/>
          <w:szCs w:val="21"/>
          <w:highlight w:val="none"/>
        </w:rPr>
        <w:t>20XX年XX月XX日</w:t>
      </w:r>
    </w:p>
    <w:p w14:paraId="73984AB6">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3.履约验收地点</w:t>
      </w:r>
    </w:p>
    <w:p w14:paraId="18212614">
      <w:pPr>
        <w:spacing w:before="120" w:line="320" w:lineRule="exact"/>
        <w:jc w:val="left"/>
        <w:rPr>
          <w:rFonts w:ascii="宋体" w:hAnsi="宋体" w:cs="宋体"/>
          <w:color w:val="auto"/>
          <w:szCs w:val="21"/>
          <w:highlight w:val="none"/>
        </w:rPr>
      </w:pPr>
      <w:r>
        <w:rPr>
          <w:rFonts w:hint="eastAsia" w:ascii="宋体" w:hAnsi="宋体" w:cs="宋体"/>
          <w:color w:val="auto"/>
          <w:szCs w:val="21"/>
          <w:highlight w:val="none"/>
        </w:rPr>
        <w:t>XX市XX区XX路XX号</w:t>
      </w:r>
    </w:p>
    <w:p w14:paraId="3E5D06AC">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4.履约验收方式</w:t>
      </w:r>
    </w:p>
    <w:p w14:paraId="305D5F1B">
      <w:pPr>
        <w:spacing w:before="120" w:line="320" w:lineRule="exact"/>
        <w:jc w:val="left"/>
        <w:rPr>
          <w:rFonts w:ascii="宋体" w:hAnsi="宋体" w:cs="宋体"/>
          <w:b/>
          <w:bCs/>
          <w:color w:val="auto"/>
          <w:szCs w:val="21"/>
          <w:highlight w:val="none"/>
          <w:u w:val="single"/>
        </w:rPr>
      </w:pPr>
      <w:r>
        <w:rPr>
          <w:rFonts w:hint="eastAsia" w:ascii="宋体" w:hAnsi="宋体" w:cs="宋体"/>
          <w:color w:val="auto"/>
          <w:szCs w:val="21"/>
          <w:highlight w:val="none"/>
          <w:u w:val="single"/>
        </w:rPr>
        <w:t>采购人自行验收</w:t>
      </w:r>
    </w:p>
    <w:p w14:paraId="37004EEB">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5.履约验收程序</w:t>
      </w:r>
    </w:p>
    <w:p w14:paraId="7625D917">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5.1成立验收小组</w:t>
      </w:r>
    </w:p>
    <w:p w14:paraId="49325706">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5</w:t>
      </w:r>
      <w:r>
        <w:rPr>
          <w:rFonts w:ascii="宋体" w:hAnsi="宋体" w:cs="宋体"/>
          <w:b/>
          <w:bCs/>
          <w:color w:val="auto"/>
          <w:szCs w:val="21"/>
          <w:highlight w:val="none"/>
        </w:rPr>
        <w:t>.2</w:t>
      </w:r>
      <w:r>
        <w:rPr>
          <w:rFonts w:hint="eastAsia" w:ascii="宋体" w:hAnsi="宋体" w:cs="宋体"/>
          <w:b/>
          <w:bCs/>
          <w:color w:val="auto"/>
          <w:szCs w:val="21"/>
          <w:highlight w:val="none"/>
        </w:rPr>
        <w:t>量化验收标准</w:t>
      </w:r>
    </w:p>
    <w:p w14:paraId="7410A946">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5.</w:t>
      </w:r>
      <w:r>
        <w:rPr>
          <w:rFonts w:ascii="宋体" w:hAnsi="宋体" w:cs="宋体"/>
          <w:b/>
          <w:bCs/>
          <w:color w:val="auto"/>
          <w:szCs w:val="21"/>
          <w:highlight w:val="none"/>
        </w:rPr>
        <w:t>3</w:t>
      </w:r>
      <w:r>
        <w:rPr>
          <w:rFonts w:hint="eastAsia" w:ascii="宋体" w:hAnsi="宋体" w:cs="宋体"/>
          <w:b/>
          <w:bCs/>
          <w:color w:val="auto"/>
          <w:szCs w:val="21"/>
          <w:highlight w:val="none"/>
        </w:rPr>
        <w:t>组织验收</w:t>
      </w:r>
    </w:p>
    <w:p w14:paraId="592C903F">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5.</w:t>
      </w:r>
      <w:r>
        <w:rPr>
          <w:rFonts w:ascii="宋体" w:hAnsi="宋体" w:cs="宋体"/>
          <w:b/>
          <w:bCs/>
          <w:color w:val="auto"/>
          <w:szCs w:val="21"/>
          <w:highlight w:val="none"/>
        </w:rPr>
        <w:t>4</w:t>
      </w:r>
      <w:r>
        <w:rPr>
          <w:rFonts w:hint="eastAsia" w:ascii="宋体" w:hAnsi="宋体" w:cs="宋体"/>
          <w:b/>
          <w:bCs/>
          <w:color w:val="auto"/>
          <w:szCs w:val="21"/>
          <w:highlight w:val="none"/>
        </w:rPr>
        <w:t>出具验收报告</w:t>
      </w:r>
    </w:p>
    <w:p w14:paraId="2B0D336D">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5.</w:t>
      </w:r>
      <w:r>
        <w:rPr>
          <w:rFonts w:ascii="宋体" w:hAnsi="宋体" w:cs="宋体"/>
          <w:b/>
          <w:bCs/>
          <w:color w:val="auto"/>
          <w:szCs w:val="21"/>
          <w:highlight w:val="none"/>
        </w:rPr>
        <w:t>5</w:t>
      </w:r>
      <w:r>
        <w:rPr>
          <w:rFonts w:hint="eastAsia" w:ascii="宋体" w:hAnsi="宋体" w:cs="宋体"/>
          <w:b/>
          <w:bCs/>
          <w:color w:val="auto"/>
          <w:szCs w:val="21"/>
          <w:highlight w:val="none"/>
        </w:rPr>
        <w:t>验收结果公告</w:t>
      </w:r>
    </w:p>
    <w:p w14:paraId="396D6416">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5.</w:t>
      </w:r>
      <w:r>
        <w:rPr>
          <w:rFonts w:ascii="宋体" w:hAnsi="宋体" w:cs="宋体"/>
          <w:b/>
          <w:bCs/>
          <w:color w:val="auto"/>
          <w:szCs w:val="21"/>
          <w:highlight w:val="none"/>
        </w:rPr>
        <w:t>6</w:t>
      </w:r>
      <w:r>
        <w:rPr>
          <w:rFonts w:hint="eastAsia" w:ascii="宋体" w:hAnsi="宋体" w:cs="宋体"/>
          <w:b/>
          <w:bCs/>
          <w:color w:val="auto"/>
          <w:szCs w:val="21"/>
          <w:highlight w:val="none"/>
        </w:rPr>
        <w:t>验收资料归档</w:t>
      </w:r>
    </w:p>
    <w:p w14:paraId="572037F8">
      <w:pPr>
        <w:spacing w:before="120" w:line="3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采购合同项目完成验收后，采购人整理好验收原始记录、验收书等资料后妥善保管，不得变造、隐匿或者销毁，验收资料保存期为采购结束之日起至少保存15年。</w:t>
      </w:r>
    </w:p>
    <w:p w14:paraId="657CDF07">
      <w:pPr>
        <w:spacing w:before="120" w:line="320" w:lineRule="exact"/>
        <w:jc w:val="left"/>
        <w:rPr>
          <w:rFonts w:ascii="宋体" w:hAnsi="宋体" w:cs="宋体"/>
          <w:b/>
          <w:bCs/>
          <w:iCs/>
          <w:color w:val="auto"/>
          <w:szCs w:val="21"/>
          <w:highlight w:val="none"/>
        </w:rPr>
      </w:pPr>
      <w:r>
        <w:rPr>
          <w:rFonts w:hint="eastAsia" w:ascii="宋体" w:hAnsi="宋体" w:cs="宋体"/>
          <w:b/>
          <w:bCs/>
          <w:color w:val="auto"/>
          <w:szCs w:val="21"/>
          <w:highlight w:val="none"/>
        </w:rPr>
        <w:t>6.履约验收内容</w:t>
      </w:r>
    </w:p>
    <w:p w14:paraId="2A3DBF1F">
      <w:pPr>
        <w:spacing w:before="120" w:line="320" w:lineRule="exact"/>
        <w:jc w:val="left"/>
        <w:rPr>
          <w:rFonts w:ascii="宋体" w:hAnsi="宋体" w:cs="宋体"/>
          <w:iCs/>
          <w:color w:val="auto"/>
          <w:szCs w:val="21"/>
          <w:highlight w:val="none"/>
        </w:rPr>
      </w:pPr>
      <w:r>
        <w:rPr>
          <w:rFonts w:hint="eastAsia" w:ascii="宋体" w:hAnsi="宋体" w:cs="宋体"/>
          <w:b/>
          <w:bCs/>
          <w:color w:val="auto"/>
          <w:szCs w:val="21"/>
          <w:highlight w:val="none"/>
        </w:rPr>
        <w:t>6.1商务验收内容</w:t>
      </w:r>
    </w:p>
    <w:p w14:paraId="6CDC00ED">
      <w:pPr>
        <w:spacing w:before="120" w:line="320" w:lineRule="exact"/>
        <w:ind w:firstLine="420" w:firstLineChars="200"/>
        <w:jc w:val="left"/>
        <w:rPr>
          <w:rFonts w:ascii="宋体" w:hAnsi="宋体" w:eastAsia="Microsoft YaHei UI" w:cs="宋体"/>
          <w:color w:val="auto"/>
          <w:szCs w:val="21"/>
          <w:highlight w:val="none"/>
          <w:u w:val="single"/>
        </w:rPr>
      </w:pPr>
      <w:r>
        <w:rPr>
          <w:rFonts w:hint="eastAsia" w:ascii="宋体" w:hAnsi="宋体" w:cs="宋体"/>
          <w:color w:val="auto"/>
          <w:szCs w:val="21"/>
          <w:highlight w:val="none"/>
        </w:rPr>
        <w:t>对采购标的交付的情况、财务和服务要求，包括交付（实施）的时间（期限）和地点（范围），付款条件（进度和方式），包装和运输，售后服务，保险等进行验收。</w:t>
      </w:r>
    </w:p>
    <w:p w14:paraId="3684ACFE">
      <w:pPr>
        <w:spacing w:before="120" w:line="320" w:lineRule="exact"/>
        <w:jc w:val="left"/>
        <w:rPr>
          <w:rFonts w:ascii="宋体" w:hAnsi="宋体" w:cs="宋体"/>
          <w:iCs/>
          <w:color w:val="auto"/>
          <w:szCs w:val="21"/>
          <w:highlight w:val="none"/>
        </w:rPr>
      </w:pPr>
      <w:r>
        <w:rPr>
          <w:rFonts w:hint="eastAsia" w:ascii="宋体" w:hAnsi="宋体" w:cs="宋体"/>
          <w:b/>
          <w:bCs/>
          <w:color w:val="auto"/>
          <w:szCs w:val="21"/>
          <w:highlight w:val="none"/>
        </w:rPr>
        <w:t>6.2技术验收内容</w:t>
      </w:r>
    </w:p>
    <w:p w14:paraId="7C420023">
      <w:pPr>
        <w:spacing w:before="120" w:line="32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对采购标的的功能和质量要求，包括性能、材料、结构、外观、安全，或者服务内容和标准等进行验收。</w:t>
      </w:r>
    </w:p>
    <w:p w14:paraId="5E5F2314">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7.履约验收标准</w:t>
      </w:r>
    </w:p>
    <w:p w14:paraId="538F1120">
      <w:pPr>
        <w:pStyle w:val="173"/>
        <w:spacing w:before="120" w:line="320" w:lineRule="exact"/>
        <w:ind w:firstLine="42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验收标准：</w:t>
      </w:r>
    </w:p>
    <w:p w14:paraId="51138CB5">
      <w:pPr>
        <w:pStyle w:val="173"/>
        <w:spacing w:before="120" w:line="320" w:lineRule="exact"/>
        <w:ind w:firstLine="42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（1）中标（成交）供应商应提供完备的技术或服务资料、装箱单和合格证等，并派遣专业人员进行现场安装调试。验收合格条件如下：</w:t>
      </w:r>
    </w:p>
    <w:p w14:paraId="5EBA1508">
      <w:pPr>
        <w:spacing w:before="120" w:line="320" w:lineRule="exact"/>
        <w:rPr>
          <w:rFonts w:ascii="宋体" w:hAnsi="宋体" w:cs="宋体"/>
          <w:color w:val="auto"/>
          <w:szCs w:val="21"/>
          <w:highlight w:val="none"/>
        </w:rPr>
      </w:pPr>
      <w:r>
        <w:rPr>
          <w:rFonts w:hint="eastAsia" w:ascii="宋体" w:hAnsi="宋体" w:cs="宋体"/>
          <w:color w:val="auto"/>
          <w:szCs w:val="21"/>
          <w:highlight w:val="none"/>
        </w:rPr>
        <w:t>服务技术参数与响应文件中响应表或证明材料一致，性能或指标达到规定的标准。否则，以实际服务技术参数与响应文件响应表参数或证明材料比较，按如下情况处理：</w:t>
      </w:r>
    </w:p>
    <w:p w14:paraId="4010447B">
      <w:pPr>
        <w:spacing w:before="120" w:line="320" w:lineRule="exact"/>
        <w:rPr>
          <w:rFonts w:ascii="宋体" w:hAnsi="宋体" w:cs="宋体"/>
          <w:color w:val="auto"/>
          <w:szCs w:val="21"/>
          <w:highlight w:val="none"/>
        </w:rPr>
      </w:pPr>
      <w:r>
        <w:rPr>
          <w:rFonts w:hint="eastAsia" w:ascii="宋体" w:hAnsi="宋体" w:cs="宋体"/>
          <w:color w:val="auto"/>
          <w:szCs w:val="21"/>
          <w:highlight w:val="none"/>
        </w:rPr>
        <w:t>①供应商响应文件响应表或证明材料中满足或优于的技术参数，在验收时实际不满足技术参数要求的，视为供应商违约，采购人有权终止合同拒收服务成果，并追究供应商责任，同时报财政部门备案。</w:t>
      </w:r>
    </w:p>
    <w:p w14:paraId="2A5D6987">
      <w:pPr>
        <w:spacing w:before="120" w:line="320" w:lineRule="exact"/>
        <w:rPr>
          <w:rFonts w:ascii="宋体" w:hAnsi="宋体" w:cs="宋体"/>
          <w:color w:val="auto"/>
          <w:szCs w:val="21"/>
          <w:highlight w:val="none"/>
        </w:rPr>
      </w:pPr>
      <w:r>
        <w:rPr>
          <w:rFonts w:hint="eastAsia" w:ascii="宋体" w:hAnsi="宋体" w:cs="宋体"/>
          <w:color w:val="auto"/>
          <w:szCs w:val="21"/>
          <w:highlight w:val="none"/>
        </w:rPr>
        <w:t>②供应商响应文件响应表或证明材料中优于的技术参数，在验收时实际仅满足并未优于技术参数要求的，视为供应商违约，采购人有权终止合同拒收服务成果，并追究供应商责任，同时报财政部门备案。</w:t>
      </w:r>
    </w:p>
    <w:p w14:paraId="34E00C00">
      <w:pPr>
        <w:spacing w:before="120" w:line="320" w:lineRule="exact"/>
        <w:rPr>
          <w:rFonts w:ascii="宋体" w:hAnsi="宋体" w:cs="宋体"/>
          <w:color w:val="auto"/>
          <w:szCs w:val="21"/>
          <w:highlight w:val="none"/>
        </w:rPr>
      </w:pPr>
      <w:r>
        <w:rPr>
          <w:rFonts w:hint="eastAsia" w:ascii="宋体" w:hAnsi="宋体" w:cs="宋体"/>
          <w:color w:val="auto"/>
          <w:szCs w:val="21"/>
          <w:highlight w:val="none"/>
        </w:rPr>
        <w:t xml:space="preserve">③供应商响应文件响应表或证明材料中不满足的技术参数，在验收时实际满足技术参数的要求，以满足技术参数的要求验收。 </w:t>
      </w:r>
    </w:p>
    <w:p w14:paraId="276FD9CE">
      <w:pPr>
        <w:spacing w:before="120" w:line="320" w:lineRule="exact"/>
        <w:rPr>
          <w:rFonts w:ascii="宋体" w:hAnsi="宋体" w:cs="宋体"/>
          <w:color w:val="auto"/>
          <w:szCs w:val="21"/>
          <w:highlight w:val="none"/>
        </w:rPr>
      </w:pPr>
      <w:r>
        <w:rPr>
          <w:rFonts w:hint="eastAsia" w:ascii="宋体" w:hAnsi="宋体" w:cs="宋体"/>
          <w:color w:val="auto"/>
          <w:szCs w:val="21"/>
          <w:highlight w:val="none"/>
        </w:rPr>
        <w:t>④供应商响应文件响应表或证明材料中满足的技术参数，在验收时实际优于技术参数的要求，以满足技术参数的要求验收。</w:t>
      </w:r>
    </w:p>
    <w:p w14:paraId="373EB4AB">
      <w:pPr>
        <w:spacing w:before="120" w:line="320" w:lineRule="exact"/>
        <w:rPr>
          <w:rFonts w:ascii="宋体" w:hAnsi="宋体" w:cs="宋体"/>
          <w:color w:val="auto"/>
          <w:szCs w:val="21"/>
          <w:highlight w:val="none"/>
        </w:rPr>
      </w:pPr>
      <w:r>
        <w:rPr>
          <w:rFonts w:hint="eastAsia" w:ascii="宋体" w:hAnsi="宋体" w:cs="宋体"/>
          <w:color w:val="auto"/>
          <w:szCs w:val="21"/>
          <w:highlight w:val="none"/>
        </w:rPr>
        <w:t>⑤供应商响应文件响应表或证明材料中优于的技术参数，在验收时实际也优于技术参数的要求，但没有达到响应表或证明材料中优于的程度，由采购人与供应商协商按是否满足要求验收。</w:t>
      </w:r>
    </w:p>
    <w:p w14:paraId="433847DE">
      <w:pPr>
        <w:spacing w:before="120" w:line="3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（1）在测试或试运行期间所出现的问题得到解决，并运行或工作正常。</w:t>
      </w:r>
    </w:p>
    <w:p w14:paraId="3BD74586">
      <w:pPr>
        <w:spacing w:before="120" w:line="3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（2）在规定时间内完成交付及验收，并经采购人确认。</w:t>
      </w:r>
    </w:p>
    <w:p w14:paraId="08ED695A">
      <w:pPr>
        <w:spacing w:before="120" w:line="3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（3）服务在安装调试并试运行符合要求后，才作为最终验收。</w:t>
      </w:r>
    </w:p>
    <w:p w14:paraId="56189F97">
      <w:pPr>
        <w:spacing w:before="120" w:line="3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（4）成交供应商提供的服务未达到采购文件规定要求，且对采购人造成损失的，由成交供应商承担一切责任，并赔偿所造成的损失。</w:t>
      </w:r>
    </w:p>
    <w:p w14:paraId="3E906E39">
      <w:pPr>
        <w:spacing w:before="120" w:line="3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（5）政府采购合同约定的其他要求及响应文件响应的其他标准。</w:t>
      </w:r>
    </w:p>
    <w:p w14:paraId="4D6534B5">
      <w:pPr>
        <w:spacing w:before="120" w:line="320" w:lineRule="exact"/>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8.履约验收其他事项</w:t>
      </w:r>
    </w:p>
    <w:p w14:paraId="55071B26">
      <w:pPr>
        <w:spacing w:before="120" w:line="3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无</w:t>
      </w:r>
    </w:p>
    <w:p w14:paraId="115433CC">
      <w:pPr>
        <w:spacing w:before="120" w:line="320" w:lineRule="exact"/>
        <w:rPr>
          <w:rFonts w:ascii="仿宋" w:hAnsi="仿宋" w:eastAsia="仿宋"/>
          <w:color w:val="auto"/>
          <w:szCs w:val="21"/>
          <w:highlight w:val="none"/>
          <w:u w:val="single"/>
        </w:rPr>
      </w:pPr>
      <w:r>
        <w:rPr>
          <w:rFonts w:hint="eastAsia" w:ascii="仿宋" w:hAnsi="仿宋" w:eastAsia="仿宋"/>
          <w:color w:val="auto"/>
          <w:szCs w:val="21"/>
          <w:highlight w:val="none"/>
          <w:u w:val="single"/>
        </w:rPr>
        <w:br w:type="page"/>
      </w:r>
    </w:p>
    <w:p w14:paraId="05954724">
      <w:pPr>
        <w:snapToGrid w:val="0"/>
        <w:spacing w:line="360" w:lineRule="exact"/>
        <w:jc w:val="center"/>
        <w:rPr>
          <w:b/>
          <w:bCs/>
          <w:color w:val="auto"/>
          <w:szCs w:val="21"/>
          <w:highlight w:val="none"/>
        </w:rPr>
      </w:pPr>
      <w:r>
        <w:rPr>
          <w:b/>
          <w:bCs/>
          <w:color w:val="auto"/>
          <w:szCs w:val="21"/>
          <w:highlight w:val="none"/>
        </w:rPr>
        <w:t>广西壮族自治区政府采购项目合同验收书</w:t>
      </w:r>
    </w:p>
    <w:p w14:paraId="33C26880">
      <w:pPr>
        <w:widowControl/>
        <w:snapToGrid w:val="0"/>
        <w:spacing w:before="100" w:beforeAutospacing="1" w:after="100" w:afterAutospacing="1" w:line="320" w:lineRule="exact"/>
        <w:ind w:left="-359" w:leftChars="-171" w:firstLine="420" w:firstLineChars="200"/>
        <w:jc w:val="left"/>
        <w:rPr>
          <w:color w:val="auto"/>
          <w:kern w:val="0"/>
          <w:szCs w:val="21"/>
          <w:highlight w:val="none"/>
        </w:rPr>
      </w:pPr>
      <w:r>
        <w:rPr>
          <w:color w:val="auto"/>
          <w:kern w:val="0"/>
          <w:szCs w:val="21"/>
          <w:highlight w:val="none"/>
        </w:rPr>
        <w:t>根据政府采购项目（</w:t>
      </w:r>
      <w:r>
        <w:rPr>
          <w:color w:val="auto"/>
          <w:kern w:val="0"/>
          <w:szCs w:val="21"/>
          <w:highlight w:val="none"/>
          <w:u w:val="single"/>
        </w:rPr>
        <w:t>采购合同编号：</w:t>
      </w:r>
      <w:r>
        <w:rPr>
          <w:rFonts w:cs="Arial"/>
          <w:color w:val="auto"/>
          <w:szCs w:val="21"/>
          <w:highlight w:val="none"/>
          <w:u w:val="single"/>
        </w:rPr>
        <w:t>GXZC20XX-XX-XXXXX-JDZB</w:t>
      </w:r>
      <w:r>
        <w:rPr>
          <w:color w:val="auto"/>
          <w:kern w:val="0"/>
          <w:szCs w:val="21"/>
          <w:highlight w:val="none"/>
        </w:rPr>
        <w:t>）的约定，我单位对（</w:t>
      </w:r>
      <w:r>
        <w:rPr>
          <w:rFonts w:hint="eastAsia" w:cs="Arial"/>
          <w:color w:val="auto"/>
          <w:szCs w:val="21"/>
          <w:highlight w:val="none"/>
          <w:u w:val="single"/>
        </w:rPr>
        <w:t>XXXX采购项目</w:t>
      </w:r>
      <w:r>
        <w:rPr>
          <w:color w:val="auto"/>
          <w:kern w:val="0"/>
          <w:szCs w:val="21"/>
          <w:highlight w:val="none"/>
        </w:rPr>
        <w:t>）政府采购项目中标（或成交）供应商</w:t>
      </w:r>
      <w:r>
        <w:rPr>
          <w:rFonts w:hint="eastAsia"/>
          <w:color w:val="auto"/>
          <w:kern w:val="0"/>
          <w:szCs w:val="21"/>
          <w:highlight w:val="none"/>
          <w:u w:val="single"/>
        </w:rPr>
        <w:t>XX公司（填写供应商名称）</w:t>
      </w:r>
      <w:r>
        <w:rPr>
          <w:color w:val="auto"/>
          <w:kern w:val="0"/>
          <w:szCs w:val="21"/>
          <w:highlight w:val="none"/>
        </w:rPr>
        <w:t>提供的</w:t>
      </w:r>
      <w:r>
        <w:rPr>
          <w:rFonts w:hint="eastAsia"/>
          <w:color w:val="auto"/>
          <w:kern w:val="0"/>
          <w:szCs w:val="21"/>
          <w:highlight w:val="none"/>
        </w:rPr>
        <w:t>服务（或工程、货物）</w:t>
      </w:r>
      <w:r>
        <w:rPr>
          <w:color w:val="auto"/>
          <w:kern w:val="0"/>
          <w:szCs w:val="21"/>
          <w:highlight w:val="none"/>
        </w:rPr>
        <w:t>进行了验收，验收情况如下：</w:t>
      </w:r>
    </w:p>
    <w:tbl>
      <w:tblPr>
        <w:tblStyle w:val="51"/>
        <w:tblW w:w="962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661"/>
        <w:gridCol w:w="866"/>
        <w:gridCol w:w="977"/>
        <w:gridCol w:w="2263"/>
        <w:gridCol w:w="1608"/>
        <w:gridCol w:w="850"/>
        <w:gridCol w:w="242"/>
        <w:gridCol w:w="2160"/>
      </w:tblGrid>
      <w:tr w14:paraId="168ECC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1" w:hRule="atLeast"/>
          <w:jc w:val="center"/>
        </w:trPr>
        <w:tc>
          <w:tcPr>
            <w:tcW w:w="2504" w:type="dxa"/>
            <w:gridSpan w:val="3"/>
            <w:tcBorders>
              <w:top w:val="single" w:color="auto" w:sz="8" w:space="0"/>
              <w:left w:val="single" w:color="auto" w:sz="8" w:space="0"/>
              <w:bottom w:val="single" w:color="auto" w:sz="8" w:space="0"/>
              <w:right w:val="single" w:color="auto" w:sz="8" w:space="0"/>
            </w:tcBorders>
            <w:noWrap w:val="0"/>
            <w:vAlign w:val="center"/>
          </w:tcPr>
          <w:p w14:paraId="7BDA2F65">
            <w:pPr>
              <w:keepNext w:val="0"/>
              <w:keepLines w:val="0"/>
              <w:widowControl/>
              <w:suppressLineNumbers w:val="0"/>
              <w:snapToGrid w:val="0"/>
              <w:spacing w:before="100" w:beforeAutospacing="1" w:after="100" w:afterAutospacing="1" w:line="320" w:lineRule="exact"/>
              <w:ind w:left="-3" w:right="0" w:firstLine="4" w:firstLineChars="2"/>
              <w:jc w:val="center"/>
              <w:rPr>
                <w:rFonts w:hint="default"/>
                <w:color w:val="auto"/>
                <w:kern w:val="0"/>
                <w:szCs w:val="21"/>
                <w:highlight w:val="none"/>
              </w:rPr>
            </w:pPr>
            <w:r>
              <w:rPr>
                <w:rFonts w:hint="default"/>
                <w:color w:val="auto"/>
                <w:kern w:val="0"/>
                <w:szCs w:val="21"/>
                <w:highlight w:val="none"/>
              </w:rPr>
              <w:t>验收方式：</w:t>
            </w:r>
          </w:p>
        </w:tc>
        <w:tc>
          <w:tcPr>
            <w:tcW w:w="7123" w:type="dxa"/>
            <w:gridSpan w:val="5"/>
            <w:tcBorders>
              <w:top w:val="single" w:color="auto" w:sz="8" w:space="0"/>
              <w:left w:val="single" w:color="auto" w:sz="8" w:space="0"/>
              <w:bottom w:val="single" w:color="auto" w:sz="8" w:space="0"/>
              <w:right w:val="single" w:color="auto" w:sz="8" w:space="0"/>
            </w:tcBorders>
            <w:noWrap w:val="0"/>
            <w:vAlign w:val="center"/>
          </w:tcPr>
          <w:p w14:paraId="583E9578">
            <w:pPr>
              <w:keepNext w:val="0"/>
              <w:keepLines w:val="0"/>
              <w:widowControl/>
              <w:suppressLineNumbers w:val="0"/>
              <w:snapToGrid w:val="0"/>
              <w:spacing w:before="100" w:beforeAutospacing="1" w:after="100" w:afterAutospacing="1" w:line="320" w:lineRule="exact"/>
              <w:ind w:left="-3" w:right="0" w:firstLine="420" w:firstLineChars="200"/>
              <w:jc w:val="center"/>
              <w:rPr>
                <w:rFonts w:hint="default"/>
                <w:color w:val="auto"/>
                <w:kern w:val="0"/>
                <w:szCs w:val="21"/>
                <w:highlight w:val="none"/>
              </w:rPr>
            </w:pPr>
            <w:r>
              <w:rPr>
                <w:rFonts w:hint="eastAsia" w:cs="Arial"/>
                <w:color w:val="auto"/>
                <w:szCs w:val="21"/>
                <w:highlight w:val="none"/>
              </w:rPr>
              <w:t>□</w:t>
            </w:r>
            <w:r>
              <w:rPr>
                <w:rFonts w:hint="default"/>
                <w:color w:val="auto"/>
                <w:kern w:val="0"/>
                <w:szCs w:val="21"/>
                <w:highlight w:val="none"/>
              </w:rPr>
              <w:t>自行验收        </w:t>
            </w:r>
            <w:r>
              <w:rPr>
                <w:rFonts w:hint="default" w:cs="Arial"/>
                <w:color w:val="auto"/>
                <w:szCs w:val="21"/>
                <w:highlight w:val="none"/>
              </w:rPr>
              <w:sym w:font="Wingdings 2" w:char="00A3"/>
            </w:r>
            <w:r>
              <w:rPr>
                <w:rFonts w:hint="default"/>
                <w:color w:val="auto"/>
                <w:kern w:val="0"/>
                <w:szCs w:val="21"/>
                <w:highlight w:val="none"/>
              </w:rPr>
              <w:t>委托验收</w:t>
            </w:r>
          </w:p>
        </w:tc>
      </w:tr>
      <w:tr w14:paraId="041ACB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4" w:hRule="atLeast"/>
          <w:jc w:val="center"/>
        </w:trPr>
        <w:tc>
          <w:tcPr>
            <w:tcW w:w="661" w:type="dxa"/>
            <w:tcBorders>
              <w:top w:val="single" w:color="auto" w:sz="8" w:space="0"/>
              <w:left w:val="single" w:color="auto" w:sz="8" w:space="0"/>
              <w:bottom w:val="single" w:color="auto" w:sz="8" w:space="0"/>
              <w:right w:val="single" w:color="auto" w:sz="8" w:space="0"/>
            </w:tcBorders>
            <w:noWrap w:val="0"/>
            <w:vAlign w:val="center"/>
          </w:tcPr>
          <w:p w14:paraId="15BA307B">
            <w:pPr>
              <w:keepNext w:val="0"/>
              <w:keepLines w:val="0"/>
              <w:widowControl/>
              <w:suppressLineNumbers w:val="0"/>
              <w:snapToGrid w:val="0"/>
              <w:spacing w:before="100" w:beforeAutospacing="1" w:after="100" w:afterAutospacing="1" w:line="320" w:lineRule="exact"/>
              <w:ind w:left="0" w:right="0" w:firstLine="2" w:firstLineChars="1"/>
              <w:jc w:val="center"/>
              <w:rPr>
                <w:rFonts w:hint="default"/>
                <w:color w:val="auto"/>
                <w:kern w:val="0"/>
                <w:szCs w:val="21"/>
                <w:highlight w:val="none"/>
              </w:rPr>
            </w:pPr>
            <w:r>
              <w:rPr>
                <w:rFonts w:hint="default"/>
                <w:color w:val="auto"/>
                <w:kern w:val="0"/>
                <w:szCs w:val="21"/>
                <w:highlight w:val="none"/>
              </w:rPr>
              <w:t>序号</w:t>
            </w:r>
          </w:p>
        </w:tc>
        <w:tc>
          <w:tcPr>
            <w:tcW w:w="1843" w:type="dxa"/>
            <w:gridSpan w:val="2"/>
            <w:tcBorders>
              <w:top w:val="single" w:color="auto" w:sz="8" w:space="0"/>
              <w:left w:val="single" w:color="auto" w:sz="8" w:space="0"/>
              <w:bottom w:val="single" w:color="auto" w:sz="8" w:space="0"/>
              <w:right w:val="single" w:color="auto" w:sz="8" w:space="0"/>
            </w:tcBorders>
            <w:noWrap w:val="0"/>
            <w:vAlign w:val="center"/>
          </w:tcPr>
          <w:p w14:paraId="593ABB2A">
            <w:pPr>
              <w:keepNext w:val="0"/>
              <w:keepLines w:val="0"/>
              <w:widowControl/>
              <w:suppressLineNumbers w:val="0"/>
              <w:snapToGrid w:val="0"/>
              <w:spacing w:before="100" w:beforeAutospacing="1" w:after="100" w:afterAutospacing="1" w:line="320" w:lineRule="exact"/>
              <w:ind w:left="-3" w:right="0" w:firstLine="2" w:firstLineChars="1"/>
              <w:jc w:val="center"/>
              <w:rPr>
                <w:rFonts w:hint="default"/>
                <w:color w:val="auto"/>
                <w:kern w:val="0"/>
                <w:szCs w:val="21"/>
                <w:highlight w:val="none"/>
              </w:rPr>
            </w:pPr>
            <w:r>
              <w:rPr>
                <w:rFonts w:hint="default"/>
                <w:color w:val="auto"/>
                <w:kern w:val="0"/>
                <w:szCs w:val="21"/>
                <w:highlight w:val="none"/>
              </w:rPr>
              <w:t>名  称</w:t>
            </w:r>
          </w:p>
        </w:tc>
        <w:tc>
          <w:tcPr>
            <w:tcW w:w="3871" w:type="dxa"/>
            <w:gridSpan w:val="2"/>
            <w:tcBorders>
              <w:top w:val="single" w:color="auto" w:sz="8" w:space="0"/>
              <w:left w:val="single" w:color="auto" w:sz="8" w:space="0"/>
              <w:bottom w:val="single" w:color="auto" w:sz="8" w:space="0"/>
              <w:right w:val="single" w:color="auto" w:sz="8" w:space="0"/>
            </w:tcBorders>
            <w:noWrap w:val="0"/>
            <w:vAlign w:val="center"/>
          </w:tcPr>
          <w:p w14:paraId="16A45AF3">
            <w:pPr>
              <w:keepNext w:val="0"/>
              <w:keepLines w:val="0"/>
              <w:widowControl/>
              <w:suppressLineNumbers w:val="0"/>
              <w:snapToGrid w:val="0"/>
              <w:spacing w:before="100" w:beforeAutospacing="1" w:after="100" w:afterAutospacing="1" w:line="320" w:lineRule="exact"/>
              <w:ind w:left="-3" w:right="0" w:firstLine="2" w:firstLineChars="1"/>
              <w:jc w:val="center"/>
              <w:rPr>
                <w:rFonts w:hint="default"/>
                <w:color w:val="auto"/>
                <w:kern w:val="0"/>
                <w:szCs w:val="21"/>
                <w:highlight w:val="none"/>
              </w:rPr>
            </w:pPr>
            <w:r>
              <w:rPr>
                <w:rFonts w:hint="default"/>
                <w:color w:val="auto"/>
                <w:kern w:val="0"/>
                <w:szCs w:val="21"/>
                <w:highlight w:val="none"/>
              </w:rPr>
              <w:t>服务内容、标准等</w:t>
            </w:r>
          </w:p>
        </w:tc>
        <w:tc>
          <w:tcPr>
            <w:tcW w:w="850" w:type="dxa"/>
            <w:tcBorders>
              <w:top w:val="single" w:color="auto" w:sz="8" w:space="0"/>
              <w:left w:val="single" w:color="auto" w:sz="8" w:space="0"/>
              <w:bottom w:val="single" w:color="auto" w:sz="8" w:space="0"/>
              <w:right w:val="single" w:color="auto" w:sz="8" w:space="0"/>
            </w:tcBorders>
            <w:noWrap w:val="0"/>
            <w:vAlign w:val="center"/>
          </w:tcPr>
          <w:p w14:paraId="6994AD06">
            <w:pPr>
              <w:keepNext w:val="0"/>
              <w:keepLines w:val="0"/>
              <w:widowControl/>
              <w:suppressLineNumbers w:val="0"/>
              <w:snapToGrid w:val="0"/>
              <w:spacing w:before="100" w:beforeAutospacing="1" w:after="100" w:afterAutospacing="1" w:line="320" w:lineRule="exact"/>
              <w:ind w:left="0" w:right="0"/>
              <w:jc w:val="center"/>
              <w:rPr>
                <w:rFonts w:hint="default"/>
                <w:color w:val="auto"/>
                <w:kern w:val="0"/>
                <w:szCs w:val="21"/>
                <w:highlight w:val="none"/>
              </w:rPr>
            </w:pPr>
            <w:r>
              <w:rPr>
                <w:rFonts w:hint="default"/>
                <w:color w:val="auto"/>
                <w:kern w:val="0"/>
                <w:szCs w:val="21"/>
                <w:highlight w:val="none"/>
              </w:rPr>
              <w:t>数量</w:t>
            </w:r>
          </w:p>
        </w:tc>
        <w:tc>
          <w:tcPr>
            <w:tcW w:w="2402" w:type="dxa"/>
            <w:gridSpan w:val="2"/>
            <w:tcBorders>
              <w:top w:val="single" w:color="auto" w:sz="8" w:space="0"/>
              <w:left w:val="single" w:color="auto" w:sz="8" w:space="0"/>
              <w:bottom w:val="single" w:color="auto" w:sz="8" w:space="0"/>
              <w:right w:val="single" w:color="auto" w:sz="8" w:space="0"/>
            </w:tcBorders>
            <w:noWrap w:val="0"/>
            <w:vAlign w:val="center"/>
          </w:tcPr>
          <w:p w14:paraId="6EBC20C5">
            <w:pPr>
              <w:keepNext w:val="0"/>
              <w:keepLines w:val="0"/>
              <w:widowControl/>
              <w:suppressLineNumbers w:val="0"/>
              <w:snapToGrid w:val="0"/>
              <w:spacing w:before="100" w:beforeAutospacing="1" w:after="100" w:afterAutospacing="1" w:line="320" w:lineRule="exact"/>
              <w:ind w:left="-3" w:right="0" w:firstLine="2" w:firstLineChars="1"/>
              <w:jc w:val="center"/>
              <w:rPr>
                <w:rFonts w:hint="default"/>
                <w:color w:val="auto"/>
                <w:kern w:val="0"/>
                <w:szCs w:val="21"/>
                <w:highlight w:val="none"/>
              </w:rPr>
            </w:pPr>
            <w:r>
              <w:rPr>
                <w:rFonts w:hint="default"/>
                <w:color w:val="auto"/>
                <w:kern w:val="0"/>
                <w:szCs w:val="21"/>
                <w:highlight w:val="none"/>
              </w:rPr>
              <w:t>金  额</w:t>
            </w:r>
          </w:p>
        </w:tc>
      </w:tr>
      <w:tr w14:paraId="16A5CA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61" w:type="dxa"/>
            <w:tcBorders>
              <w:top w:val="single" w:color="auto" w:sz="8" w:space="0"/>
              <w:left w:val="single" w:color="auto" w:sz="8" w:space="0"/>
              <w:bottom w:val="single" w:color="auto" w:sz="8" w:space="0"/>
              <w:right w:val="single" w:color="auto" w:sz="8" w:space="0"/>
            </w:tcBorders>
            <w:noWrap w:val="0"/>
            <w:vAlign w:val="center"/>
          </w:tcPr>
          <w:p w14:paraId="34598EF6">
            <w:pPr>
              <w:keepNext w:val="0"/>
              <w:keepLines w:val="0"/>
              <w:widowControl/>
              <w:suppressLineNumbers w:val="0"/>
              <w:snapToGrid w:val="0"/>
              <w:spacing w:before="100" w:beforeAutospacing="1" w:after="100" w:afterAutospacing="1" w:line="320" w:lineRule="exact"/>
              <w:ind w:left="-3" w:right="0" w:firstLine="4" w:firstLineChars="2"/>
              <w:jc w:val="center"/>
              <w:rPr>
                <w:rFonts w:hint="default"/>
                <w:color w:val="auto"/>
                <w:kern w:val="0"/>
                <w:szCs w:val="21"/>
                <w:highlight w:val="none"/>
              </w:rPr>
            </w:pPr>
            <w:r>
              <w:rPr>
                <w:rFonts w:hint="eastAsia"/>
                <w:color w:val="auto"/>
                <w:kern w:val="0"/>
                <w:szCs w:val="21"/>
                <w:highlight w:val="none"/>
              </w:rPr>
              <w:t>1</w:t>
            </w:r>
          </w:p>
        </w:tc>
        <w:tc>
          <w:tcPr>
            <w:tcW w:w="1843" w:type="dxa"/>
            <w:gridSpan w:val="2"/>
            <w:tcBorders>
              <w:top w:val="single" w:color="auto" w:sz="8" w:space="0"/>
              <w:left w:val="single" w:color="auto" w:sz="8" w:space="0"/>
              <w:bottom w:val="single" w:color="auto" w:sz="8" w:space="0"/>
              <w:right w:val="single" w:color="auto" w:sz="8" w:space="0"/>
            </w:tcBorders>
            <w:noWrap w:val="0"/>
            <w:vAlign w:val="center"/>
          </w:tcPr>
          <w:p w14:paraId="1E1BB80B">
            <w:pPr>
              <w:keepNext w:val="0"/>
              <w:keepLines w:val="0"/>
              <w:widowControl/>
              <w:suppressLineNumbers w:val="0"/>
              <w:snapToGrid w:val="0"/>
              <w:spacing w:before="100" w:beforeAutospacing="1" w:after="100" w:afterAutospacing="1" w:line="320" w:lineRule="exact"/>
              <w:ind w:left="-3" w:right="0" w:firstLine="420" w:firstLineChars="200"/>
              <w:jc w:val="left"/>
              <w:rPr>
                <w:rFonts w:hint="default"/>
                <w:color w:val="auto"/>
                <w:kern w:val="0"/>
                <w:szCs w:val="21"/>
                <w:highlight w:val="none"/>
              </w:rPr>
            </w:pPr>
            <w:r>
              <w:rPr>
                <w:rFonts w:hint="eastAsia"/>
                <w:color w:val="auto"/>
                <w:kern w:val="0"/>
                <w:szCs w:val="21"/>
                <w:highlight w:val="none"/>
              </w:rPr>
              <w:t>XXXX设备</w:t>
            </w:r>
          </w:p>
        </w:tc>
        <w:tc>
          <w:tcPr>
            <w:tcW w:w="3871" w:type="dxa"/>
            <w:gridSpan w:val="2"/>
            <w:tcBorders>
              <w:top w:val="single" w:color="auto" w:sz="8" w:space="0"/>
              <w:left w:val="single" w:color="auto" w:sz="8" w:space="0"/>
              <w:bottom w:val="single" w:color="auto" w:sz="8" w:space="0"/>
              <w:right w:val="single" w:color="auto" w:sz="8" w:space="0"/>
            </w:tcBorders>
            <w:noWrap w:val="0"/>
            <w:vAlign w:val="center"/>
          </w:tcPr>
          <w:p w14:paraId="7E78AC6A">
            <w:pPr>
              <w:pStyle w:val="175"/>
              <w:keepNext w:val="0"/>
              <w:keepLines w:val="0"/>
              <w:suppressLineNumbers w:val="0"/>
              <w:spacing w:before="120" w:beforeAutospacing="0" w:after="120" w:afterAutospacing="0"/>
              <w:ind w:left="0" w:right="0" w:firstLine="0" w:firstLineChars="0"/>
              <w:rPr>
                <w:rFonts w:hint="default"/>
                <w:color w:val="auto"/>
                <w:szCs w:val="21"/>
                <w:highlight w:val="none"/>
              </w:rPr>
            </w:pPr>
          </w:p>
        </w:tc>
        <w:tc>
          <w:tcPr>
            <w:tcW w:w="850" w:type="dxa"/>
            <w:tcBorders>
              <w:top w:val="single" w:color="auto" w:sz="8" w:space="0"/>
              <w:left w:val="single" w:color="auto" w:sz="8" w:space="0"/>
              <w:bottom w:val="single" w:color="auto" w:sz="8" w:space="0"/>
              <w:right w:val="single" w:color="auto" w:sz="8" w:space="0"/>
            </w:tcBorders>
            <w:noWrap w:val="0"/>
            <w:vAlign w:val="center"/>
          </w:tcPr>
          <w:p w14:paraId="200539EB">
            <w:pPr>
              <w:keepNext w:val="0"/>
              <w:keepLines w:val="0"/>
              <w:widowControl/>
              <w:suppressLineNumbers w:val="0"/>
              <w:snapToGrid w:val="0"/>
              <w:spacing w:before="100" w:beforeAutospacing="1" w:after="100" w:afterAutospacing="1" w:line="320" w:lineRule="exact"/>
              <w:ind w:left="0" w:right="0"/>
              <w:jc w:val="center"/>
              <w:rPr>
                <w:rFonts w:hint="default"/>
                <w:color w:val="auto"/>
                <w:kern w:val="0"/>
                <w:szCs w:val="21"/>
                <w:highlight w:val="none"/>
              </w:rPr>
            </w:pPr>
            <w:r>
              <w:rPr>
                <w:rFonts w:hint="default"/>
                <w:color w:val="auto"/>
                <w:kern w:val="0"/>
                <w:szCs w:val="21"/>
                <w:highlight w:val="none"/>
              </w:rPr>
              <w:t>1</w:t>
            </w:r>
            <w:r>
              <w:rPr>
                <w:rFonts w:hint="eastAsia"/>
                <w:color w:val="auto"/>
                <w:kern w:val="0"/>
                <w:szCs w:val="21"/>
                <w:highlight w:val="none"/>
              </w:rPr>
              <w:t>套</w:t>
            </w:r>
          </w:p>
        </w:tc>
        <w:tc>
          <w:tcPr>
            <w:tcW w:w="2402" w:type="dxa"/>
            <w:gridSpan w:val="2"/>
            <w:tcBorders>
              <w:top w:val="single" w:color="auto" w:sz="8" w:space="0"/>
              <w:left w:val="single" w:color="auto" w:sz="8" w:space="0"/>
              <w:bottom w:val="single" w:color="auto" w:sz="8" w:space="0"/>
              <w:right w:val="single" w:color="auto" w:sz="8" w:space="0"/>
            </w:tcBorders>
            <w:noWrap w:val="0"/>
            <w:vAlign w:val="center"/>
          </w:tcPr>
          <w:p w14:paraId="35DC5816">
            <w:pPr>
              <w:pStyle w:val="175"/>
              <w:keepNext w:val="0"/>
              <w:keepLines w:val="0"/>
              <w:suppressLineNumbers w:val="0"/>
              <w:spacing w:before="120" w:beforeAutospacing="0" w:after="120" w:afterAutospacing="0"/>
              <w:ind w:left="0" w:right="0" w:firstLine="0" w:firstLineChars="0"/>
              <w:jc w:val="center"/>
              <w:rPr>
                <w:rFonts w:hint="default"/>
                <w:color w:val="auto"/>
                <w:szCs w:val="21"/>
                <w:highlight w:val="none"/>
              </w:rPr>
            </w:pPr>
            <w:r>
              <w:rPr>
                <w:rFonts w:hint="default"/>
                <w:color w:val="auto"/>
                <w:szCs w:val="21"/>
                <w:highlight w:val="none"/>
              </w:rPr>
              <w:t>¥0.00元</w:t>
            </w:r>
          </w:p>
        </w:tc>
      </w:tr>
      <w:tr w14:paraId="3F41DB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375" w:type="dxa"/>
            <w:gridSpan w:val="5"/>
            <w:tcBorders>
              <w:top w:val="single" w:color="auto" w:sz="8" w:space="0"/>
              <w:left w:val="single" w:color="auto" w:sz="8" w:space="0"/>
              <w:bottom w:val="single" w:color="auto" w:sz="8" w:space="0"/>
              <w:right w:val="single" w:color="auto" w:sz="8" w:space="0"/>
            </w:tcBorders>
            <w:noWrap w:val="0"/>
            <w:vAlign w:val="center"/>
          </w:tcPr>
          <w:p w14:paraId="305688B6">
            <w:pPr>
              <w:pStyle w:val="175"/>
              <w:keepNext w:val="0"/>
              <w:keepLines w:val="0"/>
              <w:suppressLineNumbers w:val="0"/>
              <w:spacing w:before="120" w:beforeAutospacing="0" w:after="120" w:afterAutospacing="0"/>
              <w:ind w:left="0" w:right="0" w:firstLine="0" w:firstLineChars="0"/>
              <w:jc w:val="center"/>
              <w:rPr>
                <w:rFonts w:hint="default"/>
                <w:color w:val="auto"/>
                <w:szCs w:val="21"/>
                <w:highlight w:val="none"/>
              </w:rPr>
            </w:pPr>
            <w:r>
              <w:rPr>
                <w:rFonts w:hint="eastAsia"/>
                <w:color w:val="auto"/>
                <w:szCs w:val="21"/>
                <w:highlight w:val="none"/>
              </w:rPr>
              <w:t>合 计</w:t>
            </w:r>
          </w:p>
        </w:tc>
        <w:tc>
          <w:tcPr>
            <w:tcW w:w="850" w:type="dxa"/>
            <w:tcBorders>
              <w:top w:val="single" w:color="auto" w:sz="8" w:space="0"/>
              <w:left w:val="single" w:color="auto" w:sz="8" w:space="0"/>
              <w:bottom w:val="single" w:color="auto" w:sz="8" w:space="0"/>
              <w:right w:val="single" w:color="auto" w:sz="8" w:space="0"/>
            </w:tcBorders>
            <w:noWrap w:val="0"/>
            <w:vAlign w:val="center"/>
          </w:tcPr>
          <w:p w14:paraId="0DE16206">
            <w:pPr>
              <w:keepNext w:val="0"/>
              <w:keepLines w:val="0"/>
              <w:widowControl/>
              <w:suppressLineNumbers w:val="0"/>
              <w:snapToGrid w:val="0"/>
              <w:spacing w:before="100" w:beforeAutospacing="1" w:after="100" w:afterAutospacing="1" w:line="320" w:lineRule="exact"/>
              <w:ind w:left="0" w:right="0"/>
              <w:jc w:val="center"/>
              <w:rPr>
                <w:rFonts w:hint="default"/>
                <w:color w:val="auto"/>
                <w:kern w:val="0"/>
                <w:szCs w:val="21"/>
                <w:highlight w:val="none"/>
              </w:rPr>
            </w:pPr>
          </w:p>
        </w:tc>
        <w:tc>
          <w:tcPr>
            <w:tcW w:w="2402" w:type="dxa"/>
            <w:gridSpan w:val="2"/>
            <w:tcBorders>
              <w:top w:val="single" w:color="auto" w:sz="8" w:space="0"/>
              <w:left w:val="single" w:color="auto" w:sz="8" w:space="0"/>
              <w:bottom w:val="single" w:color="auto" w:sz="8" w:space="0"/>
              <w:right w:val="single" w:color="auto" w:sz="8" w:space="0"/>
            </w:tcBorders>
            <w:noWrap w:val="0"/>
            <w:vAlign w:val="center"/>
          </w:tcPr>
          <w:p w14:paraId="4A3F8D97">
            <w:pPr>
              <w:pStyle w:val="175"/>
              <w:keepNext w:val="0"/>
              <w:keepLines w:val="0"/>
              <w:suppressLineNumbers w:val="0"/>
              <w:spacing w:before="120" w:beforeAutospacing="0" w:after="120" w:afterAutospacing="0"/>
              <w:ind w:left="0" w:right="0" w:firstLine="0" w:firstLineChars="0"/>
              <w:jc w:val="center"/>
              <w:rPr>
                <w:rFonts w:hint="default"/>
                <w:color w:val="auto"/>
                <w:szCs w:val="21"/>
                <w:highlight w:val="none"/>
              </w:rPr>
            </w:pPr>
            <w:r>
              <w:rPr>
                <w:rFonts w:hint="default"/>
                <w:color w:val="auto"/>
                <w:szCs w:val="21"/>
                <w:highlight w:val="none"/>
              </w:rPr>
              <w:t>¥0.00元</w:t>
            </w:r>
          </w:p>
        </w:tc>
      </w:tr>
      <w:tr w14:paraId="79D3CF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55" w:hRule="atLeast"/>
          <w:jc w:val="center"/>
        </w:trPr>
        <w:tc>
          <w:tcPr>
            <w:tcW w:w="9627" w:type="dxa"/>
            <w:gridSpan w:val="8"/>
            <w:tcBorders>
              <w:top w:val="single" w:color="auto" w:sz="8" w:space="0"/>
              <w:left w:val="single" w:color="auto" w:sz="8" w:space="0"/>
              <w:bottom w:val="single" w:color="auto" w:sz="8" w:space="0"/>
              <w:right w:val="single" w:color="auto" w:sz="8" w:space="0"/>
            </w:tcBorders>
            <w:noWrap w:val="0"/>
            <w:vAlign w:val="center"/>
          </w:tcPr>
          <w:p w14:paraId="1622C7EF">
            <w:pPr>
              <w:keepNext w:val="0"/>
              <w:keepLines w:val="0"/>
              <w:widowControl/>
              <w:suppressLineNumbers w:val="0"/>
              <w:snapToGrid w:val="0"/>
              <w:spacing w:before="100" w:beforeAutospacing="1" w:after="100" w:afterAutospacing="1" w:line="320" w:lineRule="exact"/>
              <w:ind w:left="0" w:right="0" w:firstLine="2" w:firstLineChars="1"/>
              <w:jc w:val="left"/>
              <w:rPr>
                <w:rFonts w:hint="default"/>
                <w:color w:val="auto"/>
                <w:kern w:val="0"/>
                <w:szCs w:val="21"/>
                <w:highlight w:val="none"/>
              </w:rPr>
            </w:pPr>
            <w:r>
              <w:rPr>
                <w:rFonts w:hint="default"/>
                <w:color w:val="auto"/>
                <w:kern w:val="0"/>
                <w:szCs w:val="21"/>
                <w:highlight w:val="none"/>
              </w:rPr>
              <w:t>合计大写金额：</w:t>
            </w:r>
            <w:r>
              <w:rPr>
                <w:rFonts w:hint="eastAsia"/>
                <w:color w:val="auto"/>
                <w:kern w:val="0"/>
                <w:szCs w:val="21"/>
                <w:highlight w:val="none"/>
              </w:rPr>
              <w:t>人民币元整</w:t>
            </w:r>
          </w:p>
        </w:tc>
      </w:tr>
      <w:tr w14:paraId="2FCE72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9" w:hRule="atLeast"/>
          <w:jc w:val="center"/>
        </w:trPr>
        <w:tc>
          <w:tcPr>
            <w:tcW w:w="1527" w:type="dxa"/>
            <w:gridSpan w:val="2"/>
            <w:tcBorders>
              <w:top w:val="single" w:color="auto" w:sz="8" w:space="0"/>
              <w:left w:val="single" w:color="auto" w:sz="8" w:space="0"/>
              <w:bottom w:val="single" w:color="auto" w:sz="8" w:space="0"/>
              <w:right w:val="single" w:color="auto" w:sz="8" w:space="0"/>
            </w:tcBorders>
            <w:noWrap w:val="0"/>
            <w:vAlign w:val="center"/>
          </w:tcPr>
          <w:p w14:paraId="70B8664A">
            <w:pPr>
              <w:keepNext w:val="0"/>
              <w:keepLines w:val="0"/>
              <w:widowControl/>
              <w:suppressLineNumbers w:val="0"/>
              <w:snapToGrid w:val="0"/>
              <w:spacing w:before="100" w:beforeAutospacing="1" w:after="100" w:afterAutospacing="1" w:line="320" w:lineRule="exact"/>
              <w:ind w:left="0" w:right="0" w:firstLine="2" w:firstLineChars="1"/>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实际交付日期</w:t>
            </w:r>
          </w:p>
        </w:tc>
        <w:tc>
          <w:tcPr>
            <w:tcW w:w="3240" w:type="dxa"/>
            <w:gridSpan w:val="2"/>
            <w:tcBorders>
              <w:top w:val="single" w:color="auto" w:sz="8" w:space="0"/>
              <w:left w:val="single" w:color="auto" w:sz="8" w:space="0"/>
              <w:bottom w:val="single" w:color="auto" w:sz="8" w:space="0"/>
              <w:right w:val="single" w:color="auto" w:sz="8" w:space="0"/>
            </w:tcBorders>
            <w:noWrap w:val="0"/>
            <w:vAlign w:val="center"/>
          </w:tcPr>
          <w:p w14:paraId="7E0AB69D">
            <w:pPr>
              <w:keepNext w:val="0"/>
              <w:keepLines w:val="0"/>
              <w:suppressLineNumbers w:val="0"/>
              <w:snapToGrid w:val="0"/>
              <w:spacing w:before="100" w:beforeAutospacing="1" w:after="100" w:afterAutospacing="1"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20  年  月  日</w:t>
            </w:r>
          </w:p>
        </w:tc>
        <w:tc>
          <w:tcPr>
            <w:tcW w:w="2700" w:type="dxa"/>
            <w:gridSpan w:val="3"/>
            <w:tcBorders>
              <w:top w:val="single" w:color="auto" w:sz="8" w:space="0"/>
              <w:left w:val="single" w:color="auto" w:sz="8" w:space="0"/>
              <w:bottom w:val="single" w:color="auto" w:sz="8" w:space="0"/>
              <w:right w:val="single" w:color="auto" w:sz="8" w:space="0"/>
            </w:tcBorders>
            <w:noWrap w:val="0"/>
            <w:vAlign w:val="center"/>
          </w:tcPr>
          <w:p w14:paraId="6EC50B62">
            <w:pPr>
              <w:keepNext w:val="0"/>
              <w:keepLines w:val="0"/>
              <w:suppressLineNumbers w:val="0"/>
              <w:snapToGrid w:val="0"/>
              <w:spacing w:before="100" w:beforeAutospacing="1" w:after="100" w:afterAutospacing="1" w:line="320" w:lineRule="exact"/>
              <w:ind w:left="0" w:right="0" w:firstLine="39" w:firstLineChars="19"/>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合同交付验收日期</w:t>
            </w:r>
          </w:p>
        </w:tc>
        <w:tc>
          <w:tcPr>
            <w:tcW w:w="2160" w:type="dxa"/>
            <w:tcBorders>
              <w:top w:val="single" w:color="auto" w:sz="8" w:space="0"/>
              <w:left w:val="single" w:color="auto" w:sz="8" w:space="0"/>
              <w:bottom w:val="single" w:color="auto" w:sz="8" w:space="0"/>
              <w:right w:val="single" w:color="auto" w:sz="8" w:space="0"/>
            </w:tcBorders>
            <w:noWrap w:val="0"/>
            <w:vAlign w:val="center"/>
          </w:tcPr>
          <w:p w14:paraId="67D6AA56">
            <w:pPr>
              <w:keepNext w:val="0"/>
              <w:keepLines w:val="0"/>
              <w:suppressLineNumbers w:val="0"/>
              <w:snapToGrid w:val="0"/>
              <w:spacing w:before="100" w:beforeAutospacing="1" w:after="100" w:afterAutospacing="1"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20  年  月  日</w:t>
            </w:r>
          </w:p>
        </w:tc>
      </w:tr>
      <w:tr w14:paraId="2A3A67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93" w:hRule="atLeast"/>
          <w:jc w:val="center"/>
        </w:trPr>
        <w:tc>
          <w:tcPr>
            <w:tcW w:w="1527" w:type="dxa"/>
            <w:gridSpan w:val="2"/>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CF151B6">
            <w:pPr>
              <w:keepNext w:val="0"/>
              <w:keepLines w:val="0"/>
              <w:widowControl/>
              <w:suppressLineNumbers w:val="0"/>
              <w:snapToGrid w:val="0"/>
              <w:spacing w:before="100" w:beforeAutospacing="1" w:after="100" w:afterAutospacing="1"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验收具体内容</w:t>
            </w:r>
          </w:p>
        </w:tc>
        <w:tc>
          <w:tcPr>
            <w:tcW w:w="8100" w:type="dxa"/>
            <w:gridSpan w:val="6"/>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C893E65">
            <w:pPr>
              <w:pStyle w:val="175"/>
              <w:keepNext w:val="0"/>
              <w:keepLines w:val="0"/>
              <w:suppressLineNumbers w:val="0"/>
              <w:spacing w:before="120" w:beforeAutospacing="0" w:after="120" w:afterAutospacing="0"/>
              <w:ind w:left="0" w:right="0" w:firstLine="0" w:firstLineChars="0"/>
              <w:rPr>
                <w:rFonts w:hint="default" w:ascii="宋体" w:hAnsi="宋体" w:cs="宋体"/>
                <w:color w:val="auto"/>
                <w:szCs w:val="21"/>
                <w:highlight w:val="none"/>
              </w:rPr>
            </w:pPr>
            <w:r>
              <w:rPr>
                <w:rFonts w:hint="eastAsia" w:ascii="宋体" w:hAnsi="宋体" w:cs="宋体"/>
                <w:color w:val="auto"/>
                <w:szCs w:val="21"/>
                <w:highlight w:val="none"/>
              </w:rPr>
              <w:t>中标人所提供服务的内容满足采购合同约定的要求、标准。</w:t>
            </w:r>
          </w:p>
        </w:tc>
      </w:tr>
      <w:tr w14:paraId="1E3D01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6" w:hRule="atLeast"/>
          <w:jc w:val="center"/>
        </w:trPr>
        <w:tc>
          <w:tcPr>
            <w:tcW w:w="1527" w:type="dxa"/>
            <w:gridSpan w:val="2"/>
            <w:vMerge w:val="restar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0423DC2">
            <w:pPr>
              <w:keepNext w:val="0"/>
              <w:keepLines w:val="0"/>
              <w:widowControl/>
              <w:suppressLineNumbers w:val="0"/>
              <w:spacing w:before="100" w:beforeAutospacing="1" w:after="100" w:afterAutospacing="1"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验收小组意见</w:t>
            </w:r>
          </w:p>
        </w:tc>
        <w:tc>
          <w:tcPr>
            <w:tcW w:w="8100" w:type="dxa"/>
            <w:gridSpan w:val="6"/>
            <w:tcBorders>
              <w:top w:val="single" w:color="auto" w:sz="8" w:space="0"/>
              <w:left w:val="single" w:color="auto" w:sz="8" w:space="0"/>
              <w:bottom w:val="single" w:color="auto" w:sz="4" w:space="0"/>
              <w:right w:val="single" w:color="auto" w:sz="8" w:space="0"/>
            </w:tcBorders>
            <w:noWrap w:val="0"/>
            <w:vAlign w:val="center"/>
          </w:tcPr>
          <w:p w14:paraId="00BB14FD">
            <w:pPr>
              <w:keepNext w:val="0"/>
              <w:keepLines w:val="0"/>
              <w:widowControl/>
              <w:suppressLineNumbers w:val="0"/>
              <w:spacing w:before="100" w:beforeAutospacing="1" w:after="100" w:afterAutospacing="1"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验收结论性意见：同意（不同意）通过项目验收</w:t>
            </w:r>
          </w:p>
        </w:tc>
      </w:tr>
      <w:tr w14:paraId="3945A0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037" w:hRule="atLeast"/>
          <w:jc w:val="center"/>
        </w:trPr>
        <w:tc>
          <w:tcPr>
            <w:tcW w:w="1527" w:type="dxa"/>
            <w:gridSpan w:val="2"/>
            <w:vMerge w:val="continue"/>
            <w:tcBorders>
              <w:top w:val="single" w:color="auto" w:sz="8" w:space="0"/>
              <w:left w:val="single" w:color="auto" w:sz="8" w:space="0"/>
              <w:bottom w:val="single" w:color="auto" w:sz="8" w:space="0"/>
              <w:right w:val="single" w:color="auto" w:sz="8" w:space="0"/>
            </w:tcBorders>
            <w:noWrap w:val="0"/>
            <w:vAlign w:val="center"/>
          </w:tcPr>
          <w:p w14:paraId="3ECB9136">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p>
        </w:tc>
        <w:tc>
          <w:tcPr>
            <w:tcW w:w="8100" w:type="dxa"/>
            <w:gridSpan w:val="6"/>
            <w:tcBorders>
              <w:top w:val="single" w:color="auto" w:sz="4" w:space="0"/>
              <w:left w:val="single" w:color="auto" w:sz="8" w:space="0"/>
              <w:bottom w:val="single" w:color="auto" w:sz="8" w:space="0"/>
              <w:right w:val="single" w:color="auto" w:sz="8" w:space="0"/>
            </w:tcBorders>
            <w:noWrap w:val="0"/>
            <w:vAlign w:val="center"/>
          </w:tcPr>
          <w:p w14:paraId="402EE9C4">
            <w:pPr>
              <w:pStyle w:val="175"/>
              <w:keepNext w:val="0"/>
              <w:keepLines w:val="0"/>
              <w:suppressLineNumbers w:val="0"/>
              <w:spacing w:before="120" w:beforeAutospacing="0" w:after="120" w:afterAutospacing="0"/>
              <w:ind w:left="0" w:right="0" w:firstLine="0" w:firstLineChars="0"/>
              <w:rPr>
                <w:rFonts w:hint="default" w:ascii="宋体" w:hAnsi="宋体" w:cs="宋体"/>
                <w:color w:val="auto"/>
                <w:szCs w:val="21"/>
                <w:highlight w:val="none"/>
              </w:rPr>
            </w:pPr>
            <w:r>
              <w:rPr>
                <w:rFonts w:hint="eastAsia" w:ascii="宋体" w:hAnsi="宋体" w:cs="宋体"/>
                <w:color w:val="auto"/>
                <w:szCs w:val="21"/>
                <w:highlight w:val="none"/>
              </w:rPr>
              <w:t>有异议的意见和说明理由：</w:t>
            </w:r>
          </w:p>
          <w:p w14:paraId="721BC0C7">
            <w:pPr>
              <w:pStyle w:val="175"/>
              <w:keepNext w:val="0"/>
              <w:keepLines w:val="0"/>
              <w:suppressLineNumbers w:val="0"/>
              <w:spacing w:before="120" w:beforeAutospacing="0" w:after="120" w:afterAutospacing="0"/>
              <w:ind w:left="0" w:right="0" w:firstLine="5880" w:firstLineChars="2800"/>
              <w:rPr>
                <w:rFonts w:hint="default" w:ascii="宋体" w:hAnsi="宋体" w:cs="宋体"/>
                <w:color w:val="auto"/>
                <w:szCs w:val="21"/>
                <w:highlight w:val="none"/>
              </w:rPr>
            </w:pPr>
            <w:r>
              <w:rPr>
                <w:rFonts w:hint="eastAsia" w:ascii="宋体" w:hAnsi="宋体" w:cs="宋体"/>
                <w:color w:val="auto"/>
                <w:szCs w:val="21"/>
                <w:highlight w:val="none"/>
              </w:rPr>
              <w:t>签字：</w:t>
            </w:r>
          </w:p>
        </w:tc>
      </w:tr>
      <w:tr w14:paraId="7A9F18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331" w:hRule="atLeast"/>
          <w:jc w:val="center"/>
        </w:trPr>
        <w:tc>
          <w:tcPr>
            <w:tcW w:w="9627" w:type="dxa"/>
            <w:gridSpan w:val="8"/>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CFAE4C0">
            <w:pPr>
              <w:keepNext w:val="0"/>
              <w:keepLines w:val="0"/>
              <w:widowControl/>
              <w:suppressLineNumbers w:val="0"/>
              <w:spacing w:before="100" w:beforeAutospacing="1" w:after="100" w:afterAutospacing="1" w:line="320" w:lineRule="exact"/>
              <w:ind w:left="0" w:right="0"/>
              <w:jc w:val="left"/>
              <w:rPr>
                <w:rFonts w:hint="default"/>
                <w:color w:val="auto"/>
                <w:kern w:val="0"/>
                <w:szCs w:val="21"/>
                <w:highlight w:val="none"/>
              </w:rPr>
            </w:pPr>
            <w:r>
              <w:rPr>
                <w:rFonts w:hint="default"/>
                <w:color w:val="auto"/>
                <w:kern w:val="0"/>
                <w:szCs w:val="21"/>
                <w:highlight w:val="none"/>
              </w:rPr>
              <w:t>验收小组成员签字：</w:t>
            </w:r>
          </w:p>
          <w:p w14:paraId="579810DE">
            <w:pPr>
              <w:keepNext w:val="0"/>
              <w:keepLines w:val="0"/>
              <w:widowControl/>
              <w:suppressLineNumbers w:val="0"/>
              <w:spacing w:before="100" w:beforeAutospacing="1" w:after="100" w:afterAutospacing="1" w:line="320" w:lineRule="exact"/>
              <w:ind w:left="0" w:right="0"/>
              <w:jc w:val="left"/>
              <w:rPr>
                <w:rFonts w:hint="default"/>
                <w:color w:val="auto"/>
                <w:kern w:val="0"/>
                <w:szCs w:val="21"/>
                <w:highlight w:val="none"/>
              </w:rPr>
            </w:pPr>
          </w:p>
        </w:tc>
      </w:tr>
      <w:tr w14:paraId="6CAE35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10" w:hRule="atLeast"/>
          <w:jc w:val="center"/>
        </w:trPr>
        <w:tc>
          <w:tcPr>
            <w:tcW w:w="9627" w:type="dxa"/>
            <w:gridSpan w:val="8"/>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6EC2578">
            <w:pPr>
              <w:keepNext w:val="0"/>
              <w:keepLines w:val="0"/>
              <w:widowControl/>
              <w:suppressLineNumbers w:val="0"/>
              <w:spacing w:before="100" w:beforeAutospacing="1" w:after="100" w:afterAutospacing="1" w:line="320" w:lineRule="exact"/>
              <w:ind w:left="0" w:right="0"/>
              <w:jc w:val="left"/>
              <w:rPr>
                <w:rFonts w:hint="default"/>
                <w:color w:val="auto"/>
                <w:kern w:val="0"/>
                <w:szCs w:val="21"/>
                <w:highlight w:val="none"/>
              </w:rPr>
            </w:pPr>
            <w:r>
              <w:rPr>
                <w:rFonts w:hint="default"/>
                <w:color w:val="auto"/>
                <w:kern w:val="0"/>
                <w:szCs w:val="21"/>
                <w:highlight w:val="none"/>
              </w:rPr>
              <w:t>监督人员或其他相关人员签字：</w:t>
            </w:r>
          </w:p>
          <w:p w14:paraId="05FEF355">
            <w:pPr>
              <w:keepNext w:val="0"/>
              <w:keepLines w:val="0"/>
              <w:widowControl/>
              <w:suppressLineNumbers w:val="0"/>
              <w:spacing w:before="100" w:beforeAutospacing="1" w:after="100" w:afterAutospacing="1" w:line="320" w:lineRule="exact"/>
              <w:ind w:left="0" w:right="0" w:firstLine="65" w:firstLineChars="31"/>
              <w:jc w:val="left"/>
              <w:rPr>
                <w:rFonts w:hint="default"/>
                <w:color w:val="auto"/>
                <w:kern w:val="0"/>
                <w:szCs w:val="21"/>
                <w:highlight w:val="none"/>
              </w:rPr>
            </w:pPr>
            <w:r>
              <w:rPr>
                <w:rFonts w:hint="default"/>
                <w:color w:val="auto"/>
                <w:kern w:val="0"/>
                <w:szCs w:val="21"/>
                <w:highlight w:val="none"/>
              </w:rPr>
              <w:t>或受邀机构的意见（盖章）：</w:t>
            </w:r>
          </w:p>
        </w:tc>
      </w:tr>
      <w:tr w14:paraId="2F370A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418" w:hRule="atLeast"/>
          <w:jc w:val="center"/>
        </w:trPr>
        <w:tc>
          <w:tcPr>
            <w:tcW w:w="4767" w:type="dxa"/>
            <w:gridSpan w:val="4"/>
            <w:tcBorders>
              <w:top w:val="single" w:color="auto" w:sz="8" w:space="0"/>
              <w:left w:val="single" w:color="auto" w:sz="8" w:space="0"/>
              <w:bottom w:val="single" w:color="auto" w:sz="8" w:space="0"/>
              <w:right w:val="nil"/>
            </w:tcBorders>
            <w:noWrap w:val="0"/>
            <w:tcMar>
              <w:top w:w="0" w:type="dxa"/>
              <w:left w:w="108" w:type="dxa"/>
              <w:bottom w:w="0" w:type="dxa"/>
              <w:right w:w="108" w:type="dxa"/>
            </w:tcMar>
            <w:vAlign w:val="center"/>
          </w:tcPr>
          <w:p w14:paraId="246C3AB7">
            <w:pPr>
              <w:keepNext w:val="0"/>
              <w:keepLines w:val="0"/>
              <w:widowControl/>
              <w:suppressLineNumbers w:val="0"/>
              <w:spacing w:before="100" w:beforeAutospacing="1" w:after="100" w:afterAutospacing="1" w:line="320" w:lineRule="exact"/>
              <w:ind w:left="0" w:right="0" w:firstLine="65" w:firstLineChars="31"/>
              <w:jc w:val="left"/>
              <w:rPr>
                <w:rFonts w:hint="default"/>
                <w:color w:val="auto"/>
                <w:kern w:val="0"/>
                <w:szCs w:val="21"/>
                <w:highlight w:val="none"/>
              </w:rPr>
            </w:pPr>
            <w:r>
              <w:rPr>
                <w:rFonts w:hint="default"/>
                <w:color w:val="auto"/>
                <w:kern w:val="0"/>
                <w:szCs w:val="21"/>
                <w:highlight w:val="none"/>
              </w:rPr>
              <w:t>中标或者成交供应商负责人签字或盖章：</w:t>
            </w:r>
          </w:p>
          <w:p w14:paraId="40802860">
            <w:pPr>
              <w:keepNext w:val="0"/>
              <w:keepLines w:val="0"/>
              <w:widowControl/>
              <w:suppressLineNumbers w:val="0"/>
              <w:spacing w:before="100" w:beforeAutospacing="1" w:after="100" w:afterAutospacing="1" w:line="320" w:lineRule="exact"/>
              <w:ind w:left="0" w:right="0"/>
              <w:jc w:val="left"/>
              <w:rPr>
                <w:rFonts w:hint="default"/>
                <w:color w:val="auto"/>
                <w:kern w:val="0"/>
                <w:szCs w:val="21"/>
                <w:highlight w:val="none"/>
              </w:rPr>
            </w:pPr>
            <w:r>
              <w:rPr>
                <w:rFonts w:hint="default"/>
                <w:color w:val="auto"/>
                <w:kern w:val="0"/>
                <w:szCs w:val="21"/>
                <w:highlight w:val="none"/>
              </w:rPr>
              <w:t>联系电话：     </w:t>
            </w:r>
            <w:r>
              <w:rPr>
                <w:rFonts w:hint="eastAsia"/>
                <w:color w:val="auto"/>
                <w:kern w:val="0"/>
                <w:szCs w:val="21"/>
                <w:highlight w:val="none"/>
              </w:rPr>
              <w:t xml:space="preserve">   </w:t>
            </w:r>
            <w:r>
              <w:rPr>
                <w:rFonts w:hint="default"/>
                <w:color w:val="auto"/>
                <w:kern w:val="0"/>
                <w:szCs w:val="21"/>
                <w:highlight w:val="none"/>
              </w:rPr>
              <w:t>  年</w:t>
            </w:r>
            <w:r>
              <w:rPr>
                <w:rFonts w:hint="eastAsia"/>
                <w:color w:val="auto"/>
                <w:kern w:val="0"/>
                <w:szCs w:val="21"/>
                <w:highlight w:val="none"/>
              </w:rPr>
              <w:t xml:space="preserve">  </w:t>
            </w:r>
            <w:r>
              <w:rPr>
                <w:rFonts w:hint="default"/>
                <w:color w:val="auto"/>
                <w:kern w:val="0"/>
                <w:szCs w:val="21"/>
                <w:highlight w:val="none"/>
              </w:rPr>
              <w:t> 月 </w:t>
            </w:r>
            <w:r>
              <w:rPr>
                <w:rFonts w:hint="eastAsia"/>
                <w:color w:val="auto"/>
                <w:kern w:val="0"/>
                <w:szCs w:val="21"/>
                <w:highlight w:val="none"/>
              </w:rPr>
              <w:t xml:space="preserve">  </w:t>
            </w:r>
            <w:r>
              <w:rPr>
                <w:rFonts w:hint="default"/>
                <w:color w:val="auto"/>
                <w:kern w:val="0"/>
                <w:szCs w:val="21"/>
                <w:highlight w:val="none"/>
              </w:rPr>
              <w:t>日</w:t>
            </w:r>
          </w:p>
          <w:p w14:paraId="549772A6">
            <w:pPr>
              <w:keepNext w:val="0"/>
              <w:keepLines w:val="0"/>
              <w:widowControl/>
              <w:suppressLineNumbers w:val="0"/>
              <w:spacing w:before="100" w:beforeAutospacing="1" w:after="100" w:afterAutospacing="1" w:line="320" w:lineRule="exact"/>
              <w:ind w:left="0" w:right="0"/>
              <w:jc w:val="left"/>
              <w:rPr>
                <w:rFonts w:hint="default"/>
                <w:color w:val="auto"/>
                <w:kern w:val="0"/>
                <w:szCs w:val="21"/>
                <w:highlight w:val="none"/>
              </w:rPr>
            </w:pPr>
          </w:p>
          <w:p w14:paraId="3250A9DC">
            <w:pPr>
              <w:keepNext w:val="0"/>
              <w:keepLines w:val="0"/>
              <w:widowControl/>
              <w:suppressLineNumbers w:val="0"/>
              <w:spacing w:before="100" w:beforeAutospacing="1" w:after="100" w:afterAutospacing="1" w:line="320" w:lineRule="exact"/>
              <w:ind w:left="0" w:right="0" w:firstLine="65" w:firstLineChars="31"/>
              <w:jc w:val="left"/>
              <w:rPr>
                <w:rFonts w:hint="default"/>
                <w:color w:val="auto"/>
                <w:kern w:val="0"/>
                <w:szCs w:val="21"/>
                <w:highlight w:val="none"/>
              </w:rPr>
            </w:pPr>
            <w:r>
              <w:rPr>
                <w:rFonts w:hint="eastAsia"/>
                <w:color w:val="auto"/>
                <w:kern w:val="0"/>
                <w:szCs w:val="21"/>
                <w:highlight w:val="none"/>
              </w:rPr>
              <w:t>采购人</w:t>
            </w:r>
            <w:r>
              <w:rPr>
                <w:rFonts w:hint="default"/>
                <w:color w:val="auto"/>
                <w:kern w:val="0"/>
                <w:szCs w:val="21"/>
                <w:highlight w:val="none"/>
              </w:rPr>
              <w:t>签字或盖章：</w:t>
            </w:r>
          </w:p>
          <w:p w14:paraId="4726202D">
            <w:pPr>
              <w:keepNext w:val="0"/>
              <w:keepLines w:val="0"/>
              <w:widowControl/>
              <w:suppressLineNumbers w:val="0"/>
              <w:spacing w:before="100" w:beforeAutospacing="1" w:after="100" w:afterAutospacing="1" w:line="320" w:lineRule="exact"/>
              <w:ind w:left="0" w:right="0"/>
              <w:jc w:val="left"/>
              <w:rPr>
                <w:rFonts w:hint="default"/>
                <w:color w:val="auto"/>
                <w:kern w:val="0"/>
                <w:szCs w:val="21"/>
                <w:highlight w:val="none"/>
              </w:rPr>
            </w:pPr>
            <w:r>
              <w:rPr>
                <w:rFonts w:hint="default"/>
                <w:color w:val="auto"/>
                <w:kern w:val="0"/>
                <w:szCs w:val="21"/>
                <w:highlight w:val="none"/>
              </w:rPr>
              <w:t xml:space="preserve">联系电话：      </w:t>
            </w:r>
            <w:r>
              <w:rPr>
                <w:rFonts w:hint="eastAsia"/>
                <w:color w:val="auto"/>
                <w:kern w:val="0"/>
                <w:szCs w:val="21"/>
                <w:highlight w:val="none"/>
              </w:rPr>
              <w:t xml:space="preserve"> </w:t>
            </w:r>
            <w:r>
              <w:rPr>
                <w:rFonts w:hint="default"/>
                <w:color w:val="auto"/>
                <w:kern w:val="0"/>
                <w:szCs w:val="21"/>
                <w:highlight w:val="none"/>
              </w:rPr>
              <w:t>  年</w:t>
            </w:r>
            <w:r>
              <w:rPr>
                <w:rFonts w:hint="eastAsia"/>
                <w:color w:val="auto"/>
                <w:kern w:val="0"/>
                <w:szCs w:val="21"/>
                <w:highlight w:val="none"/>
              </w:rPr>
              <w:t xml:space="preserve">  </w:t>
            </w:r>
            <w:r>
              <w:rPr>
                <w:rFonts w:hint="default"/>
                <w:color w:val="auto"/>
                <w:kern w:val="0"/>
                <w:szCs w:val="21"/>
                <w:highlight w:val="none"/>
              </w:rPr>
              <w:t> 月 </w:t>
            </w:r>
            <w:r>
              <w:rPr>
                <w:rFonts w:hint="eastAsia"/>
                <w:color w:val="auto"/>
                <w:kern w:val="0"/>
                <w:szCs w:val="21"/>
                <w:highlight w:val="none"/>
              </w:rPr>
              <w:t xml:space="preserve">  </w:t>
            </w:r>
            <w:r>
              <w:rPr>
                <w:rFonts w:hint="default"/>
                <w:color w:val="auto"/>
                <w:kern w:val="0"/>
                <w:szCs w:val="21"/>
                <w:highlight w:val="none"/>
              </w:rPr>
              <w:t>日</w:t>
            </w:r>
          </w:p>
        </w:tc>
        <w:tc>
          <w:tcPr>
            <w:tcW w:w="4860" w:type="dxa"/>
            <w:gridSpan w:val="4"/>
            <w:tcBorders>
              <w:top w:val="single" w:color="auto" w:sz="8" w:space="0"/>
              <w:left w:val="nil"/>
              <w:bottom w:val="single" w:color="auto" w:sz="8" w:space="0"/>
              <w:right w:val="single" w:color="auto" w:sz="8" w:space="0"/>
            </w:tcBorders>
            <w:noWrap w:val="0"/>
            <w:vAlign w:val="center"/>
          </w:tcPr>
          <w:p w14:paraId="1EAED712">
            <w:pPr>
              <w:keepNext w:val="0"/>
              <w:keepLines w:val="0"/>
              <w:widowControl/>
              <w:suppressLineNumbers w:val="0"/>
              <w:spacing w:before="100" w:beforeAutospacing="1" w:after="100" w:afterAutospacing="1" w:line="320" w:lineRule="exact"/>
              <w:ind w:left="0" w:right="0"/>
              <w:jc w:val="left"/>
              <w:rPr>
                <w:rFonts w:hint="default"/>
                <w:color w:val="auto"/>
                <w:kern w:val="0"/>
                <w:szCs w:val="21"/>
                <w:highlight w:val="none"/>
              </w:rPr>
            </w:pPr>
            <w:r>
              <w:rPr>
                <w:rFonts w:hint="default"/>
                <w:color w:val="auto"/>
                <w:kern w:val="0"/>
                <w:szCs w:val="21"/>
                <w:highlight w:val="none"/>
              </w:rPr>
              <w:t> 受托机构的意见（盖章）：</w:t>
            </w:r>
          </w:p>
          <w:p w14:paraId="5C91F014">
            <w:pPr>
              <w:keepNext w:val="0"/>
              <w:keepLines w:val="0"/>
              <w:widowControl/>
              <w:suppressLineNumbers w:val="0"/>
              <w:spacing w:before="100" w:beforeAutospacing="1" w:after="100" w:afterAutospacing="1" w:line="320" w:lineRule="exact"/>
              <w:ind w:left="0" w:right="0"/>
              <w:jc w:val="left"/>
              <w:rPr>
                <w:rFonts w:hint="default"/>
                <w:color w:val="auto"/>
                <w:kern w:val="0"/>
                <w:szCs w:val="21"/>
                <w:highlight w:val="none"/>
              </w:rPr>
            </w:pPr>
            <w:r>
              <w:rPr>
                <w:rFonts w:hint="default"/>
                <w:color w:val="auto"/>
                <w:kern w:val="0"/>
                <w:szCs w:val="21"/>
                <w:highlight w:val="none"/>
              </w:rPr>
              <w:t xml:space="preserve">联系电话：                 </w:t>
            </w:r>
            <w:r>
              <w:rPr>
                <w:rFonts w:hint="eastAsia"/>
                <w:color w:val="auto"/>
                <w:kern w:val="0"/>
                <w:szCs w:val="21"/>
                <w:highlight w:val="none"/>
              </w:rPr>
              <w:t xml:space="preserve">    </w:t>
            </w:r>
            <w:r>
              <w:rPr>
                <w:rFonts w:hint="default"/>
                <w:color w:val="auto"/>
                <w:kern w:val="0"/>
                <w:szCs w:val="21"/>
                <w:highlight w:val="none"/>
              </w:rPr>
              <w:t>年   月   日</w:t>
            </w:r>
          </w:p>
          <w:p w14:paraId="32116CC4">
            <w:pPr>
              <w:keepNext w:val="0"/>
              <w:keepLines w:val="0"/>
              <w:widowControl/>
              <w:suppressLineNumbers w:val="0"/>
              <w:spacing w:before="100" w:beforeAutospacing="1" w:after="100" w:afterAutospacing="1" w:line="320" w:lineRule="exact"/>
              <w:ind w:left="0" w:right="0"/>
              <w:jc w:val="left"/>
              <w:rPr>
                <w:rFonts w:hint="default"/>
                <w:color w:val="auto"/>
                <w:kern w:val="0"/>
                <w:szCs w:val="21"/>
                <w:highlight w:val="none"/>
              </w:rPr>
            </w:pPr>
          </w:p>
          <w:p w14:paraId="33D40779">
            <w:pPr>
              <w:keepNext w:val="0"/>
              <w:keepLines w:val="0"/>
              <w:widowControl/>
              <w:suppressLineNumbers w:val="0"/>
              <w:spacing w:before="100" w:beforeAutospacing="1" w:after="100" w:afterAutospacing="1" w:line="320" w:lineRule="exact"/>
              <w:ind w:left="0" w:right="0"/>
              <w:jc w:val="left"/>
              <w:rPr>
                <w:rFonts w:hint="default"/>
                <w:color w:val="auto"/>
                <w:kern w:val="0"/>
                <w:szCs w:val="21"/>
                <w:highlight w:val="none"/>
              </w:rPr>
            </w:pPr>
          </w:p>
          <w:p w14:paraId="2D8E2A22">
            <w:pPr>
              <w:keepNext w:val="0"/>
              <w:keepLines w:val="0"/>
              <w:widowControl/>
              <w:suppressLineNumbers w:val="0"/>
              <w:spacing w:before="100" w:beforeAutospacing="1" w:after="100" w:afterAutospacing="1" w:line="320" w:lineRule="exact"/>
              <w:ind w:left="0" w:right="0"/>
              <w:jc w:val="left"/>
              <w:rPr>
                <w:rFonts w:hint="default"/>
                <w:color w:val="auto"/>
                <w:kern w:val="0"/>
                <w:szCs w:val="21"/>
                <w:highlight w:val="none"/>
              </w:rPr>
            </w:pPr>
          </w:p>
        </w:tc>
      </w:tr>
    </w:tbl>
    <w:p w14:paraId="3D29F99B">
      <w:pPr>
        <w:widowControl/>
        <w:jc w:val="left"/>
        <w:rPr>
          <w:rFonts w:hint="eastAsia"/>
          <w:bCs/>
          <w:color w:val="auto"/>
          <w:sz w:val="24"/>
          <w:highlight w:val="none"/>
        </w:rPr>
      </w:pPr>
      <w:r>
        <w:rPr>
          <w:color w:val="auto"/>
          <w:spacing w:val="-10"/>
          <w:kern w:val="0"/>
          <w:szCs w:val="21"/>
          <w:highlight w:val="none"/>
        </w:rPr>
        <w:t>备注：本报告单一式4份（采购单位1份、供应商1份、采购监督部门备案1份、采购代理机构1份）</w:t>
      </w:r>
    </w:p>
    <w:p w14:paraId="320D5BB3">
      <w:pPr>
        <w:spacing w:before="120" w:line="320" w:lineRule="atLeast"/>
        <w:rPr>
          <w:rFonts w:hint="eastAsia"/>
          <w:color w:val="auto"/>
          <w:szCs w:val="21"/>
          <w:highlight w:val="none"/>
        </w:rPr>
        <w:sectPr>
          <w:headerReference r:id="rId16" w:type="default"/>
          <w:pgSz w:w="11906" w:h="16838"/>
          <w:pgMar w:top="1418" w:right="1418" w:bottom="1246" w:left="1418" w:header="851" w:footer="992" w:gutter="0"/>
          <w:cols w:space="720" w:num="1"/>
          <w:docGrid w:linePitch="312" w:charSpace="0"/>
        </w:sectPr>
      </w:pPr>
    </w:p>
    <w:bookmarkEnd w:id="0"/>
    <w:bookmarkEnd w:id="1"/>
    <w:bookmarkEnd w:id="72"/>
    <w:bookmarkEnd w:id="73"/>
    <w:p w14:paraId="458672E4">
      <w:pPr>
        <w:widowControl/>
        <w:jc w:val="center"/>
        <w:outlineLvl w:val="0"/>
        <w:rPr>
          <w:color w:val="auto"/>
          <w:sz w:val="32"/>
          <w:szCs w:val="32"/>
          <w:highlight w:val="none"/>
        </w:rPr>
      </w:pPr>
      <w:bookmarkStart w:id="79" w:name="_Toc26086"/>
      <w:r>
        <w:rPr>
          <w:color w:val="auto"/>
          <w:sz w:val="32"/>
          <w:szCs w:val="32"/>
          <w:highlight w:val="none"/>
        </w:rPr>
        <w:t>第六章  响应文件格式</w:t>
      </w:r>
      <w:bookmarkEnd w:id="79"/>
    </w:p>
    <w:p w14:paraId="48E02876">
      <w:pPr>
        <w:rPr>
          <w:rFonts w:hint="eastAsia"/>
          <w:color w:val="auto"/>
          <w:sz w:val="28"/>
          <w:szCs w:val="28"/>
          <w:highlight w:val="none"/>
        </w:rPr>
      </w:pPr>
      <w:bookmarkStart w:id="80" w:name="_Toc254970556"/>
      <w:bookmarkStart w:id="81" w:name="_Toc254970697"/>
    </w:p>
    <w:bookmarkEnd w:id="80"/>
    <w:bookmarkEnd w:id="81"/>
    <w:p w14:paraId="0F8E9853">
      <w:pPr>
        <w:rPr>
          <w:rFonts w:hint="eastAsia"/>
          <w:color w:val="auto"/>
          <w:sz w:val="28"/>
          <w:szCs w:val="28"/>
          <w:highlight w:val="none"/>
        </w:rPr>
      </w:pPr>
    </w:p>
    <w:p w14:paraId="71520B13">
      <w:pPr>
        <w:spacing w:line="500" w:lineRule="exact"/>
        <w:ind w:firstLine="560" w:firstLineChars="200"/>
        <w:rPr>
          <w:rFonts w:ascii="宋体" w:hAnsi="宋体"/>
          <w:color w:val="auto"/>
          <w:sz w:val="24"/>
          <w:highlight w:val="none"/>
        </w:rPr>
      </w:pPr>
      <w:bookmarkStart w:id="82" w:name="_Hlk19199063"/>
      <w:r>
        <w:rPr>
          <w:rFonts w:hint="eastAsia"/>
          <w:color w:val="auto"/>
          <w:sz w:val="28"/>
          <w:szCs w:val="28"/>
          <w:highlight w:val="none"/>
        </w:rPr>
        <w:t>注：有签字、盖章要求的应按要求</w:t>
      </w:r>
      <w:bookmarkEnd w:id="82"/>
      <w:r>
        <w:rPr>
          <w:rFonts w:hint="eastAsia"/>
          <w:color w:val="auto"/>
          <w:sz w:val="28"/>
          <w:szCs w:val="28"/>
          <w:highlight w:val="none"/>
        </w:rPr>
        <w:t>签字（签章）、盖章（签章）。</w:t>
      </w:r>
      <w:r>
        <w:rPr>
          <w:bCs/>
          <w:color w:val="auto"/>
          <w:sz w:val="24"/>
          <w:highlight w:val="none"/>
        </w:rPr>
        <w:t xml:space="preserve"> </w:t>
      </w:r>
    </w:p>
    <w:p w14:paraId="5F23A75A">
      <w:pPr>
        <w:snapToGrid w:val="0"/>
        <w:spacing w:before="120" w:beforeLines="50" w:after="50" w:line="440" w:lineRule="exact"/>
        <w:jc w:val="left"/>
        <w:outlineLvl w:val="1"/>
        <w:rPr>
          <w:b/>
          <w:color w:val="auto"/>
          <w:sz w:val="24"/>
          <w:highlight w:val="none"/>
        </w:rPr>
      </w:pPr>
      <w:r>
        <w:rPr>
          <w:color w:val="auto"/>
          <w:sz w:val="24"/>
          <w:highlight w:val="none"/>
        </w:rPr>
        <w:br w:type="page"/>
      </w:r>
      <w:r>
        <w:rPr>
          <w:rFonts w:hint="eastAsia"/>
          <w:b/>
          <w:color w:val="auto"/>
          <w:sz w:val="24"/>
          <w:highlight w:val="none"/>
        </w:rPr>
        <w:t>1</w:t>
      </w:r>
      <w:r>
        <w:rPr>
          <w:b/>
          <w:color w:val="auto"/>
          <w:sz w:val="24"/>
          <w:highlight w:val="none"/>
        </w:rPr>
        <w:t xml:space="preserve">.响应文件封面格式： </w:t>
      </w:r>
    </w:p>
    <w:p w14:paraId="642C8CF7">
      <w:pPr>
        <w:snapToGrid w:val="0"/>
        <w:spacing w:before="120" w:beforeLines="50" w:after="50" w:line="360" w:lineRule="exact"/>
        <w:rPr>
          <w:color w:val="auto"/>
          <w:sz w:val="24"/>
          <w:highlight w:val="none"/>
        </w:rPr>
      </w:pPr>
    </w:p>
    <w:p w14:paraId="34976D7D">
      <w:pPr>
        <w:snapToGrid w:val="0"/>
        <w:spacing w:before="120" w:beforeLines="50" w:after="50" w:line="360" w:lineRule="exact"/>
        <w:jc w:val="center"/>
        <w:rPr>
          <w:bCs/>
          <w:color w:val="auto"/>
          <w:sz w:val="24"/>
          <w:highlight w:val="none"/>
        </w:rPr>
      </w:pPr>
    </w:p>
    <w:p w14:paraId="1DF3DEBD">
      <w:pPr>
        <w:snapToGrid w:val="0"/>
        <w:spacing w:before="120" w:beforeLines="50" w:after="50" w:line="360" w:lineRule="exact"/>
        <w:jc w:val="center"/>
        <w:rPr>
          <w:b/>
          <w:bCs/>
          <w:color w:val="auto"/>
          <w:sz w:val="44"/>
          <w:szCs w:val="44"/>
          <w:highlight w:val="none"/>
        </w:rPr>
      </w:pPr>
      <w:r>
        <w:rPr>
          <w:rFonts w:hint="eastAsia"/>
          <w:b/>
          <w:bCs/>
          <w:color w:val="auto"/>
          <w:sz w:val="44"/>
          <w:szCs w:val="44"/>
          <w:highlight w:val="none"/>
        </w:rPr>
        <w:t>电子</w:t>
      </w:r>
      <w:r>
        <w:rPr>
          <w:b/>
          <w:bCs/>
          <w:color w:val="auto"/>
          <w:sz w:val="44"/>
          <w:szCs w:val="44"/>
          <w:highlight w:val="none"/>
        </w:rPr>
        <w:t>响应文件</w:t>
      </w:r>
    </w:p>
    <w:p w14:paraId="660BE020">
      <w:pPr>
        <w:snapToGrid w:val="0"/>
        <w:spacing w:before="120" w:beforeLines="50" w:after="50" w:line="360" w:lineRule="exact"/>
        <w:rPr>
          <w:bCs/>
          <w:color w:val="auto"/>
          <w:sz w:val="24"/>
          <w:highlight w:val="none"/>
        </w:rPr>
      </w:pPr>
    </w:p>
    <w:p w14:paraId="2983787A">
      <w:pPr>
        <w:snapToGrid w:val="0"/>
        <w:spacing w:before="120" w:beforeLines="50" w:after="50" w:line="360" w:lineRule="exact"/>
        <w:ind w:firstLine="720" w:firstLineChars="300"/>
        <w:rPr>
          <w:bCs/>
          <w:color w:val="auto"/>
          <w:sz w:val="24"/>
          <w:highlight w:val="none"/>
        </w:rPr>
      </w:pPr>
      <w:r>
        <w:rPr>
          <w:bCs/>
          <w:color w:val="auto"/>
          <w:sz w:val="24"/>
          <w:highlight w:val="none"/>
        </w:rPr>
        <w:t xml:space="preserve">项目名称： </w:t>
      </w:r>
    </w:p>
    <w:p w14:paraId="551BEC3C">
      <w:pPr>
        <w:snapToGrid w:val="0"/>
        <w:spacing w:before="120" w:beforeLines="50" w:after="50" w:line="360" w:lineRule="exact"/>
        <w:ind w:firstLine="720" w:firstLineChars="300"/>
        <w:rPr>
          <w:bCs/>
          <w:color w:val="auto"/>
          <w:sz w:val="24"/>
          <w:highlight w:val="none"/>
        </w:rPr>
      </w:pPr>
      <w:r>
        <w:rPr>
          <w:bCs/>
          <w:color w:val="auto"/>
          <w:sz w:val="24"/>
          <w:highlight w:val="none"/>
        </w:rPr>
        <w:t>项目编号：</w:t>
      </w:r>
    </w:p>
    <w:p w14:paraId="6D303AB8">
      <w:pPr>
        <w:snapToGrid w:val="0"/>
        <w:spacing w:before="120" w:beforeLines="50" w:after="50" w:line="440" w:lineRule="exact"/>
        <w:ind w:firstLine="720" w:firstLineChars="300"/>
        <w:rPr>
          <w:bCs/>
          <w:color w:val="auto"/>
          <w:sz w:val="24"/>
          <w:highlight w:val="none"/>
        </w:rPr>
      </w:pPr>
      <w:r>
        <w:rPr>
          <w:bCs/>
          <w:color w:val="auto"/>
          <w:sz w:val="24"/>
          <w:highlight w:val="none"/>
        </w:rPr>
        <w:t>分标号：（若无</w:t>
      </w:r>
      <w:r>
        <w:rPr>
          <w:rFonts w:hint="eastAsia"/>
          <w:bCs/>
          <w:color w:val="auto"/>
          <w:sz w:val="24"/>
          <w:highlight w:val="none"/>
        </w:rPr>
        <w:t>留空或写</w:t>
      </w:r>
      <w:r>
        <w:rPr>
          <w:bCs/>
          <w:color w:val="auto"/>
          <w:sz w:val="24"/>
          <w:highlight w:val="none"/>
        </w:rPr>
        <w:t>“/”）</w:t>
      </w:r>
    </w:p>
    <w:p w14:paraId="76052A90">
      <w:pPr>
        <w:pStyle w:val="9"/>
        <w:snapToGrid w:val="0"/>
        <w:spacing w:before="50" w:after="50" w:line="440" w:lineRule="exact"/>
        <w:ind w:firstLine="720" w:firstLineChars="300"/>
        <w:rPr>
          <w:bCs/>
          <w:color w:val="auto"/>
          <w:sz w:val="24"/>
          <w:szCs w:val="24"/>
          <w:highlight w:val="none"/>
        </w:rPr>
      </w:pPr>
      <w:r>
        <w:rPr>
          <w:bCs/>
          <w:color w:val="auto"/>
          <w:sz w:val="24"/>
          <w:szCs w:val="24"/>
          <w:highlight w:val="none"/>
        </w:rPr>
        <w:t>响应文件名称：资格</w:t>
      </w:r>
      <w:r>
        <w:rPr>
          <w:rFonts w:hint="eastAsia"/>
          <w:bCs/>
          <w:color w:val="auto"/>
          <w:sz w:val="24"/>
          <w:szCs w:val="24"/>
          <w:highlight w:val="none"/>
        </w:rPr>
        <w:t>证明</w:t>
      </w:r>
      <w:r>
        <w:rPr>
          <w:bCs/>
          <w:color w:val="auto"/>
          <w:sz w:val="24"/>
          <w:szCs w:val="24"/>
          <w:highlight w:val="none"/>
        </w:rPr>
        <w:t>文件、商务</w:t>
      </w:r>
      <w:r>
        <w:rPr>
          <w:rFonts w:hint="eastAsia"/>
          <w:bCs/>
          <w:color w:val="auto"/>
          <w:sz w:val="24"/>
          <w:szCs w:val="24"/>
          <w:highlight w:val="none"/>
        </w:rPr>
        <w:t>技术</w:t>
      </w:r>
      <w:r>
        <w:rPr>
          <w:bCs/>
          <w:color w:val="auto"/>
          <w:sz w:val="24"/>
          <w:szCs w:val="24"/>
          <w:highlight w:val="none"/>
        </w:rPr>
        <w:t>文件、报价文件</w:t>
      </w:r>
    </w:p>
    <w:p w14:paraId="1FFAA20C">
      <w:pPr>
        <w:snapToGrid w:val="0"/>
        <w:spacing w:before="120" w:beforeLines="50" w:after="50" w:line="360" w:lineRule="exact"/>
        <w:ind w:firstLine="720" w:firstLineChars="300"/>
        <w:rPr>
          <w:bCs/>
          <w:color w:val="auto"/>
          <w:sz w:val="24"/>
          <w:highlight w:val="none"/>
        </w:rPr>
      </w:pPr>
      <w:r>
        <w:rPr>
          <w:bCs/>
          <w:color w:val="auto"/>
          <w:sz w:val="24"/>
          <w:highlight w:val="none"/>
        </w:rPr>
        <w:t>供应商名称：</w:t>
      </w:r>
    </w:p>
    <w:p w14:paraId="054DB759">
      <w:pPr>
        <w:snapToGrid w:val="0"/>
        <w:spacing w:before="120" w:beforeLines="50" w:after="50" w:line="360" w:lineRule="exact"/>
        <w:ind w:firstLine="720" w:firstLineChars="300"/>
        <w:rPr>
          <w:bCs/>
          <w:color w:val="auto"/>
          <w:sz w:val="24"/>
          <w:highlight w:val="none"/>
        </w:rPr>
      </w:pPr>
      <w:r>
        <w:rPr>
          <w:bCs/>
          <w:color w:val="auto"/>
          <w:sz w:val="24"/>
          <w:highlight w:val="none"/>
        </w:rPr>
        <w:t>供应商地址：</w:t>
      </w:r>
    </w:p>
    <w:p w14:paraId="52870853">
      <w:pPr>
        <w:pStyle w:val="9"/>
        <w:snapToGrid w:val="0"/>
        <w:spacing w:before="50" w:after="50" w:line="360" w:lineRule="exact"/>
        <w:ind w:firstLine="960" w:firstLineChars="400"/>
        <w:rPr>
          <w:bCs/>
          <w:color w:val="auto"/>
          <w:sz w:val="24"/>
          <w:szCs w:val="24"/>
          <w:highlight w:val="none"/>
        </w:rPr>
      </w:pPr>
    </w:p>
    <w:p w14:paraId="712E7C51">
      <w:pPr>
        <w:snapToGrid w:val="0"/>
        <w:spacing w:before="120" w:beforeLines="50" w:after="50" w:line="360" w:lineRule="exact"/>
        <w:jc w:val="center"/>
        <w:rPr>
          <w:color w:val="auto"/>
          <w:sz w:val="24"/>
          <w:highlight w:val="none"/>
        </w:rPr>
      </w:pPr>
      <w:r>
        <w:rPr>
          <w:color w:val="auto"/>
          <w:sz w:val="24"/>
          <w:highlight w:val="none"/>
        </w:rPr>
        <w:t xml:space="preserve">                        年  月  日</w:t>
      </w:r>
    </w:p>
    <w:p w14:paraId="685B8F96">
      <w:pPr>
        <w:snapToGrid w:val="0"/>
        <w:spacing w:before="120" w:beforeLines="50" w:after="50" w:line="440" w:lineRule="exact"/>
        <w:jc w:val="center"/>
        <w:outlineLvl w:val="1"/>
        <w:rPr>
          <w:b/>
          <w:bCs/>
          <w:color w:val="auto"/>
          <w:sz w:val="24"/>
          <w:highlight w:val="none"/>
        </w:rPr>
      </w:pPr>
      <w:bookmarkStart w:id="83" w:name="_Toc254970698"/>
      <w:bookmarkStart w:id="84" w:name="_Toc254970557"/>
      <w:r>
        <w:rPr>
          <w:color w:val="auto"/>
          <w:sz w:val="24"/>
          <w:highlight w:val="none"/>
        </w:rPr>
        <w:br w:type="page"/>
      </w:r>
      <w:bookmarkEnd w:id="83"/>
      <w:bookmarkEnd w:id="84"/>
    </w:p>
    <w:p w14:paraId="7375EA94">
      <w:pPr>
        <w:snapToGrid w:val="0"/>
        <w:spacing w:before="120" w:beforeLines="50" w:after="50" w:line="440" w:lineRule="exact"/>
        <w:jc w:val="center"/>
        <w:rPr>
          <w:color w:val="auto"/>
          <w:sz w:val="24"/>
          <w:highlight w:val="none"/>
        </w:rPr>
      </w:pPr>
    </w:p>
    <w:p w14:paraId="79F56EFB">
      <w:pPr>
        <w:snapToGrid w:val="0"/>
        <w:spacing w:before="50" w:after="50" w:line="440" w:lineRule="exact"/>
        <w:ind w:firstLine="138" w:firstLineChars="49"/>
        <w:jc w:val="center"/>
        <w:rPr>
          <w:b/>
          <w:color w:val="auto"/>
          <w:sz w:val="28"/>
          <w:szCs w:val="28"/>
          <w:highlight w:val="none"/>
        </w:rPr>
      </w:pPr>
      <w:r>
        <w:rPr>
          <w:b/>
          <w:color w:val="auto"/>
          <w:sz w:val="28"/>
          <w:szCs w:val="28"/>
          <w:highlight w:val="none"/>
        </w:rPr>
        <w:t>目录</w:t>
      </w:r>
    </w:p>
    <w:p w14:paraId="22C96133">
      <w:pPr>
        <w:jc w:val="center"/>
        <w:rPr>
          <w:b/>
          <w:color w:val="auto"/>
          <w:sz w:val="24"/>
          <w:highlight w:val="none"/>
        </w:rPr>
      </w:pPr>
      <w:r>
        <w:rPr>
          <w:b/>
          <w:color w:val="auto"/>
          <w:sz w:val="24"/>
          <w:highlight w:val="none"/>
        </w:rPr>
        <w:t>（需有页码）</w:t>
      </w:r>
    </w:p>
    <w:p w14:paraId="22B28955">
      <w:pPr>
        <w:jc w:val="center"/>
        <w:outlineLvl w:val="1"/>
        <w:rPr>
          <w:rFonts w:hint="eastAsia"/>
          <w:bCs/>
          <w:vanish/>
          <w:color w:val="auto"/>
          <w:sz w:val="24"/>
          <w:highlight w:val="none"/>
        </w:rPr>
      </w:pPr>
      <w:r>
        <w:rPr>
          <w:color w:val="auto"/>
          <w:highlight w:val="none"/>
        </w:rPr>
        <w:br w:type="page"/>
      </w:r>
      <w:r>
        <w:rPr>
          <w:bCs/>
          <w:color w:val="auto"/>
          <w:sz w:val="24"/>
          <w:highlight w:val="none"/>
        </w:rPr>
        <w:t>第一部分 资格</w:t>
      </w:r>
      <w:r>
        <w:rPr>
          <w:rFonts w:hint="eastAsia"/>
          <w:bCs/>
          <w:color w:val="auto"/>
          <w:sz w:val="24"/>
          <w:highlight w:val="none"/>
        </w:rPr>
        <w:t>证明</w:t>
      </w:r>
      <w:r>
        <w:rPr>
          <w:bCs/>
          <w:color w:val="auto"/>
          <w:sz w:val="24"/>
          <w:highlight w:val="none"/>
        </w:rPr>
        <w:t>文件</w:t>
      </w:r>
    </w:p>
    <w:p w14:paraId="2EB3D126">
      <w:pPr>
        <w:snapToGrid w:val="0"/>
        <w:spacing w:before="50" w:after="120" w:afterLines="50" w:line="400" w:lineRule="exact"/>
        <w:jc w:val="left"/>
        <w:rPr>
          <w:b/>
          <w:color w:val="auto"/>
          <w:szCs w:val="21"/>
          <w:highlight w:val="none"/>
        </w:rPr>
      </w:pPr>
      <w:bookmarkStart w:id="85" w:name="_Hlk19199154"/>
    </w:p>
    <w:p w14:paraId="33F3DA2B">
      <w:pPr>
        <w:snapToGrid w:val="0"/>
        <w:spacing w:before="50" w:after="120" w:afterLines="50" w:line="400" w:lineRule="exact"/>
        <w:jc w:val="left"/>
        <w:rPr>
          <w:rFonts w:hint="eastAsia"/>
          <w:b/>
          <w:color w:val="auto"/>
          <w:szCs w:val="21"/>
          <w:highlight w:val="none"/>
        </w:rPr>
      </w:pPr>
      <w:r>
        <w:rPr>
          <w:b/>
          <w:color w:val="auto"/>
          <w:szCs w:val="21"/>
          <w:highlight w:val="none"/>
        </w:rPr>
        <w:t>1．响应声明书格式：</w:t>
      </w:r>
      <w:bookmarkEnd w:id="85"/>
    </w:p>
    <w:p w14:paraId="2BC4BC7D">
      <w:pPr>
        <w:snapToGrid w:val="0"/>
        <w:spacing w:before="120" w:beforeLines="50" w:after="50" w:line="360" w:lineRule="exact"/>
        <w:jc w:val="center"/>
        <w:rPr>
          <w:b/>
          <w:color w:val="auto"/>
          <w:szCs w:val="21"/>
          <w:highlight w:val="none"/>
        </w:rPr>
      </w:pPr>
      <w:r>
        <w:rPr>
          <w:b/>
          <w:color w:val="auto"/>
          <w:szCs w:val="21"/>
          <w:highlight w:val="none"/>
        </w:rPr>
        <w:t>响应声明书</w:t>
      </w:r>
    </w:p>
    <w:p w14:paraId="13E889B3">
      <w:pPr>
        <w:snapToGrid w:val="0"/>
        <w:spacing w:before="120" w:beforeLines="50" w:after="50" w:line="360" w:lineRule="exact"/>
        <w:jc w:val="center"/>
        <w:rPr>
          <w:color w:val="auto"/>
          <w:szCs w:val="21"/>
          <w:highlight w:val="none"/>
        </w:rPr>
      </w:pPr>
    </w:p>
    <w:p w14:paraId="63F054F5">
      <w:pPr>
        <w:snapToGrid w:val="0"/>
        <w:spacing w:before="120" w:beforeLines="50" w:after="50" w:line="360" w:lineRule="exact"/>
        <w:rPr>
          <w:color w:val="auto"/>
          <w:szCs w:val="21"/>
          <w:highlight w:val="none"/>
        </w:rPr>
      </w:pPr>
      <w:bookmarkStart w:id="86" w:name="_Hlk19199166"/>
      <w:r>
        <w:rPr>
          <w:color w:val="auto"/>
          <w:szCs w:val="21"/>
          <w:highlight w:val="none"/>
        </w:rPr>
        <w:t>致：</w:t>
      </w:r>
      <w:r>
        <w:rPr>
          <w:i/>
          <w:iCs/>
          <w:color w:val="auto"/>
          <w:szCs w:val="21"/>
          <w:highlight w:val="none"/>
          <w:u w:val="single"/>
        </w:rPr>
        <w:t>（采购</w:t>
      </w:r>
      <w:r>
        <w:rPr>
          <w:rFonts w:hint="eastAsia"/>
          <w:i/>
          <w:iCs/>
          <w:color w:val="auto"/>
          <w:szCs w:val="21"/>
          <w:highlight w:val="none"/>
          <w:u w:val="single"/>
        </w:rPr>
        <w:t>人</w:t>
      </w:r>
      <w:r>
        <w:rPr>
          <w:i/>
          <w:iCs/>
          <w:color w:val="auto"/>
          <w:szCs w:val="21"/>
          <w:highlight w:val="none"/>
          <w:u w:val="single"/>
        </w:rPr>
        <w:t>名称）</w:t>
      </w:r>
      <w:r>
        <w:rPr>
          <w:color w:val="auto"/>
          <w:szCs w:val="21"/>
          <w:highlight w:val="none"/>
        </w:rPr>
        <w:t>：</w:t>
      </w:r>
    </w:p>
    <w:p w14:paraId="5064C6D4">
      <w:pPr>
        <w:snapToGrid w:val="0"/>
        <w:spacing w:before="120" w:beforeLines="50" w:after="50" w:line="360" w:lineRule="exact"/>
        <w:ind w:firstLine="630" w:firstLineChars="300"/>
        <w:rPr>
          <w:color w:val="auto"/>
          <w:szCs w:val="21"/>
          <w:highlight w:val="none"/>
        </w:rPr>
      </w:pPr>
      <w:r>
        <w:rPr>
          <w:i/>
          <w:iCs/>
          <w:color w:val="auto"/>
          <w:szCs w:val="21"/>
          <w:highlight w:val="none"/>
          <w:u w:val="single"/>
        </w:rPr>
        <w:t>（供应商名称）</w:t>
      </w:r>
      <w:r>
        <w:rPr>
          <w:color w:val="auto"/>
          <w:szCs w:val="21"/>
          <w:highlight w:val="none"/>
        </w:rPr>
        <w:t>系中华人民共和国合法企业，</w:t>
      </w:r>
      <w:r>
        <w:rPr>
          <w:rFonts w:hint="eastAsia"/>
          <w:color w:val="auto"/>
          <w:szCs w:val="21"/>
          <w:highlight w:val="none"/>
          <w:u w:val="single"/>
        </w:rPr>
        <w:t xml:space="preserve"> </w:t>
      </w:r>
      <w:r>
        <w:rPr>
          <w:i/>
          <w:iCs/>
          <w:color w:val="auto"/>
          <w:szCs w:val="21"/>
          <w:highlight w:val="none"/>
          <w:u w:val="single"/>
        </w:rPr>
        <w:t xml:space="preserve"> </w:t>
      </w:r>
      <w:r>
        <w:rPr>
          <w:rFonts w:hint="eastAsia"/>
          <w:i/>
          <w:iCs/>
          <w:color w:val="auto"/>
          <w:szCs w:val="21"/>
          <w:highlight w:val="none"/>
          <w:u w:val="single"/>
        </w:rPr>
        <w:t>（</w:t>
      </w:r>
      <w:r>
        <w:rPr>
          <w:i/>
          <w:iCs/>
          <w:color w:val="auto"/>
          <w:szCs w:val="21"/>
          <w:highlight w:val="none"/>
          <w:u w:val="single"/>
        </w:rPr>
        <w:t>经营地址</w:t>
      </w:r>
      <w:r>
        <w:rPr>
          <w:rFonts w:hint="eastAsia"/>
          <w:i/>
          <w:iCs/>
          <w:color w:val="auto"/>
          <w:szCs w:val="21"/>
          <w:highlight w:val="none"/>
          <w:u w:val="single"/>
        </w:rPr>
        <w:t xml:space="preserve">） </w:t>
      </w:r>
      <w:r>
        <w:rPr>
          <w:i/>
          <w:iCs/>
          <w:color w:val="auto"/>
          <w:szCs w:val="21"/>
          <w:highlight w:val="none"/>
          <w:u w:val="single"/>
        </w:rPr>
        <w:t xml:space="preserve"> </w:t>
      </w:r>
      <w:r>
        <w:rPr>
          <w:color w:val="auto"/>
          <w:szCs w:val="21"/>
          <w:highlight w:val="none"/>
          <w:u w:val="single"/>
        </w:rPr>
        <w:t xml:space="preserve">  </w:t>
      </w:r>
      <w:r>
        <w:rPr>
          <w:color w:val="auto"/>
          <w:szCs w:val="21"/>
          <w:highlight w:val="none"/>
        </w:rPr>
        <w:t>。</w:t>
      </w:r>
    </w:p>
    <w:p w14:paraId="5AF35BBD">
      <w:pPr>
        <w:snapToGrid w:val="0"/>
        <w:spacing w:before="120" w:beforeLines="50" w:after="50" w:line="360" w:lineRule="exact"/>
        <w:ind w:firstLine="645"/>
        <w:rPr>
          <w:color w:val="auto"/>
          <w:szCs w:val="21"/>
          <w:highlight w:val="none"/>
        </w:rPr>
      </w:pPr>
      <w:r>
        <w:rPr>
          <w:color w:val="auto"/>
          <w:szCs w:val="21"/>
          <w:highlight w:val="none"/>
        </w:rPr>
        <w:t>我</w:t>
      </w:r>
      <w:r>
        <w:rPr>
          <w:i/>
          <w:iCs/>
          <w:color w:val="auto"/>
          <w:szCs w:val="21"/>
          <w:highlight w:val="none"/>
          <w:u w:val="single"/>
        </w:rPr>
        <w:t>（姓名）</w:t>
      </w:r>
      <w:r>
        <w:rPr>
          <w:rFonts w:hint="eastAsia"/>
          <w:i/>
          <w:iCs/>
          <w:color w:val="auto"/>
          <w:szCs w:val="21"/>
          <w:highlight w:val="none"/>
          <w:u w:val="single"/>
        </w:rPr>
        <w:t xml:space="preserve"> </w:t>
      </w:r>
      <w:r>
        <w:rPr>
          <w:color w:val="auto"/>
          <w:szCs w:val="21"/>
          <w:highlight w:val="none"/>
        </w:rPr>
        <w:t>系</w:t>
      </w:r>
      <w:r>
        <w:rPr>
          <w:i/>
          <w:iCs/>
          <w:color w:val="auto"/>
          <w:szCs w:val="21"/>
          <w:highlight w:val="none"/>
          <w:u w:val="single"/>
        </w:rPr>
        <w:t>（供应商名称）</w:t>
      </w:r>
      <w:r>
        <w:rPr>
          <w:color w:val="auto"/>
          <w:szCs w:val="21"/>
          <w:highlight w:val="none"/>
        </w:rPr>
        <w:t>的法定代表人，我方愿意参加贵方组织的</w:t>
      </w:r>
      <w:r>
        <w:rPr>
          <w:rFonts w:hint="eastAsia"/>
          <w:i/>
          <w:iCs/>
          <w:color w:val="auto"/>
          <w:szCs w:val="21"/>
          <w:highlight w:val="none"/>
          <w:u w:val="single"/>
        </w:rPr>
        <w:t>（项目名称）</w:t>
      </w:r>
      <w:r>
        <w:rPr>
          <w:color w:val="auto"/>
          <w:szCs w:val="21"/>
          <w:highlight w:val="none"/>
        </w:rPr>
        <w:t>项目的磋商，为便于贵方公正、择优地确定成交供应商及其响应产品和服务，我方就本次磋商有关事项郑重声明如下：</w:t>
      </w:r>
    </w:p>
    <w:p w14:paraId="38B0EF3C">
      <w:pPr>
        <w:snapToGrid w:val="0"/>
        <w:spacing w:before="120" w:beforeLines="50" w:line="360" w:lineRule="exact"/>
        <w:ind w:firstLine="420" w:firstLineChars="200"/>
        <w:rPr>
          <w:color w:val="auto"/>
          <w:szCs w:val="21"/>
          <w:highlight w:val="none"/>
        </w:rPr>
      </w:pPr>
      <w:r>
        <w:rPr>
          <w:color w:val="auto"/>
          <w:szCs w:val="21"/>
          <w:highlight w:val="none"/>
        </w:rPr>
        <w:t>（1）我方向贵方提交的所有响应文件、资料都是准确的和真实的。</w:t>
      </w:r>
    </w:p>
    <w:p w14:paraId="10AA249C">
      <w:pPr>
        <w:snapToGrid w:val="0"/>
        <w:spacing w:before="120" w:beforeLines="50" w:line="360" w:lineRule="exact"/>
        <w:ind w:firstLine="420" w:firstLineChars="200"/>
        <w:rPr>
          <w:color w:val="auto"/>
          <w:szCs w:val="21"/>
          <w:highlight w:val="none"/>
        </w:rPr>
      </w:pPr>
      <w:r>
        <w:rPr>
          <w:color w:val="auto"/>
          <w:szCs w:val="21"/>
          <w:highlight w:val="none"/>
        </w:rPr>
        <w:t>（2）我方不是采购人的附属机构；也不是为本项目提供整体设计、规范编制或者项目管理、监理、检测等服务的供应商或其附属机构。</w:t>
      </w:r>
    </w:p>
    <w:p w14:paraId="5004FFD3">
      <w:pPr>
        <w:snapToGrid w:val="0"/>
        <w:spacing w:before="120" w:beforeLines="50" w:line="360" w:lineRule="exact"/>
        <w:ind w:firstLine="420" w:firstLineChars="200"/>
        <w:rPr>
          <w:color w:val="auto"/>
          <w:szCs w:val="21"/>
          <w:highlight w:val="none"/>
        </w:rPr>
      </w:pPr>
      <w:r>
        <w:rPr>
          <w:color w:val="auto"/>
          <w:szCs w:val="21"/>
          <w:highlight w:val="none"/>
        </w:rPr>
        <w:t>（3） 我方承诺在参加本政府采购项目活动前，没有被纳入政府部门或银行认定的失信名单，我方具有良好的商业信誉。</w:t>
      </w:r>
    </w:p>
    <w:p w14:paraId="65922A21">
      <w:pPr>
        <w:snapToGrid w:val="0"/>
        <w:spacing w:before="120" w:beforeLines="50" w:line="360" w:lineRule="exact"/>
        <w:ind w:firstLine="420" w:firstLineChars="200"/>
        <w:rPr>
          <w:rFonts w:hint="eastAsia"/>
          <w:color w:val="auto"/>
          <w:szCs w:val="21"/>
          <w:highlight w:val="none"/>
        </w:rPr>
      </w:pPr>
      <w:r>
        <w:rPr>
          <w:color w:val="auto"/>
          <w:szCs w:val="21"/>
          <w:highlight w:val="none"/>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0C5E6DBB">
      <w:pPr>
        <w:snapToGrid w:val="0"/>
        <w:spacing w:before="120" w:beforeLines="50" w:line="360" w:lineRule="exact"/>
        <w:ind w:firstLine="420" w:firstLineChars="200"/>
        <w:rPr>
          <w:color w:val="auto"/>
          <w:szCs w:val="21"/>
          <w:highlight w:val="none"/>
          <w:lang w:val="zh-CN"/>
        </w:rPr>
      </w:pPr>
      <w:r>
        <w:rPr>
          <w:color w:val="auto"/>
          <w:szCs w:val="21"/>
          <w:highlight w:val="none"/>
        </w:rPr>
        <w:t>（5）</w:t>
      </w:r>
      <w:r>
        <w:rPr>
          <w:color w:val="auto"/>
          <w:szCs w:val="21"/>
          <w:highlight w:val="none"/>
          <w:lang w:val="zh-CN"/>
        </w:rPr>
        <w:t>我方</w:t>
      </w:r>
      <w:r>
        <w:rPr>
          <w:color w:val="auto"/>
          <w:szCs w:val="21"/>
          <w:highlight w:val="none"/>
        </w:rPr>
        <w:t>承诺</w:t>
      </w:r>
      <w:r>
        <w:rPr>
          <w:color w:val="auto"/>
          <w:szCs w:val="21"/>
          <w:highlight w:val="none"/>
          <w:lang w:val="zh-CN"/>
        </w:rPr>
        <w:t>具有履行本项目合同所必需的设备和专业技术能力。</w:t>
      </w:r>
    </w:p>
    <w:p w14:paraId="2BAAB9E5">
      <w:pPr>
        <w:snapToGrid w:val="0"/>
        <w:spacing w:before="120" w:beforeLines="50" w:line="360" w:lineRule="exact"/>
        <w:ind w:firstLine="420" w:firstLineChars="200"/>
        <w:rPr>
          <w:color w:val="auto"/>
          <w:szCs w:val="21"/>
          <w:highlight w:val="none"/>
        </w:rPr>
      </w:pPr>
      <w:r>
        <w:rPr>
          <w:rFonts w:hint="eastAsia"/>
          <w:color w:val="auto"/>
          <w:szCs w:val="21"/>
          <w:highlight w:val="none"/>
        </w:rPr>
        <w:t>（6）我方承诺</w:t>
      </w:r>
      <w:r>
        <w:rPr>
          <w:color w:val="auto"/>
          <w:szCs w:val="21"/>
          <w:highlight w:val="none"/>
        </w:rPr>
        <w:t>未被列入失信被执行人、重大税收违法失信主体、政府采购严重违法失信行为记录名单</w:t>
      </w:r>
      <w:r>
        <w:rPr>
          <w:rFonts w:hint="eastAsia"/>
          <w:color w:val="auto"/>
          <w:szCs w:val="21"/>
          <w:highlight w:val="none"/>
        </w:rPr>
        <w:t>，如我方提供的声明不实，则接受本次响应作为响应无效的处理，</w:t>
      </w:r>
      <w:r>
        <w:rPr>
          <w:color w:val="auto"/>
          <w:szCs w:val="21"/>
          <w:highlight w:val="none"/>
        </w:rPr>
        <w:t>并根据财库〔2016〕125号《财政部关于在政府采购活动中查询及使用信用记录有关问题的通知》规定接受失信联合惩戒。</w:t>
      </w:r>
    </w:p>
    <w:p w14:paraId="03B13A19">
      <w:pPr>
        <w:snapToGrid w:val="0"/>
        <w:spacing w:before="120" w:beforeLines="50" w:line="360" w:lineRule="exact"/>
        <w:ind w:firstLine="420" w:firstLineChars="200"/>
        <w:rPr>
          <w:color w:val="auto"/>
          <w:szCs w:val="21"/>
          <w:highlight w:val="none"/>
        </w:rPr>
      </w:pPr>
      <w:r>
        <w:rPr>
          <w:rFonts w:hint="eastAsia"/>
          <w:color w:val="auto"/>
          <w:szCs w:val="21"/>
          <w:highlight w:val="none"/>
        </w:rPr>
        <w:t>（7）我方承诺成交后按</w:t>
      </w:r>
      <w:r>
        <w:rPr>
          <w:color w:val="auto"/>
          <w:szCs w:val="21"/>
          <w:highlight w:val="none"/>
        </w:rPr>
        <w:t>规定缴纳代理服务费</w:t>
      </w:r>
      <w:r>
        <w:rPr>
          <w:rFonts w:hint="eastAsia"/>
          <w:color w:val="auto"/>
          <w:szCs w:val="21"/>
          <w:highlight w:val="none"/>
        </w:rPr>
        <w:t>。如未按时缴纳，</w:t>
      </w:r>
      <w:r>
        <w:rPr>
          <w:color w:val="auto"/>
          <w:szCs w:val="21"/>
          <w:highlight w:val="none"/>
        </w:rPr>
        <w:t>贵方可</w:t>
      </w:r>
      <w:r>
        <w:rPr>
          <w:rFonts w:hint="eastAsia"/>
          <w:color w:val="auto"/>
          <w:szCs w:val="21"/>
          <w:highlight w:val="none"/>
        </w:rPr>
        <w:t>不退还</w:t>
      </w:r>
      <w:r>
        <w:rPr>
          <w:color w:val="auto"/>
          <w:szCs w:val="21"/>
          <w:highlight w:val="none"/>
        </w:rPr>
        <w:t>我</w:t>
      </w:r>
      <w:r>
        <w:rPr>
          <w:rFonts w:hint="eastAsia"/>
          <w:color w:val="auto"/>
          <w:szCs w:val="21"/>
          <w:highlight w:val="none"/>
        </w:rPr>
        <w:t>方</w:t>
      </w:r>
      <w:r>
        <w:rPr>
          <w:color w:val="auto"/>
          <w:szCs w:val="21"/>
          <w:highlight w:val="none"/>
        </w:rPr>
        <w:t>提交的</w:t>
      </w:r>
      <w:r>
        <w:rPr>
          <w:rFonts w:hint="eastAsia"/>
          <w:color w:val="auto"/>
          <w:szCs w:val="21"/>
          <w:highlight w:val="none"/>
        </w:rPr>
        <w:t>磋商</w:t>
      </w:r>
      <w:r>
        <w:rPr>
          <w:color w:val="auto"/>
          <w:szCs w:val="21"/>
          <w:highlight w:val="none"/>
        </w:rPr>
        <w:t>保证金</w:t>
      </w:r>
      <w:r>
        <w:rPr>
          <w:rFonts w:hint="eastAsia"/>
          <w:color w:val="auto"/>
          <w:szCs w:val="21"/>
          <w:highlight w:val="none"/>
        </w:rPr>
        <w:t>，并从中</w:t>
      </w:r>
      <w:r>
        <w:rPr>
          <w:color w:val="auto"/>
          <w:szCs w:val="21"/>
          <w:highlight w:val="none"/>
        </w:rPr>
        <w:t>扣除</w:t>
      </w:r>
      <w:r>
        <w:rPr>
          <w:rFonts w:hint="eastAsia"/>
          <w:color w:val="auto"/>
          <w:szCs w:val="21"/>
          <w:highlight w:val="none"/>
        </w:rPr>
        <w:t>代理服务费。</w:t>
      </w:r>
    </w:p>
    <w:p w14:paraId="4415D802">
      <w:pPr>
        <w:pStyle w:val="17"/>
        <w:ind w:firstLine="420" w:firstLineChars="200"/>
        <w:rPr>
          <w:rFonts w:hint="default" w:eastAsia="宋体"/>
          <w:color w:val="auto"/>
          <w:highlight w:val="none"/>
          <w:lang w:val="en-US" w:eastAsia="zh-CN"/>
        </w:rPr>
      </w:pPr>
      <w:bookmarkStart w:id="87" w:name="_Hlk33622999"/>
      <w:r>
        <w:rPr>
          <w:rFonts w:hint="eastAsia"/>
          <w:color w:val="auto"/>
          <w:szCs w:val="21"/>
          <w:highlight w:val="none"/>
        </w:rPr>
        <w:t>（</w:t>
      </w:r>
      <w:bookmarkStart w:id="88" w:name="_Hlk33623752"/>
      <w:r>
        <w:rPr>
          <w:rFonts w:hint="eastAsia"/>
          <w:color w:val="auto"/>
          <w:szCs w:val="21"/>
          <w:highlight w:val="none"/>
        </w:rPr>
        <w:t>8）我方承诺不属于</w:t>
      </w:r>
      <w:bookmarkEnd w:id="87"/>
      <w:bookmarkEnd w:id="88"/>
      <w:r>
        <w:rPr>
          <w:rFonts w:hint="eastAsia"/>
          <w:color w:val="auto"/>
          <w:szCs w:val="21"/>
          <w:highlight w:val="none"/>
          <w:lang w:val="en-US" w:eastAsia="zh-CN"/>
        </w:rPr>
        <w:t>联合体响应。</w:t>
      </w:r>
    </w:p>
    <w:p w14:paraId="1B1D6636">
      <w:pPr>
        <w:snapToGrid w:val="0"/>
        <w:spacing w:before="120" w:beforeLines="50" w:line="360" w:lineRule="exact"/>
        <w:ind w:firstLine="420" w:firstLineChars="200"/>
        <w:rPr>
          <w:color w:val="auto"/>
          <w:szCs w:val="21"/>
          <w:highlight w:val="none"/>
        </w:rPr>
      </w:pPr>
      <w:r>
        <w:rPr>
          <w:color w:val="auto"/>
          <w:szCs w:val="21"/>
          <w:highlight w:val="none"/>
        </w:rPr>
        <w:t>我方对以上声明负全部法律责任。如有虚假或隐瞒，我方愿意承担一切后果，并不再寻求任何旨在减轻或免除法律责任的辩解。</w:t>
      </w:r>
    </w:p>
    <w:bookmarkEnd w:id="86"/>
    <w:p w14:paraId="437EB485">
      <w:pPr>
        <w:snapToGrid w:val="0"/>
        <w:spacing w:before="120" w:beforeLines="50" w:line="360" w:lineRule="exact"/>
        <w:ind w:firstLine="420" w:firstLineChars="200"/>
        <w:rPr>
          <w:color w:val="auto"/>
          <w:szCs w:val="21"/>
          <w:highlight w:val="none"/>
        </w:rPr>
      </w:pPr>
    </w:p>
    <w:p w14:paraId="49F7AA96">
      <w:pPr>
        <w:snapToGrid w:val="0"/>
        <w:spacing w:before="120" w:beforeLines="50" w:after="50" w:line="360" w:lineRule="exact"/>
        <w:ind w:firstLine="3570" w:firstLineChars="1700"/>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4E3483D0">
      <w:pPr>
        <w:snapToGrid w:val="0"/>
        <w:spacing w:before="120" w:beforeLines="50" w:after="50" w:line="360" w:lineRule="exact"/>
        <w:ind w:firstLine="210" w:firstLineChars="100"/>
        <w:rPr>
          <w:color w:val="auto"/>
          <w:szCs w:val="21"/>
          <w:highlight w:val="none"/>
        </w:rPr>
      </w:pPr>
      <w:r>
        <w:rPr>
          <w:color w:val="auto"/>
          <w:szCs w:val="21"/>
          <w:highlight w:val="none"/>
        </w:rPr>
        <w:t xml:space="preserve">                                          年    月    日</w:t>
      </w:r>
    </w:p>
    <w:p w14:paraId="77E8D21D">
      <w:pPr>
        <w:snapToGrid w:val="0"/>
        <w:spacing w:before="120" w:beforeLines="50" w:after="50" w:line="360" w:lineRule="exact"/>
        <w:rPr>
          <w:color w:val="auto"/>
          <w:szCs w:val="21"/>
          <w:highlight w:val="none"/>
        </w:rPr>
      </w:pPr>
      <w:r>
        <w:rPr>
          <w:color w:val="auto"/>
          <w:szCs w:val="21"/>
          <w:highlight w:val="none"/>
        </w:rPr>
        <w:br w:type="page"/>
      </w:r>
      <w:r>
        <w:rPr>
          <w:rFonts w:hint="eastAsia"/>
          <w:color w:val="auto"/>
          <w:szCs w:val="21"/>
          <w:highlight w:val="none"/>
        </w:rPr>
        <w:t>2</w:t>
      </w:r>
      <w:r>
        <w:rPr>
          <w:color w:val="auto"/>
          <w:szCs w:val="21"/>
          <w:highlight w:val="none"/>
        </w:rPr>
        <w:t>．法人或者其他组织的营业执照等证明文件、自然人的身份证明。即供应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商不是以上所列的法人、组织、自然人的，则提供国家规定的相关证明材料。（加盖供应商</w:t>
      </w:r>
      <w:r>
        <w:rPr>
          <w:rFonts w:hint="eastAsia"/>
          <w:color w:val="auto"/>
          <w:szCs w:val="21"/>
          <w:highlight w:val="none"/>
        </w:rPr>
        <w:t>电子签章</w:t>
      </w:r>
      <w:r>
        <w:rPr>
          <w:color w:val="auto"/>
          <w:szCs w:val="21"/>
          <w:highlight w:val="none"/>
        </w:rPr>
        <w:t>）</w:t>
      </w:r>
      <w:r>
        <w:rPr>
          <w:rFonts w:hint="eastAsia"/>
          <w:color w:val="auto"/>
          <w:szCs w:val="21"/>
          <w:highlight w:val="none"/>
        </w:rPr>
        <w:t>。</w:t>
      </w:r>
    </w:p>
    <w:p w14:paraId="5FB59490">
      <w:pPr>
        <w:snapToGrid w:val="0"/>
        <w:spacing w:before="120" w:beforeLines="50" w:after="50" w:line="440" w:lineRule="exact"/>
        <w:rPr>
          <w:color w:val="auto"/>
          <w:szCs w:val="21"/>
          <w:highlight w:val="none"/>
        </w:rPr>
      </w:pPr>
    </w:p>
    <w:p w14:paraId="20B988F6">
      <w:pPr>
        <w:snapToGrid w:val="0"/>
        <w:spacing w:before="120" w:beforeLines="50" w:after="50" w:line="440" w:lineRule="exact"/>
        <w:rPr>
          <w:color w:val="auto"/>
          <w:szCs w:val="21"/>
          <w:highlight w:val="none"/>
        </w:rPr>
      </w:pPr>
      <w:r>
        <w:rPr>
          <w:rFonts w:hint="eastAsia"/>
          <w:color w:val="auto"/>
          <w:szCs w:val="21"/>
          <w:highlight w:val="none"/>
        </w:rPr>
        <w:t>3</w:t>
      </w:r>
      <w:r>
        <w:rPr>
          <w:color w:val="auto"/>
          <w:szCs w:val="21"/>
          <w:highlight w:val="none"/>
        </w:rPr>
        <w:t>．财务状况报告（表）复印件或银行出具的资信证明复印件。</w:t>
      </w:r>
      <w:r>
        <w:rPr>
          <w:color w:val="auto"/>
          <w:highlight w:val="none"/>
        </w:rPr>
        <w:t>对于从取得营业执照时间起到截标时间为止不足1年的供应商，只需提交</w:t>
      </w:r>
      <w:r>
        <w:rPr>
          <w:color w:val="auto"/>
          <w:szCs w:val="21"/>
          <w:highlight w:val="none"/>
        </w:rPr>
        <w:t>截标时间前一个月的财务状况报告（表）复印件。（按“评审方法及标准” “资格审查表”规定提供）。（加盖供应商</w:t>
      </w:r>
      <w:r>
        <w:rPr>
          <w:rFonts w:hint="eastAsia"/>
          <w:color w:val="auto"/>
          <w:szCs w:val="21"/>
          <w:highlight w:val="none"/>
        </w:rPr>
        <w:t>电子签章</w:t>
      </w:r>
      <w:r>
        <w:rPr>
          <w:color w:val="auto"/>
          <w:szCs w:val="21"/>
          <w:highlight w:val="none"/>
        </w:rPr>
        <w:t>）</w:t>
      </w:r>
      <w:r>
        <w:rPr>
          <w:rFonts w:hint="eastAsia"/>
          <w:color w:val="auto"/>
          <w:szCs w:val="21"/>
          <w:highlight w:val="none"/>
        </w:rPr>
        <w:t>。</w:t>
      </w:r>
    </w:p>
    <w:p w14:paraId="6691A173">
      <w:pPr>
        <w:snapToGrid w:val="0"/>
        <w:spacing w:before="50" w:after="120" w:afterLines="50" w:line="440" w:lineRule="exact"/>
        <w:jc w:val="left"/>
        <w:rPr>
          <w:color w:val="auto"/>
          <w:szCs w:val="21"/>
          <w:highlight w:val="none"/>
        </w:rPr>
      </w:pPr>
    </w:p>
    <w:p w14:paraId="566D7729">
      <w:pPr>
        <w:snapToGrid w:val="0"/>
        <w:spacing w:before="50" w:after="120" w:afterLines="50" w:line="440" w:lineRule="exact"/>
        <w:jc w:val="left"/>
        <w:rPr>
          <w:rFonts w:hint="eastAsia"/>
          <w:b/>
          <w:color w:val="auto"/>
          <w:szCs w:val="21"/>
          <w:highlight w:val="none"/>
        </w:rPr>
      </w:pPr>
      <w:r>
        <w:rPr>
          <w:rFonts w:hint="eastAsia"/>
          <w:color w:val="auto"/>
          <w:szCs w:val="21"/>
          <w:highlight w:val="none"/>
        </w:rPr>
        <w:t>4</w:t>
      </w:r>
      <w:r>
        <w:rPr>
          <w:color w:val="auto"/>
          <w:szCs w:val="21"/>
          <w:highlight w:val="none"/>
        </w:rPr>
        <w:t>．</w:t>
      </w:r>
      <w:r>
        <w:rPr>
          <w:color w:val="auto"/>
          <w:highlight w:val="none"/>
        </w:rPr>
        <w:t>依法缴纳税费证明和社会保险缴纳证明材料</w:t>
      </w:r>
      <w:r>
        <w:rPr>
          <w:rFonts w:hint="eastAsia"/>
          <w:color w:val="auto"/>
          <w:highlight w:val="none"/>
        </w:rPr>
        <w:t>。</w:t>
      </w:r>
      <w:r>
        <w:rPr>
          <w:color w:val="auto"/>
          <w:highlight w:val="none"/>
        </w:rPr>
        <w:t>供应商成立不足</w:t>
      </w:r>
      <w:r>
        <w:rPr>
          <w:rFonts w:hint="eastAsia"/>
          <w:color w:val="auto"/>
          <w:highlight w:val="none"/>
        </w:rPr>
        <w:t>1个月的，无须提供</w:t>
      </w:r>
      <w:r>
        <w:rPr>
          <w:color w:val="auto"/>
          <w:highlight w:val="none"/>
        </w:rPr>
        <w:t>缴纳税费证明及社保缴费证明</w:t>
      </w:r>
      <w:r>
        <w:rPr>
          <w:rFonts w:hint="eastAsia"/>
          <w:color w:val="auto"/>
          <w:highlight w:val="none"/>
        </w:rPr>
        <w:t>。</w:t>
      </w:r>
      <w:r>
        <w:rPr>
          <w:color w:val="auto"/>
          <w:highlight w:val="none"/>
        </w:rPr>
        <w:t>依法免税或不需要缴纳社会保障资金的供应商，须提供相应文件证明其依法免税或不需要缴纳社会保障资金。</w:t>
      </w:r>
      <w:r>
        <w:rPr>
          <w:color w:val="auto"/>
          <w:szCs w:val="21"/>
          <w:highlight w:val="none"/>
        </w:rPr>
        <w:t>（按“评审方法及标准” “资格性检查表”规定提供）（加盖供应商</w:t>
      </w:r>
      <w:r>
        <w:rPr>
          <w:rFonts w:hint="eastAsia"/>
          <w:color w:val="auto"/>
          <w:szCs w:val="21"/>
          <w:highlight w:val="none"/>
        </w:rPr>
        <w:t>电子签章</w:t>
      </w:r>
      <w:r>
        <w:rPr>
          <w:color w:val="auto"/>
          <w:szCs w:val="21"/>
          <w:highlight w:val="none"/>
        </w:rPr>
        <w:t>）</w:t>
      </w:r>
      <w:r>
        <w:rPr>
          <w:rFonts w:hint="eastAsia"/>
          <w:color w:val="auto"/>
          <w:szCs w:val="21"/>
          <w:highlight w:val="none"/>
        </w:rPr>
        <w:t>。</w:t>
      </w:r>
    </w:p>
    <w:p w14:paraId="3B337AEF">
      <w:pPr>
        <w:snapToGrid w:val="0"/>
        <w:spacing w:before="50" w:after="120" w:afterLines="50" w:line="440" w:lineRule="exact"/>
        <w:jc w:val="left"/>
        <w:rPr>
          <w:color w:val="auto"/>
          <w:highlight w:val="none"/>
        </w:rPr>
      </w:pPr>
    </w:p>
    <w:p w14:paraId="20A7185F">
      <w:pPr>
        <w:snapToGrid w:val="0"/>
        <w:spacing w:before="50" w:after="120" w:afterLines="50" w:line="440" w:lineRule="exact"/>
        <w:jc w:val="left"/>
        <w:rPr>
          <w:b/>
          <w:color w:val="auto"/>
          <w:szCs w:val="21"/>
          <w:highlight w:val="none"/>
        </w:rPr>
      </w:pPr>
      <w:r>
        <w:rPr>
          <w:rFonts w:hint="eastAsia"/>
          <w:color w:val="auto"/>
          <w:szCs w:val="21"/>
          <w:highlight w:val="none"/>
        </w:rPr>
        <w:t>5</w:t>
      </w:r>
      <w:r>
        <w:rPr>
          <w:color w:val="auto"/>
          <w:szCs w:val="21"/>
          <w:highlight w:val="none"/>
        </w:rPr>
        <w:t>．具备法律、行政法规规定的其他要求的证明材料</w:t>
      </w:r>
      <w:r>
        <w:rPr>
          <w:color w:val="auto"/>
          <w:highlight w:val="none"/>
        </w:rPr>
        <w:t>（</w:t>
      </w:r>
      <w:r>
        <w:rPr>
          <w:color w:val="auto"/>
          <w:szCs w:val="21"/>
          <w:highlight w:val="none"/>
        </w:rPr>
        <w:t>按“评审方法及标准” “资格性检查表”规定提供</w:t>
      </w:r>
      <w:r>
        <w:rPr>
          <w:color w:val="auto"/>
          <w:highlight w:val="none"/>
        </w:rPr>
        <w:t>）。</w:t>
      </w:r>
      <w:r>
        <w:rPr>
          <w:rFonts w:hint="eastAsia"/>
          <w:b/>
          <w:color w:val="auto"/>
          <w:szCs w:val="21"/>
          <w:highlight w:val="none"/>
        </w:rPr>
        <w:t>（如采购文件有要求时提供）</w:t>
      </w:r>
    </w:p>
    <w:p w14:paraId="7D7E30EB">
      <w:pPr>
        <w:snapToGrid w:val="0"/>
        <w:spacing w:before="50" w:after="120" w:afterLines="50" w:line="440" w:lineRule="exact"/>
        <w:jc w:val="left"/>
        <w:rPr>
          <w:color w:val="auto"/>
          <w:szCs w:val="21"/>
          <w:highlight w:val="none"/>
        </w:rPr>
      </w:pPr>
    </w:p>
    <w:p w14:paraId="09EC739A">
      <w:pPr>
        <w:snapToGrid w:val="0"/>
        <w:spacing w:before="50" w:after="120" w:afterLines="50" w:line="440" w:lineRule="exact"/>
        <w:jc w:val="left"/>
        <w:rPr>
          <w:b/>
          <w:color w:val="auto"/>
          <w:szCs w:val="21"/>
          <w:highlight w:val="none"/>
        </w:rPr>
      </w:pPr>
      <w:r>
        <w:rPr>
          <w:rFonts w:hint="eastAsia"/>
          <w:color w:val="auto"/>
          <w:szCs w:val="21"/>
          <w:highlight w:val="none"/>
        </w:rPr>
        <w:t>6</w:t>
      </w:r>
      <w:r>
        <w:rPr>
          <w:color w:val="auto"/>
          <w:szCs w:val="21"/>
          <w:highlight w:val="none"/>
        </w:rPr>
        <w:t>．</w:t>
      </w:r>
      <w:r>
        <w:rPr>
          <w:rFonts w:hint="eastAsia"/>
          <w:color w:val="auto"/>
          <w:highlight w:val="none"/>
        </w:rPr>
        <w:t>落实政府采购政策需满足的资格要求</w:t>
      </w:r>
      <w:r>
        <w:rPr>
          <w:color w:val="auto"/>
          <w:highlight w:val="none"/>
        </w:rPr>
        <w:t>（</w:t>
      </w:r>
      <w:r>
        <w:rPr>
          <w:color w:val="auto"/>
          <w:szCs w:val="21"/>
          <w:highlight w:val="none"/>
        </w:rPr>
        <w:t>按“评审方法及标准” “资格审查表”规定提供</w:t>
      </w:r>
      <w:r>
        <w:rPr>
          <w:color w:val="auto"/>
          <w:highlight w:val="none"/>
        </w:rPr>
        <w:t>）。</w:t>
      </w:r>
      <w:r>
        <w:rPr>
          <w:rFonts w:hint="eastAsia"/>
          <w:b/>
          <w:color w:val="auto"/>
          <w:szCs w:val="21"/>
          <w:highlight w:val="none"/>
        </w:rPr>
        <w:t>（</w:t>
      </w:r>
      <w:r>
        <w:rPr>
          <w:rFonts w:hint="eastAsia"/>
          <w:b/>
          <w:color w:val="auto"/>
          <w:szCs w:val="21"/>
          <w:highlight w:val="none"/>
          <w:lang w:val="en-US" w:eastAsia="zh-CN"/>
        </w:rPr>
        <w:t>如有，请</w:t>
      </w:r>
      <w:r>
        <w:rPr>
          <w:rFonts w:hint="eastAsia"/>
          <w:b/>
          <w:color w:val="auto"/>
          <w:szCs w:val="21"/>
          <w:highlight w:val="none"/>
        </w:rPr>
        <w:t>提供）</w:t>
      </w:r>
    </w:p>
    <w:p w14:paraId="47CB0CB9">
      <w:pPr>
        <w:snapToGrid w:val="0"/>
        <w:spacing w:before="50" w:after="120" w:afterLines="50" w:line="440" w:lineRule="exact"/>
        <w:jc w:val="left"/>
        <w:rPr>
          <w:rFonts w:hint="eastAsia"/>
          <w:color w:val="auto"/>
          <w:highlight w:val="none"/>
        </w:rPr>
      </w:pPr>
    </w:p>
    <w:p w14:paraId="21BABA12">
      <w:pPr>
        <w:spacing w:line="360" w:lineRule="auto"/>
        <w:ind w:firstLine="420"/>
        <w:jc w:val="right"/>
        <w:rPr>
          <w:color w:val="auto"/>
          <w:szCs w:val="21"/>
          <w:highlight w:val="none"/>
        </w:rPr>
      </w:pPr>
      <w:r>
        <w:rPr>
          <w:color w:val="auto"/>
          <w:highlight w:val="none"/>
        </w:rPr>
        <w:br w:type="page"/>
      </w:r>
    </w:p>
    <w:p w14:paraId="11D2AEFB">
      <w:pPr>
        <w:snapToGrid w:val="0"/>
        <w:spacing w:before="50" w:after="120" w:afterLines="50" w:line="440" w:lineRule="exact"/>
        <w:jc w:val="left"/>
        <w:rPr>
          <w:color w:val="auto"/>
          <w:highlight w:val="none"/>
        </w:rPr>
      </w:pPr>
      <w:r>
        <w:rPr>
          <w:rFonts w:hint="eastAsia"/>
          <w:color w:val="auto"/>
          <w:szCs w:val="21"/>
          <w:highlight w:val="none"/>
        </w:rPr>
        <w:t>7</w:t>
      </w:r>
      <w:r>
        <w:rPr>
          <w:color w:val="auto"/>
          <w:szCs w:val="21"/>
          <w:highlight w:val="none"/>
        </w:rPr>
        <w:t>．</w:t>
      </w:r>
      <w:r>
        <w:rPr>
          <w:color w:val="auto"/>
          <w:highlight w:val="none"/>
        </w:rPr>
        <w:t>满足供应商特定资格条件的其他证明材料</w:t>
      </w:r>
      <w:r>
        <w:rPr>
          <w:color w:val="auto"/>
          <w:szCs w:val="21"/>
          <w:highlight w:val="none"/>
        </w:rPr>
        <w:t>加盖供应商</w:t>
      </w:r>
      <w:r>
        <w:rPr>
          <w:rFonts w:hint="eastAsia"/>
          <w:color w:val="auto"/>
          <w:szCs w:val="21"/>
          <w:highlight w:val="none"/>
        </w:rPr>
        <w:t>电子签章</w:t>
      </w:r>
      <w:r>
        <w:rPr>
          <w:color w:val="auto"/>
          <w:highlight w:val="none"/>
        </w:rPr>
        <w:t>（</w:t>
      </w:r>
      <w:r>
        <w:rPr>
          <w:color w:val="auto"/>
          <w:szCs w:val="21"/>
          <w:highlight w:val="none"/>
        </w:rPr>
        <w:t>按“评审方法及标准” “资格性检查表”“</w:t>
      </w:r>
      <w:r>
        <w:rPr>
          <w:color w:val="auto"/>
          <w:szCs w:val="21"/>
          <w:highlight w:val="none"/>
          <w:lang w:val="zh-CN"/>
        </w:rPr>
        <w:t xml:space="preserve"> 供应商应符合的</w:t>
      </w:r>
      <w:r>
        <w:rPr>
          <w:color w:val="auto"/>
          <w:szCs w:val="21"/>
          <w:highlight w:val="none"/>
        </w:rPr>
        <w:t>特定资格条件”规定提供</w:t>
      </w:r>
      <w:r>
        <w:rPr>
          <w:color w:val="auto"/>
          <w:highlight w:val="none"/>
        </w:rPr>
        <w:t>）。</w:t>
      </w:r>
      <w:r>
        <w:rPr>
          <w:rFonts w:hint="eastAsia"/>
          <w:b/>
          <w:color w:val="auto"/>
          <w:szCs w:val="21"/>
          <w:highlight w:val="none"/>
        </w:rPr>
        <w:t>（如采购文件有要求时提供）</w:t>
      </w:r>
    </w:p>
    <w:p w14:paraId="5280FF6B">
      <w:pPr>
        <w:snapToGrid w:val="0"/>
        <w:spacing w:before="50" w:after="120" w:afterLines="50" w:line="360" w:lineRule="auto"/>
        <w:jc w:val="left"/>
        <w:rPr>
          <w:color w:val="auto"/>
          <w:szCs w:val="21"/>
          <w:highlight w:val="none"/>
        </w:rPr>
      </w:pPr>
      <w:r>
        <w:rPr>
          <w:b/>
          <w:color w:val="auto"/>
          <w:szCs w:val="21"/>
          <w:highlight w:val="none"/>
        </w:rPr>
        <w:br w:type="page"/>
      </w:r>
      <w:r>
        <w:rPr>
          <w:rFonts w:hint="eastAsia"/>
          <w:color w:val="auto"/>
          <w:szCs w:val="21"/>
          <w:highlight w:val="none"/>
        </w:rPr>
        <w:t>7</w:t>
      </w:r>
      <w:r>
        <w:rPr>
          <w:color w:val="auto"/>
          <w:szCs w:val="21"/>
          <w:highlight w:val="none"/>
        </w:rPr>
        <w:t>.1</w:t>
      </w:r>
      <w:r>
        <w:rPr>
          <w:rFonts w:hint="eastAsia"/>
          <w:color w:val="auto"/>
          <w:szCs w:val="21"/>
          <w:highlight w:val="none"/>
        </w:rPr>
        <w:t>供应商直接控股股东信息表</w:t>
      </w:r>
    </w:p>
    <w:tbl>
      <w:tblPr>
        <w:tblStyle w:val="51"/>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69BA1479">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A704AA7">
            <w:pPr>
              <w:keepNext w:val="0"/>
              <w:keepLines w:val="0"/>
              <w:suppressLineNumbers w:val="0"/>
              <w:spacing w:before="0" w:beforeAutospacing="0" w:after="0" w:afterAutospacing="0" w:line="360" w:lineRule="auto"/>
              <w:ind w:left="0" w:right="0"/>
              <w:jc w:val="center"/>
              <w:rPr>
                <w:rFonts w:hint="default"/>
                <w:color w:val="auto"/>
                <w:szCs w:val="21"/>
                <w:highlight w:val="none"/>
              </w:rPr>
            </w:pPr>
            <w:r>
              <w:rPr>
                <w:rFonts w:hint="eastAsia"/>
                <w:color w:val="auto"/>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09B2A1">
            <w:pPr>
              <w:keepNext w:val="0"/>
              <w:keepLines w:val="0"/>
              <w:suppressLineNumbers w:val="0"/>
              <w:spacing w:before="0" w:beforeAutospacing="0" w:after="0" w:afterAutospacing="0" w:line="360" w:lineRule="auto"/>
              <w:ind w:left="0" w:right="0"/>
              <w:jc w:val="center"/>
              <w:rPr>
                <w:rFonts w:hint="default"/>
                <w:color w:val="auto"/>
                <w:szCs w:val="21"/>
                <w:highlight w:val="none"/>
              </w:rPr>
            </w:pPr>
            <w:r>
              <w:rPr>
                <w:rFonts w:hint="eastAsia"/>
                <w:color w:val="auto"/>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5C2C2D5">
            <w:pPr>
              <w:keepNext w:val="0"/>
              <w:keepLines w:val="0"/>
              <w:suppressLineNumbers w:val="0"/>
              <w:spacing w:before="0" w:beforeAutospacing="0" w:after="0" w:afterAutospacing="0" w:line="360" w:lineRule="auto"/>
              <w:ind w:left="0" w:right="0"/>
              <w:jc w:val="center"/>
              <w:rPr>
                <w:rFonts w:hint="default"/>
                <w:color w:val="auto"/>
                <w:szCs w:val="21"/>
                <w:highlight w:val="none"/>
              </w:rPr>
            </w:pPr>
            <w:r>
              <w:rPr>
                <w:rFonts w:hint="eastAsia"/>
                <w:color w:val="auto"/>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7611F64">
            <w:pPr>
              <w:keepNext w:val="0"/>
              <w:keepLines w:val="0"/>
              <w:suppressLineNumbers w:val="0"/>
              <w:spacing w:before="0" w:beforeAutospacing="0" w:after="0" w:afterAutospacing="0" w:line="360" w:lineRule="auto"/>
              <w:ind w:left="0" w:right="0"/>
              <w:jc w:val="center"/>
              <w:rPr>
                <w:rFonts w:hint="default"/>
                <w:color w:val="auto"/>
                <w:szCs w:val="21"/>
                <w:highlight w:val="none"/>
              </w:rPr>
            </w:pPr>
            <w:r>
              <w:rPr>
                <w:rFonts w:hint="eastAsia"/>
                <w:color w:val="auto"/>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B26D89C">
            <w:pPr>
              <w:keepNext w:val="0"/>
              <w:keepLines w:val="0"/>
              <w:suppressLineNumbers w:val="0"/>
              <w:spacing w:before="0" w:beforeAutospacing="0" w:after="0" w:afterAutospacing="0" w:line="360" w:lineRule="auto"/>
              <w:ind w:left="0" w:right="0"/>
              <w:jc w:val="center"/>
              <w:rPr>
                <w:rFonts w:hint="default"/>
                <w:color w:val="auto"/>
                <w:szCs w:val="21"/>
                <w:highlight w:val="none"/>
              </w:rPr>
            </w:pPr>
            <w:r>
              <w:rPr>
                <w:rFonts w:hint="eastAsia"/>
                <w:color w:val="auto"/>
                <w:szCs w:val="21"/>
                <w:highlight w:val="none"/>
              </w:rPr>
              <w:t>备注</w:t>
            </w:r>
          </w:p>
        </w:tc>
      </w:tr>
      <w:tr w14:paraId="06D3A4F5">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3299969">
            <w:pPr>
              <w:keepNext w:val="0"/>
              <w:keepLines w:val="0"/>
              <w:suppressLineNumbers w:val="0"/>
              <w:spacing w:before="0" w:beforeAutospacing="0" w:after="0" w:afterAutospacing="0" w:line="360" w:lineRule="auto"/>
              <w:ind w:left="0" w:right="0"/>
              <w:jc w:val="center"/>
              <w:rPr>
                <w:rFonts w:hint="default"/>
                <w:color w:val="auto"/>
                <w:szCs w:val="21"/>
                <w:highlight w:val="none"/>
              </w:rPr>
            </w:pPr>
            <w:r>
              <w:rPr>
                <w:rFonts w:hint="eastAsia"/>
                <w:color w:val="auto"/>
                <w:szCs w:val="21"/>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080C54">
            <w:pPr>
              <w:keepNext w:val="0"/>
              <w:keepLines w:val="0"/>
              <w:suppressLineNumbers w:val="0"/>
              <w:spacing w:before="0" w:beforeAutospacing="0" w:after="0" w:afterAutospacing="0" w:line="360" w:lineRule="auto"/>
              <w:ind w:left="0" w:right="0"/>
              <w:jc w:val="center"/>
              <w:rPr>
                <w:rFonts w:hint="default"/>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4591D95">
            <w:pPr>
              <w:keepNext w:val="0"/>
              <w:keepLines w:val="0"/>
              <w:suppressLineNumbers w:val="0"/>
              <w:spacing w:before="0" w:beforeAutospacing="0" w:after="0" w:afterAutospacing="0" w:line="360" w:lineRule="auto"/>
              <w:ind w:left="0" w:right="0"/>
              <w:jc w:val="center"/>
              <w:rPr>
                <w:rFonts w:hint="default"/>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411CCE3">
            <w:pPr>
              <w:keepNext w:val="0"/>
              <w:keepLines w:val="0"/>
              <w:suppressLineNumbers w:val="0"/>
              <w:spacing w:before="0" w:beforeAutospacing="0" w:after="0" w:afterAutospacing="0" w:line="360" w:lineRule="auto"/>
              <w:ind w:left="0" w:right="0"/>
              <w:jc w:val="center"/>
              <w:rPr>
                <w:rFonts w:hint="default"/>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52999F">
            <w:pPr>
              <w:keepNext w:val="0"/>
              <w:keepLines w:val="0"/>
              <w:suppressLineNumbers w:val="0"/>
              <w:spacing w:before="0" w:beforeAutospacing="0" w:after="0" w:afterAutospacing="0" w:line="360" w:lineRule="auto"/>
              <w:ind w:left="0" w:right="0"/>
              <w:jc w:val="center"/>
              <w:rPr>
                <w:rFonts w:hint="default"/>
                <w:color w:val="auto"/>
                <w:szCs w:val="21"/>
                <w:highlight w:val="none"/>
              </w:rPr>
            </w:pPr>
          </w:p>
        </w:tc>
      </w:tr>
      <w:tr w14:paraId="1E716CE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F4303FD">
            <w:pPr>
              <w:keepNext w:val="0"/>
              <w:keepLines w:val="0"/>
              <w:suppressLineNumbers w:val="0"/>
              <w:spacing w:before="0" w:beforeAutospacing="0" w:after="0" w:afterAutospacing="0" w:line="360" w:lineRule="auto"/>
              <w:ind w:left="0" w:right="0"/>
              <w:jc w:val="center"/>
              <w:rPr>
                <w:rFonts w:hint="default"/>
                <w:color w:val="auto"/>
                <w:szCs w:val="21"/>
                <w:highlight w:val="none"/>
              </w:rPr>
            </w:pPr>
            <w:r>
              <w:rPr>
                <w:rFonts w:hint="eastAsia"/>
                <w:color w:val="auto"/>
                <w:szCs w:val="21"/>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CFC9E8B">
            <w:pPr>
              <w:keepNext w:val="0"/>
              <w:keepLines w:val="0"/>
              <w:suppressLineNumbers w:val="0"/>
              <w:spacing w:before="0" w:beforeAutospacing="0" w:after="0" w:afterAutospacing="0" w:line="360" w:lineRule="auto"/>
              <w:ind w:left="0" w:right="0"/>
              <w:jc w:val="center"/>
              <w:rPr>
                <w:rFonts w:hint="default"/>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50FE6B">
            <w:pPr>
              <w:keepNext w:val="0"/>
              <w:keepLines w:val="0"/>
              <w:suppressLineNumbers w:val="0"/>
              <w:spacing w:before="0" w:beforeAutospacing="0" w:after="0" w:afterAutospacing="0" w:line="360" w:lineRule="auto"/>
              <w:ind w:left="0" w:right="0"/>
              <w:jc w:val="center"/>
              <w:rPr>
                <w:rFonts w:hint="default"/>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E551806">
            <w:pPr>
              <w:keepNext w:val="0"/>
              <w:keepLines w:val="0"/>
              <w:suppressLineNumbers w:val="0"/>
              <w:spacing w:before="0" w:beforeAutospacing="0" w:after="0" w:afterAutospacing="0" w:line="360" w:lineRule="auto"/>
              <w:ind w:left="0" w:right="0"/>
              <w:jc w:val="center"/>
              <w:rPr>
                <w:rFonts w:hint="default"/>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B3FDA57">
            <w:pPr>
              <w:keepNext w:val="0"/>
              <w:keepLines w:val="0"/>
              <w:suppressLineNumbers w:val="0"/>
              <w:spacing w:before="0" w:beforeAutospacing="0" w:after="0" w:afterAutospacing="0" w:line="360" w:lineRule="auto"/>
              <w:ind w:left="0" w:right="0"/>
              <w:jc w:val="center"/>
              <w:rPr>
                <w:rFonts w:hint="default"/>
                <w:color w:val="auto"/>
                <w:szCs w:val="21"/>
                <w:highlight w:val="none"/>
              </w:rPr>
            </w:pPr>
          </w:p>
        </w:tc>
      </w:tr>
      <w:tr w14:paraId="23754CC0">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50C9A2A">
            <w:pPr>
              <w:keepNext w:val="0"/>
              <w:keepLines w:val="0"/>
              <w:suppressLineNumbers w:val="0"/>
              <w:spacing w:before="0" w:beforeAutospacing="0" w:after="0" w:afterAutospacing="0" w:line="360" w:lineRule="auto"/>
              <w:ind w:left="0" w:right="0"/>
              <w:jc w:val="center"/>
              <w:rPr>
                <w:rFonts w:hint="default"/>
                <w:color w:val="auto"/>
                <w:szCs w:val="21"/>
                <w:highlight w:val="none"/>
              </w:rPr>
            </w:pPr>
            <w:r>
              <w:rPr>
                <w:rFonts w:hint="eastAsia"/>
                <w:color w:val="auto"/>
                <w:szCs w:val="21"/>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027BF2A">
            <w:pPr>
              <w:keepNext w:val="0"/>
              <w:keepLines w:val="0"/>
              <w:suppressLineNumbers w:val="0"/>
              <w:spacing w:before="0" w:beforeAutospacing="0" w:after="0" w:afterAutospacing="0" w:line="360" w:lineRule="auto"/>
              <w:ind w:left="0" w:right="0"/>
              <w:jc w:val="center"/>
              <w:rPr>
                <w:rFonts w:hint="default"/>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CA87E20">
            <w:pPr>
              <w:keepNext w:val="0"/>
              <w:keepLines w:val="0"/>
              <w:suppressLineNumbers w:val="0"/>
              <w:spacing w:before="0" w:beforeAutospacing="0" w:after="0" w:afterAutospacing="0" w:line="360" w:lineRule="auto"/>
              <w:ind w:left="0" w:right="0"/>
              <w:jc w:val="center"/>
              <w:rPr>
                <w:rFonts w:hint="default"/>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745298F">
            <w:pPr>
              <w:keepNext w:val="0"/>
              <w:keepLines w:val="0"/>
              <w:suppressLineNumbers w:val="0"/>
              <w:spacing w:before="0" w:beforeAutospacing="0" w:after="0" w:afterAutospacing="0" w:line="360" w:lineRule="auto"/>
              <w:ind w:left="0" w:right="0"/>
              <w:jc w:val="center"/>
              <w:rPr>
                <w:rFonts w:hint="default"/>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9855B43">
            <w:pPr>
              <w:keepNext w:val="0"/>
              <w:keepLines w:val="0"/>
              <w:suppressLineNumbers w:val="0"/>
              <w:spacing w:before="0" w:beforeAutospacing="0" w:after="0" w:afterAutospacing="0" w:line="360" w:lineRule="auto"/>
              <w:ind w:left="0" w:right="0"/>
              <w:jc w:val="center"/>
              <w:rPr>
                <w:rFonts w:hint="default"/>
                <w:color w:val="auto"/>
                <w:szCs w:val="21"/>
                <w:highlight w:val="none"/>
              </w:rPr>
            </w:pPr>
          </w:p>
        </w:tc>
      </w:tr>
      <w:tr w14:paraId="3C019053">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7E01D35">
            <w:pPr>
              <w:keepNext w:val="0"/>
              <w:keepLines w:val="0"/>
              <w:suppressLineNumbers w:val="0"/>
              <w:spacing w:before="0" w:beforeAutospacing="0" w:after="0" w:afterAutospacing="0" w:line="360" w:lineRule="auto"/>
              <w:ind w:left="0" w:right="0"/>
              <w:jc w:val="center"/>
              <w:rPr>
                <w:rFonts w:hint="default"/>
                <w:color w:val="auto"/>
                <w:szCs w:val="21"/>
                <w:highlight w:val="none"/>
              </w:rPr>
            </w:pPr>
            <w:r>
              <w:rPr>
                <w:rFonts w:hint="eastAsia"/>
                <w:color w:val="auto"/>
                <w:szCs w:val="21"/>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C0C2BC8">
            <w:pPr>
              <w:keepNext w:val="0"/>
              <w:keepLines w:val="0"/>
              <w:suppressLineNumbers w:val="0"/>
              <w:spacing w:before="0" w:beforeAutospacing="0" w:after="0" w:afterAutospacing="0" w:line="360" w:lineRule="auto"/>
              <w:ind w:left="0" w:right="0"/>
              <w:jc w:val="center"/>
              <w:rPr>
                <w:rFonts w:hint="default"/>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8C2B5FC">
            <w:pPr>
              <w:keepNext w:val="0"/>
              <w:keepLines w:val="0"/>
              <w:suppressLineNumbers w:val="0"/>
              <w:spacing w:before="0" w:beforeAutospacing="0" w:after="0" w:afterAutospacing="0" w:line="360" w:lineRule="auto"/>
              <w:ind w:left="0" w:right="0"/>
              <w:jc w:val="center"/>
              <w:rPr>
                <w:rFonts w:hint="default"/>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9327017">
            <w:pPr>
              <w:keepNext w:val="0"/>
              <w:keepLines w:val="0"/>
              <w:suppressLineNumbers w:val="0"/>
              <w:spacing w:before="0" w:beforeAutospacing="0" w:after="0" w:afterAutospacing="0" w:line="360" w:lineRule="auto"/>
              <w:ind w:left="0" w:right="0"/>
              <w:jc w:val="center"/>
              <w:rPr>
                <w:rFonts w:hint="default"/>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84EF939">
            <w:pPr>
              <w:keepNext w:val="0"/>
              <w:keepLines w:val="0"/>
              <w:suppressLineNumbers w:val="0"/>
              <w:spacing w:before="0" w:beforeAutospacing="0" w:after="0" w:afterAutospacing="0" w:line="360" w:lineRule="auto"/>
              <w:ind w:left="0" w:right="0"/>
              <w:jc w:val="center"/>
              <w:rPr>
                <w:rFonts w:hint="default"/>
                <w:color w:val="auto"/>
                <w:szCs w:val="21"/>
                <w:highlight w:val="none"/>
              </w:rPr>
            </w:pPr>
          </w:p>
        </w:tc>
      </w:tr>
    </w:tbl>
    <w:p w14:paraId="3AB79D62">
      <w:pPr>
        <w:snapToGrid w:val="0"/>
        <w:spacing w:line="360" w:lineRule="auto"/>
        <w:jc w:val="left"/>
        <w:rPr>
          <w:color w:val="auto"/>
          <w:szCs w:val="21"/>
          <w:highlight w:val="none"/>
        </w:rPr>
      </w:pPr>
      <w:r>
        <w:rPr>
          <w:rFonts w:hint="eastAsia"/>
          <w:color w:val="auto"/>
          <w:szCs w:val="21"/>
          <w:highlight w:val="none"/>
        </w:rPr>
        <w:t>注：</w:t>
      </w:r>
    </w:p>
    <w:p w14:paraId="7F105C2B">
      <w:pPr>
        <w:snapToGrid w:val="0"/>
        <w:spacing w:line="360" w:lineRule="auto"/>
        <w:jc w:val="left"/>
        <w:rPr>
          <w:color w:val="auto"/>
          <w:szCs w:val="21"/>
          <w:highlight w:val="none"/>
        </w:rPr>
      </w:pPr>
      <w:r>
        <w:rPr>
          <w:rFonts w:hint="eastAsia"/>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ACCB7A6">
      <w:pPr>
        <w:snapToGrid w:val="0"/>
        <w:spacing w:line="360" w:lineRule="auto"/>
        <w:jc w:val="left"/>
        <w:rPr>
          <w:color w:val="auto"/>
          <w:szCs w:val="21"/>
          <w:highlight w:val="none"/>
        </w:rPr>
      </w:pPr>
      <w:r>
        <w:rPr>
          <w:rFonts w:hint="eastAsia"/>
          <w:color w:val="auto"/>
          <w:szCs w:val="21"/>
          <w:highlight w:val="none"/>
        </w:rPr>
        <w:t>2.本表所指的控股关系仅限于直接控股关系，不包括间接的控股关系。公司实际控制人与公司之间的关系不属于本表所指的直接控股关系。</w:t>
      </w:r>
    </w:p>
    <w:p w14:paraId="17481838">
      <w:pPr>
        <w:snapToGrid w:val="0"/>
        <w:spacing w:line="360" w:lineRule="auto"/>
        <w:jc w:val="left"/>
        <w:rPr>
          <w:color w:val="auto"/>
          <w:szCs w:val="21"/>
          <w:highlight w:val="none"/>
        </w:rPr>
      </w:pPr>
      <w:r>
        <w:rPr>
          <w:rFonts w:hint="eastAsia"/>
          <w:color w:val="auto"/>
          <w:szCs w:val="21"/>
          <w:highlight w:val="none"/>
        </w:rPr>
        <w:t>3.供应商不存在直接控股股东的，则填“无”。</w:t>
      </w:r>
    </w:p>
    <w:p w14:paraId="799BD19E">
      <w:pPr>
        <w:snapToGrid w:val="0"/>
        <w:spacing w:line="360" w:lineRule="auto"/>
        <w:jc w:val="left"/>
        <w:rPr>
          <w:color w:val="auto"/>
          <w:szCs w:val="21"/>
          <w:highlight w:val="none"/>
        </w:rPr>
      </w:pPr>
    </w:p>
    <w:p w14:paraId="7F6558FB">
      <w:pPr>
        <w:snapToGrid w:val="0"/>
        <w:spacing w:line="360" w:lineRule="auto"/>
        <w:jc w:val="left"/>
        <w:rPr>
          <w:color w:val="auto"/>
          <w:szCs w:val="21"/>
          <w:highlight w:val="none"/>
        </w:rPr>
      </w:pPr>
    </w:p>
    <w:p w14:paraId="3C4C2EBD">
      <w:pPr>
        <w:snapToGrid w:val="0"/>
        <w:spacing w:line="360" w:lineRule="auto"/>
        <w:jc w:val="left"/>
        <w:rPr>
          <w:color w:val="auto"/>
          <w:szCs w:val="21"/>
          <w:highlight w:val="none"/>
        </w:rPr>
      </w:pPr>
    </w:p>
    <w:p w14:paraId="40F4A442">
      <w:pPr>
        <w:snapToGrid w:val="0"/>
        <w:spacing w:line="360" w:lineRule="auto"/>
        <w:jc w:val="left"/>
        <w:rPr>
          <w:color w:val="auto"/>
          <w:szCs w:val="21"/>
          <w:highlight w:val="none"/>
        </w:rPr>
      </w:pPr>
    </w:p>
    <w:p w14:paraId="4B655F83">
      <w:pPr>
        <w:snapToGrid w:val="0"/>
        <w:spacing w:line="360" w:lineRule="auto"/>
        <w:jc w:val="left"/>
        <w:rPr>
          <w:color w:val="auto"/>
          <w:szCs w:val="21"/>
          <w:highlight w:val="none"/>
        </w:rPr>
      </w:pPr>
    </w:p>
    <w:p w14:paraId="6FACE14E">
      <w:pPr>
        <w:snapToGrid w:val="0"/>
        <w:spacing w:line="360" w:lineRule="auto"/>
        <w:ind w:firstLine="4410" w:firstLineChars="2100"/>
        <w:rPr>
          <w:color w:val="auto"/>
          <w:szCs w:val="21"/>
          <w:highlight w:val="none"/>
        </w:rPr>
      </w:pPr>
      <w:r>
        <w:rPr>
          <w:rFonts w:hint="eastAsia"/>
          <w:color w:val="auto"/>
          <w:szCs w:val="21"/>
          <w:highlight w:val="none"/>
        </w:rPr>
        <w:t>供应商名称(电子签章)：</w:t>
      </w:r>
    </w:p>
    <w:p w14:paraId="53097A02">
      <w:pPr>
        <w:snapToGrid w:val="0"/>
        <w:spacing w:line="360" w:lineRule="auto"/>
        <w:ind w:firstLine="4515" w:firstLineChars="2150"/>
        <w:rPr>
          <w:color w:val="auto"/>
          <w:szCs w:val="21"/>
          <w:highlight w:val="none"/>
        </w:rPr>
      </w:pPr>
      <w:r>
        <w:rPr>
          <w:rFonts w:hint="eastAsia"/>
          <w:color w:val="auto"/>
          <w:szCs w:val="21"/>
          <w:highlight w:val="none"/>
        </w:rPr>
        <w:t>日期：  年  月   日</w:t>
      </w:r>
    </w:p>
    <w:p w14:paraId="785C0D4E">
      <w:pPr>
        <w:snapToGrid w:val="0"/>
        <w:jc w:val="left"/>
        <w:rPr>
          <w:color w:val="auto"/>
          <w:szCs w:val="21"/>
          <w:highlight w:val="none"/>
        </w:rPr>
      </w:pPr>
      <w:r>
        <w:rPr>
          <w:rFonts w:ascii="宋体" w:hAnsi="宋体"/>
          <w:b/>
          <w:color w:val="auto"/>
          <w:sz w:val="28"/>
          <w:szCs w:val="28"/>
          <w:highlight w:val="none"/>
        </w:rPr>
        <w:br w:type="page"/>
      </w:r>
      <w:r>
        <w:rPr>
          <w:rFonts w:hint="eastAsia"/>
          <w:color w:val="auto"/>
          <w:szCs w:val="21"/>
          <w:highlight w:val="none"/>
        </w:rPr>
        <w:t>7</w:t>
      </w:r>
      <w:r>
        <w:rPr>
          <w:color w:val="auto"/>
          <w:szCs w:val="21"/>
          <w:highlight w:val="none"/>
        </w:rPr>
        <w:t>.2</w:t>
      </w:r>
      <w:r>
        <w:rPr>
          <w:rFonts w:hint="eastAsia"/>
          <w:color w:val="auto"/>
          <w:szCs w:val="21"/>
          <w:highlight w:val="none"/>
        </w:rPr>
        <w:t>供应商直接管理关系信息表</w:t>
      </w:r>
    </w:p>
    <w:tbl>
      <w:tblPr>
        <w:tblStyle w:val="51"/>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765A183E">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563C75">
            <w:pPr>
              <w:keepNext w:val="0"/>
              <w:keepLines w:val="0"/>
              <w:suppressLineNumbers w:val="0"/>
              <w:spacing w:before="0" w:beforeAutospacing="0" w:after="0" w:afterAutospacing="0" w:line="360" w:lineRule="auto"/>
              <w:ind w:left="0" w:right="0"/>
              <w:jc w:val="center"/>
              <w:rPr>
                <w:rFonts w:hint="default"/>
                <w:color w:val="auto"/>
                <w:szCs w:val="21"/>
                <w:highlight w:val="none"/>
              </w:rPr>
            </w:pPr>
            <w:r>
              <w:rPr>
                <w:rFonts w:hint="eastAsia"/>
                <w:color w:val="auto"/>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7BE68A8">
            <w:pPr>
              <w:keepNext w:val="0"/>
              <w:keepLines w:val="0"/>
              <w:suppressLineNumbers w:val="0"/>
              <w:spacing w:before="0" w:beforeAutospacing="0" w:after="0" w:afterAutospacing="0" w:line="360" w:lineRule="auto"/>
              <w:ind w:left="0" w:right="0"/>
              <w:jc w:val="center"/>
              <w:rPr>
                <w:rFonts w:hint="default"/>
                <w:color w:val="auto"/>
                <w:szCs w:val="21"/>
                <w:highlight w:val="none"/>
              </w:rPr>
            </w:pPr>
            <w:r>
              <w:rPr>
                <w:rFonts w:hint="eastAsia"/>
                <w:color w:val="auto"/>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1C9310B">
            <w:pPr>
              <w:keepNext w:val="0"/>
              <w:keepLines w:val="0"/>
              <w:suppressLineNumbers w:val="0"/>
              <w:spacing w:before="0" w:beforeAutospacing="0" w:after="0" w:afterAutospacing="0" w:line="360" w:lineRule="auto"/>
              <w:ind w:left="0" w:right="0"/>
              <w:jc w:val="center"/>
              <w:rPr>
                <w:rFonts w:hint="default"/>
                <w:color w:val="auto"/>
                <w:szCs w:val="21"/>
                <w:highlight w:val="none"/>
              </w:rPr>
            </w:pPr>
            <w:r>
              <w:rPr>
                <w:rFonts w:hint="eastAsia"/>
                <w:color w:val="auto"/>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20BA24F">
            <w:pPr>
              <w:keepNext w:val="0"/>
              <w:keepLines w:val="0"/>
              <w:suppressLineNumbers w:val="0"/>
              <w:spacing w:before="0" w:beforeAutospacing="0" w:after="0" w:afterAutospacing="0" w:line="360" w:lineRule="auto"/>
              <w:ind w:left="0" w:right="0"/>
              <w:jc w:val="center"/>
              <w:rPr>
                <w:rFonts w:hint="default"/>
                <w:color w:val="auto"/>
                <w:szCs w:val="21"/>
                <w:highlight w:val="none"/>
              </w:rPr>
            </w:pPr>
            <w:r>
              <w:rPr>
                <w:rFonts w:hint="eastAsia"/>
                <w:color w:val="auto"/>
                <w:szCs w:val="21"/>
                <w:highlight w:val="none"/>
              </w:rPr>
              <w:t>备注</w:t>
            </w:r>
          </w:p>
        </w:tc>
      </w:tr>
      <w:tr w14:paraId="77ECB79E">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18F003E">
            <w:pPr>
              <w:keepNext w:val="0"/>
              <w:keepLines w:val="0"/>
              <w:suppressLineNumbers w:val="0"/>
              <w:spacing w:before="0" w:beforeAutospacing="0" w:after="0" w:afterAutospacing="0" w:line="360" w:lineRule="auto"/>
              <w:ind w:left="0" w:right="0"/>
              <w:jc w:val="center"/>
              <w:rPr>
                <w:rFonts w:hint="default"/>
                <w:color w:val="auto"/>
                <w:szCs w:val="21"/>
                <w:highlight w:val="none"/>
              </w:rPr>
            </w:pPr>
            <w:r>
              <w:rPr>
                <w:rFonts w:hint="eastAsia"/>
                <w:color w:val="auto"/>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ED8886">
            <w:pPr>
              <w:keepNext w:val="0"/>
              <w:keepLines w:val="0"/>
              <w:suppressLineNumbers w:val="0"/>
              <w:spacing w:before="0" w:beforeAutospacing="0" w:after="0" w:afterAutospacing="0" w:line="360" w:lineRule="auto"/>
              <w:ind w:left="0" w:right="0"/>
              <w:jc w:val="center"/>
              <w:rPr>
                <w:rFonts w:hint="default"/>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A66E20D">
            <w:pPr>
              <w:keepNext w:val="0"/>
              <w:keepLines w:val="0"/>
              <w:suppressLineNumbers w:val="0"/>
              <w:spacing w:before="0" w:beforeAutospacing="0" w:after="0" w:afterAutospacing="0" w:line="360" w:lineRule="auto"/>
              <w:ind w:left="0" w:right="0"/>
              <w:jc w:val="center"/>
              <w:rPr>
                <w:rFonts w:hint="default"/>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545A16B">
            <w:pPr>
              <w:keepNext w:val="0"/>
              <w:keepLines w:val="0"/>
              <w:suppressLineNumbers w:val="0"/>
              <w:spacing w:before="0" w:beforeAutospacing="0" w:after="0" w:afterAutospacing="0" w:line="360" w:lineRule="auto"/>
              <w:ind w:left="0" w:right="0"/>
              <w:jc w:val="center"/>
              <w:rPr>
                <w:rFonts w:hint="default"/>
                <w:color w:val="auto"/>
                <w:szCs w:val="21"/>
                <w:highlight w:val="none"/>
              </w:rPr>
            </w:pPr>
          </w:p>
        </w:tc>
      </w:tr>
      <w:tr w14:paraId="44E6C34E">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F75B2C">
            <w:pPr>
              <w:keepNext w:val="0"/>
              <w:keepLines w:val="0"/>
              <w:suppressLineNumbers w:val="0"/>
              <w:spacing w:before="0" w:beforeAutospacing="0" w:after="0" w:afterAutospacing="0" w:line="360" w:lineRule="auto"/>
              <w:ind w:left="0" w:right="0"/>
              <w:jc w:val="center"/>
              <w:rPr>
                <w:rFonts w:hint="default"/>
                <w:color w:val="auto"/>
                <w:szCs w:val="21"/>
                <w:highlight w:val="none"/>
              </w:rPr>
            </w:pPr>
            <w:r>
              <w:rPr>
                <w:rFonts w:hint="eastAsia"/>
                <w:color w:val="auto"/>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C5709A">
            <w:pPr>
              <w:keepNext w:val="0"/>
              <w:keepLines w:val="0"/>
              <w:suppressLineNumbers w:val="0"/>
              <w:spacing w:before="0" w:beforeAutospacing="0" w:after="0" w:afterAutospacing="0" w:line="360" w:lineRule="auto"/>
              <w:ind w:left="0" w:right="0"/>
              <w:jc w:val="center"/>
              <w:rPr>
                <w:rFonts w:hint="default"/>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DC87168">
            <w:pPr>
              <w:keepNext w:val="0"/>
              <w:keepLines w:val="0"/>
              <w:suppressLineNumbers w:val="0"/>
              <w:spacing w:before="0" w:beforeAutospacing="0" w:after="0" w:afterAutospacing="0" w:line="360" w:lineRule="auto"/>
              <w:ind w:left="0" w:right="0"/>
              <w:jc w:val="center"/>
              <w:rPr>
                <w:rFonts w:hint="default"/>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3EE02AA">
            <w:pPr>
              <w:keepNext w:val="0"/>
              <w:keepLines w:val="0"/>
              <w:suppressLineNumbers w:val="0"/>
              <w:spacing w:before="0" w:beforeAutospacing="0" w:after="0" w:afterAutospacing="0" w:line="360" w:lineRule="auto"/>
              <w:ind w:left="0" w:right="0"/>
              <w:jc w:val="center"/>
              <w:rPr>
                <w:rFonts w:hint="default"/>
                <w:color w:val="auto"/>
                <w:szCs w:val="21"/>
                <w:highlight w:val="none"/>
              </w:rPr>
            </w:pPr>
          </w:p>
        </w:tc>
      </w:tr>
      <w:tr w14:paraId="1E9B95D9">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0777C59">
            <w:pPr>
              <w:keepNext w:val="0"/>
              <w:keepLines w:val="0"/>
              <w:suppressLineNumbers w:val="0"/>
              <w:spacing w:before="0" w:beforeAutospacing="0" w:after="0" w:afterAutospacing="0" w:line="360" w:lineRule="auto"/>
              <w:ind w:left="0" w:right="0"/>
              <w:jc w:val="center"/>
              <w:rPr>
                <w:rFonts w:hint="default"/>
                <w:color w:val="auto"/>
                <w:szCs w:val="21"/>
                <w:highlight w:val="none"/>
              </w:rPr>
            </w:pPr>
            <w:r>
              <w:rPr>
                <w:rFonts w:hint="eastAsia"/>
                <w:color w:val="auto"/>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7AB0B93">
            <w:pPr>
              <w:keepNext w:val="0"/>
              <w:keepLines w:val="0"/>
              <w:suppressLineNumbers w:val="0"/>
              <w:spacing w:before="0" w:beforeAutospacing="0" w:after="0" w:afterAutospacing="0" w:line="360" w:lineRule="auto"/>
              <w:ind w:left="0" w:right="0"/>
              <w:jc w:val="center"/>
              <w:rPr>
                <w:rFonts w:hint="default"/>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7810432">
            <w:pPr>
              <w:keepNext w:val="0"/>
              <w:keepLines w:val="0"/>
              <w:suppressLineNumbers w:val="0"/>
              <w:spacing w:before="0" w:beforeAutospacing="0" w:after="0" w:afterAutospacing="0" w:line="360" w:lineRule="auto"/>
              <w:ind w:left="0" w:right="0"/>
              <w:jc w:val="center"/>
              <w:rPr>
                <w:rFonts w:hint="default"/>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D4437B9">
            <w:pPr>
              <w:keepNext w:val="0"/>
              <w:keepLines w:val="0"/>
              <w:suppressLineNumbers w:val="0"/>
              <w:spacing w:before="0" w:beforeAutospacing="0" w:after="0" w:afterAutospacing="0" w:line="360" w:lineRule="auto"/>
              <w:ind w:left="0" w:right="0"/>
              <w:jc w:val="center"/>
              <w:rPr>
                <w:rFonts w:hint="default"/>
                <w:color w:val="auto"/>
                <w:szCs w:val="21"/>
                <w:highlight w:val="none"/>
              </w:rPr>
            </w:pPr>
          </w:p>
        </w:tc>
      </w:tr>
      <w:tr w14:paraId="159504F9">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94C7C6B">
            <w:pPr>
              <w:keepNext w:val="0"/>
              <w:keepLines w:val="0"/>
              <w:suppressLineNumbers w:val="0"/>
              <w:spacing w:before="0" w:beforeAutospacing="0" w:after="0" w:afterAutospacing="0" w:line="360" w:lineRule="auto"/>
              <w:ind w:left="0" w:right="0"/>
              <w:jc w:val="center"/>
              <w:rPr>
                <w:rFonts w:hint="default"/>
                <w:color w:val="auto"/>
                <w:szCs w:val="21"/>
                <w:highlight w:val="none"/>
              </w:rPr>
            </w:pPr>
            <w:r>
              <w:rPr>
                <w:rFonts w:hint="eastAsia"/>
                <w:color w:val="auto"/>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56E57B0">
            <w:pPr>
              <w:keepNext w:val="0"/>
              <w:keepLines w:val="0"/>
              <w:suppressLineNumbers w:val="0"/>
              <w:spacing w:before="0" w:beforeAutospacing="0" w:after="0" w:afterAutospacing="0" w:line="360" w:lineRule="auto"/>
              <w:ind w:left="0" w:right="0"/>
              <w:jc w:val="center"/>
              <w:rPr>
                <w:rFonts w:hint="default"/>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4B9CD8">
            <w:pPr>
              <w:keepNext w:val="0"/>
              <w:keepLines w:val="0"/>
              <w:suppressLineNumbers w:val="0"/>
              <w:spacing w:before="0" w:beforeAutospacing="0" w:after="0" w:afterAutospacing="0" w:line="360" w:lineRule="auto"/>
              <w:ind w:left="0" w:right="0"/>
              <w:jc w:val="center"/>
              <w:rPr>
                <w:rFonts w:hint="default"/>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23BD77">
            <w:pPr>
              <w:keepNext w:val="0"/>
              <w:keepLines w:val="0"/>
              <w:suppressLineNumbers w:val="0"/>
              <w:spacing w:before="0" w:beforeAutospacing="0" w:after="0" w:afterAutospacing="0" w:line="360" w:lineRule="auto"/>
              <w:ind w:left="0" w:right="0"/>
              <w:jc w:val="center"/>
              <w:rPr>
                <w:rFonts w:hint="default"/>
                <w:color w:val="auto"/>
                <w:szCs w:val="21"/>
                <w:highlight w:val="none"/>
              </w:rPr>
            </w:pPr>
          </w:p>
        </w:tc>
      </w:tr>
    </w:tbl>
    <w:p w14:paraId="4EE05545">
      <w:pPr>
        <w:snapToGrid w:val="0"/>
        <w:spacing w:line="360" w:lineRule="auto"/>
        <w:jc w:val="left"/>
        <w:rPr>
          <w:color w:val="auto"/>
          <w:szCs w:val="21"/>
          <w:highlight w:val="none"/>
        </w:rPr>
      </w:pPr>
      <w:r>
        <w:rPr>
          <w:rFonts w:hint="eastAsia"/>
          <w:color w:val="auto"/>
          <w:szCs w:val="21"/>
          <w:highlight w:val="none"/>
        </w:rPr>
        <w:t>注：</w:t>
      </w:r>
    </w:p>
    <w:p w14:paraId="4EDD2442">
      <w:pPr>
        <w:snapToGrid w:val="0"/>
        <w:spacing w:line="360" w:lineRule="auto"/>
        <w:ind w:firstLine="420" w:firstLineChars="200"/>
        <w:jc w:val="left"/>
        <w:rPr>
          <w:color w:val="auto"/>
          <w:szCs w:val="21"/>
          <w:highlight w:val="none"/>
        </w:rPr>
      </w:pPr>
      <w:r>
        <w:rPr>
          <w:rFonts w:hint="eastAsia"/>
          <w:color w:val="auto"/>
          <w:szCs w:val="21"/>
          <w:highlight w:val="none"/>
        </w:rPr>
        <w:t>1.管理关系：是指不具有出资持股关系的其他单位之间存在的管理与被管理关系，如一些上下级关系的事业单位和团体组织。</w:t>
      </w:r>
    </w:p>
    <w:p w14:paraId="41B182EB">
      <w:pPr>
        <w:snapToGrid w:val="0"/>
        <w:spacing w:line="360" w:lineRule="auto"/>
        <w:ind w:firstLine="420" w:firstLineChars="200"/>
        <w:jc w:val="left"/>
        <w:rPr>
          <w:color w:val="auto"/>
          <w:szCs w:val="21"/>
          <w:highlight w:val="none"/>
        </w:rPr>
      </w:pPr>
      <w:r>
        <w:rPr>
          <w:rFonts w:hint="eastAsia"/>
          <w:color w:val="auto"/>
          <w:szCs w:val="21"/>
          <w:highlight w:val="none"/>
        </w:rPr>
        <w:t>2.本表所指的管理关系仅限于直接管理关系，不包括间接的管理关系。</w:t>
      </w:r>
    </w:p>
    <w:p w14:paraId="570BAF7F">
      <w:pPr>
        <w:snapToGrid w:val="0"/>
        <w:spacing w:line="360" w:lineRule="auto"/>
        <w:ind w:firstLine="420" w:firstLineChars="200"/>
        <w:jc w:val="left"/>
        <w:rPr>
          <w:color w:val="auto"/>
          <w:szCs w:val="21"/>
          <w:highlight w:val="none"/>
        </w:rPr>
      </w:pPr>
      <w:r>
        <w:rPr>
          <w:rFonts w:hint="eastAsia"/>
          <w:color w:val="auto"/>
          <w:szCs w:val="21"/>
          <w:highlight w:val="none"/>
        </w:rPr>
        <w:t>3.供应商不存在直接管理关系的，则填“无”。</w:t>
      </w:r>
    </w:p>
    <w:p w14:paraId="5BECE0EE">
      <w:pPr>
        <w:snapToGrid w:val="0"/>
        <w:spacing w:line="360" w:lineRule="auto"/>
        <w:jc w:val="left"/>
        <w:rPr>
          <w:color w:val="auto"/>
          <w:szCs w:val="21"/>
          <w:highlight w:val="none"/>
        </w:rPr>
      </w:pPr>
    </w:p>
    <w:p w14:paraId="3F37FF53">
      <w:pPr>
        <w:snapToGrid w:val="0"/>
        <w:spacing w:line="360" w:lineRule="auto"/>
        <w:jc w:val="left"/>
        <w:rPr>
          <w:color w:val="auto"/>
          <w:szCs w:val="21"/>
          <w:highlight w:val="none"/>
        </w:rPr>
      </w:pPr>
    </w:p>
    <w:p w14:paraId="4C469E96">
      <w:pPr>
        <w:snapToGrid w:val="0"/>
        <w:spacing w:line="360" w:lineRule="auto"/>
        <w:jc w:val="left"/>
        <w:rPr>
          <w:color w:val="auto"/>
          <w:szCs w:val="21"/>
          <w:highlight w:val="none"/>
        </w:rPr>
      </w:pPr>
    </w:p>
    <w:p w14:paraId="005AE3F4">
      <w:pPr>
        <w:snapToGrid w:val="0"/>
        <w:spacing w:line="360" w:lineRule="auto"/>
        <w:jc w:val="left"/>
        <w:rPr>
          <w:color w:val="auto"/>
          <w:szCs w:val="21"/>
          <w:highlight w:val="none"/>
        </w:rPr>
      </w:pPr>
    </w:p>
    <w:p w14:paraId="16262CAB">
      <w:pPr>
        <w:snapToGrid w:val="0"/>
        <w:spacing w:line="360" w:lineRule="auto"/>
        <w:jc w:val="left"/>
        <w:rPr>
          <w:color w:val="auto"/>
          <w:szCs w:val="21"/>
          <w:highlight w:val="none"/>
        </w:rPr>
      </w:pPr>
    </w:p>
    <w:p w14:paraId="3E85995A">
      <w:pPr>
        <w:snapToGrid w:val="0"/>
        <w:spacing w:line="360" w:lineRule="auto"/>
        <w:jc w:val="left"/>
        <w:rPr>
          <w:color w:val="auto"/>
          <w:szCs w:val="21"/>
          <w:highlight w:val="none"/>
        </w:rPr>
      </w:pPr>
    </w:p>
    <w:p w14:paraId="6BE26F48">
      <w:pPr>
        <w:snapToGrid w:val="0"/>
        <w:spacing w:line="360" w:lineRule="auto"/>
        <w:jc w:val="left"/>
        <w:rPr>
          <w:color w:val="auto"/>
          <w:szCs w:val="21"/>
          <w:highlight w:val="none"/>
        </w:rPr>
      </w:pPr>
    </w:p>
    <w:p w14:paraId="5121F5E4">
      <w:pPr>
        <w:snapToGrid w:val="0"/>
        <w:spacing w:line="360" w:lineRule="auto"/>
        <w:jc w:val="left"/>
        <w:rPr>
          <w:color w:val="auto"/>
          <w:szCs w:val="21"/>
          <w:highlight w:val="none"/>
        </w:rPr>
      </w:pPr>
    </w:p>
    <w:p w14:paraId="18B6C602">
      <w:pPr>
        <w:snapToGrid w:val="0"/>
        <w:spacing w:line="360" w:lineRule="auto"/>
        <w:ind w:firstLine="4410" w:firstLineChars="2100"/>
        <w:rPr>
          <w:color w:val="auto"/>
          <w:szCs w:val="21"/>
          <w:highlight w:val="none"/>
        </w:rPr>
      </w:pPr>
      <w:r>
        <w:rPr>
          <w:rFonts w:hint="eastAsia"/>
          <w:color w:val="auto"/>
          <w:szCs w:val="21"/>
          <w:highlight w:val="none"/>
        </w:rPr>
        <w:t>供应商名称(电子签章)：</w:t>
      </w:r>
    </w:p>
    <w:p w14:paraId="333AF2EF">
      <w:pPr>
        <w:snapToGrid w:val="0"/>
        <w:spacing w:line="360" w:lineRule="auto"/>
        <w:ind w:firstLine="4515" w:firstLineChars="2150"/>
        <w:rPr>
          <w:color w:val="auto"/>
          <w:szCs w:val="21"/>
          <w:highlight w:val="none"/>
        </w:rPr>
      </w:pPr>
      <w:r>
        <w:rPr>
          <w:rFonts w:hint="eastAsia"/>
          <w:color w:val="auto"/>
          <w:szCs w:val="21"/>
          <w:highlight w:val="none"/>
        </w:rPr>
        <w:t>日期：  年  月   日</w:t>
      </w:r>
    </w:p>
    <w:p w14:paraId="6C37EB8A">
      <w:pPr>
        <w:pStyle w:val="26"/>
        <w:tabs>
          <w:tab w:val="left" w:pos="2127"/>
        </w:tabs>
        <w:spacing w:line="340" w:lineRule="exact"/>
        <w:rPr>
          <w:rFonts w:ascii="Times New Roman" w:hAnsi="Times New Roman" w:cs="Times New Roman"/>
          <w:color w:val="auto"/>
          <w:highlight w:val="none"/>
        </w:rPr>
      </w:pPr>
    </w:p>
    <w:p w14:paraId="03C9C08D">
      <w:pPr>
        <w:snapToGrid w:val="0"/>
        <w:spacing w:before="50" w:after="120" w:afterLines="50" w:line="440" w:lineRule="exact"/>
        <w:jc w:val="left"/>
        <w:rPr>
          <w:rFonts w:hint="eastAsia"/>
          <w:b/>
          <w:color w:val="auto"/>
          <w:szCs w:val="21"/>
          <w:highlight w:val="none"/>
        </w:rPr>
      </w:pPr>
      <w:r>
        <w:rPr>
          <w:color w:val="auto"/>
          <w:highlight w:val="none"/>
        </w:rPr>
        <w:br w:type="page"/>
      </w:r>
      <w:r>
        <w:rPr>
          <w:rFonts w:hint="eastAsia"/>
          <w:color w:val="auto"/>
          <w:szCs w:val="21"/>
          <w:highlight w:val="none"/>
        </w:rPr>
        <w:t>8</w:t>
      </w:r>
      <w:r>
        <w:rPr>
          <w:color w:val="auto"/>
          <w:szCs w:val="21"/>
          <w:highlight w:val="none"/>
        </w:rPr>
        <w:t>．</w:t>
      </w:r>
      <w:r>
        <w:rPr>
          <w:rFonts w:hint="eastAsia"/>
          <w:color w:val="auto"/>
          <w:szCs w:val="21"/>
          <w:highlight w:val="none"/>
        </w:rPr>
        <w:t>磋商</w:t>
      </w:r>
      <w:r>
        <w:rPr>
          <w:color w:val="auto"/>
          <w:szCs w:val="21"/>
          <w:highlight w:val="none"/>
        </w:rPr>
        <w:t>保证金缴纳证明</w:t>
      </w:r>
      <w:r>
        <w:rPr>
          <w:rFonts w:hint="eastAsia"/>
          <w:color w:val="auto"/>
          <w:szCs w:val="21"/>
          <w:highlight w:val="none"/>
        </w:rPr>
        <w:t>。</w:t>
      </w:r>
      <w:r>
        <w:rPr>
          <w:rFonts w:hint="eastAsia"/>
          <w:b/>
          <w:color w:val="auto"/>
          <w:szCs w:val="21"/>
          <w:highlight w:val="none"/>
        </w:rPr>
        <w:t>（如采购文件有要求时提供）</w:t>
      </w:r>
    </w:p>
    <w:p w14:paraId="3E929401">
      <w:pPr>
        <w:snapToGrid w:val="0"/>
        <w:spacing w:before="50" w:after="120" w:afterLines="50" w:line="440" w:lineRule="exact"/>
        <w:jc w:val="left"/>
        <w:rPr>
          <w:color w:val="auto"/>
          <w:highlight w:val="none"/>
        </w:rPr>
      </w:pPr>
      <w:r>
        <w:rPr>
          <w:rFonts w:hint="eastAsia"/>
          <w:color w:val="auto"/>
          <w:highlight w:val="none"/>
        </w:rPr>
        <w:t>（1）以转账、电汇形式缴纳的，提供转账、电汇凭证扫描件或复印件（网银可提供截图）</w:t>
      </w:r>
      <w:r>
        <w:rPr>
          <w:color w:val="auto"/>
          <w:highlight w:val="none"/>
        </w:rPr>
        <w:t>加盖</w:t>
      </w:r>
      <w:r>
        <w:rPr>
          <w:color w:val="auto"/>
          <w:szCs w:val="21"/>
          <w:highlight w:val="none"/>
        </w:rPr>
        <w:t>供应商</w:t>
      </w:r>
      <w:r>
        <w:rPr>
          <w:rFonts w:hint="eastAsia"/>
          <w:color w:val="auto"/>
          <w:szCs w:val="21"/>
          <w:highlight w:val="none"/>
        </w:rPr>
        <w:t>电子签章</w:t>
      </w:r>
      <w:r>
        <w:rPr>
          <w:rFonts w:hint="eastAsia"/>
          <w:color w:val="auto"/>
          <w:highlight w:val="none"/>
        </w:rPr>
        <w:t>；</w:t>
      </w:r>
    </w:p>
    <w:p w14:paraId="3FC48C9B">
      <w:pPr>
        <w:snapToGrid w:val="0"/>
        <w:spacing w:before="50" w:after="120" w:afterLines="50" w:line="440" w:lineRule="exact"/>
        <w:jc w:val="left"/>
        <w:rPr>
          <w:color w:val="auto"/>
          <w:highlight w:val="none"/>
        </w:rPr>
      </w:pPr>
      <w:r>
        <w:rPr>
          <w:rFonts w:hint="eastAsia"/>
          <w:color w:val="auto"/>
          <w:highlight w:val="none"/>
        </w:rPr>
        <w:t>（2）以支票、汇票、本票或金融机构、担保机构出具的保函等非现金形式缴纳的，提供原件扫描件或复印件并加盖供应商电子签章。响应保函参考如下格式开具：</w:t>
      </w:r>
    </w:p>
    <w:p w14:paraId="13DBAD21">
      <w:pPr>
        <w:spacing w:line="360" w:lineRule="auto"/>
        <w:jc w:val="center"/>
        <w:rPr>
          <w:b/>
          <w:bCs/>
          <w:color w:val="auto"/>
          <w:sz w:val="28"/>
          <w:szCs w:val="36"/>
          <w:highlight w:val="none"/>
        </w:rPr>
      </w:pPr>
    </w:p>
    <w:p w14:paraId="71F9542F">
      <w:pPr>
        <w:spacing w:line="360" w:lineRule="auto"/>
        <w:jc w:val="center"/>
        <w:rPr>
          <w:b/>
          <w:bCs/>
          <w:color w:val="auto"/>
          <w:sz w:val="28"/>
          <w:szCs w:val="36"/>
          <w:highlight w:val="none"/>
        </w:rPr>
      </w:pPr>
      <w:r>
        <w:rPr>
          <w:rFonts w:hint="eastAsia"/>
          <w:b/>
          <w:bCs/>
          <w:color w:val="auto"/>
          <w:sz w:val="28"/>
          <w:szCs w:val="36"/>
          <w:highlight w:val="none"/>
        </w:rPr>
        <w:t>响应保函</w:t>
      </w:r>
      <w:r>
        <w:rPr>
          <w:rFonts w:hint="eastAsia"/>
          <w:b/>
          <w:bCs/>
          <w:color w:val="auto"/>
          <w:sz w:val="28"/>
          <w:szCs w:val="36"/>
          <w:highlight w:val="none"/>
          <w:lang w:val="en-US" w:eastAsia="zh-CN"/>
        </w:rPr>
        <w:t>参考</w:t>
      </w:r>
      <w:r>
        <w:rPr>
          <w:rFonts w:hint="eastAsia"/>
          <w:b/>
          <w:bCs/>
          <w:color w:val="auto"/>
          <w:sz w:val="28"/>
          <w:szCs w:val="36"/>
          <w:highlight w:val="none"/>
        </w:rPr>
        <w:t>格式</w:t>
      </w:r>
    </w:p>
    <w:p w14:paraId="5811B4EA">
      <w:pPr>
        <w:snapToGrid w:val="0"/>
        <w:spacing w:before="50" w:after="120" w:afterLines="50"/>
        <w:jc w:val="left"/>
        <w:rPr>
          <w:color w:val="auto"/>
          <w:highlight w:val="none"/>
        </w:rPr>
      </w:pPr>
      <w:r>
        <w:rPr>
          <w:rFonts w:hint="eastAsia"/>
          <w:color w:val="auto"/>
          <w:highlight w:val="none"/>
        </w:rPr>
        <w:t xml:space="preserve">编号：           </w:t>
      </w:r>
    </w:p>
    <w:p w14:paraId="45A1AE8F">
      <w:pPr>
        <w:snapToGrid w:val="0"/>
        <w:spacing w:before="50" w:after="120" w:afterLines="50"/>
        <w:jc w:val="left"/>
        <w:rPr>
          <w:color w:val="auto"/>
          <w:highlight w:val="none"/>
        </w:rPr>
      </w:pPr>
      <w:r>
        <w:rPr>
          <w:rFonts w:hint="eastAsia"/>
          <w:color w:val="auto"/>
          <w:highlight w:val="none"/>
        </w:rPr>
        <w:t>申请人：</w:t>
      </w:r>
    </w:p>
    <w:p w14:paraId="07E1FCB1">
      <w:pPr>
        <w:snapToGrid w:val="0"/>
        <w:spacing w:before="50" w:after="120" w:afterLines="50"/>
        <w:jc w:val="left"/>
        <w:rPr>
          <w:color w:val="auto"/>
          <w:highlight w:val="none"/>
        </w:rPr>
      </w:pPr>
      <w:r>
        <w:rPr>
          <w:rFonts w:hint="eastAsia"/>
          <w:color w:val="auto"/>
          <w:highlight w:val="none"/>
        </w:rPr>
        <w:t>地址：</w:t>
      </w:r>
    </w:p>
    <w:p w14:paraId="56BB30DD">
      <w:pPr>
        <w:snapToGrid w:val="0"/>
        <w:spacing w:before="50" w:after="120" w:afterLines="50"/>
        <w:jc w:val="left"/>
        <w:rPr>
          <w:color w:val="auto"/>
          <w:highlight w:val="none"/>
        </w:rPr>
      </w:pPr>
      <w:r>
        <w:rPr>
          <w:rFonts w:hint="eastAsia"/>
          <w:color w:val="auto"/>
          <w:highlight w:val="none"/>
        </w:rPr>
        <w:t xml:space="preserve">受益人：广西机电设备招标有限公司 </w:t>
      </w:r>
    </w:p>
    <w:p w14:paraId="72F2F933">
      <w:pPr>
        <w:snapToGrid w:val="0"/>
        <w:spacing w:before="50" w:after="120" w:afterLines="50"/>
        <w:jc w:val="left"/>
        <w:rPr>
          <w:color w:val="auto"/>
          <w:highlight w:val="none"/>
        </w:rPr>
      </w:pPr>
      <w:r>
        <w:rPr>
          <w:rFonts w:hint="eastAsia"/>
          <w:color w:val="auto"/>
          <w:highlight w:val="none"/>
        </w:rPr>
        <w:t>地址：</w:t>
      </w:r>
    </w:p>
    <w:p w14:paraId="38611DDA">
      <w:pPr>
        <w:snapToGrid w:val="0"/>
        <w:spacing w:before="50" w:after="120" w:afterLines="50"/>
        <w:jc w:val="left"/>
        <w:rPr>
          <w:color w:val="auto"/>
          <w:highlight w:val="none"/>
        </w:rPr>
      </w:pPr>
      <w:r>
        <w:rPr>
          <w:rFonts w:hint="eastAsia"/>
          <w:color w:val="auto"/>
          <w:highlight w:val="none"/>
        </w:rPr>
        <w:t>开立人：</w:t>
      </w:r>
    </w:p>
    <w:p w14:paraId="0553CDBD">
      <w:pPr>
        <w:snapToGrid w:val="0"/>
        <w:spacing w:before="50" w:after="120" w:afterLines="50"/>
        <w:jc w:val="left"/>
        <w:rPr>
          <w:color w:val="auto"/>
          <w:highlight w:val="none"/>
        </w:rPr>
      </w:pPr>
      <w:r>
        <w:rPr>
          <w:rFonts w:hint="eastAsia"/>
          <w:color w:val="auto"/>
          <w:highlight w:val="none"/>
        </w:rPr>
        <w:t>地址：</w:t>
      </w:r>
    </w:p>
    <w:p w14:paraId="116CE0EB">
      <w:pPr>
        <w:snapToGrid w:val="0"/>
        <w:spacing w:before="50" w:after="120" w:afterLines="50" w:line="440" w:lineRule="exact"/>
        <w:jc w:val="left"/>
        <w:rPr>
          <w:color w:val="auto"/>
          <w:highlight w:val="none"/>
        </w:rPr>
      </w:pPr>
    </w:p>
    <w:p w14:paraId="0D78540B">
      <w:pPr>
        <w:snapToGrid w:val="0"/>
        <w:spacing w:before="50" w:after="120" w:afterLines="50" w:line="276" w:lineRule="auto"/>
        <w:jc w:val="left"/>
        <w:rPr>
          <w:color w:val="auto"/>
          <w:highlight w:val="none"/>
        </w:rPr>
      </w:pPr>
      <w:r>
        <w:rPr>
          <w:rFonts w:hint="eastAsia"/>
          <w:color w:val="auto"/>
          <w:highlight w:val="none"/>
        </w:rPr>
        <w:t>致：广西机电设备招标有限公司</w:t>
      </w:r>
    </w:p>
    <w:p w14:paraId="4D2C869E">
      <w:pPr>
        <w:snapToGrid w:val="0"/>
        <w:spacing w:before="50" w:after="120" w:afterLines="50" w:line="276" w:lineRule="auto"/>
        <w:ind w:firstLine="420" w:firstLineChars="200"/>
        <w:jc w:val="left"/>
        <w:rPr>
          <w:color w:val="auto"/>
          <w:highlight w:val="none"/>
        </w:rPr>
      </w:pPr>
      <w:r>
        <w:rPr>
          <w:rFonts w:hint="eastAsia"/>
          <w:color w:val="auto"/>
          <w:highlight w:val="none"/>
        </w:rPr>
        <w:t>我方（即“开立人”）已获得通知，本保函申请人（即“供应商”）已响应贵方于</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 xml:space="preserve"> 日就 </w:t>
      </w:r>
      <w:r>
        <w:rPr>
          <w:rFonts w:hint="eastAsia"/>
          <w:color w:val="auto"/>
          <w:highlight w:val="none"/>
          <w:u w:val="single"/>
        </w:rPr>
        <w:t xml:space="preserve">                                          </w:t>
      </w:r>
      <w:r>
        <w:rPr>
          <w:rFonts w:hint="eastAsia"/>
          <w:color w:val="auto"/>
          <w:highlight w:val="none"/>
        </w:rPr>
        <w:t>（以下简称“本项目”）发出的招标文件，并已向采购代理机构（即“受益人”）提交了投标文件。</w:t>
      </w:r>
    </w:p>
    <w:p w14:paraId="0ED462C2">
      <w:pPr>
        <w:snapToGrid w:val="0"/>
        <w:spacing w:before="50" w:after="120" w:afterLines="50" w:line="276" w:lineRule="auto"/>
        <w:ind w:firstLine="420" w:firstLineChars="200"/>
        <w:jc w:val="left"/>
        <w:rPr>
          <w:color w:val="auto"/>
          <w:highlight w:val="none"/>
        </w:rPr>
      </w:pPr>
      <w:r>
        <w:rPr>
          <w:rFonts w:hint="eastAsia"/>
          <w:color w:val="auto"/>
          <w:highlight w:val="none"/>
        </w:rPr>
        <w:t>一、我方理解根据招标条件，投标人必须提交一份投标保函（以下简称“本保函”），以担保供应商诚信履行其在采购活动中承担的义务。鉴此，应申请人要求，我方在此同意向贵方出具此投标保函，本保函担保金额为人民币（大写）</w:t>
      </w:r>
      <w:r>
        <w:rPr>
          <w:rFonts w:hint="eastAsia"/>
          <w:color w:val="auto"/>
          <w:highlight w:val="none"/>
          <w:u w:val="single"/>
        </w:rPr>
        <w:t xml:space="preserve">                            </w:t>
      </w:r>
      <w:r>
        <w:rPr>
          <w:rFonts w:hint="eastAsia"/>
          <w:color w:val="auto"/>
          <w:highlight w:val="none"/>
        </w:rPr>
        <w:t>元（¥</w:t>
      </w:r>
      <w:r>
        <w:rPr>
          <w:rFonts w:hint="eastAsia"/>
          <w:color w:val="auto"/>
          <w:highlight w:val="none"/>
          <w:u w:val="single"/>
        </w:rPr>
        <w:t xml:space="preserve">                         </w:t>
      </w:r>
      <w:r>
        <w:rPr>
          <w:rFonts w:hint="eastAsia"/>
          <w:color w:val="auto"/>
          <w:highlight w:val="none"/>
        </w:rPr>
        <w:t>）。</w:t>
      </w:r>
    </w:p>
    <w:p w14:paraId="0FEB3F63">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二、我方在供应商发生以下情形时承担保证担保责任： </w:t>
      </w:r>
    </w:p>
    <w:p w14:paraId="1CBED500">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（1）投标人在开标后和投标有效期满之前撤销投标文件的； </w:t>
      </w:r>
    </w:p>
    <w:p w14:paraId="56EB920E">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（2）投标人在收到中标通知书后，不能或拒绝按招标文件规定的时间内与采购人签订合同； </w:t>
      </w:r>
    </w:p>
    <w:p w14:paraId="665F571A">
      <w:pPr>
        <w:snapToGrid w:val="0"/>
        <w:spacing w:before="50" w:after="120" w:afterLines="50" w:line="276" w:lineRule="auto"/>
        <w:ind w:firstLine="420" w:firstLineChars="200"/>
        <w:jc w:val="left"/>
        <w:rPr>
          <w:color w:val="auto"/>
          <w:highlight w:val="none"/>
        </w:rPr>
      </w:pPr>
      <w:r>
        <w:rPr>
          <w:rFonts w:hint="eastAsia"/>
          <w:color w:val="auto"/>
          <w:highlight w:val="none"/>
        </w:rPr>
        <w:t>（3）投标人在与采购人签订合同后，未在规定的时间内提交符合招标文件要求的履约担保；</w:t>
      </w:r>
    </w:p>
    <w:p w14:paraId="66E92488">
      <w:pPr>
        <w:snapToGrid w:val="0"/>
        <w:spacing w:before="50" w:after="120" w:afterLines="50" w:line="276" w:lineRule="auto"/>
        <w:ind w:firstLine="420" w:firstLineChars="200"/>
        <w:jc w:val="left"/>
        <w:rPr>
          <w:color w:val="auto"/>
          <w:highlight w:val="none"/>
        </w:rPr>
      </w:pPr>
      <w:r>
        <w:rPr>
          <w:rFonts w:hint="eastAsia"/>
          <w:color w:val="auto"/>
          <w:highlight w:val="none"/>
        </w:rPr>
        <w:t>（4）投标人在中标通知书发出之日起5个工作日内，未缴纳本项目代理服务费的；</w:t>
      </w:r>
    </w:p>
    <w:p w14:paraId="34A91E70">
      <w:pPr>
        <w:snapToGrid w:val="0"/>
        <w:spacing w:before="50" w:after="120" w:afterLines="50" w:line="276" w:lineRule="auto"/>
        <w:ind w:firstLine="420" w:firstLineChars="200"/>
        <w:jc w:val="left"/>
        <w:rPr>
          <w:color w:val="auto"/>
          <w:highlight w:val="none"/>
        </w:rPr>
      </w:pPr>
      <w:r>
        <w:rPr>
          <w:rFonts w:hint="eastAsia"/>
          <w:color w:val="auto"/>
          <w:highlight w:val="none"/>
        </w:rPr>
        <w:t>（5）投标人违反招标文件规定的其他情形。</w:t>
      </w:r>
    </w:p>
    <w:p w14:paraId="2408E61D">
      <w:pPr>
        <w:snapToGrid w:val="0"/>
        <w:spacing w:before="50" w:after="120" w:afterLines="50" w:line="276" w:lineRule="auto"/>
        <w:ind w:firstLine="210" w:firstLineChars="100"/>
        <w:jc w:val="left"/>
        <w:rPr>
          <w:color w:val="auto"/>
          <w:highlight w:val="none"/>
        </w:rPr>
      </w:pPr>
      <w:r>
        <w:rPr>
          <w:rFonts w:hint="eastAsia"/>
          <w:color w:val="auto"/>
          <w:highlight w:val="none"/>
        </w:rPr>
        <w:t xml:space="preserve">    三、本保函为不可撤销、不可转让的见索即付独立保函。本保函有效期自开立之日起至投标有效期届满之日后的</w:t>
      </w:r>
      <w:r>
        <w:rPr>
          <w:rFonts w:hint="eastAsia"/>
          <w:color w:val="auto"/>
          <w:highlight w:val="none"/>
          <w:u w:val="single"/>
        </w:rPr>
        <w:t xml:space="preserve">  28  </w:t>
      </w:r>
      <w:r>
        <w:rPr>
          <w:rFonts w:hint="eastAsia"/>
          <w:color w:val="auto"/>
          <w:highlight w:val="none"/>
        </w:rPr>
        <w:t>日。投标有效期延长的，本保函有效期相应顺延。</w:t>
      </w:r>
    </w:p>
    <w:p w14:paraId="5B4C7048">
      <w:pPr>
        <w:snapToGrid w:val="0"/>
        <w:spacing w:before="50" w:after="120" w:afterLines="50" w:line="276" w:lineRule="auto"/>
        <w:ind w:firstLine="420" w:firstLineChars="200"/>
        <w:jc w:val="left"/>
        <w:rPr>
          <w:color w:val="auto"/>
          <w:highlight w:val="none"/>
        </w:rPr>
      </w:pPr>
      <w:r>
        <w:rPr>
          <w:rFonts w:hint="eastAsia"/>
          <w:color w:val="auto"/>
          <w:highlight w:val="none"/>
        </w:rPr>
        <w:t>四、我方承诺，在收到受益人发来的书面付款通知后的</w:t>
      </w:r>
      <w:r>
        <w:rPr>
          <w:rFonts w:hint="eastAsia"/>
          <w:color w:val="auto"/>
          <w:highlight w:val="none"/>
          <w:u w:val="single"/>
        </w:rPr>
        <w:t xml:space="preserve">   5    </w:t>
      </w:r>
      <w:r>
        <w:rPr>
          <w:rFonts w:hint="eastAsia"/>
          <w:color w:val="auto"/>
          <w:highlight w:val="none"/>
        </w:rPr>
        <w:t>日内无条件支付，前述书面付款通知即为付款要求之单据，且应满足以下要求：</w:t>
      </w:r>
    </w:p>
    <w:p w14:paraId="6ED81490">
      <w:pPr>
        <w:snapToGrid w:val="0"/>
        <w:spacing w:before="50" w:after="120" w:afterLines="50" w:line="276" w:lineRule="auto"/>
        <w:ind w:firstLine="420" w:firstLineChars="200"/>
        <w:jc w:val="left"/>
        <w:rPr>
          <w:color w:val="auto"/>
          <w:highlight w:val="none"/>
        </w:rPr>
      </w:pPr>
      <w:r>
        <w:rPr>
          <w:rFonts w:hint="eastAsia"/>
          <w:color w:val="auto"/>
          <w:highlight w:val="none"/>
        </w:rPr>
        <w:t>（1）付款通知到达的日期在本保函的有效期内；</w:t>
      </w:r>
    </w:p>
    <w:p w14:paraId="4BDE2615">
      <w:pPr>
        <w:snapToGrid w:val="0"/>
        <w:spacing w:before="50" w:after="120" w:afterLines="50" w:line="276" w:lineRule="auto"/>
        <w:ind w:firstLine="420" w:firstLineChars="200"/>
        <w:jc w:val="left"/>
        <w:rPr>
          <w:color w:val="auto"/>
          <w:highlight w:val="none"/>
        </w:rPr>
      </w:pPr>
      <w:r>
        <w:rPr>
          <w:rFonts w:hint="eastAsia"/>
          <w:color w:val="auto"/>
          <w:highlight w:val="none"/>
        </w:rPr>
        <w:t>（2）载明要求支付的金额；</w:t>
      </w:r>
    </w:p>
    <w:p w14:paraId="58537D30">
      <w:pPr>
        <w:snapToGrid w:val="0"/>
        <w:spacing w:before="50" w:after="120" w:afterLines="50" w:line="276" w:lineRule="auto"/>
        <w:ind w:firstLine="420" w:firstLineChars="200"/>
        <w:jc w:val="left"/>
        <w:rPr>
          <w:color w:val="auto"/>
          <w:highlight w:val="none"/>
        </w:rPr>
      </w:pPr>
      <w:r>
        <w:rPr>
          <w:rFonts w:hint="eastAsia"/>
          <w:color w:val="auto"/>
          <w:highlight w:val="none"/>
        </w:rPr>
        <w:t>（3）载明申请人违反采购文件规定的义务内容和具体条款；</w:t>
      </w:r>
    </w:p>
    <w:p w14:paraId="2AE8E8D0">
      <w:pPr>
        <w:snapToGrid w:val="0"/>
        <w:spacing w:before="50" w:after="120" w:afterLines="50" w:line="276" w:lineRule="auto"/>
        <w:ind w:firstLine="420" w:firstLineChars="200"/>
        <w:jc w:val="left"/>
        <w:rPr>
          <w:color w:val="auto"/>
          <w:highlight w:val="none"/>
        </w:rPr>
      </w:pPr>
      <w:r>
        <w:rPr>
          <w:rFonts w:hint="eastAsia"/>
          <w:color w:val="auto"/>
          <w:highlight w:val="none"/>
        </w:rPr>
        <w:t>（4）声明不存在采购文件规定或我国法律规定免除申请人或我方支付责任的情形；</w:t>
      </w:r>
    </w:p>
    <w:p w14:paraId="3F2705F8">
      <w:pPr>
        <w:snapToGrid w:val="0"/>
        <w:spacing w:before="50" w:after="120" w:afterLines="50" w:line="276" w:lineRule="auto"/>
        <w:ind w:firstLine="420" w:firstLineChars="200"/>
        <w:jc w:val="left"/>
        <w:rPr>
          <w:color w:val="auto"/>
          <w:highlight w:val="none"/>
        </w:rPr>
      </w:pPr>
      <w:r>
        <w:rPr>
          <w:rFonts w:hint="eastAsia"/>
          <w:color w:val="auto"/>
          <w:highlight w:val="none"/>
        </w:rPr>
        <w:t>（5）书面付款通知应在本保函有效期内到达的地址是：</w:t>
      </w:r>
      <w:r>
        <w:rPr>
          <w:rFonts w:hint="eastAsia"/>
          <w:color w:val="auto"/>
          <w:highlight w:val="none"/>
          <w:u w:val="single"/>
        </w:rPr>
        <w:t xml:space="preserve">                                     </w:t>
      </w:r>
      <w:r>
        <w:rPr>
          <w:rFonts w:hint="eastAsia"/>
          <w:color w:val="auto"/>
          <w:highlight w:val="none"/>
        </w:rPr>
        <w:t>。</w:t>
      </w:r>
    </w:p>
    <w:p w14:paraId="7DE5CC21">
      <w:pPr>
        <w:snapToGrid w:val="0"/>
        <w:spacing w:before="50" w:after="120" w:afterLines="50" w:line="276" w:lineRule="auto"/>
        <w:jc w:val="left"/>
        <w:rPr>
          <w:color w:val="auto"/>
          <w:highlight w:val="none"/>
        </w:rPr>
      </w:pPr>
      <w:r>
        <w:rPr>
          <w:rFonts w:hint="eastAsia"/>
          <w:color w:val="auto"/>
          <w:highlight w:val="none"/>
        </w:rPr>
        <w:t xml:space="preserve">        受益人发出的书面付款通知应由其为鉴明受益人法定代表人（负责人）或授权代理人签字并加盖公章。</w:t>
      </w:r>
    </w:p>
    <w:p w14:paraId="69F6AA1B">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五、本保函项下的权利不得转让，不得设定担保。贵方未经我方书面同意转让本保函或其项下任何权利，对我方不发生法律效力。 </w:t>
      </w:r>
    </w:p>
    <w:p w14:paraId="05ED9094">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六、本保函项下的基础交易不成立、不生效、无效、被撤销、被解除，不影响本保函的独立有效。 </w:t>
      </w:r>
    </w:p>
    <w:p w14:paraId="59E01401">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七、受益人应在本保函到期后的七日内将本保函正本退回我方注销，但是不论受益人是否按此要求将本保函正本退回我方，我方在本保函项下的义务和责任均在保函有效期到期后自动消灭。 </w:t>
      </w:r>
    </w:p>
    <w:p w14:paraId="1FCFDE4E">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八、本保函适用的法律为中华人民共和国法律，争议裁判管辖地为中华人民共和国。 </w:t>
      </w:r>
    </w:p>
    <w:p w14:paraId="7AECA5FC">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九、本保函自我方法定代表人或授权代表签字并加盖公章之日起生效。 </w:t>
      </w:r>
    </w:p>
    <w:p w14:paraId="2B8F14C1">
      <w:pPr>
        <w:snapToGrid w:val="0"/>
        <w:spacing w:before="50" w:after="120" w:afterLines="50" w:line="276" w:lineRule="auto"/>
        <w:jc w:val="left"/>
        <w:rPr>
          <w:color w:val="auto"/>
          <w:highlight w:val="none"/>
        </w:rPr>
      </w:pPr>
    </w:p>
    <w:p w14:paraId="0B479A44">
      <w:pPr>
        <w:snapToGrid w:val="0"/>
        <w:spacing w:before="50" w:after="120" w:afterLines="50" w:line="276" w:lineRule="auto"/>
        <w:jc w:val="left"/>
        <w:rPr>
          <w:color w:val="auto"/>
          <w:highlight w:val="none"/>
        </w:rPr>
      </w:pPr>
      <w:r>
        <w:rPr>
          <w:rFonts w:hint="eastAsia"/>
          <w:color w:val="auto"/>
          <w:highlight w:val="none"/>
        </w:rPr>
        <w:t xml:space="preserve">开 立 人：                                                  （公章） </w:t>
      </w:r>
    </w:p>
    <w:p w14:paraId="18CF59D2">
      <w:pPr>
        <w:snapToGrid w:val="0"/>
        <w:spacing w:before="50" w:after="120" w:afterLines="50" w:line="276" w:lineRule="auto"/>
        <w:jc w:val="left"/>
        <w:rPr>
          <w:color w:val="auto"/>
          <w:highlight w:val="none"/>
        </w:rPr>
      </w:pPr>
      <w:r>
        <w:rPr>
          <w:rFonts w:hint="eastAsia"/>
          <w:color w:val="auto"/>
          <w:highlight w:val="none"/>
        </w:rPr>
        <w:t xml:space="preserve">法定代表人（或授权代表） ：               （签字） </w:t>
      </w:r>
    </w:p>
    <w:p w14:paraId="1114D23A">
      <w:pPr>
        <w:snapToGrid w:val="0"/>
        <w:spacing w:before="50" w:after="120" w:afterLines="50" w:line="276" w:lineRule="auto"/>
        <w:jc w:val="left"/>
        <w:rPr>
          <w:color w:val="auto"/>
          <w:highlight w:val="none"/>
        </w:rPr>
      </w:pPr>
      <w:r>
        <w:rPr>
          <w:rFonts w:hint="eastAsia"/>
          <w:color w:val="auto"/>
          <w:highlight w:val="none"/>
        </w:rPr>
        <w:t xml:space="preserve">地    址：                                       </w:t>
      </w:r>
    </w:p>
    <w:p w14:paraId="7239D3B8">
      <w:pPr>
        <w:snapToGrid w:val="0"/>
        <w:spacing w:before="50" w:after="120" w:afterLines="50" w:line="276" w:lineRule="auto"/>
        <w:jc w:val="left"/>
        <w:rPr>
          <w:color w:val="auto"/>
          <w:highlight w:val="none"/>
        </w:rPr>
      </w:pPr>
      <w:r>
        <w:rPr>
          <w:rFonts w:hint="eastAsia"/>
          <w:color w:val="auto"/>
          <w:highlight w:val="none"/>
        </w:rPr>
        <w:t xml:space="preserve">邮政编码：                 </w:t>
      </w:r>
    </w:p>
    <w:p w14:paraId="56C8834E">
      <w:pPr>
        <w:snapToGrid w:val="0"/>
        <w:spacing w:before="50" w:after="120" w:afterLines="50" w:line="276" w:lineRule="auto"/>
        <w:jc w:val="left"/>
        <w:rPr>
          <w:color w:val="auto"/>
          <w:highlight w:val="none"/>
        </w:rPr>
      </w:pPr>
      <w:r>
        <w:rPr>
          <w:rFonts w:hint="eastAsia"/>
          <w:color w:val="auto"/>
          <w:highlight w:val="none"/>
        </w:rPr>
        <w:t xml:space="preserve">电    话：                 </w:t>
      </w:r>
    </w:p>
    <w:p w14:paraId="579ADB4C">
      <w:pPr>
        <w:snapToGrid w:val="0"/>
        <w:spacing w:before="50" w:after="120" w:afterLines="50" w:line="276" w:lineRule="auto"/>
        <w:jc w:val="left"/>
        <w:rPr>
          <w:color w:val="auto"/>
          <w:highlight w:val="none"/>
        </w:rPr>
      </w:pPr>
      <w:r>
        <w:rPr>
          <w:rFonts w:hint="eastAsia"/>
          <w:color w:val="auto"/>
          <w:highlight w:val="none"/>
        </w:rPr>
        <w:t xml:space="preserve">传    真：                 </w:t>
      </w:r>
    </w:p>
    <w:p w14:paraId="765E98FA">
      <w:pPr>
        <w:snapToGrid w:val="0"/>
        <w:spacing w:before="50" w:after="120" w:afterLines="50" w:line="276" w:lineRule="auto"/>
        <w:jc w:val="left"/>
        <w:rPr>
          <w:color w:val="auto"/>
          <w:highlight w:val="none"/>
        </w:rPr>
      </w:pPr>
      <w:r>
        <w:rPr>
          <w:rFonts w:hint="eastAsia"/>
          <w:color w:val="auto"/>
          <w:highlight w:val="none"/>
        </w:rPr>
        <w:t>开立时间：      年       月        日</w:t>
      </w:r>
    </w:p>
    <w:p w14:paraId="4FA1DA3D">
      <w:pPr>
        <w:snapToGrid w:val="0"/>
        <w:spacing w:before="50" w:after="120" w:afterLines="50" w:line="440" w:lineRule="exact"/>
        <w:jc w:val="left"/>
        <w:rPr>
          <w:color w:val="auto"/>
          <w:highlight w:val="none"/>
        </w:rPr>
      </w:pPr>
      <w:r>
        <w:rPr>
          <w:color w:val="auto"/>
          <w:highlight w:val="none"/>
        </w:rPr>
        <w:br w:type="page"/>
      </w:r>
      <w:r>
        <w:rPr>
          <w:rFonts w:hint="eastAsia"/>
          <w:color w:val="auto"/>
          <w:szCs w:val="21"/>
          <w:highlight w:val="none"/>
        </w:rPr>
        <w:t>9</w:t>
      </w:r>
      <w:r>
        <w:rPr>
          <w:color w:val="auto"/>
          <w:szCs w:val="21"/>
          <w:highlight w:val="none"/>
        </w:rPr>
        <w:t>．</w:t>
      </w:r>
      <w:r>
        <w:rPr>
          <w:rFonts w:hint="eastAsia"/>
          <w:color w:val="auto"/>
          <w:szCs w:val="21"/>
          <w:highlight w:val="none"/>
        </w:rPr>
        <w:t>联合体竞标协议书</w:t>
      </w:r>
      <w:r>
        <w:rPr>
          <w:rFonts w:hint="eastAsia"/>
          <w:color w:val="auto"/>
          <w:szCs w:val="21"/>
          <w:highlight w:val="none"/>
          <w:lang w:eastAsia="zh-CN"/>
        </w:rPr>
        <w:t>（</w:t>
      </w:r>
      <w:r>
        <w:rPr>
          <w:rFonts w:hint="eastAsia"/>
          <w:color w:val="auto"/>
          <w:szCs w:val="21"/>
          <w:highlight w:val="none"/>
          <w:lang w:val="en-US" w:eastAsia="zh-CN"/>
        </w:rPr>
        <w:t>如有</w:t>
      </w:r>
      <w:r>
        <w:rPr>
          <w:rFonts w:hint="eastAsia"/>
          <w:color w:val="auto"/>
          <w:szCs w:val="21"/>
          <w:highlight w:val="none"/>
          <w:lang w:eastAsia="zh-CN"/>
        </w:rPr>
        <w:t>）</w:t>
      </w:r>
      <w:r>
        <w:rPr>
          <w:color w:val="auto"/>
          <w:szCs w:val="21"/>
          <w:highlight w:val="none"/>
        </w:rPr>
        <w:t>。</w:t>
      </w:r>
    </w:p>
    <w:p w14:paraId="30692439">
      <w:pPr>
        <w:spacing w:line="276" w:lineRule="auto"/>
        <w:rPr>
          <w:color w:val="auto"/>
          <w:szCs w:val="21"/>
          <w:highlight w:val="none"/>
        </w:rPr>
      </w:pPr>
    </w:p>
    <w:p w14:paraId="6E18F959">
      <w:pPr>
        <w:pStyle w:val="9"/>
        <w:overflowPunct w:val="0"/>
        <w:spacing w:line="520" w:lineRule="exact"/>
        <w:ind w:firstLine="0"/>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联合体竞标协议书</w:t>
      </w:r>
    </w:p>
    <w:p w14:paraId="4F22B3B5">
      <w:pPr>
        <w:pStyle w:val="9"/>
        <w:overflowPunct w:val="0"/>
        <w:spacing w:line="360" w:lineRule="auto"/>
        <w:ind w:firstLine="0"/>
        <w:rPr>
          <w:rFonts w:ascii="宋体" w:hAnsi="宋体"/>
          <w:color w:val="auto"/>
          <w:sz w:val="24"/>
          <w:szCs w:val="24"/>
          <w:highlight w:val="none"/>
        </w:rPr>
      </w:pPr>
    </w:p>
    <w:p w14:paraId="015501A5">
      <w:pPr>
        <w:pStyle w:val="9"/>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（所有成员单位名称）自愿组成（联合体名称）联合体，共同参加（项目名称）采购项目竞标。现就联合体竞标事宜订立如下协议。</w:t>
      </w:r>
    </w:p>
    <w:p w14:paraId="352CD715">
      <w:pPr>
        <w:pStyle w:val="9"/>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1.</w:t>
      </w:r>
      <w:r>
        <w:rPr>
          <w:rFonts w:hint="eastAsia" w:ascii="宋体" w:hAnsi="宋体" w:cs="仿宋_GB2312"/>
          <w:color w:val="auto"/>
          <w:sz w:val="24"/>
          <w:szCs w:val="24"/>
          <w:highlight w:val="none"/>
          <w:u w:val="single"/>
        </w:rPr>
        <w:tab/>
      </w:r>
      <w:r>
        <w:rPr>
          <w:rFonts w:hint="eastAsia" w:ascii="宋体" w:hAnsi="宋体" w:cs="仿宋_GB2312"/>
          <w:color w:val="auto"/>
          <w:sz w:val="24"/>
          <w:szCs w:val="24"/>
          <w:highlight w:val="none"/>
        </w:rPr>
        <w:t>（某成员单位名称）为（联合体名称）牵头人。</w:t>
      </w:r>
    </w:p>
    <w:p w14:paraId="144406B1">
      <w:pPr>
        <w:pStyle w:val="9"/>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2.联合体各成员授权牵头人代表联合体参加竞标活动，签署文件及对文件的盖章，提交和接收相关的资料、信息及指示，进行合同磋商活动，负责合同实施阶段的组织和协调工作，以及处理与本竞分标目有关的一切事宜。</w:t>
      </w:r>
    </w:p>
    <w:p w14:paraId="10C16CEA">
      <w:pPr>
        <w:pStyle w:val="9"/>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3.联合体牵头人在本项目中签署和盖章的一切文件和处理的一切事宜，联合体各成员均予以承认。联合体各成员将严格按照磋商文件、响应文件和合同的要求全面履行义务，并向采购人承担连带责任。</w:t>
      </w:r>
    </w:p>
    <w:p w14:paraId="677BF61B">
      <w:pPr>
        <w:pStyle w:val="9"/>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4.联合体各成员单位内部的职责分工如下：。</w:t>
      </w:r>
    </w:p>
    <w:p w14:paraId="199D48A2">
      <w:pPr>
        <w:pStyle w:val="9"/>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5.本</w:t>
      </w:r>
      <w:r>
        <w:rPr>
          <w:rFonts w:hint="eastAsia" w:ascii="宋体" w:hAnsi="宋体" w:cs="仿宋_GB2312"/>
          <w:color w:val="auto"/>
          <w:spacing w:val="-6"/>
          <w:sz w:val="24"/>
          <w:szCs w:val="24"/>
          <w:highlight w:val="none"/>
        </w:rPr>
        <w:t>协议书自所有成员单位法定代表人（单位负责人）或者其委托代理人签字或者盖单位章之日起生效，合同履行完毕后自动失效。</w:t>
      </w:r>
    </w:p>
    <w:p w14:paraId="41F83057">
      <w:pPr>
        <w:pStyle w:val="9"/>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6.本协议书一式</w:t>
      </w:r>
      <w:r>
        <w:rPr>
          <w:rFonts w:hint="eastAsia" w:ascii="宋体" w:hAnsi="宋体" w:cs="仿宋_GB2312"/>
          <w:color w:val="auto"/>
          <w:sz w:val="24"/>
          <w:szCs w:val="24"/>
          <w:highlight w:val="none"/>
          <w:u w:val="single"/>
        </w:rPr>
        <w:tab/>
      </w:r>
      <w:r>
        <w:rPr>
          <w:rFonts w:hint="eastAsia" w:ascii="宋体" w:hAnsi="宋体" w:cs="仿宋_GB2312"/>
          <w:color w:val="auto"/>
          <w:sz w:val="24"/>
          <w:szCs w:val="24"/>
          <w:highlight w:val="none"/>
        </w:rPr>
        <w:t>份，联合体成员和采购人各执一份。</w:t>
      </w:r>
    </w:p>
    <w:p w14:paraId="69634A00">
      <w:pPr>
        <w:pStyle w:val="9"/>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注：本协议书应附法定代表人身份证明书；有委托代理的，应附权委托书（格式自拟）。</w:t>
      </w:r>
    </w:p>
    <w:p w14:paraId="211ADE62">
      <w:pPr>
        <w:pStyle w:val="9"/>
        <w:overflowPunct w:val="0"/>
        <w:spacing w:line="360" w:lineRule="auto"/>
        <w:ind w:firstLineChars="175"/>
        <w:contextualSpacing/>
        <w:rPr>
          <w:rFonts w:ascii="宋体" w:hAnsi="宋体" w:cs="仿宋_GB2312"/>
          <w:color w:val="auto"/>
          <w:sz w:val="24"/>
          <w:szCs w:val="24"/>
          <w:highlight w:val="none"/>
        </w:rPr>
      </w:pPr>
    </w:p>
    <w:p w14:paraId="1ED21D29">
      <w:pPr>
        <w:pStyle w:val="9"/>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联合体牵头人名称（电子签章）：</w:t>
      </w:r>
    </w:p>
    <w:p w14:paraId="7DB57346">
      <w:pPr>
        <w:pStyle w:val="9"/>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法定代表人或者其委托代理人（签字或者电子签名）：</w:t>
      </w:r>
    </w:p>
    <w:p w14:paraId="35144C47">
      <w:pPr>
        <w:pStyle w:val="9"/>
        <w:overflowPunct w:val="0"/>
        <w:spacing w:line="360" w:lineRule="auto"/>
        <w:ind w:firstLine="0"/>
        <w:contextualSpacing/>
        <w:rPr>
          <w:rFonts w:ascii="宋体" w:hAnsi="宋体" w:cs="仿宋_GB2312"/>
          <w:color w:val="auto"/>
          <w:sz w:val="24"/>
          <w:szCs w:val="24"/>
          <w:highlight w:val="none"/>
        </w:rPr>
      </w:pPr>
    </w:p>
    <w:p w14:paraId="66BEFF68">
      <w:pPr>
        <w:pStyle w:val="9"/>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联合体成员名称（盖公章或者电子签章）：</w:t>
      </w:r>
    </w:p>
    <w:p w14:paraId="48591ACA">
      <w:pPr>
        <w:pStyle w:val="9"/>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法定代表人或者其委托代理人（签字或者电子签名）：</w:t>
      </w:r>
    </w:p>
    <w:p w14:paraId="1D658157">
      <w:pPr>
        <w:pStyle w:val="9"/>
        <w:overflowPunct w:val="0"/>
        <w:spacing w:line="360" w:lineRule="auto"/>
        <w:ind w:firstLine="0"/>
        <w:contextualSpacing/>
        <w:rPr>
          <w:rFonts w:ascii="宋体" w:hAnsi="宋体" w:cs="仿宋_GB2312"/>
          <w:color w:val="auto"/>
          <w:sz w:val="24"/>
          <w:szCs w:val="24"/>
          <w:highlight w:val="none"/>
        </w:rPr>
      </w:pPr>
    </w:p>
    <w:p w14:paraId="5A1FA4CB">
      <w:pPr>
        <w:pStyle w:val="9"/>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联合体成员名称（盖公章或者电子签章）：</w:t>
      </w:r>
    </w:p>
    <w:p w14:paraId="0B01F6D0">
      <w:pPr>
        <w:pStyle w:val="9"/>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法定代表人或者其委托代理人（签字或者电子签名）：</w:t>
      </w:r>
    </w:p>
    <w:p w14:paraId="65662EBA">
      <w:pPr>
        <w:pStyle w:val="9"/>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w:t>
      </w:r>
    </w:p>
    <w:p w14:paraId="1C1B7302">
      <w:pPr>
        <w:spacing w:line="360" w:lineRule="auto"/>
        <w:ind w:right="480" w:firstLine="240" w:firstLineChars="100"/>
        <w:contextualSpacing/>
        <w:jc w:val="center"/>
        <w:rPr>
          <w:rFonts w:ascii="宋体" w:hAnsi="宋体" w:cs="仿宋_GB2312"/>
          <w:color w:val="auto"/>
          <w:sz w:val="24"/>
          <w:highlight w:val="none"/>
        </w:rPr>
      </w:pPr>
    </w:p>
    <w:p w14:paraId="6417DA9B">
      <w:pPr>
        <w:spacing w:line="360" w:lineRule="auto"/>
        <w:ind w:right="480" w:firstLine="240" w:firstLineChars="100"/>
        <w:contextualSpacing/>
        <w:jc w:val="center"/>
        <w:rPr>
          <w:rFonts w:ascii="宋体" w:hAnsi="宋体"/>
          <w:b/>
          <w:bCs/>
          <w:color w:val="auto"/>
          <w:sz w:val="32"/>
          <w:szCs w:val="32"/>
          <w:highlight w:val="none"/>
        </w:rPr>
      </w:pPr>
      <w:r>
        <w:rPr>
          <w:rFonts w:hint="eastAsia" w:ascii="宋体" w:hAnsi="宋体" w:cs="仿宋_GB2312"/>
          <w:color w:val="auto"/>
          <w:sz w:val="24"/>
          <w:highlight w:val="none"/>
        </w:rPr>
        <w:t xml:space="preserve">                                                年  </w:t>
      </w:r>
      <w:r>
        <w:rPr>
          <w:rFonts w:hint="eastAsia" w:ascii="宋体" w:hAnsi="宋体" w:cs="仿宋_GB2312"/>
          <w:color w:val="auto"/>
          <w:sz w:val="24"/>
          <w:highlight w:val="none"/>
        </w:rPr>
        <w:tab/>
      </w:r>
      <w:r>
        <w:rPr>
          <w:rFonts w:hint="eastAsia" w:ascii="宋体" w:hAnsi="宋体" w:cs="仿宋_GB2312"/>
          <w:color w:val="auto"/>
          <w:sz w:val="24"/>
          <w:highlight w:val="none"/>
        </w:rPr>
        <w:t xml:space="preserve">月  </w:t>
      </w:r>
      <w:r>
        <w:rPr>
          <w:rFonts w:hint="eastAsia" w:ascii="宋体" w:hAnsi="宋体" w:cs="仿宋_GB2312"/>
          <w:color w:val="auto"/>
          <w:sz w:val="24"/>
          <w:highlight w:val="none"/>
        </w:rPr>
        <w:tab/>
      </w:r>
      <w:r>
        <w:rPr>
          <w:rFonts w:hint="eastAsia" w:ascii="宋体" w:hAnsi="宋体" w:cs="仿宋_GB2312"/>
          <w:color w:val="auto"/>
          <w:sz w:val="24"/>
          <w:highlight w:val="none"/>
        </w:rPr>
        <w:t>日</w:t>
      </w:r>
    </w:p>
    <w:p w14:paraId="0F43A78F">
      <w:pPr>
        <w:pStyle w:val="9"/>
        <w:overflowPunct w:val="0"/>
        <w:ind w:firstLine="0"/>
        <w:rPr>
          <w:rFonts w:hint="eastAsia"/>
          <w:color w:val="auto"/>
          <w:highlight w:val="none"/>
        </w:rPr>
      </w:pPr>
    </w:p>
    <w:p w14:paraId="489AC69E">
      <w:pPr>
        <w:snapToGrid w:val="0"/>
        <w:spacing w:before="50" w:after="120" w:afterLines="50" w:line="400" w:lineRule="exact"/>
        <w:jc w:val="left"/>
        <w:rPr>
          <w:bCs/>
          <w:color w:val="auto"/>
          <w:sz w:val="24"/>
          <w:highlight w:val="none"/>
        </w:rPr>
      </w:pPr>
      <w:r>
        <w:rPr>
          <w:rFonts w:hint="eastAsia"/>
          <w:color w:val="auto"/>
          <w:szCs w:val="21"/>
          <w:highlight w:val="none"/>
          <w:lang w:val="en-US" w:eastAsia="zh-CN"/>
        </w:rPr>
        <w:t>10.</w:t>
      </w:r>
      <w:r>
        <w:rPr>
          <w:color w:val="auto"/>
          <w:szCs w:val="21"/>
          <w:highlight w:val="none"/>
        </w:rPr>
        <w:t>供应商认为应当要提交的资格证明材料</w:t>
      </w:r>
    </w:p>
    <w:p w14:paraId="5A374A02">
      <w:pPr>
        <w:snapToGrid w:val="0"/>
        <w:spacing w:before="120" w:beforeLines="50" w:after="50" w:line="440" w:lineRule="exact"/>
        <w:jc w:val="center"/>
        <w:outlineLvl w:val="1"/>
        <w:rPr>
          <w:bCs/>
          <w:color w:val="auto"/>
          <w:sz w:val="24"/>
          <w:highlight w:val="none"/>
        </w:rPr>
      </w:pPr>
      <w:r>
        <w:rPr>
          <w:color w:val="auto"/>
          <w:highlight w:val="none"/>
        </w:rPr>
        <w:br w:type="page"/>
      </w:r>
      <w:r>
        <w:rPr>
          <w:bCs/>
          <w:color w:val="auto"/>
          <w:sz w:val="24"/>
          <w:highlight w:val="none"/>
        </w:rPr>
        <w:t>第二部分 商务</w:t>
      </w:r>
      <w:r>
        <w:rPr>
          <w:rFonts w:hint="eastAsia"/>
          <w:bCs/>
          <w:color w:val="auto"/>
          <w:sz w:val="24"/>
          <w:highlight w:val="none"/>
        </w:rPr>
        <w:t>技术</w:t>
      </w:r>
      <w:r>
        <w:rPr>
          <w:bCs/>
          <w:color w:val="auto"/>
          <w:sz w:val="24"/>
          <w:highlight w:val="none"/>
        </w:rPr>
        <w:t>文件</w:t>
      </w:r>
    </w:p>
    <w:p w14:paraId="00E8D6E8">
      <w:pPr>
        <w:snapToGrid w:val="0"/>
        <w:spacing w:before="120" w:beforeLines="50" w:after="50" w:line="360" w:lineRule="exact"/>
        <w:rPr>
          <w:b/>
          <w:color w:val="auto"/>
          <w:szCs w:val="21"/>
          <w:highlight w:val="none"/>
        </w:rPr>
      </w:pPr>
      <w:bookmarkStart w:id="89" w:name="_Hlk19199735"/>
      <w:r>
        <w:rPr>
          <w:rFonts w:hint="eastAsia"/>
          <w:b/>
          <w:color w:val="auto"/>
          <w:szCs w:val="21"/>
          <w:highlight w:val="none"/>
        </w:rPr>
        <w:t>1</w:t>
      </w:r>
      <w:r>
        <w:rPr>
          <w:b/>
          <w:color w:val="auto"/>
          <w:szCs w:val="21"/>
          <w:highlight w:val="none"/>
        </w:rPr>
        <w:t>．</w:t>
      </w:r>
      <w:r>
        <w:rPr>
          <w:color w:val="auto"/>
          <w:szCs w:val="21"/>
          <w:highlight w:val="none"/>
        </w:rPr>
        <w:t>法定代表人身份证明</w:t>
      </w:r>
      <w:r>
        <w:rPr>
          <w:rFonts w:hint="eastAsia"/>
          <w:b/>
          <w:color w:val="auto"/>
          <w:szCs w:val="21"/>
          <w:highlight w:val="none"/>
        </w:rPr>
        <w:t>（无授权</w:t>
      </w:r>
      <w:r>
        <w:rPr>
          <w:b/>
          <w:color w:val="auto"/>
          <w:szCs w:val="21"/>
          <w:highlight w:val="none"/>
        </w:rPr>
        <w:t>代表</w:t>
      </w:r>
      <w:r>
        <w:rPr>
          <w:rFonts w:hint="eastAsia"/>
          <w:b/>
          <w:color w:val="auto"/>
          <w:szCs w:val="21"/>
          <w:highlight w:val="none"/>
        </w:rPr>
        <w:t>时提供）</w:t>
      </w:r>
      <w:r>
        <w:rPr>
          <w:b/>
          <w:color w:val="auto"/>
          <w:szCs w:val="21"/>
          <w:highlight w:val="none"/>
        </w:rPr>
        <w:t>：</w:t>
      </w:r>
    </w:p>
    <w:bookmarkEnd w:id="89"/>
    <w:p w14:paraId="4C6DBD34">
      <w:pPr>
        <w:jc w:val="center"/>
        <w:rPr>
          <w:color w:val="auto"/>
          <w:highlight w:val="none"/>
        </w:rPr>
      </w:pPr>
      <w:bookmarkStart w:id="90" w:name="_Toc462223472"/>
      <w:bookmarkStart w:id="91" w:name="_Toc462320613"/>
      <w:bookmarkStart w:id="92" w:name="_Toc455309222"/>
    </w:p>
    <w:bookmarkEnd w:id="90"/>
    <w:bookmarkEnd w:id="91"/>
    <w:bookmarkEnd w:id="92"/>
    <w:p w14:paraId="37C20E6E">
      <w:pPr>
        <w:snapToGrid w:val="0"/>
        <w:spacing w:before="120" w:beforeLines="50" w:after="50" w:line="440" w:lineRule="exact"/>
        <w:jc w:val="center"/>
        <w:rPr>
          <w:b/>
          <w:color w:val="auto"/>
          <w:szCs w:val="21"/>
          <w:highlight w:val="none"/>
        </w:rPr>
      </w:pPr>
      <w:r>
        <w:rPr>
          <w:b/>
          <w:color w:val="auto"/>
          <w:szCs w:val="21"/>
          <w:highlight w:val="none"/>
        </w:rPr>
        <w:t>法定代表人身份证明</w:t>
      </w:r>
    </w:p>
    <w:p w14:paraId="2F36CA61">
      <w:pPr>
        <w:spacing w:line="360" w:lineRule="auto"/>
        <w:rPr>
          <w:color w:val="auto"/>
          <w:highlight w:val="none"/>
        </w:rPr>
      </w:pPr>
    </w:p>
    <w:p w14:paraId="3C603E04">
      <w:pPr>
        <w:spacing w:line="360" w:lineRule="auto"/>
        <w:rPr>
          <w:color w:val="auto"/>
          <w:highlight w:val="none"/>
        </w:rPr>
      </w:pPr>
    </w:p>
    <w:p w14:paraId="18576444">
      <w:pPr>
        <w:spacing w:line="540" w:lineRule="exact"/>
        <w:rPr>
          <w:color w:val="auto"/>
          <w:szCs w:val="21"/>
          <w:highlight w:val="none"/>
        </w:rPr>
      </w:pPr>
      <w:r>
        <w:rPr>
          <w:color w:val="auto"/>
          <w:szCs w:val="21"/>
          <w:highlight w:val="none"/>
        </w:rPr>
        <w:t>供应商名称：</w:t>
      </w:r>
      <w:r>
        <w:rPr>
          <w:color w:val="auto"/>
          <w:szCs w:val="21"/>
          <w:highlight w:val="none"/>
          <w:u w:val="single"/>
        </w:rPr>
        <w:t xml:space="preserve">                                         </w:t>
      </w:r>
    </w:p>
    <w:p w14:paraId="5A15C10F">
      <w:pPr>
        <w:spacing w:line="540" w:lineRule="exact"/>
        <w:rPr>
          <w:color w:val="auto"/>
          <w:szCs w:val="21"/>
          <w:highlight w:val="none"/>
        </w:rPr>
      </w:pPr>
      <w:r>
        <w:rPr>
          <w:color w:val="auto"/>
          <w:szCs w:val="21"/>
          <w:highlight w:val="none"/>
        </w:rPr>
        <w:t>单位性质：</w:t>
      </w:r>
      <w:r>
        <w:rPr>
          <w:color w:val="auto"/>
          <w:szCs w:val="21"/>
          <w:highlight w:val="none"/>
          <w:u w:val="single"/>
        </w:rPr>
        <w:t xml:space="preserve">                                           </w:t>
      </w:r>
    </w:p>
    <w:p w14:paraId="61612335">
      <w:pPr>
        <w:spacing w:line="540" w:lineRule="exact"/>
        <w:rPr>
          <w:color w:val="auto"/>
          <w:szCs w:val="21"/>
          <w:highlight w:val="none"/>
        </w:rPr>
      </w:pPr>
      <w:r>
        <w:rPr>
          <w:color w:val="auto"/>
          <w:szCs w:val="21"/>
          <w:highlight w:val="none"/>
        </w:rPr>
        <w:t>地址：</w:t>
      </w:r>
      <w:r>
        <w:rPr>
          <w:color w:val="auto"/>
          <w:szCs w:val="21"/>
          <w:highlight w:val="none"/>
          <w:u w:val="single"/>
        </w:rPr>
        <w:t xml:space="preserve">                                               </w:t>
      </w:r>
    </w:p>
    <w:p w14:paraId="205FD47D">
      <w:pPr>
        <w:spacing w:line="540" w:lineRule="exact"/>
        <w:rPr>
          <w:color w:val="auto"/>
          <w:szCs w:val="21"/>
          <w:highlight w:val="none"/>
          <w:u w:val="single"/>
        </w:rPr>
      </w:pPr>
      <w:r>
        <w:rPr>
          <w:color w:val="auto"/>
          <w:szCs w:val="21"/>
          <w:highlight w:val="none"/>
        </w:rPr>
        <w:t>成立时间：</w:t>
      </w:r>
      <w:r>
        <w:rPr>
          <w:color w:val="auto"/>
          <w:szCs w:val="21"/>
          <w:highlight w:val="none"/>
          <w:u w:val="single"/>
        </w:rPr>
        <w:t xml:space="preserve">          年        月        日</w:t>
      </w:r>
    </w:p>
    <w:p w14:paraId="56516955">
      <w:pPr>
        <w:spacing w:line="540" w:lineRule="exact"/>
        <w:rPr>
          <w:color w:val="auto"/>
          <w:szCs w:val="21"/>
          <w:highlight w:val="none"/>
        </w:rPr>
      </w:pPr>
      <w:r>
        <w:rPr>
          <w:color w:val="auto"/>
          <w:szCs w:val="21"/>
          <w:highlight w:val="none"/>
        </w:rPr>
        <w:t>经营期限：</w:t>
      </w:r>
      <w:r>
        <w:rPr>
          <w:color w:val="auto"/>
          <w:szCs w:val="21"/>
          <w:highlight w:val="none"/>
          <w:u w:val="single"/>
        </w:rPr>
        <w:t xml:space="preserve">                                           </w:t>
      </w:r>
    </w:p>
    <w:p w14:paraId="2E025A89">
      <w:pPr>
        <w:spacing w:line="540" w:lineRule="exact"/>
        <w:rPr>
          <w:color w:val="auto"/>
          <w:szCs w:val="21"/>
          <w:highlight w:val="none"/>
        </w:rPr>
      </w:pPr>
      <w:r>
        <w:rPr>
          <w:color w:val="auto"/>
          <w:szCs w:val="21"/>
          <w:highlight w:val="none"/>
        </w:rPr>
        <w:t>姓名：</w:t>
      </w:r>
      <w:r>
        <w:rPr>
          <w:color w:val="auto"/>
          <w:szCs w:val="21"/>
          <w:highlight w:val="none"/>
          <w:u w:val="single"/>
        </w:rPr>
        <w:t xml:space="preserve">                   </w:t>
      </w:r>
      <w:r>
        <w:rPr>
          <w:color w:val="auto"/>
          <w:szCs w:val="21"/>
          <w:highlight w:val="none"/>
        </w:rPr>
        <w:t>；性别：</w:t>
      </w:r>
      <w:r>
        <w:rPr>
          <w:color w:val="auto"/>
          <w:szCs w:val="21"/>
          <w:highlight w:val="none"/>
          <w:u w:val="single"/>
        </w:rPr>
        <w:t xml:space="preserve">              </w:t>
      </w:r>
      <w:r>
        <w:rPr>
          <w:color w:val="auto"/>
          <w:szCs w:val="21"/>
          <w:highlight w:val="none"/>
        </w:rPr>
        <w:t xml:space="preserve">        </w:t>
      </w:r>
    </w:p>
    <w:p w14:paraId="5401DFAB">
      <w:pPr>
        <w:spacing w:line="540" w:lineRule="exact"/>
        <w:rPr>
          <w:color w:val="auto"/>
          <w:szCs w:val="21"/>
          <w:highlight w:val="none"/>
        </w:rPr>
      </w:pPr>
      <w:r>
        <w:rPr>
          <w:color w:val="auto"/>
          <w:szCs w:val="21"/>
          <w:highlight w:val="none"/>
        </w:rPr>
        <w:t>年龄：</w:t>
      </w:r>
      <w:r>
        <w:rPr>
          <w:color w:val="auto"/>
          <w:szCs w:val="21"/>
          <w:highlight w:val="none"/>
          <w:u w:val="single"/>
        </w:rPr>
        <w:t xml:space="preserve">         </w:t>
      </w:r>
      <w:r>
        <w:rPr>
          <w:color w:val="auto"/>
          <w:szCs w:val="21"/>
          <w:highlight w:val="none"/>
        </w:rPr>
        <w:t>；职务：</w:t>
      </w:r>
      <w:r>
        <w:rPr>
          <w:color w:val="auto"/>
          <w:szCs w:val="21"/>
          <w:highlight w:val="none"/>
          <w:u w:val="single"/>
        </w:rPr>
        <w:t xml:space="preserve">              </w:t>
      </w:r>
      <w:r>
        <w:rPr>
          <w:color w:val="auto"/>
          <w:szCs w:val="21"/>
          <w:highlight w:val="none"/>
        </w:rPr>
        <w:t>；身份证：</w:t>
      </w:r>
      <w:r>
        <w:rPr>
          <w:color w:val="auto"/>
          <w:szCs w:val="21"/>
          <w:highlight w:val="none"/>
          <w:u w:val="single"/>
        </w:rPr>
        <w:t xml:space="preserve">                                      </w:t>
      </w:r>
    </w:p>
    <w:p w14:paraId="4156AE92">
      <w:pPr>
        <w:spacing w:line="540" w:lineRule="exact"/>
        <w:rPr>
          <w:color w:val="auto"/>
          <w:szCs w:val="21"/>
          <w:highlight w:val="none"/>
        </w:rPr>
      </w:pPr>
      <w:r>
        <w:rPr>
          <w:color w:val="auto"/>
          <w:szCs w:val="21"/>
          <w:highlight w:val="none"/>
        </w:rPr>
        <w:t>系</w:t>
      </w:r>
      <w:r>
        <w:rPr>
          <w:color w:val="auto"/>
          <w:szCs w:val="21"/>
          <w:highlight w:val="none"/>
          <w:u w:val="single"/>
        </w:rPr>
        <w:t xml:space="preserve">                                      （ 供应商名称）</w:t>
      </w:r>
      <w:r>
        <w:rPr>
          <w:color w:val="auto"/>
          <w:szCs w:val="21"/>
          <w:highlight w:val="none"/>
        </w:rPr>
        <w:t>的法定代表人。</w:t>
      </w:r>
    </w:p>
    <w:p w14:paraId="70A26DBB">
      <w:pPr>
        <w:spacing w:line="540" w:lineRule="exact"/>
        <w:rPr>
          <w:rFonts w:hint="eastAsia"/>
          <w:color w:val="auto"/>
          <w:szCs w:val="21"/>
          <w:highlight w:val="none"/>
        </w:rPr>
      </w:pPr>
    </w:p>
    <w:p w14:paraId="574CDAE8">
      <w:pPr>
        <w:spacing w:line="540" w:lineRule="exact"/>
        <w:ind w:firstLine="420" w:firstLineChars="200"/>
        <w:rPr>
          <w:color w:val="auto"/>
          <w:szCs w:val="21"/>
          <w:highlight w:val="none"/>
        </w:rPr>
      </w:pPr>
      <w:r>
        <w:rPr>
          <w:color w:val="auto"/>
          <w:szCs w:val="21"/>
          <w:highlight w:val="none"/>
        </w:rPr>
        <w:t>特此证明。</w:t>
      </w:r>
    </w:p>
    <w:p w14:paraId="149FAA9F">
      <w:pPr>
        <w:spacing w:line="540" w:lineRule="exact"/>
        <w:rPr>
          <w:rFonts w:hint="eastAsia"/>
          <w:color w:val="auto"/>
          <w:szCs w:val="21"/>
          <w:highlight w:val="none"/>
        </w:rPr>
      </w:pPr>
    </w:p>
    <w:p w14:paraId="4FC51DAC">
      <w:pPr>
        <w:spacing w:line="360" w:lineRule="auto"/>
        <w:ind w:firstLine="4830" w:firstLineChars="2300"/>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61038736">
      <w:pPr>
        <w:spacing w:line="360" w:lineRule="auto"/>
        <w:rPr>
          <w:color w:val="auto"/>
          <w:szCs w:val="21"/>
          <w:highlight w:val="none"/>
        </w:rPr>
      </w:pPr>
      <w:r>
        <w:rPr>
          <w:color w:val="auto"/>
          <w:szCs w:val="21"/>
          <w:highlight w:val="none"/>
        </w:rPr>
        <w:t xml:space="preserve">                                                   年       月       日 </w:t>
      </w:r>
    </w:p>
    <w:p w14:paraId="2BF66939">
      <w:pPr>
        <w:spacing w:line="540" w:lineRule="exact"/>
        <w:rPr>
          <w:rFonts w:hint="eastAsia"/>
          <w:color w:val="auto"/>
          <w:szCs w:val="21"/>
          <w:highlight w:val="none"/>
        </w:rPr>
      </w:pPr>
    </w:p>
    <w:p w14:paraId="5EEEF923">
      <w:pPr>
        <w:spacing w:line="360" w:lineRule="auto"/>
        <w:rPr>
          <w:color w:val="auto"/>
          <w:szCs w:val="21"/>
          <w:highlight w:val="none"/>
        </w:rPr>
      </w:pPr>
      <w:bookmarkStart w:id="93" w:name="_Hlk19199756"/>
      <w:r>
        <w:rPr>
          <w:color w:val="auto"/>
          <w:szCs w:val="21"/>
          <w:highlight w:val="none"/>
        </w:rPr>
        <w:t>附件：法定代表人身份证复印件</w:t>
      </w:r>
    </w:p>
    <w:p w14:paraId="36E83E83">
      <w:pPr>
        <w:spacing w:line="360" w:lineRule="auto"/>
        <w:rPr>
          <w:color w:val="auto"/>
          <w:szCs w:val="21"/>
          <w:highlight w:val="none"/>
        </w:rPr>
      </w:pPr>
    </w:p>
    <w:bookmarkEnd w:id="93"/>
    <w:p w14:paraId="7E8693AF">
      <w:pPr>
        <w:snapToGrid w:val="0"/>
        <w:spacing w:before="120" w:beforeLines="50" w:after="50" w:line="360" w:lineRule="exact"/>
        <w:jc w:val="left"/>
        <w:rPr>
          <w:rFonts w:hint="eastAsia"/>
          <w:color w:val="auto"/>
          <w:highlight w:val="none"/>
        </w:rPr>
      </w:pPr>
      <w:r>
        <w:rPr>
          <w:b/>
          <w:color w:val="auto"/>
          <w:szCs w:val="21"/>
          <w:highlight w:val="none"/>
        </w:rPr>
        <w:br w:type="page"/>
      </w:r>
      <w:bookmarkStart w:id="94" w:name="_Hlk19199766"/>
      <w:r>
        <w:rPr>
          <w:rFonts w:hint="eastAsia"/>
          <w:b/>
          <w:color w:val="auto"/>
          <w:szCs w:val="21"/>
          <w:highlight w:val="none"/>
        </w:rPr>
        <w:t>1</w:t>
      </w:r>
      <w:r>
        <w:rPr>
          <w:b/>
          <w:color w:val="auto"/>
          <w:szCs w:val="21"/>
          <w:highlight w:val="none"/>
        </w:rPr>
        <w:t>．</w:t>
      </w:r>
      <w:r>
        <w:rPr>
          <w:rFonts w:hint="eastAsia"/>
          <w:b/>
          <w:color w:val="auto"/>
          <w:szCs w:val="21"/>
          <w:highlight w:val="none"/>
        </w:rPr>
        <w:t>授权</w:t>
      </w:r>
      <w:r>
        <w:rPr>
          <w:b/>
          <w:color w:val="auto"/>
          <w:szCs w:val="21"/>
          <w:highlight w:val="none"/>
        </w:rPr>
        <w:t>委托书</w:t>
      </w:r>
      <w:r>
        <w:rPr>
          <w:rFonts w:hint="eastAsia"/>
          <w:b/>
          <w:color w:val="auto"/>
          <w:szCs w:val="21"/>
          <w:highlight w:val="none"/>
        </w:rPr>
        <w:t>（有授权</w:t>
      </w:r>
      <w:r>
        <w:rPr>
          <w:b/>
          <w:color w:val="auto"/>
          <w:szCs w:val="21"/>
          <w:highlight w:val="none"/>
        </w:rPr>
        <w:t>代表</w:t>
      </w:r>
      <w:r>
        <w:rPr>
          <w:rFonts w:hint="eastAsia"/>
          <w:b/>
          <w:color w:val="auto"/>
          <w:szCs w:val="21"/>
          <w:highlight w:val="none"/>
        </w:rPr>
        <w:t>时提供）</w:t>
      </w:r>
      <w:r>
        <w:rPr>
          <w:b/>
          <w:color w:val="auto"/>
          <w:szCs w:val="21"/>
          <w:highlight w:val="none"/>
        </w:rPr>
        <w:t>：</w:t>
      </w:r>
    </w:p>
    <w:bookmarkEnd w:id="94"/>
    <w:p w14:paraId="589EE13A">
      <w:pPr>
        <w:snapToGrid w:val="0"/>
        <w:spacing w:before="120" w:beforeLines="50" w:after="50" w:line="360" w:lineRule="exact"/>
        <w:jc w:val="center"/>
        <w:rPr>
          <w:b/>
          <w:color w:val="auto"/>
          <w:szCs w:val="21"/>
          <w:highlight w:val="none"/>
        </w:rPr>
      </w:pPr>
      <w:r>
        <w:rPr>
          <w:b/>
          <w:color w:val="auto"/>
          <w:szCs w:val="21"/>
          <w:highlight w:val="none"/>
        </w:rPr>
        <w:t>法定代表人授权委托书</w:t>
      </w:r>
    </w:p>
    <w:p w14:paraId="74D7562A">
      <w:pPr>
        <w:snapToGrid w:val="0"/>
        <w:spacing w:before="120" w:beforeLines="50" w:after="50" w:line="440" w:lineRule="exact"/>
        <w:rPr>
          <w:rFonts w:hint="eastAsia"/>
          <w:b/>
          <w:bCs/>
          <w:color w:val="auto"/>
          <w:szCs w:val="21"/>
          <w:highlight w:val="none"/>
        </w:rPr>
      </w:pPr>
      <w:r>
        <w:rPr>
          <w:bCs/>
          <w:color w:val="auto"/>
          <w:szCs w:val="21"/>
          <w:highlight w:val="none"/>
        </w:rPr>
        <w:t>致：</w:t>
      </w:r>
      <w:r>
        <w:rPr>
          <w:i/>
          <w:iCs/>
          <w:color w:val="auto"/>
          <w:szCs w:val="21"/>
          <w:highlight w:val="none"/>
          <w:u w:val="single"/>
        </w:rPr>
        <w:t>（采购人名称）</w:t>
      </w:r>
    </w:p>
    <w:p w14:paraId="3457079F">
      <w:pPr>
        <w:snapToGrid w:val="0"/>
        <w:spacing w:before="120" w:beforeLines="50" w:after="50" w:line="440" w:lineRule="exact"/>
        <w:ind w:firstLine="420" w:firstLineChars="200"/>
        <w:rPr>
          <w:color w:val="auto"/>
          <w:szCs w:val="21"/>
          <w:highlight w:val="none"/>
        </w:rPr>
      </w:pPr>
      <w:r>
        <w:rPr>
          <w:color w:val="auto"/>
          <w:szCs w:val="21"/>
          <w:highlight w:val="none"/>
        </w:rPr>
        <w:t>我</w:t>
      </w:r>
      <w:r>
        <w:rPr>
          <w:rFonts w:hint="eastAsia"/>
          <w:color w:val="auto"/>
          <w:szCs w:val="21"/>
          <w:highlight w:val="none"/>
        </w:rPr>
        <w:t xml:space="preserve"> </w:t>
      </w:r>
      <w:r>
        <w:rPr>
          <w:i/>
          <w:iCs/>
          <w:color w:val="auto"/>
          <w:szCs w:val="21"/>
          <w:highlight w:val="none"/>
          <w:u w:val="single"/>
        </w:rPr>
        <w:t>（姓名）</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系</w:t>
      </w:r>
      <w:r>
        <w:rPr>
          <w:i/>
          <w:iCs/>
          <w:color w:val="auto"/>
          <w:szCs w:val="21"/>
          <w:highlight w:val="none"/>
          <w:u w:val="single"/>
        </w:rPr>
        <w:t>（供应商名称）</w:t>
      </w:r>
      <w:r>
        <w:rPr>
          <w:color w:val="auto"/>
          <w:szCs w:val="21"/>
          <w:highlight w:val="none"/>
        </w:rPr>
        <w:t>的法定代表人，现授权委托本单位在职职工</w:t>
      </w:r>
      <w:r>
        <w:rPr>
          <w:i/>
          <w:iCs/>
          <w:color w:val="auto"/>
          <w:szCs w:val="21"/>
          <w:highlight w:val="none"/>
          <w:u w:val="single"/>
        </w:rPr>
        <w:t>（姓名）</w:t>
      </w:r>
      <w:r>
        <w:rPr>
          <w:color w:val="auto"/>
          <w:szCs w:val="21"/>
          <w:highlight w:val="none"/>
        </w:rPr>
        <w:t>以我方的名义参加</w:t>
      </w:r>
      <w:r>
        <w:rPr>
          <w:rFonts w:hint="eastAsia"/>
          <w:i/>
          <w:iCs/>
          <w:color w:val="auto"/>
          <w:szCs w:val="21"/>
          <w:highlight w:val="none"/>
          <w:u w:val="single"/>
        </w:rPr>
        <w:t>（项目名称 ）</w:t>
      </w:r>
      <w:r>
        <w:rPr>
          <w:color w:val="auto"/>
          <w:szCs w:val="21"/>
          <w:highlight w:val="none"/>
        </w:rPr>
        <w:t>项目的磋商活动，并代表我方全权办理针对上述项目的磋商、截标、评审、签约等具体事务和签署相关文件。</w:t>
      </w:r>
    </w:p>
    <w:p w14:paraId="0872C182">
      <w:pPr>
        <w:snapToGrid w:val="0"/>
        <w:spacing w:before="120" w:beforeLines="50" w:after="50" w:line="440" w:lineRule="exact"/>
        <w:rPr>
          <w:color w:val="auto"/>
          <w:szCs w:val="21"/>
          <w:highlight w:val="none"/>
        </w:rPr>
      </w:pPr>
      <w:r>
        <w:rPr>
          <w:color w:val="auto"/>
          <w:szCs w:val="21"/>
          <w:highlight w:val="none"/>
        </w:rPr>
        <w:t xml:space="preserve">    我方对被授权人的签名事项负全部责任。</w:t>
      </w:r>
    </w:p>
    <w:p w14:paraId="322AB82B">
      <w:pPr>
        <w:snapToGrid w:val="0"/>
        <w:spacing w:before="120" w:beforeLines="50" w:after="50" w:line="440" w:lineRule="exact"/>
        <w:ind w:firstLine="480"/>
        <w:rPr>
          <w:color w:val="auto"/>
          <w:szCs w:val="21"/>
          <w:highlight w:val="none"/>
        </w:rPr>
      </w:pPr>
      <w:r>
        <w:rPr>
          <w:color w:val="auto"/>
          <w:szCs w:val="21"/>
          <w:highlight w:val="none"/>
        </w:rPr>
        <w:t>在撤销授权的书面通知以前，本授权书一直有效。被授权人在授权书有效期内签署的所有文件不因授权的撤销而失效。</w:t>
      </w:r>
    </w:p>
    <w:p w14:paraId="1DD8F9AA">
      <w:pPr>
        <w:snapToGrid w:val="0"/>
        <w:spacing w:before="120" w:beforeLines="50" w:after="50" w:line="440" w:lineRule="exact"/>
        <w:ind w:firstLine="480"/>
        <w:rPr>
          <w:color w:val="auto"/>
          <w:szCs w:val="21"/>
          <w:highlight w:val="none"/>
        </w:rPr>
      </w:pPr>
      <w:r>
        <w:rPr>
          <w:color w:val="auto"/>
          <w:szCs w:val="21"/>
          <w:highlight w:val="none"/>
        </w:rPr>
        <w:t>被授权人无转委托权，特此委托。</w:t>
      </w:r>
    </w:p>
    <w:p w14:paraId="45CF6DAE">
      <w:pPr>
        <w:snapToGrid w:val="0"/>
        <w:spacing w:before="120" w:beforeLines="50" w:after="50" w:line="440" w:lineRule="exact"/>
        <w:rPr>
          <w:color w:val="auto"/>
          <w:szCs w:val="21"/>
          <w:highlight w:val="none"/>
          <w:u w:val="single"/>
        </w:rPr>
      </w:pPr>
      <w:r>
        <w:rPr>
          <w:color w:val="auto"/>
          <w:szCs w:val="21"/>
          <w:highlight w:val="none"/>
        </w:rPr>
        <w:t>被授权人签名或</w:t>
      </w:r>
      <w:r>
        <w:rPr>
          <w:rFonts w:hint="eastAsia"/>
          <w:color w:val="auto"/>
          <w:szCs w:val="21"/>
          <w:highlight w:val="none"/>
        </w:rPr>
        <w:t>签章</w:t>
      </w:r>
      <w:r>
        <w:rPr>
          <w:color w:val="auto"/>
          <w:szCs w:val="21"/>
          <w:highlight w:val="none"/>
        </w:rPr>
        <w:t>：</w:t>
      </w:r>
      <w:r>
        <w:rPr>
          <w:color w:val="auto"/>
          <w:szCs w:val="21"/>
          <w:highlight w:val="none"/>
          <w:u w:val="single"/>
        </w:rPr>
        <w:t xml:space="preserve">          </w:t>
      </w:r>
      <w:r>
        <w:rPr>
          <w:color w:val="auto"/>
          <w:szCs w:val="21"/>
          <w:highlight w:val="none"/>
        </w:rPr>
        <w:t xml:space="preserve">                     法定代表人签名或</w:t>
      </w:r>
      <w:r>
        <w:rPr>
          <w:rFonts w:hint="eastAsia"/>
          <w:color w:val="auto"/>
          <w:szCs w:val="21"/>
          <w:highlight w:val="none"/>
        </w:rPr>
        <w:t>签章</w:t>
      </w:r>
      <w:r>
        <w:rPr>
          <w:color w:val="auto"/>
          <w:szCs w:val="21"/>
          <w:highlight w:val="none"/>
        </w:rPr>
        <w:t>：</w:t>
      </w:r>
      <w:r>
        <w:rPr>
          <w:color w:val="auto"/>
          <w:szCs w:val="21"/>
          <w:highlight w:val="none"/>
          <w:u w:val="single"/>
        </w:rPr>
        <w:t xml:space="preserve">          </w:t>
      </w:r>
    </w:p>
    <w:p w14:paraId="2AE69BA8">
      <w:pPr>
        <w:snapToGrid w:val="0"/>
        <w:spacing w:before="120" w:beforeLines="50" w:after="50" w:line="440" w:lineRule="exact"/>
        <w:rPr>
          <w:color w:val="auto"/>
          <w:szCs w:val="21"/>
          <w:highlight w:val="none"/>
        </w:rPr>
      </w:pPr>
      <w:r>
        <w:rPr>
          <w:color w:val="auto"/>
          <w:szCs w:val="21"/>
          <w:highlight w:val="none"/>
        </w:rPr>
        <w:t>职务：</w:t>
      </w:r>
      <w:r>
        <w:rPr>
          <w:color w:val="auto"/>
          <w:szCs w:val="21"/>
          <w:highlight w:val="none"/>
          <w:u w:val="single"/>
        </w:rPr>
        <w:t xml:space="preserve">           </w:t>
      </w:r>
      <w:r>
        <w:rPr>
          <w:color w:val="auto"/>
          <w:szCs w:val="21"/>
          <w:highlight w:val="none"/>
        </w:rPr>
        <w:t xml:space="preserve"> </w:t>
      </w:r>
    </w:p>
    <w:p w14:paraId="25B7173A">
      <w:pPr>
        <w:snapToGrid w:val="0"/>
        <w:spacing w:before="120" w:beforeLines="50" w:after="50" w:line="440" w:lineRule="exact"/>
        <w:rPr>
          <w:color w:val="auto"/>
          <w:szCs w:val="21"/>
          <w:highlight w:val="none"/>
        </w:rPr>
      </w:pPr>
      <w:r>
        <w:rPr>
          <w:color w:val="auto"/>
          <w:szCs w:val="21"/>
          <w:highlight w:val="none"/>
        </w:rPr>
        <w:t>被授权人身份证号码：</w:t>
      </w:r>
      <w:r>
        <w:rPr>
          <w:color w:val="auto"/>
          <w:szCs w:val="21"/>
          <w:highlight w:val="none"/>
          <w:u w:val="single"/>
        </w:rPr>
        <w:t xml:space="preserve">                   </w:t>
      </w:r>
      <w:r>
        <w:rPr>
          <w:color w:val="auto"/>
          <w:szCs w:val="21"/>
          <w:highlight w:val="none"/>
        </w:rPr>
        <w:t xml:space="preserve">                                   职务：</w:t>
      </w:r>
      <w:r>
        <w:rPr>
          <w:color w:val="auto"/>
          <w:szCs w:val="21"/>
          <w:highlight w:val="none"/>
          <w:u w:val="single"/>
        </w:rPr>
        <w:t xml:space="preserve">           </w:t>
      </w:r>
    </w:p>
    <w:p w14:paraId="18C85FC0">
      <w:pPr>
        <w:snapToGrid w:val="0"/>
        <w:spacing w:before="120" w:beforeLines="50" w:after="50" w:line="440" w:lineRule="exact"/>
        <w:rPr>
          <w:color w:val="auto"/>
          <w:szCs w:val="21"/>
          <w:highlight w:val="none"/>
        </w:rPr>
      </w:pPr>
      <w:r>
        <w:rPr>
          <w:rFonts w:hint="eastAsia"/>
          <w:color w:val="auto"/>
          <w:szCs w:val="21"/>
          <w:highlight w:val="none"/>
        </w:rPr>
        <w:t>被授权人手机号码及邮箱</w:t>
      </w:r>
      <w:r>
        <w:rPr>
          <w:color w:val="auto"/>
          <w:szCs w:val="21"/>
          <w:highlight w:val="none"/>
        </w:rPr>
        <w:t>：</w:t>
      </w:r>
      <w:r>
        <w:rPr>
          <w:color w:val="auto"/>
          <w:szCs w:val="21"/>
          <w:highlight w:val="none"/>
          <w:u w:val="single"/>
        </w:rPr>
        <w:t xml:space="preserve">                   </w:t>
      </w:r>
      <w:r>
        <w:rPr>
          <w:color w:val="auto"/>
          <w:szCs w:val="21"/>
          <w:highlight w:val="none"/>
        </w:rPr>
        <w:t xml:space="preserve">            授权人身份证号码：</w:t>
      </w:r>
      <w:r>
        <w:rPr>
          <w:color w:val="auto"/>
          <w:szCs w:val="21"/>
          <w:highlight w:val="none"/>
          <w:u w:val="single"/>
        </w:rPr>
        <w:t xml:space="preserve">                 </w:t>
      </w:r>
    </w:p>
    <w:p w14:paraId="46884DBE">
      <w:pPr>
        <w:snapToGrid w:val="0"/>
        <w:spacing w:before="120" w:beforeLines="50" w:after="50" w:line="440" w:lineRule="exact"/>
        <w:rPr>
          <w:rFonts w:hint="eastAsia"/>
          <w:color w:val="auto"/>
          <w:szCs w:val="21"/>
          <w:highlight w:val="none"/>
        </w:rPr>
      </w:pPr>
      <w:r>
        <w:rPr>
          <w:color w:val="auto"/>
          <w:szCs w:val="21"/>
          <w:highlight w:val="none"/>
        </w:rPr>
        <w:t xml:space="preserve">                                </w:t>
      </w:r>
    </w:p>
    <w:p w14:paraId="0CE9F723">
      <w:pPr>
        <w:snapToGrid w:val="0"/>
        <w:spacing w:before="120" w:beforeLines="50" w:after="50" w:line="440" w:lineRule="exact"/>
        <w:ind w:firstLine="5670" w:firstLineChars="2700"/>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439F3785">
      <w:pPr>
        <w:snapToGrid w:val="0"/>
        <w:spacing w:before="120" w:beforeLines="50" w:after="50" w:line="440" w:lineRule="exact"/>
        <w:jc w:val="center"/>
        <w:rPr>
          <w:color w:val="auto"/>
          <w:szCs w:val="21"/>
          <w:highlight w:val="none"/>
        </w:rPr>
      </w:pPr>
      <w:r>
        <w:rPr>
          <w:color w:val="auto"/>
          <w:szCs w:val="21"/>
          <w:highlight w:val="none"/>
        </w:rPr>
        <w:t xml:space="preserve">                                        年    月    日</w:t>
      </w:r>
    </w:p>
    <w:p w14:paraId="31189FEA">
      <w:pPr>
        <w:spacing w:line="360" w:lineRule="auto"/>
        <w:rPr>
          <w:color w:val="auto"/>
          <w:szCs w:val="21"/>
          <w:highlight w:val="none"/>
        </w:rPr>
      </w:pPr>
      <w:r>
        <w:rPr>
          <w:color w:val="auto"/>
          <w:szCs w:val="21"/>
          <w:highlight w:val="none"/>
        </w:rPr>
        <w:t>附件：法定代表人身份证复印件及授权代表身份证复印件</w:t>
      </w:r>
    </w:p>
    <w:p w14:paraId="20A57318">
      <w:pPr>
        <w:jc w:val="center"/>
        <w:rPr>
          <w:bCs/>
          <w:color w:val="auto"/>
          <w:sz w:val="24"/>
          <w:highlight w:val="none"/>
        </w:rPr>
      </w:pPr>
      <w:r>
        <w:rPr>
          <w:color w:val="auto"/>
          <w:highlight w:val="none"/>
        </w:rPr>
        <w:br w:type="page"/>
      </w:r>
      <w:r>
        <w:rPr>
          <w:color w:val="auto"/>
          <w:highlight w:val="none"/>
        </w:rPr>
        <w:t>（本商务文件供应商可自行编写，也可参照下述提纲编写）</w:t>
      </w:r>
    </w:p>
    <w:p w14:paraId="5F523DAF">
      <w:pPr>
        <w:snapToGrid w:val="0"/>
        <w:spacing w:before="50" w:after="120" w:afterLines="50"/>
        <w:jc w:val="left"/>
        <w:rPr>
          <w:rFonts w:hint="eastAsia"/>
          <w:color w:val="auto"/>
          <w:szCs w:val="21"/>
          <w:highlight w:val="none"/>
        </w:rPr>
      </w:pPr>
    </w:p>
    <w:p w14:paraId="4AEDDDA2">
      <w:pPr>
        <w:rPr>
          <w:color w:val="auto"/>
          <w:szCs w:val="21"/>
          <w:highlight w:val="none"/>
        </w:rPr>
      </w:pPr>
      <w:r>
        <w:rPr>
          <w:rFonts w:hint="eastAsia"/>
          <w:color w:val="auto"/>
          <w:szCs w:val="21"/>
          <w:highlight w:val="none"/>
        </w:rPr>
        <w:t>1</w:t>
      </w:r>
      <w:r>
        <w:rPr>
          <w:color w:val="auto"/>
          <w:szCs w:val="21"/>
          <w:highlight w:val="none"/>
        </w:rPr>
        <w:t>．</w:t>
      </w:r>
      <w:r>
        <w:rPr>
          <w:rFonts w:hint="eastAsia"/>
          <w:color w:val="auto"/>
          <w:szCs w:val="21"/>
          <w:highlight w:val="none"/>
        </w:rPr>
        <w:t>对</w:t>
      </w:r>
      <w:r>
        <w:rPr>
          <w:color w:val="auto"/>
          <w:szCs w:val="21"/>
          <w:highlight w:val="none"/>
        </w:rPr>
        <w:t>本项目第</w:t>
      </w:r>
      <w:r>
        <w:rPr>
          <w:rFonts w:hint="eastAsia"/>
          <w:color w:val="auto"/>
          <w:szCs w:val="21"/>
          <w:highlight w:val="none"/>
        </w:rPr>
        <w:t>二</w:t>
      </w:r>
      <w:r>
        <w:rPr>
          <w:color w:val="auto"/>
          <w:szCs w:val="21"/>
          <w:highlight w:val="none"/>
        </w:rPr>
        <w:t>章</w:t>
      </w:r>
      <w:r>
        <w:rPr>
          <w:rFonts w:hint="eastAsia"/>
          <w:color w:val="auto"/>
          <w:szCs w:val="21"/>
          <w:highlight w:val="none"/>
        </w:rPr>
        <w:t>《</w:t>
      </w:r>
      <w:r>
        <w:rPr>
          <w:color w:val="auto"/>
          <w:szCs w:val="21"/>
          <w:highlight w:val="none"/>
        </w:rPr>
        <w:t>采购需求</w:t>
      </w:r>
      <w:r>
        <w:rPr>
          <w:rFonts w:hint="eastAsia"/>
          <w:color w:val="auto"/>
          <w:szCs w:val="21"/>
          <w:highlight w:val="none"/>
        </w:rPr>
        <w:t>》技术</w:t>
      </w:r>
      <w:r>
        <w:rPr>
          <w:color w:val="auto"/>
          <w:szCs w:val="21"/>
          <w:highlight w:val="none"/>
        </w:rPr>
        <w:t>要求的</w:t>
      </w:r>
      <w:r>
        <w:rPr>
          <w:rFonts w:hint="eastAsia"/>
          <w:color w:val="auto"/>
          <w:szCs w:val="21"/>
          <w:highlight w:val="none"/>
        </w:rPr>
        <w:t>响应表</w:t>
      </w:r>
      <w:r>
        <w:rPr>
          <w:color w:val="auto"/>
          <w:szCs w:val="21"/>
          <w:highlight w:val="none"/>
        </w:rPr>
        <w:t>：</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708BE5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75909491">
            <w:pPr>
              <w:keepNext w:val="0"/>
              <w:keepLines w:val="0"/>
              <w:suppressLineNumbers w:val="0"/>
              <w:snapToGrid w:val="0"/>
              <w:spacing w:before="120" w:beforeLines="50" w:beforeAutospacing="0" w:after="0" w:afterAutospacing="0"/>
              <w:ind w:left="0" w:right="0"/>
              <w:jc w:val="center"/>
              <w:rPr>
                <w:rFonts w:hint="default"/>
                <w:color w:val="auto"/>
                <w:szCs w:val="21"/>
                <w:highlight w:val="none"/>
              </w:rPr>
            </w:pPr>
            <w:r>
              <w:rPr>
                <w:rFonts w:hint="default"/>
                <w:color w:val="auto"/>
                <w:szCs w:val="21"/>
                <w:highlight w:val="none"/>
              </w:rPr>
              <w:t>序号</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10DE0290">
            <w:pPr>
              <w:keepNext w:val="0"/>
              <w:keepLines w:val="0"/>
              <w:suppressLineNumbers w:val="0"/>
              <w:snapToGrid w:val="0"/>
              <w:spacing w:before="120" w:beforeLines="50" w:beforeAutospacing="0" w:after="0" w:afterAutospacing="0"/>
              <w:ind w:left="0" w:right="0"/>
              <w:jc w:val="center"/>
              <w:rPr>
                <w:rFonts w:hint="default"/>
                <w:color w:val="auto"/>
                <w:szCs w:val="21"/>
                <w:highlight w:val="none"/>
              </w:rPr>
            </w:pPr>
            <w:r>
              <w:rPr>
                <w:rFonts w:hint="eastAsia"/>
                <w:color w:val="auto"/>
                <w:szCs w:val="21"/>
                <w:highlight w:val="none"/>
              </w:rPr>
              <w:t>采购文件</w:t>
            </w:r>
            <w:r>
              <w:rPr>
                <w:rFonts w:hint="default"/>
                <w:color w:val="auto"/>
                <w:szCs w:val="21"/>
                <w:highlight w:val="none"/>
              </w:rPr>
              <w:t>要求（注明章节及条款号）</w:t>
            </w:r>
          </w:p>
        </w:tc>
        <w:tc>
          <w:tcPr>
            <w:tcW w:w="3405" w:type="dxa"/>
            <w:tcBorders>
              <w:top w:val="single" w:color="auto" w:sz="4" w:space="0"/>
              <w:left w:val="single" w:color="auto" w:sz="4" w:space="0"/>
              <w:bottom w:val="single" w:color="auto" w:sz="4" w:space="0"/>
              <w:right w:val="single" w:color="auto" w:sz="4" w:space="0"/>
            </w:tcBorders>
            <w:noWrap w:val="0"/>
            <w:vAlign w:val="center"/>
          </w:tcPr>
          <w:p w14:paraId="35ED63F4">
            <w:pPr>
              <w:keepNext w:val="0"/>
              <w:keepLines w:val="0"/>
              <w:suppressLineNumbers w:val="0"/>
              <w:snapToGrid w:val="0"/>
              <w:spacing w:before="120" w:beforeLines="50" w:beforeAutospacing="0" w:after="0" w:afterAutospacing="0"/>
              <w:ind w:left="0" w:right="0"/>
              <w:jc w:val="center"/>
              <w:rPr>
                <w:rFonts w:hint="default"/>
                <w:color w:val="auto"/>
                <w:szCs w:val="21"/>
                <w:highlight w:val="none"/>
              </w:rPr>
            </w:pPr>
            <w:r>
              <w:rPr>
                <w:rFonts w:hint="eastAsia"/>
                <w:color w:val="auto"/>
                <w:szCs w:val="21"/>
                <w:highlight w:val="none"/>
              </w:rPr>
              <w:t>响应</w:t>
            </w:r>
            <w:r>
              <w:rPr>
                <w:rFonts w:hint="default"/>
                <w:color w:val="auto"/>
                <w:szCs w:val="21"/>
                <w:highlight w:val="none"/>
              </w:rPr>
              <w:t>文件响应内容</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48CDC890">
            <w:pPr>
              <w:keepNext w:val="0"/>
              <w:keepLines w:val="0"/>
              <w:suppressLineNumbers w:val="0"/>
              <w:snapToGrid w:val="0"/>
              <w:spacing w:before="120" w:beforeLines="50" w:beforeAutospacing="0" w:after="0" w:afterAutospacing="0"/>
              <w:ind w:left="0" w:right="0"/>
              <w:jc w:val="center"/>
              <w:rPr>
                <w:rFonts w:hint="default"/>
                <w:color w:val="auto"/>
                <w:szCs w:val="21"/>
                <w:highlight w:val="none"/>
              </w:rPr>
            </w:pPr>
            <w:r>
              <w:rPr>
                <w:rFonts w:hint="default"/>
                <w:color w:val="auto"/>
                <w:highlight w:val="none"/>
              </w:rPr>
              <w:t>偏离</w:t>
            </w:r>
            <w:r>
              <w:rPr>
                <w:rFonts w:hint="default"/>
                <w:color w:val="auto"/>
                <w:szCs w:val="21"/>
                <w:highlight w:val="none"/>
              </w:rPr>
              <w:t>说明</w:t>
            </w:r>
          </w:p>
        </w:tc>
      </w:tr>
      <w:tr w14:paraId="6BBED0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6BFA56EF">
            <w:pPr>
              <w:keepNext w:val="0"/>
              <w:keepLines w:val="0"/>
              <w:suppressLineNumbers w:val="0"/>
              <w:snapToGrid w:val="0"/>
              <w:spacing w:before="120" w:beforeLines="50" w:beforeAutospacing="0" w:after="0" w:afterAutospacing="0"/>
              <w:ind w:left="0" w:right="0"/>
              <w:jc w:val="center"/>
              <w:rPr>
                <w:rFonts w:hint="default"/>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731CE80E">
            <w:pPr>
              <w:keepNext w:val="0"/>
              <w:keepLines w:val="0"/>
              <w:suppressLineNumbers w:val="0"/>
              <w:snapToGrid w:val="0"/>
              <w:spacing w:before="120" w:beforeLines="50" w:beforeAutospacing="0" w:after="0" w:afterAutospacing="0"/>
              <w:ind w:left="0" w:right="0"/>
              <w:jc w:val="center"/>
              <w:rPr>
                <w:rFonts w:hint="default"/>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65C7B569">
            <w:pPr>
              <w:keepNext w:val="0"/>
              <w:keepLines w:val="0"/>
              <w:suppressLineNumbers w:val="0"/>
              <w:snapToGrid w:val="0"/>
              <w:spacing w:before="120" w:beforeLines="50" w:beforeAutospacing="0" w:after="0" w:afterAutospacing="0"/>
              <w:ind w:left="0" w:right="0"/>
              <w:jc w:val="center"/>
              <w:rPr>
                <w:rFonts w:hint="default"/>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7562ED52">
            <w:pPr>
              <w:keepNext w:val="0"/>
              <w:keepLines w:val="0"/>
              <w:suppressLineNumbers w:val="0"/>
              <w:snapToGrid w:val="0"/>
              <w:spacing w:before="120" w:beforeLines="50" w:beforeAutospacing="0" w:after="0" w:afterAutospacing="0"/>
              <w:ind w:left="0" w:right="0"/>
              <w:jc w:val="center"/>
              <w:rPr>
                <w:rFonts w:hint="default"/>
                <w:color w:val="auto"/>
                <w:szCs w:val="21"/>
                <w:highlight w:val="none"/>
              </w:rPr>
            </w:pPr>
          </w:p>
        </w:tc>
      </w:tr>
      <w:tr w14:paraId="634CBB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54B4C6B1">
            <w:pPr>
              <w:keepNext w:val="0"/>
              <w:keepLines w:val="0"/>
              <w:suppressLineNumbers w:val="0"/>
              <w:snapToGrid w:val="0"/>
              <w:spacing w:before="120" w:beforeLines="50" w:beforeAutospacing="0" w:after="0" w:afterAutospacing="0"/>
              <w:ind w:left="0" w:right="0"/>
              <w:jc w:val="center"/>
              <w:rPr>
                <w:rFonts w:hint="default"/>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3D3F5AD5">
            <w:pPr>
              <w:keepNext w:val="0"/>
              <w:keepLines w:val="0"/>
              <w:suppressLineNumbers w:val="0"/>
              <w:snapToGrid w:val="0"/>
              <w:spacing w:before="120" w:beforeLines="50" w:beforeAutospacing="0" w:after="0" w:afterAutospacing="0"/>
              <w:ind w:left="0" w:right="0"/>
              <w:jc w:val="center"/>
              <w:rPr>
                <w:rFonts w:hint="default"/>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6446FC7E">
            <w:pPr>
              <w:keepNext w:val="0"/>
              <w:keepLines w:val="0"/>
              <w:suppressLineNumbers w:val="0"/>
              <w:snapToGrid w:val="0"/>
              <w:spacing w:before="120" w:beforeLines="50" w:beforeAutospacing="0" w:after="0" w:afterAutospacing="0"/>
              <w:ind w:left="0" w:right="0"/>
              <w:jc w:val="center"/>
              <w:rPr>
                <w:rFonts w:hint="default"/>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1EFA0C3B">
            <w:pPr>
              <w:keepNext w:val="0"/>
              <w:keepLines w:val="0"/>
              <w:suppressLineNumbers w:val="0"/>
              <w:snapToGrid w:val="0"/>
              <w:spacing w:before="120" w:beforeLines="50" w:beforeAutospacing="0" w:after="0" w:afterAutospacing="0"/>
              <w:ind w:left="0" w:right="0"/>
              <w:jc w:val="center"/>
              <w:rPr>
                <w:rFonts w:hint="default"/>
                <w:color w:val="auto"/>
                <w:szCs w:val="21"/>
                <w:highlight w:val="none"/>
              </w:rPr>
            </w:pPr>
          </w:p>
        </w:tc>
      </w:tr>
      <w:tr w14:paraId="657BA7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50ED7E73">
            <w:pPr>
              <w:keepNext w:val="0"/>
              <w:keepLines w:val="0"/>
              <w:suppressLineNumbers w:val="0"/>
              <w:snapToGrid w:val="0"/>
              <w:spacing w:before="120" w:beforeLines="50" w:beforeAutospacing="0" w:after="0" w:afterAutospacing="0"/>
              <w:ind w:left="0" w:right="0"/>
              <w:jc w:val="center"/>
              <w:rPr>
                <w:rFonts w:hint="default"/>
                <w:color w:val="auto"/>
                <w:szCs w:val="21"/>
                <w:highlight w:val="none"/>
              </w:rPr>
            </w:pPr>
            <w:r>
              <w:rPr>
                <w:rFonts w:hint="default"/>
                <w:color w:val="auto"/>
                <w:szCs w:val="21"/>
                <w:highlight w:val="none"/>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501C8A52">
            <w:pPr>
              <w:keepNext w:val="0"/>
              <w:keepLines w:val="0"/>
              <w:suppressLineNumbers w:val="0"/>
              <w:snapToGrid w:val="0"/>
              <w:spacing w:before="120" w:beforeLines="50" w:beforeAutospacing="0" w:after="0" w:afterAutospacing="0"/>
              <w:ind w:left="0" w:right="0"/>
              <w:jc w:val="center"/>
              <w:rPr>
                <w:rFonts w:hint="default"/>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6603CDD5">
            <w:pPr>
              <w:keepNext w:val="0"/>
              <w:keepLines w:val="0"/>
              <w:suppressLineNumbers w:val="0"/>
              <w:snapToGrid w:val="0"/>
              <w:spacing w:before="120" w:beforeLines="50" w:beforeAutospacing="0" w:after="0" w:afterAutospacing="0"/>
              <w:ind w:left="0" w:right="0"/>
              <w:jc w:val="center"/>
              <w:rPr>
                <w:rFonts w:hint="default"/>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18068736">
            <w:pPr>
              <w:keepNext w:val="0"/>
              <w:keepLines w:val="0"/>
              <w:suppressLineNumbers w:val="0"/>
              <w:snapToGrid w:val="0"/>
              <w:spacing w:before="120" w:beforeLines="50" w:beforeAutospacing="0" w:after="0" w:afterAutospacing="0"/>
              <w:ind w:left="0" w:right="0"/>
              <w:jc w:val="center"/>
              <w:rPr>
                <w:rFonts w:hint="default"/>
                <w:color w:val="auto"/>
                <w:szCs w:val="21"/>
                <w:highlight w:val="none"/>
              </w:rPr>
            </w:pPr>
          </w:p>
        </w:tc>
      </w:tr>
      <w:tr w14:paraId="67F162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20F6FC6E">
            <w:pPr>
              <w:keepNext w:val="0"/>
              <w:keepLines w:val="0"/>
              <w:suppressLineNumbers w:val="0"/>
              <w:snapToGrid w:val="0"/>
              <w:spacing w:before="120" w:beforeLines="50" w:beforeAutospacing="0" w:after="0" w:afterAutospacing="0"/>
              <w:ind w:left="0" w:right="0"/>
              <w:jc w:val="center"/>
              <w:rPr>
                <w:rFonts w:hint="default"/>
                <w:color w:val="auto"/>
                <w:szCs w:val="21"/>
                <w:highlight w:val="none"/>
              </w:rPr>
            </w:pPr>
            <w:r>
              <w:rPr>
                <w:rFonts w:hint="default"/>
                <w:color w:val="auto"/>
                <w:szCs w:val="21"/>
                <w:highlight w:val="none"/>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4ED63B1D">
            <w:pPr>
              <w:keepNext w:val="0"/>
              <w:keepLines w:val="0"/>
              <w:suppressLineNumbers w:val="0"/>
              <w:snapToGrid w:val="0"/>
              <w:spacing w:before="120" w:beforeLines="50" w:beforeAutospacing="0" w:after="0" w:afterAutospacing="0"/>
              <w:ind w:left="0" w:right="0"/>
              <w:jc w:val="center"/>
              <w:rPr>
                <w:rFonts w:hint="default"/>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03F70B1D">
            <w:pPr>
              <w:keepNext w:val="0"/>
              <w:keepLines w:val="0"/>
              <w:suppressLineNumbers w:val="0"/>
              <w:snapToGrid w:val="0"/>
              <w:spacing w:before="120" w:beforeLines="50" w:beforeAutospacing="0" w:after="0" w:afterAutospacing="0"/>
              <w:ind w:left="0" w:right="0"/>
              <w:jc w:val="center"/>
              <w:rPr>
                <w:rFonts w:hint="default"/>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37D7230D">
            <w:pPr>
              <w:keepNext w:val="0"/>
              <w:keepLines w:val="0"/>
              <w:suppressLineNumbers w:val="0"/>
              <w:snapToGrid w:val="0"/>
              <w:spacing w:before="120" w:beforeLines="50" w:beforeAutospacing="0" w:after="0" w:afterAutospacing="0"/>
              <w:ind w:left="0" w:right="0"/>
              <w:jc w:val="center"/>
              <w:rPr>
                <w:rFonts w:hint="default"/>
                <w:color w:val="auto"/>
                <w:szCs w:val="21"/>
                <w:highlight w:val="none"/>
              </w:rPr>
            </w:pPr>
          </w:p>
        </w:tc>
      </w:tr>
    </w:tbl>
    <w:p w14:paraId="0CFE391B">
      <w:pPr>
        <w:rPr>
          <w:color w:val="auto"/>
          <w:szCs w:val="21"/>
          <w:highlight w:val="none"/>
        </w:rPr>
      </w:pPr>
    </w:p>
    <w:p w14:paraId="04104541">
      <w:pPr>
        <w:pStyle w:val="26"/>
        <w:tabs>
          <w:tab w:val="left" w:pos="2127"/>
        </w:tabs>
        <w:spacing w:line="340" w:lineRule="exact"/>
        <w:jc w:val="left"/>
        <w:rPr>
          <w:rFonts w:ascii="Times New Roman" w:hAnsi="Times New Roman" w:cs="Times New Roman"/>
          <w:color w:val="auto"/>
          <w:highlight w:val="none"/>
        </w:rPr>
      </w:pPr>
      <w:r>
        <w:rPr>
          <w:color w:val="auto"/>
          <w:highlight w:val="none"/>
        </w:rPr>
        <w:t>注：（1）</w:t>
      </w:r>
      <w:r>
        <w:rPr>
          <w:rFonts w:ascii="Times New Roman" w:hAnsi="Times New Roman" w:cs="Times New Roman"/>
          <w:color w:val="auto"/>
          <w:highlight w:val="none"/>
        </w:rPr>
        <w:t>本表应对采购文件</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ascii="Times New Roman" w:hAnsi="Times New Roman" w:cs="Times New Roman"/>
          <w:color w:val="auto"/>
          <w:highlight w:val="none"/>
        </w:rPr>
        <w:t>中所列</w:t>
      </w:r>
      <w:r>
        <w:rPr>
          <w:rFonts w:hint="eastAsia" w:ascii="Times New Roman" w:hAnsi="Times New Roman" w:cs="Times New Roman"/>
          <w:color w:val="auto"/>
          <w:highlight w:val="none"/>
        </w:rPr>
        <w:t>技术</w:t>
      </w:r>
      <w:r>
        <w:rPr>
          <w:rFonts w:ascii="Times New Roman" w:hAnsi="Times New Roman" w:cs="Times New Roman"/>
          <w:color w:val="auto"/>
          <w:highlight w:val="none"/>
        </w:rPr>
        <w:t>要求进行响应，并根据响应情况在“偏离说明”栏填写正偏离或负偏离及原因，完全符合的填写</w:t>
      </w:r>
      <w:r>
        <w:rPr>
          <w:rFonts w:hint="eastAsia" w:ascii="Times New Roman" w:hAnsi="Times New Roman" w:cs="Times New Roman"/>
          <w:color w:val="auto"/>
          <w:highlight w:val="none"/>
        </w:rPr>
        <w:t>“</w:t>
      </w:r>
      <w:r>
        <w:rPr>
          <w:rFonts w:ascii="Times New Roman" w:hAnsi="Times New Roman" w:cs="Times New Roman"/>
          <w:color w:val="auto"/>
          <w:highlight w:val="none"/>
        </w:rPr>
        <w:t>无偏离</w:t>
      </w:r>
      <w:r>
        <w:rPr>
          <w:rFonts w:hint="eastAsia" w:ascii="Times New Roman" w:hAnsi="Times New Roman" w:cs="Times New Roman"/>
          <w:color w:val="auto"/>
          <w:highlight w:val="none"/>
        </w:rPr>
        <w:t>”</w:t>
      </w:r>
      <w:r>
        <w:rPr>
          <w:rFonts w:ascii="Times New Roman" w:hAnsi="Times New Roman" w:cs="Times New Roman"/>
          <w:color w:val="auto"/>
          <w:highlight w:val="none"/>
        </w:rPr>
        <w:t>。</w:t>
      </w:r>
    </w:p>
    <w:p w14:paraId="25844EFF">
      <w:pPr>
        <w:rPr>
          <w:color w:val="auto"/>
          <w:highlight w:val="none"/>
        </w:rPr>
      </w:pPr>
      <w:r>
        <w:rPr>
          <w:rFonts w:hint="eastAsia"/>
          <w:color w:val="auto"/>
          <w:highlight w:val="none"/>
        </w:rPr>
        <w:t>（2）</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《采购需求》中的总体要求无需响应。</w:t>
      </w:r>
    </w:p>
    <w:p w14:paraId="1D1A2EB8">
      <w:pPr>
        <w:rPr>
          <w:color w:val="auto"/>
          <w:highlight w:val="none"/>
        </w:rPr>
      </w:pPr>
      <w:r>
        <w:rPr>
          <w:rFonts w:hint="eastAsia"/>
          <w:color w:val="auto"/>
          <w:highlight w:val="none"/>
        </w:rPr>
        <w:t>（</w:t>
      </w:r>
      <w:r>
        <w:rPr>
          <w:color w:val="auto"/>
          <w:highlight w:val="none"/>
        </w:rPr>
        <w:t>3</w:t>
      </w:r>
      <w:r>
        <w:rPr>
          <w:rFonts w:hint="eastAsia"/>
          <w:color w:val="auto"/>
          <w:highlight w:val="none"/>
        </w:rPr>
        <w:t>）偏离认定说明详见评审方法及标准。</w:t>
      </w:r>
    </w:p>
    <w:p w14:paraId="20B3FA2A">
      <w:pPr>
        <w:rPr>
          <w:color w:val="auto"/>
          <w:highlight w:val="none"/>
        </w:rPr>
      </w:pPr>
      <w:r>
        <w:rPr>
          <w:color w:val="auto"/>
          <w:highlight w:val="none"/>
        </w:rPr>
        <w:t>（4）本表可扩展。</w:t>
      </w:r>
    </w:p>
    <w:p w14:paraId="4BFBC09A">
      <w:pPr>
        <w:rPr>
          <w:color w:val="auto"/>
          <w:szCs w:val="21"/>
          <w:highlight w:val="none"/>
        </w:rPr>
      </w:pPr>
    </w:p>
    <w:p w14:paraId="58D55348">
      <w:pPr>
        <w:rPr>
          <w:color w:val="auto"/>
          <w:spacing w:val="20"/>
          <w:szCs w:val="21"/>
          <w:highlight w:val="none"/>
          <w:u w:val="single"/>
        </w:rPr>
      </w:pPr>
    </w:p>
    <w:p w14:paraId="7D0CC9D0">
      <w:pPr>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p w14:paraId="033D6D8A">
      <w:pPr>
        <w:rPr>
          <w:color w:val="auto"/>
          <w:spacing w:val="20"/>
          <w:szCs w:val="21"/>
          <w:highlight w:val="none"/>
          <w:u w:val="single"/>
        </w:rPr>
      </w:pPr>
    </w:p>
    <w:p w14:paraId="1CEC1613">
      <w:pPr>
        <w:rPr>
          <w:color w:val="auto"/>
          <w:spacing w:val="20"/>
          <w:szCs w:val="21"/>
          <w:highlight w:val="none"/>
          <w:u w:val="single"/>
        </w:rPr>
      </w:pPr>
    </w:p>
    <w:p w14:paraId="251BB42B">
      <w:pPr>
        <w:rPr>
          <w:rFonts w:hint="eastAsia"/>
          <w:color w:val="auto"/>
          <w:szCs w:val="21"/>
          <w:highlight w:val="none"/>
        </w:rPr>
      </w:pPr>
    </w:p>
    <w:p w14:paraId="7D008F58">
      <w:pPr>
        <w:snapToGrid w:val="0"/>
        <w:spacing w:before="50" w:after="120" w:afterLines="50"/>
        <w:jc w:val="left"/>
        <w:rPr>
          <w:rFonts w:hint="eastAsia"/>
          <w:color w:val="auto"/>
          <w:szCs w:val="21"/>
          <w:highlight w:val="none"/>
        </w:rPr>
      </w:pPr>
    </w:p>
    <w:p w14:paraId="5DFDCC10">
      <w:pPr>
        <w:snapToGrid w:val="0"/>
        <w:spacing w:before="50" w:after="120" w:afterLines="50"/>
        <w:jc w:val="left"/>
        <w:rPr>
          <w:rFonts w:hint="eastAsia"/>
          <w:color w:val="auto"/>
          <w:szCs w:val="21"/>
          <w:highlight w:val="none"/>
          <w:lang w:val="en-US" w:eastAsia="zh-CN"/>
        </w:rPr>
      </w:pPr>
      <w:r>
        <w:rPr>
          <w:color w:val="auto"/>
          <w:szCs w:val="21"/>
          <w:highlight w:val="none"/>
        </w:rPr>
        <w:t>2．</w:t>
      </w:r>
      <w:r>
        <w:rPr>
          <w:rFonts w:hint="eastAsia"/>
          <w:color w:val="auto"/>
          <w:szCs w:val="21"/>
          <w:highlight w:val="none"/>
          <w:lang w:val="en-US" w:eastAsia="zh-CN"/>
        </w:rPr>
        <w:t>技术服务方案（根据本项目第二章“采购需求”及第四章“评审方法及标准”相关内容进行编写，格式自拟。）</w:t>
      </w:r>
    </w:p>
    <w:p w14:paraId="26ACF0A2">
      <w:pPr>
        <w:snapToGrid w:val="0"/>
        <w:spacing w:before="50" w:after="120" w:afterLines="50"/>
        <w:jc w:val="left"/>
        <w:rPr>
          <w:rFonts w:hint="eastAsia"/>
          <w:color w:val="auto"/>
          <w:szCs w:val="21"/>
          <w:highlight w:val="none"/>
        </w:rPr>
      </w:pPr>
    </w:p>
    <w:p w14:paraId="725F2B6B">
      <w:pPr>
        <w:snapToGrid w:val="0"/>
        <w:spacing w:before="50" w:after="120" w:afterLines="50"/>
        <w:jc w:val="left"/>
        <w:rPr>
          <w:rFonts w:hint="eastAsia"/>
          <w:color w:val="auto"/>
          <w:szCs w:val="21"/>
          <w:highlight w:val="none"/>
        </w:rPr>
      </w:pPr>
      <w:r>
        <w:rPr>
          <w:color w:val="auto"/>
          <w:szCs w:val="21"/>
          <w:highlight w:val="none"/>
        </w:rPr>
        <w:t>3．</w:t>
      </w:r>
      <w:r>
        <w:rPr>
          <w:rFonts w:hint="eastAsia"/>
          <w:color w:val="auto"/>
          <w:szCs w:val="21"/>
          <w:highlight w:val="none"/>
          <w:lang w:val="en-US" w:eastAsia="zh-CN"/>
        </w:rPr>
        <w:t>售后</w:t>
      </w:r>
      <w:r>
        <w:rPr>
          <w:color w:val="auto"/>
          <w:szCs w:val="21"/>
          <w:highlight w:val="none"/>
        </w:rPr>
        <w:t>服务方案（</w:t>
      </w:r>
      <w:r>
        <w:rPr>
          <w:rFonts w:hint="eastAsia"/>
          <w:color w:val="auto"/>
          <w:szCs w:val="21"/>
          <w:highlight w:val="none"/>
          <w:lang w:val="en-US" w:eastAsia="zh-CN"/>
        </w:rPr>
        <w:t>根据本项目第二章“采购需求”及第四章“评审方法及标准”相关内容进行编写，格式自拟。</w:t>
      </w:r>
      <w:r>
        <w:rPr>
          <w:color w:val="auto"/>
          <w:szCs w:val="21"/>
          <w:highlight w:val="none"/>
        </w:rPr>
        <w:t>）</w:t>
      </w:r>
    </w:p>
    <w:p w14:paraId="123A82BD">
      <w:pPr>
        <w:snapToGrid w:val="0"/>
        <w:spacing w:before="50" w:after="120" w:afterLines="50"/>
        <w:jc w:val="left"/>
        <w:rPr>
          <w:color w:val="auto"/>
          <w:szCs w:val="21"/>
          <w:highlight w:val="none"/>
        </w:rPr>
      </w:pPr>
    </w:p>
    <w:p w14:paraId="7616F32C">
      <w:pPr>
        <w:snapToGrid w:val="0"/>
        <w:spacing w:before="50" w:after="120" w:afterLines="50"/>
        <w:jc w:val="left"/>
        <w:rPr>
          <w:color w:val="auto"/>
          <w:szCs w:val="21"/>
          <w:highlight w:val="none"/>
        </w:rPr>
      </w:pPr>
    </w:p>
    <w:p w14:paraId="161906C7">
      <w:pPr>
        <w:snapToGrid w:val="0"/>
        <w:spacing w:before="50" w:after="120" w:afterLines="50"/>
        <w:jc w:val="left"/>
        <w:rPr>
          <w:color w:val="auto"/>
          <w:szCs w:val="21"/>
          <w:highlight w:val="none"/>
        </w:rPr>
      </w:pPr>
      <w:r>
        <w:rPr>
          <w:color w:val="auto"/>
          <w:szCs w:val="21"/>
          <w:highlight w:val="none"/>
        </w:rPr>
        <w:t>4．项目拟投入服务团队人员结构表（包括但不限于学历、证书情况、职称、年龄等）</w:t>
      </w:r>
    </w:p>
    <w:p w14:paraId="7B2A5B2E">
      <w:pPr>
        <w:snapToGrid w:val="0"/>
        <w:spacing w:before="120" w:beforeLines="50" w:after="50" w:line="400" w:lineRule="exact"/>
        <w:jc w:val="center"/>
        <w:rPr>
          <w:color w:val="auto"/>
          <w:szCs w:val="21"/>
          <w:highlight w:val="none"/>
        </w:rPr>
      </w:pPr>
      <w:r>
        <w:rPr>
          <w:color w:val="auto"/>
          <w:szCs w:val="21"/>
          <w:highlight w:val="none"/>
        </w:rPr>
        <w:t>项目拟投入服务团队人员（含项目负责人）一览表</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31"/>
        <w:gridCol w:w="1260"/>
        <w:gridCol w:w="1440"/>
        <w:gridCol w:w="1516"/>
        <w:gridCol w:w="1620"/>
        <w:gridCol w:w="1980"/>
      </w:tblGrid>
      <w:tr w14:paraId="49E898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vAlign w:val="center"/>
          </w:tcPr>
          <w:p w14:paraId="53505E74">
            <w:pPr>
              <w:keepNext w:val="0"/>
              <w:keepLines w:val="0"/>
              <w:suppressLineNumbers w:val="0"/>
              <w:snapToGrid w:val="0"/>
              <w:spacing w:before="120" w:beforeLines="50" w:beforeAutospacing="0" w:after="50" w:afterAutospacing="0"/>
              <w:ind w:left="0" w:right="0"/>
              <w:jc w:val="center"/>
              <w:rPr>
                <w:rFonts w:hint="default"/>
                <w:color w:val="auto"/>
                <w:szCs w:val="21"/>
                <w:highlight w:val="none"/>
              </w:rPr>
            </w:pPr>
            <w:r>
              <w:rPr>
                <w:rFonts w:hint="default"/>
                <w:color w:val="auto"/>
                <w:szCs w:val="21"/>
                <w:highlight w:val="none"/>
              </w:rPr>
              <w:t>姓名</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31DAB64">
            <w:pPr>
              <w:keepNext w:val="0"/>
              <w:keepLines w:val="0"/>
              <w:suppressLineNumbers w:val="0"/>
              <w:snapToGrid w:val="0"/>
              <w:spacing w:before="120" w:beforeLines="50" w:beforeAutospacing="0" w:after="50" w:afterAutospacing="0"/>
              <w:ind w:left="0" w:right="0"/>
              <w:jc w:val="center"/>
              <w:rPr>
                <w:rFonts w:hint="default"/>
                <w:color w:val="auto"/>
                <w:szCs w:val="21"/>
                <w:highlight w:val="none"/>
              </w:rPr>
            </w:pPr>
            <w:r>
              <w:rPr>
                <w:rFonts w:hint="default"/>
                <w:color w:val="auto"/>
                <w:szCs w:val="21"/>
                <w:highlight w:val="none"/>
              </w:rPr>
              <w:t>职务</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11F5DE1">
            <w:pPr>
              <w:keepNext w:val="0"/>
              <w:keepLines w:val="0"/>
              <w:suppressLineNumbers w:val="0"/>
              <w:snapToGrid w:val="0"/>
              <w:spacing w:before="120" w:beforeLines="50" w:beforeAutospacing="0" w:after="50" w:afterAutospacing="0"/>
              <w:ind w:left="0" w:right="0"/>
              <w:jc w:val="center"/>
              <w:rPr>
                <w:rFonts w:hint="default"/>
                <w:color w:val="auto"/>
                <w:szCs w:val="21"/>
                <w:highlight w:val="none"/>
              </w:rPr>
            </w:pPr>
            <w:r>
              <w:rPr>
                <w:rFonts w:hint="default"/>
                <w:color w:val="auto"/>
                <w:szCs w:val="21"/>
                <w:highlight w:val="none"/>
              </w:rPr>
              <w:t>分配岗位</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1D2D7664">
            <w:pPr>
              <w:keepNext w:val="0"/>
              <w:keepLines w:val="0"/>
              <w:suppressLineNumbers w:val="0"/>
              <w:snapToGrid w:val="0"/>
              <w:spacing w:before="120" w:beforeLines="50" w:beforeAutospacing="0" w:after="50" w:afterAutospacing="0"/>
              <w:ind w:left="0" w:right="0"/>
              <w:jc w:val="center"/>
              <w:rPr>
                <w:rFonts w:hint="default"/>
                <w:color w:val="auto"/>
                <w:szCs w:val="21"/>
                <w:highlight w:val="none"/>
              </w:rPr>
            </w:pPr>
            <w:r>
              <w:rPr>
                <w:rFonts w:hint="default"/>
                <w:color w:val="auto"/>
                <w:szCs w:val="21"/>
                <w:highlight w:val="none"/>
              </w:rPr>
              <w:t>持证情况</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22F6FFD">
            <w:pPr>
              <w:keepNext w:val="0"/>
              <w:keepLines w:val="0"/>
              <w:suppressLineNumbers w:val="0"/>
              <w:snapToGrid w:val="0"/>
              <w:spacing w:before="120" w:beforeLines="50" w:beforeAutospacing="0" w:after="50" w:afterAutospacing="0"/>
              <w:ind w:left="0" w:right="0"/>
              <w:jc w:val="center"/>
              <w:rPr>
                <w:rFonts w:hint="default"/>
                <w:color w:val="auto"/>
                <w:szCs w:val="21"/>
                <w:highlight w:val="none"/>
              </w:rPr>
            </w:pPr>
            <w:r>
              <w:rPr>
                <w:rFonts w:hint="default"/>
                <w:color w:val="auto"/>
                <w:szCs w:val="21"/>
                <w:highlight w:val="none"/>
              </w:rPr>
              <w:t>年龄</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5775872D">
            <w:pPr>
              <w:keepNext w:val="0"/>
              <w:keepLines w:val="0"/>
              <w:suppressLineNumbers w:val="0"/>
              <w:snapToGrid w:val="0"/>
              <w:spacing w:before="120" w:beforeLines="50" w:beforeAutospacing="0" w:after="50" w:afterAutospacing="0"/>
              <w:ind w:left="0" w:right="0"/>
              <w:jc w:val="center"/>
              <w:rPr>
                <w:rFonts w:hint="default"/>
                <w:bCs/>
                <w:color w:val="auto"/>
                <w:szCs w:val="21"/>
                <w:highlight w:val="none"/>
              </w:rPr>
            </w:pPr>
            <w:r>
              <w:rPr>
                <w:rFonts w:hint="default"/>
                <w:bCs/>
                <w:color w:val="auto"/>
                <w:szCs w:val="21"/>
                <w:highlight w:val="none"/>
              </w:rPr>
              <w:t>劳动合同编号</w:t>
            </w:r>
          </w:p>
        </w:tc>
      </w:tr>
      <w:tr w14:paraId="3EF8C5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vAlign w:val="top"/>
          </w:tcPr>
          <w:p w14:paraId="61BA2503">
            <w:pPr>
              <w:keepNext w:val="0"/>
              <w:keepLines w:val="0"/>
              <w:suppressLineNumbers w:val="0"/>
              <w:snapToGrid w:val="0"/>
              <w:spacing w:before="120" w:beforeLines="50" w:beforeAutospacing="0" w:after="50" w:afterAutospacing="0"/>
              <w:ind w:left="0" w:right="0"/>
              <w:rPr>
                <w:rFonts w:hint="default"/>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53E64422">
            <w:pPr>
              <w:keepNext w:val="0"/>
              <w:keepLines w:val="0"/>
              <w:suppressLineNumbers w:val="0"/>
              <w:snapToGrid w:val="0"/>
              <w:spacing w:before="120" w:beforeLines="50" w:beforeAutospacing="0" w:after="50" w:afterAutospacing="0"/>
              <w:ind w:left="0" w:right="0"/>
              <w:rPr>
                <w:rFonts w:hint="default"/>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4CAFAF48">
            <w:pPr>
              <w:keepNext w:val="0"/>
              <w:keepLines w:val="0"/>
              <w:suppressLineNumbers w:val="0"/>
              <w:snapToGrid w:val="0"/>
              <w:spacing w:before="120" w:beforeLines="50" w:beforeAutospacing="0" w:after="50" w:afterAutospacing="0"/>
              <w:ind w:left="0" w:right="0"/>
              <w:rPr>
                <w:rFonts w:hint="default"/>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330AB12E">
            <w:pPr>
              <w:keepNext w:val="0"/>
              <w:keepLines w:val="0"/>
              <w:suppressLineNumbers w:val="0"/>
              <w:snapToGrid w:val="0"/>
              <w:spacing w:before="120" w:beforeLines="50" w:beforeAutospacing="0" w:after="50" w:afterAutospacing="0"/>
              <w:ind w:left="0" w:right="0"/>
              <w:rPr>
                <w:rFonts w:hint="default"/>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2772835F">
            <w:pPr>
              <w:keepNext w:val="0"/>
              <w:keepLines w:val="0"/>
              <w:suppressLineNumbers w:val="0"/>
              <w:snapToGrid w:val="0"/>
              <w:spacing w:before="120" w:beforeLines="50" w:beforeAutospacing="0" w:after="50" w:afterAutospacing="0"/>
              <w:ind w:left="0" w:right="0"/>
              <w:rPr>
                <w:rFonts w:hint="default"/>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26A77BA0">
            <w:pPr>
              <w:keepNext w:val="0"/>
              <w:keepLines w:val="0"/>
              <w:suppressLineNumbers w:val="0"/>
              <w:snapToGrid w:val="0"/>
              <w:spacing w:before="120" w:beforeLines="50" w:beforeAutospacing="0" w:after="50" w:afterAutospacing="0"/>
              <w:ind w:left="0" w:right="0"/>
              <w:rPr>
                <w:rFonts w:hint="default"/>
                <w:color w:val="auto"/>
                <w:szCs w:val="21"/>
                <w:highlight w:val="none"/>
              </w:rPr>
            </w:pPr>
          </w:p>
        </w:tc>
      </w:tr>
      <w:tr w14:paraId="708879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vAlign w:val="top"/>
          </w:tcPr>
          <w:p w14:paraId="484B2531">
            <w:pPr>
              <w:keepNext w:val="0"/>
              <w:keepLines w:val="0"/>
              <w:suppressLineNumbers w:val="0"/>
              <w:snapToGrid w:val="0"/>
              <w:spacing w:before="120" w:beforeLines="50" w:beforeAutospacing="0" w:after="50" w:afterAutospacing="0"/>
              <w:ind w:left="0" w:right="0"/>
              <w:rPr>
                <w:rFonts w:hint="default"/>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6CDBBCD6">
            <w:pPr>
              <w:keepNext w:val="0"/>
              <w:keepLines w:val="0"/>
              <w:suppressLineNumbers w:val="0"/>
              <w:snapToGrid w:val="0"/>
              <w:spacing w:before="120" w:beforeLines="50" w:beforeAutospacing="0" w:after="50" w:afterAutospacing="0"/>
              <w:ind w:left="0" w:right="0"/>
              <w:rPr>
                <w:rFonts w:hint="default"/>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407F9775">
            <w:pPr>
              <w:keepNext w:val="0"/>
              <w:keepLines w:val="0"/>
              <w:suppressLineNumbers w:val="0"/>
              <w:snapToGrid w:val="0"/>
              <w:spacing w:before="120" w:beforeLines="50" w:beforeAutospacing="0" w:after="50" w:afterAutospacing="0"/>
              <w:ind w:left="0" w:right="0"/>
              <w:rPr>
                <w:rFonts w:hint="default"/>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7C2C1DEC">
            <w:pPr>
              <w:keepNext w:val="0"/>
              <w:keepLines w:val="0"/>
              <w:suppressLineNumbers w:val="0"/>
              <w:snapToGrid w:val="0"/>
              <w:spacing w:before="120" w:beforeLines="50" w:beforeAutospacing="0" w:after="50" w:afterAutospacing="0"/>
              <w:ind w:left="0" w:right="0"/>
              <w:rPr>
                <w:rFonts w:hint="default"/>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11EB985A">
            <w:pPr>
              <w:keepNext w:val="0"/>
              <w:keepLines w:val="0"/>
              <w:suppressLineNumbers w:val="0"/>
              <w:snapToGrid w:val="0"/>
              <w:spacing w:before="120" w:beforeLines="50" w:beforeAutospacing="0" w:after="50" w:afterAutospacing="0"/>
              <w:ind w:left="0" w:right="0"/>
              <w:rPr>
                <w:rFonts w:hint="default"/>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5198B7F6">
            <w:pPr>
              <w:keepNext w:val="0"/>
              <w:keepLines w:val="0"/>
              <w:suppressLineNumbers w:val="0"/>
              <w:snapToGrid w:val="0"/>
              <w:spacing w:before="120" w:beforeLines="50" w:beforeAutospacing="0" w:after="50" w:afterAutospacing="0"/>
              <w:ind w:left="0" w:right="0"/>
              <w:rPr>
                <w:rFonts w:hint="default"/>
                <w:color w:val="auto"/>
                <w:szCs w:val="21"/>
                <w:highlight w:val="none"/>
              </w:rPr>
            </w:pPr>
          </w:p>
        </w:tc>
      </w:tr>
    </w:tbl>
    <w:p w14:paraId="374C9801">
      <w:pPr>
        <w:snapToGrid w:val="0"/>
        <w:spacing w:before="50" w:after="120" w:afterLines="50" w:line="440" w:lineRule="exact"/>
        <w:jc w:val="left"/>
        <w:rPr>
          <w:color w:val="auto"/>
          <w:szCs w:val="21"/>
          <w:highlight w:val="none"/>
        </w:rPr>
      </w:pPr>
      <w:r>
        <w:rPr>
          <w:color w:val="auto"/>
          <w:szCs w:val="21"/>
          <w:highlight w:val="none"/>
        </w:rPr>
        <w:t>注：在填写时，如本表格不适合供应商的实际情况，可根据本表格式自行划表填写。</w:t>
      </w:r>
    </w:p>
    <w:p w14:paraId="18D5E590">
      <w:pPr>
        <w:snapToGrid w:val="0"/>
        <w:spacing w:before="50" w:after="50" w:line="440" w:lineRule="exact"/>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p w14:paraId="34DFE46E">
      <w:pPr>
        <w:rPr>
          <w:rFonts w:hint="eastAsia"/>
          <w:color w:val="auto"/>
          <w:spacing w:val="20"/>
          <w:szCs w:val="21"/>
          <w:highlight w:val="none"/>
          <w:u w:val="single"/>
        </w:rPr>
      </w:pPr>
    </w:p>
    <w:p w14:paraId="7A5CC7D8">
      <w:pPr>
        <w:rPr>
          <w:rFonts w:hint="eastAsia"/>
          <w:color w:val="auto"/>
          <w:szCs w:val="21"/>
          <w:highlight w:val="none"/>
        </w:rPr>
      </w:pPr>
    </w:p>
    <w:p w14:paraId="0D0B8665">
      <w:pPr>
        <w:rPr>
          <w:rFonts w:hint="eastAsia"/>
          <w:color w:val="auto"/>
          <w:szCs w:val="21"/>
          <w:highlight w:val="none"/>
        </w:rPr>
      </w:pPr>
    </w:p>
    <w:p w14:paraId="4ADDEE95">
      <w:pPr>
        <w:snapToGrid w:val="0"/>
        <w:spacing w:before="50" w:after="120" w:afterLines="50"/>
        <w:jc w:val="left"/>
        <w:rPr>
          <w:color w:val="auto"/>
          <w:szCs w:val="21"/>
          <w:highlight w:val="none"/>
        </w:rPr>
      </w:pPr>
      <w:r>
        <w:rPr>
          <w:color w:val="auto"/>
          <w:szCs w:val="21"/>
          <w:highlight w:val="none"/>
        </w:rPr>
        <w:t>5．</w:t>
      </w:r>
      <w:r>
        <w:rPr>
          <w:rFonts w:hint="eastAsia"/>
          <w:color w:val="auto"/>
          <w:szCs w:val="21"/>
          <w:highlight w:val="none"/>
          <w:lang w:val="en-US" w:eastAsia="zh-CN"/>
        </w:rPr>
        <w:t>项目实施人员配置情况</w:t>
      </w:r>
      <w:r>
        <w:rPr>
          <w:color w:val="auto"/>
          <w:szCs w:val="21"/>
          <w:highlight w:val="none"/>
        </w:rPr>
        <w:t>。</w:t>
      </w:r>
    </w:p>
    <w:p w14:paraId="1628FF4E">
      <w:pPr>
        <w:snapToGrid w:val="0"/>
        <w:spacing w:before="50" w:after="120" w:afterLines="50"/>
        <w:jc w:val="left"/>
        <w:rPr>
          <w:rFonts w:hint="eastAsia"/>
          <w:color w:val="auto"/>
          <w:szCs w:val="21"/>
          <w:highlight w:val="none"/>
        </w:rPr>
      </w:pPr>
    </w:p>
    <w:p w14:paraId="12EAD1B6">
      <w:pPr>
        <w:snapToGrid w:val="0"/>
        <w:spacing w:before="50" w:after="120" w:afterLines="50"/>
        <w:jc w:val="left"/>
        <w:rPr>
          <w:color w:val="auto"/>
          <w:szCs w:val="21"/>
          <w:highlight w:val="none"/>
        </w:rPr>
      </w:pPr>
      <w:r>
        <w:rPr>
          <w:color w:val="auto"/>
          <w:szCs w:val="21"/>
          <w:highlight w:val="none"/>
        </w:rPr>
        <w:t>6．技术服务、技术培训的内容和措施。</w:t>
      </w:r>
    </w:p>
    <w:p w14:paraId="381B03D5">
      <w:pPr>
        <w:snapToGrid w:val="0"/>
        <w:spacing w:before="50" w:after="120" w:afterLines="50"/>
        <w:jc w:val="left"/>
        <w:rPr>
          <w:rFonts w:hint="eastAsia"/>
          <w:color w:val="auto"/>
          <w:szCs w:val="21"/>
          <w:highlight w:val="none"/>
        </w:rPr>
      </w:pPr>
    </w:p>
    <w:p w14:paraId="13EB9366">
      <w:pPr>
        <w:snapToGrid w:val="0"/>
        <w:spacing w:before="50" w:after="120" w:afterLines="50"/>
        <w:jc w:val="left"/>
        <w:rPr>
          <w:color w:val="auto"/>
          <w:szCs w:val="21"/>
          <w:highlight w:val="none"/>
        </w:rPr>
      </w:pPr>
      <w:r>
        <w:rPr>
          <w:color w:val="auto"/>
          <w:szCs w:val="21"/>
          <w:highlight w:val="none"/>
        </w:rPr>
        <w:t>7．为本项目提供的其他优惠服务。</w:t>
      </w:r>
    </w:p>
    <w:p w14:paraId="701EA22C">
      <w:pPr>
        <w:snapToGrid w:val="0"/>
        <w:spacing w:before="50" w:after="120" w:afterLines="50"/>
        <w:jc w:val="left"/>
        <w:rPr>
          <w:rFonts w:hint="eastAsia"/>
          <w:color w:val="auto"/>
          <w:szCs w:val="21"/>
          <w:highlight w:val="none"/>
        </w:rPr>
      </w:pPr>
    </w:p>
    <w:p w14:paraId="71205879">
      <w:pPr>
        <w:snapToGrid w:val="0"/>
        <w:spacing w:before="50" w:after="120" w:afterLines="50"/>
        <w:jc w:val="left"/>
        <w:rPr>
          <w:color w:val="auto"/>
          <w:szCs w:val="21"/>
          <w:highlight w:val="none"/>
        </w:rPr>
      </w:pPr>
      <w:r>
        <w:rPr>
          <w:color w:val="auto"/>
          <w:szCs w:val="21"/>
          <w:highlight w:val="none"/>
        </w:rPr>
        <w:t>8. 供应商对本项目的合理化建议和改进措施。</w:t>
      </w:r>
    </w:p>
    <w:p w14:paraId="04FFEC34">
      <w:pPr>
        <w:snapToGrid w:val="0"/>
        <w:spacing w:before="50" w:after="120" w:afterLines="50"/>
        <w:jc w:val="left"/>
        <w:rPr>
          <w:rFonts w:hint="eastAsia"/>
          <w:color w:val="auto"/>
          <w:szCs w:val="21"/>
          <w:highlight w:val="none"/>
        </w:rPr>
      </w:pPr>
    </w:p>
    <w:p w14:paraId="39FD3F36">
      <w:pPr>
        <w:rPr>
          <w:color w:val="auto"/>
          <w:szCs w:val="21"/>
          <w:highlight w:val="none"/>
        </w:rPr>
      </w:pPr>
      <w:r>
        <w:rPr>
          <w:color w:val="auto"/>
          <w:szCs w:val="21"/>
          <w:highlight w:val="none"/>
        </w:rPr>
        <w:t>9．供应商需要说明的其他文件和说明。</w:t>
      </w:r>
    </w:p>
    <w:p w14:paraId="22145C6F">
      <w:pPr>
        <w:snapToGrid w:val="0"/>
        <w:spacing w:before="50" w:after="120" w:afterLines="50" w:line="440" w:lineRule="exact"/>
        <w:rPr>
          <w:color w:val="auto"/>
          <w:highlight w:val="none"/>
        </w:rPr>
      </w:pPr>
      <w:r>
        <w:rPr>
          <w:color w:val="auto"/>
          <w:highlight w:val="none"/>
        </w:rPr>
        <w:br w:type="page"/>
      </w:r>
      <w:r>
        <w:rPr>
          <w:color w:val="auto"/>
          <w:szCs w:val="21"/>
          <w:highlight w:val="none"/>
        </w:rPr>
        <w:t>10．</w:t>
      </w:r>
      <w:r>
        <w:rPr>
          <w:rFonts w:hint="eastAsia"/>
          <w:color w:val="auto"/>
          <w:szCs w:val="21"/>
          <w:highlight w:val="none"/>
        </w:rPr>
        <w:t>对</w:t>
      </w:r>
      <w:r>
        <w:rPr>
          <w:color w:val="auto"/>
          <w:szCs w:val="21"/>
          <w:highlight w:val="none"/>
        </w:rPr>
        <w:t>本项目第</w:t>
      </w:r>
      <w:r>
        <w:rPr>
          <w:rFonts w:hint="eastAsia"/>
          <w:color w:val="auto"/>
          <w:szCs w:val="21"/>
          <w:highlight w:val="none"/>
        </w:rPr>
        <w:t>二</w:t>
      </w:r>
      <w:r>
        <w:rPr>
          <w:color w:val="auto"/>
          <w:szCs w:val="21"/>
          <w:highlight w:val="none"/>
        </w:rPr>
        <w:t>章</w:t>
      </w:r>
      <w:r>
        <w:rPr>
          <w:rFonts w:hint="eastAsia"/>
          <w:color w:val="auto"/>
          <w:szCs w:val="21"/>
          <w:highlight w:val="none"/>
        </w:rPr>
        <w:t>《</w:t>
      </w:r>
      <w:r>
        <w:rPr>
          <w:color w:val="auto"/>
          <w:szCs w:val="21"/>
          <w:highlight w:val="none"/>
        </w:rPr>
        <w:t>采购需求</w:t>
      </w:r>
      <w:r>
        <w:rPr>
          <w:rFonts w:hint="eastAsia"/>
          <w:color w:val="auto"/>
          <w:szCs w:val="21"/>
          <w:highlight w:val="none"/>
        </w:rPr>
        <w:t>》</w:t>
      </w:r>
      <w:r>
        <w:rPr>
          <w:color w:val="auto"/>
          <w:szCs w:val="21"/>
          <w:highlight w:val="none"/>
        </w:rPr>
        <w:t>商务要求的</w:t>
      </w:r>
      <w:r>
        <w:rPr>
          <w:rFonts w:hint="eastAsia"/>
          <w:color w:val="auto"/>
          <w:szCs w:val="21"/>
          <w:highlight w:val="none"/>
        </w:rPr>
        <w:t>响应表</w:t>
      </w:r>
      <w:r>
        <w:rPr>
          <w:color w:val="auto"/>
          <w:szCs w:val="21"/>
          <w:highlight w:val="none"/>
        </w:rPr>
        <w:t>：</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3C5BC3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2FCB9106">
            <w:pPr>
              <w:keepNext w:val="0"/>
              <w:keepLines w:val="0"/>
              <w:suppressLineNumbers w:val="0"/>
              <w:snapToGrid w:val="0"/>
              <w:spacing w:before="120" w:beforeLines="50" w:beforeAutospacing="0" w:after="0" w:afterAutospacing="0"/>
              <w:ind w:left="0" w:right="0"/>
              <w:jc w:val="center"/>
              <w:rPr>
                <w:rFonts w:hint="default"/>
                <w:color w:val="auto"/>
                <w:szCs w:val="21"/>
                <w:highlight w:val="none"/>
              </w:rPr>
            </w:pPr>
            <w:r>
              <w:rPr>
                <w:rFonts w:hint="default"/>
                <w:color w:val="auto"/>
                <w:szCs w:val="21"/>
                <w:highlight w:val="none"/>
              </w:rPr>
              <w:t>序号</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36A61469">
            <w:pPr>
              <w:keepNext w:val="0"/>
              <w:keepLines w:val="0"/>
              <w:suppressLineNumbers w:val="0"/>
              <w:snapToGrid w:val="0"/>
              <w:spacing w:before="120" w:beforeLines="50" w:beforeAutospacing="0" w:after="0" w:afterAutospacing="0"/>
              <w:ind w:left="0" w:right="0"/>
              <w:jc w:val="center"/>
              <w:rPr>
                <w:rFonts w:hint="default"/>
                <w:color w:val="auto"/>
                <w:szCs w:val="21"/>
                <w:highlight w:val="none"/>
              </w:rPr>
            </w:pPr>
            <w:r>
              <w:rPr>
                <w:rFonts w:hint="default"/>
                <w:color w:val="auto"/>
                <w:szCs w:val="21"/>
                <w:highlight w:val="none"/>
              </w:rPr>
              <w:t>采购文件要求（注明章节及条款号）</w:t>
            </w:r>
          </w:p>
        </w:tc>
        <w:tc>
          <w:tcPr>
            <w:tcW w:w="3405" w:type="dxa"/>
            <w:tcBorders>
              <w:top w:val="single" w:color="auto" w:sz="4" w:space="0"/>
              <w:left w:val="single" w:color="auto" w:sz="4" w:space="0"/>
              <w:bottom w:val="single" w:color="auto" w:sz="4" w:space="0"/>
              <w:right w:val="single" w:color="auto" w:sz="4" w:space="0"/>
            </w:tcBorders>
            <w:noWrap w:val="0"/>
            <w:vAlign w:val="center"/>
          </w:tcPr>
          <w:p w14:paraId="3994B9C4">
            <w:pPr>
              <w:keepNext w:val="0"/>
              <w:keepLines w:val="0"/>
              <w:suppressLineNumbers w:val="0"/>
              <w:snapToGrid w:val="0"/>
              <w:spacing w:before="120" w:beforeLines="50" w:beforeAutospacing="0" w:after="0" w:afterAutospacing="0"/>
              <w:ind w:left="0" w:right="0"/>
              <w:jc w:val="center"/>
              <w:rPr>
                <w:rFonts w:hint="default"/>
                <w:color w:val="auto"/>
                <w:szCs w:val="21"/>
                <w:highlight w:val="none"/>
              </w:rPr>
            </w:pPr>
            <w:r>
              <w:rPr>
                <w:rFonts w:hint="default"/>
                <w:color w:val="auto"/>
                <w:szCs w:val="21"/>
                <w:highlight w:val="none"/>
              </w:rPr>
              <w:t>响应文件响应内容（</w:t>
            </w:r>
            <w:r>
              <w:rPr>
                <w:rFonts w:hint="eastAsia"/>
                <w:color w:val="auto"/>
                <w:szCs w:val="21"/>
                <w:highlight w:val="none"/>
              </w:rPr>
              <w:t>可</w:t>
            </w:r>
            <w:r>
              <w:rPr>
                <w:rFonts w:hint="default"/>
                <w:color w:val="auto"/>
                <w:szCs w:val="21"/>
                <w:highlight w:val="none"/>
              </w:rPr>
              <w:t>注明所在页码）</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613F0C6F">
            <w:pPr>
              <w:keepNext w:val="0"/>
              <w:keepLines w:val="0"/>
              <w:suppressLineNumbers w:val="0"/>
              <w:snapToGrid w:val="0"/>
              <w:spacing w:before="120" w:beforeLines="50" w:beforeAutospacing="0" w:after="0" w:afterAutospacing="0"/>
              <w:ind w:left="0" w:right="0"/>
              <w:jc w:val="center"/>
              <w:rPr>
                <w:rFonts w:hint="default"/>
                <w:color w:val="auto"/>
                <w:szCs w:val="21"/>
                <w:highlight w:val="none"/>
              </w:rPr>
            </w:pPr>
            <w:r>
              <w:rPr>
                <w:rFonts w:hint="default"/>
                <w:color w:val="auto"/>
                <w:highlight w:val="none"/>
              </w:rPr>
              <w:t>偏离</w:t>
            </w:r>
            <w:r>
              <w:rPr>
                <w:rFonts w:hint="default"/>
                <w:color w:val="auto"/>
                <w:szCs w:val="21"/>
                <w:highlight w:val="none"/>
              </w:rPr>
              <w:t>说明</w:t>
            </w:r>
          </w:p>
        </w:tc>
      </w:tr>
      <w:tr w14:paraId="35521D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7804E744">
            <w:pPr>
              <w:keepNext w:val="0"/>
              <w:keepLines w:val="0"/>
              <w:suppressLineNumbers w:val="0"/>
              <w:snapToGrid w:val="0"/>
              <w:spacing w:before="120" w:beforeLines="50" w:beforeAutospacing="0" w:after="0" w:afterAutospacing="0"/>
              <w:ind w:left="0" w:right="0"/>
              <w:jc w:val="center"/>
              <w:rPr>
                <w:rFonts w:hint="default"/>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038D5191">
            <w:pPr>
              <w:keepNext w:val="0"/>
              <w:keepLines w:val="0"/>
              <w:suppressLineNumbers w:val="0"/>
              <w:snapToGrid w:val="0"/>
              <w:spacing w:before="120" w:beforeLines="50" w:beforeAutospacing="0" w:after="0" w:afterAutospacing="0"/>
              <w:ind w:left="0" w:right="0"/>
              <w:jc w:val="center"/>
              <w:rPr>
                <w:rFonts w:hint="default"/>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26256A86">
            <w:pPr>
              <w:keepNext w:val="0"/>
              <w:keepLines w:val="0"/>
              <w:suppressLineNumbers w:val="0"/>
              <w:snapToGrid w:val="0"/>
              <w:spacing w:before="120" w:beforeLines="50" w:beforeAutospacing="0" w:after="0" w:afterAutospacing="0"/>
              <w:ind w:left="0" w:right="0"/>
              <w:jc w:val="center"/>
              <w:rPr>
                <w:rFonts w:hint="default"/>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395D046C">
            <w:pPr>
              <w:keepNext w:val="0"/>
              <w:keepLines w:val="0"/>
              <w:suppressLineNumbers w:val="0"/>
              <w:snapToGrid w:val="0"/>
              <w:spacing w:before="120" w:beforeLines="50" w:beforeAutospacing="0" w:after="0" w:afterAutospacing="0"/>
              <w:ind w:left="0" w:right="0"/>
              <w:jc w:val="center"/>
              <w:rPr>
                <w:rFonts w:hint="default"/>
                <w:color w:val="auto"/>
                <w:szCs w:val="21"/>
                <w:highlight w:val="none"/>
              </w:rPr>
            </w:pPr>
          </w:p>
        </w:tc>
      </w:tr>
      <w:tr w14:paraId="235018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1BA52C58">
            <w:pPr>
              <w:keepNext w:val="0"/>
              <w:keepLines w:val="0"/>
              <w:suppressLineNumbers w:val="0"/>
              <w:snapToGrid w:val="0"/>
              <w:spacing w:before="120" w:beforeLines="50" w:beforeAutospacing="0" w:after="0" w:afterAutospacing="0"/>
              <w:ind w:left="0" w:right="0"/>
              <w:jc w:val="center"/>
              <w:rPr>
                <w:rFonts w:hint="default"/>
                <w:color w:val="auto"/>
                <w:szCs w:val="21"/>
                <w:highlight w:val="none"/>
              </w:rPr>
            </w:pPr>
            <w:r>
              <w:rPr>
                <w:rFonts w:hint="default"/>
                <w:color w:val="auto"/>
                <w:szCs w:val="21"/>
                <w:highlight w:val="none"/>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243443DE">
            <w:pPr>
              <w:keepNext w:val="0"/>
              <w:keepLines w:val="0"/>
              <w:suppressLineNumbers w:val="0"/>
              <w:snapToGrid w:val="0"/>
              <w:spacing w:before="120" w:beforeLines="50" w:beforeAutospacing="0" w:after="0" w:afterAutospacing="0"/>
              <w:ind w:left="0" w:right="0"/>
              <w:jc w:val="center"/>
              <w:rPr>
                <w:rFonts w:hint="default"/>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657EF9A2">
            <w:pPr>
              <w:keepNext w:val="0"/>
              <w:keepLines w:val="0"/>
              <w:suppressLineNumbers w:val="0"/>
              <w:snapToGrid w:val="0"/>
              <w:spacing w:before="120" w:beforeLines="50" w:beforeAutospacing="0" w:after="0" w:afterAutospacing="0"/>
              <w:ind w:left="0" w:right="0"/>
              <w:jc w:val="center"/>
              <w:rPr>
                <w:rFonts w:hint="default"/>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01EFEDBC">
            <w:pPr>
              <w:keepNext w:val="0"/>
              <w:keepLines w:val="0"/>
              <w:suppressLineNumbers w:val="0"/>
              <w:snapToGrid w:val="0"/>
              <w:spacing w:before="120" w:beforeLines="50" w:beforeAutospacing="0" w:after="0" w:afterAutospacing="0"/>
              <w:ind w:left="0" w:right="0"/>
              <w:jc w:val="center"/>
              <w:rPr>
                <w:rFonts w:hint="default"/>
                <w:color w:val="auto"/>
                <w:szCs w:val="21"/>
                <w:highlight w:val="none"/>
              </w:rPr>
            </w:pPr>
          </w:p>
        </w:tc>
      </w:tr>
    </w:tbl>
    <w:p w14:paraId="2303930E">
      <w:pPr>
        <w:pStyle w:val="26"/>
        <w:tabs>
          <w:tab w:val="left" w:pos="2127"/>
        </w:tabs>
        <w:spacing w:line="340" w:lineRule="exact"/>
        <w:ind w:firstLine="420" w:firstLineChars="200"/>
        <w:jc w:val="left"/>
        <w:rPr>
          <w:rFonts w:ascii="Times New Roman" w:hAnsi="Times New Roman" w:cs="Times New Roman"/>
          <w:color w:val="auto"/>
          <w:highlight w:val="none"/>
        </w:rPr>
      </w:pPr>
      <w:bookmarkStart w:id="95" w:name="_Hlk48144603"/>
      <w:r>
        <w:rPr>
          <w:rFonts w:ascii="Times New Roman" w:hAnsi="Times New Roman" w:cs="Times New Roman"/>
          <w:color w:val="auto"/>
          <w:highlight w:val="none"/>
        </w:rPr>
        <w:t>注：</w:t>
      </w:r>
      <w:bookmarkStart w:id="96" w:name="_Hlk19049081"/>
      <w:r>
        <w:rPr>
          <w:rFonts w:ascii="Times New Roman" w:hAnsi="Times New Roman" w:cs="Times New Roman"/>
          <w:color w:val="auto"/>
          <w:highlight w:val="none"/>
        </w:rPr>
        <w:t>（1）本表应对采购文件</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ascii="Times New Roman" w:hAnsi="Times New Roman" w:cs="Times New Roman"/>
          <w:color w:val="auto"/>
          <w:highlight w:val="none"/>
        </w:rPr>
        <w:t>中所列商务要求进行响应，并根据响应情况在“偏离说明”栏填写正偏离或负偏离及原因，完全符合的填写</w:t>
      </w:r>
      <w:r>
        <w:rPr>
          <w:rFonts w:hint="eastAsia" w:ascii="Times New Roman" w:hAnsi="Times New Roman" w:cs="Times New Roman"/>
          <w:color w:val="auto"/>
          <w:highlight w:val="none"/>
        </w:rPr>
        <w:t>“</w:t>
      </w:r>
      <w:r>
        <w:rPr>
          <w:rFonts w:ascii="Times New Roman" w:hAnsi="Times New Roman" w:cs="Times New Roman"/>
          <w:color w:val="auto"/>
          <w:highlight w:val="none"/>
        </w:rPr>
        <w:t>无偏离</w:t>
      </w:r>
      <w:r>
        <w:rPr>
          <w:rFonts w:hint="eastAsia" w:ascii="Times New Roman" w:hAnsi="Times New Roman" w:cs="Times New Roman"/>
          <w:color w:val="auto"/>
          <w:highlight w:val="none"/>
        </w:rPr>
        <w:t>”</w:t>
      </w:r>
      <w:r>
        <w:rPr>
          <w:rFonts w:ascii="Times New Roman" w:hAnsi="Times New Roman" w:cs="Times New Roman"/>
          <w:color w:val="auto"/>
          <w:highlight w:val="none"/>
        </w:rPr>
        <w:t>。</w:t>
      </w:r>
    </w:p>
    <w:p w14:paraId="37CDB99B">
      <w:pPr>
        <w:pStyle w:val="26"/>
        <w:tabs>
          <w:tab w:val="left" w:pos="2127"/>
        </w:tabs>
        <w:spacing w:line="340" w:lineRule="exact"/>
        <w:ind w:firstLine="420" w:firstLineChars="200"/>
        <w:jc w:val="left"/>
        <w:rPr>
          <w:rFonts w:ascii="Times New Roman" w:hAnsi="Times New Roman" w:cs="Times New Roman"/>
          <w:color w:val="auto"/>
          <w:highlight w:val="none"/>
        </w:rPr>
      </w:pPr>
      <w:r>
        <w:rPr>
          <w:rFonts w:hint="eastAsia" w:ascii="Times New Roman" w:hAnsi="Times New Roman" w:cs="Times New Roman"/>
          <w:color w:val="auto"/>
          <w:highlight w:val="none"/>
        </w:rPr>
        <w:t>（2）</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hint="eastAsia" w:ascii="Times New Roman" w:hAnsi="Times New Roman" w:cs="Times New Roman"/>
          <w:color w:val="auto"/>
          <w:highlight w:val="none"/>
        </w:rPr>
        <w:t>中的总体要求无需响应。</w:t>
      </w:r>
    </w:p>
    <w:p w14:paraId="7D65406D">
      <w:pPr>
        <w:ind w:firstLine="420" w:firstLineChars="200"/>
        <w:rPr>
          <w:color w:val="auto"/>
          <w:highlight w:val="none"/>
        </w:rPr>
      </w:pPr>
      <w:r>
        <w:rPr>
          <w:rFonts w:hint="eastAsia"/>
          <w:color w:val="auto"/>
          <w:highlight w:val="none"/>
        </w:rPr>
        <w:t>（</w:t>
      </w:r>
      <w:r>
        <w:rPr>
          <w:color w:val="auto"/>
          <w:highlight w:val="none"/>
        </w:rPr>
        <w:t>3</w:t>
      </w:r>
      <w:r>
        <w:rPr>
          <w:rFonts w:hint="eastAsia"/>
          <w:color w:val="auto"/>
          <w:highlight w:val="none"/>
        </w:rPr>
        <w:t>）偏离认定说明详见评审方法及标准。</w:t>
      </w:r>
    </w:p>
    <w:bookmarkEnd w:id="96"/>
    <w:p w14:paraId="1AB43EA2">
      <w:pPr>
        <w:pStyle w:val="26"/>
        <w:tabs>
          <w:tab w:val="left" w:pos="2127"/>
        </w:tabs>
        <w:spacing w:line="340" w:lineRule="exact"/>
        <w:ind w:firstLine="420" w:firstLineChars="200"/>
        <w:jc w:val="left"/>
        <w:rPr>
          <w:rFonts w:ascii="Times New Roman" w:hAnsi="Times New Roman" w:cs="Times New Roman"/>
          <w:color w:val="auto"/>
          <w:highlight w:val="none"/>
        </w:rPr>
      </w:pPr>
      <w:r>
        <w:rPr>
          <w:rFonts w:ascii="Times New Roman" w:hAnsi="Times New Roman" w:cs="Times New Roman"/>
          <w:color w:val="auto"/>
          <w:highlight w:val="none"/>
        </w:rPr>
        <w:t>（4）本表可扩展。</w:t>
      </w:r>
    </w:p>
    <w:bookmarkEnd w:id="95"/>
    <w:p w14:paraId="1DDB762A">
      <w:pPr>
        <w:snapToGrid w:val="0"/>
        <w:spacing w:before="50" w:after="120" w:afterLines="50" w:line="440" w:lineRule="exact"/>
        <w:jc w:val="left"/>
        <w:rPr>
          <w:color w:val="auto"/>
          <w:spacing w:val="20"/>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p w14:paraId="220F19F5">
      <w:pPr>
        <w:snapToGrid w:val="0"/>
        <w:spacing w:before="50" w:after="120" w:afterLines="50" w:line="440" w:lineRule="exact"/>
        <w:jc w:val="left"/>
        <w:rPr>
          <w:rFonts w:hint="eastAsia"/>
          <w:color w:val="auto"/>
          <w:spacing w:val="20"/>
          <w:szCs w:val="21"/>
          <w:highlight w:val="none"/>
          <w:u w:val="single"/>
        </w:rPr>
      </w:pPr>
    </w:p>
    <w:p w14:paraId="7C0B2E21">
      <w:pPr>
        <w:pStyle w:val="26"/>
        <w:tabs>
          <w:tab w:val="left" w:pos="2127"/>
        </w:tabs>
        <w:spacing w:line="340" w:lineRule="exact"/>
        <w:ind w:firstLine="420" w:firstLineChars="200"/>
        <w:jc w:val="left"/>
        <w:rPr>
          <w:rFonts w:ascii="Times New Roman" w:hAnsi="Times New Roman" w:cs="Times New Roman"/>
          <w:color w:val="auto"/>
          <w:highlight w:val="none"/>
        </w:rPr>
      </w:pPr>
    </w:p>
    <w:p w14:paraId="51D8F0F7">
      <w:pPr>
        <w:snapToGrid w:val="0"/>
        <w:spacing w:before="50" w:after="120" w:afterLines="50" w:line="440" w:lineRule="exact"/>
        <w:jc w:val="left"/>
        <w:rPr>
          <w:rFonts w:hint="eastAsia"/>
          <w:color w:val="auto"/>
          <w:szCs w:val="21"/>
          <w:highlight w:val="none"/>
        </w:rPr>
      </w:pPr>
      <w:r>
        <w:rPr>
          <w:color w:val="auto"/>
          <w:szCs w:val="21"/>
          <w:highlight w:val="none"/>
        </w:rPr>
        <w:t>11．商务方案（供应商自行编写）</w:t>
      </w:r>
    </w:p>
    <w:p w14:paraId="4102DF9F">
      <w:pPr>
        <w:snapToGrid w:val="0"/>
        <w:spacing w:before="50" w:after="120" w:afterLines="50" w:line="440" w:lineRule="exact"/>
        <w:jc w:val="left"/>
        <w:rPr>
          <w:rFonts w:hint="eastAsia"/>
          <w:color w:val="auto"/>
          <w:szCs w:val="21"/>
          <w:highlight w:val="none"/>
        </w:rPr>
      </w:pPr>
    </w:p>
    <w:p w14:paraId="3B458CC9">
      <w:pPr>
        <w:snapToGrid w:val="0"/>
        <w:spacing w:before="50" w:after="120" w:afterLines="50"/>
        <w:jc w:val="left"/>
        <w:rPr>
          <w:color w:val="auto"/>
          <w:szCs w:val="21"/>
          <w:highlight w:val="none"/>
        </w:rPr>
      </w:pPr>
      <w:r>
        <w:rPr>
          <w:color w:val="auto"/>
          <w:szCs w:val="21"/>
          <w:highlight w:val="none"/>
        </w:rPr>
        <w:t>12．供应商认为需提供的其他材料（根据采购文件编写）</w:t>
      </w:r>
    </w:p>
    <w:p w14:paraId="31FA951F">
      <w:pPr>
        <w:rPr>
          <w:color w:val="auto"/>
          <w:szCs w:val="21"/>
          <w:highlight w:val="none"/>
        </w:rPr>
      </w:pPr>
      <w:r>
        <w:rPr>
          <w:color w:val="auto"/>
          <w:szCs w:val="21"/>
          <w:highlight w:val="none"/>
        </w:rPr>
        <w:br w:type="page"/>
      </w:r>
    </w:p>
    <w:p w14:paraId="3E6A230B">
      <w:pPr>
        <w:snapToGrid w:val="0"/>
        <w:spacing w:before="50" w:after="120" w:afterLines="50"/>
        <w:jc w:val="left"/>
        <w:rPr>
          <w:rFonts w:hint="eastAsia"/>
          <w:b/>
          <w:color w:val="auto"/>
          <w:szCs w:val="21"/>
          <w:highlight w:val="none"/>
        </w:rPr>
      </w:pPr>
      <w:r>
        <w:rPr>
          <w:color w:val="auto"/>
          <w:szCs w:val="21"/>
          <w:highlight w:val="none"/>
        </w:rPr>
        <w:t>13．近年供应商类似成功案例的业绩证明</w:t>
      </w:r>
    </w:p>
    <w:p w14:paraId="4E52B4D8">
      <w:pPr>
        <w:snapToGrid w:val="0"/>
        <w:spacing w:before="50" w:after="120" w:afterLines="50"/>
        <w:jc w:val="center"/>
        <w:rPr>
          <w:color w:val="auto"/>
          <w:szCs w:val="21"/>
          <w:highlight w:val="none"/>
        </w:rPr>
      </w:pPr>
      <w:r>
        <w:rPr>
          <w:b/>
          <w:color w:val="auto"/>
          <w:szCs w:val="21"/>
          <w:highlight w:val="none"/>
        </w:rPr>
        <w:t>类似成功案例业绩一览表</w:t>
      </w:r>
    </w:p>
    <w:tbl>
      <w:tblPr>
        <w:tblStyle w:val="51"/>
        <w:tblW w:w="886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0"/>
        <w:gridCol w:w="1255"/>
        <w:gridCol w:w="1455"/>
        <w:gridCol w:w="2359"/>
        <w:gridCol w:w="1241"/>
        <w:gridCol w:w="846"/>
        <w:gridCol w:w="927"/>
      </w:tblGrid>
      <w:tr w14:paraId="06BE9D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41" w:hRule="atLeast"/>
        </w:trPr>
        <w:tc>
          <w:tcPr>
            <w:tcW w:w="780" w:type="dxa"/>
            <w:tcBorders>
              <w:top w:val="single" w:color="auto" w:sz="4" w:space="0"/>
              <w:left w:val="single" w:color="auto" w:sz="4" w:space="0"/>
              <w:right w:val="single" w:color="auto" w:sz="4" w:space="0"/>
            </w:tcBorders>
            <w:noWrap w:val="0"/>
            <w:vAlign w:val="top"/>
          </w:tcPr>
          <w:p w14:paraId="7A3CBC00">
            <w:pPr>
              <w:keepNext w:val="0"/>
              <w:keepLines w:val="0"/>
              <w:suppressLineNumbers w:val="0"/>
              <w:snapToGrid w:val="0"/>
              <w:spacing w:before="0" w:beforeAutospacing="0" w:after="0" w:afterAutospacing="0" w:line="240" w:lineRule="exact"/>
              <w:ind w:left="0" w:right="0"/>
              <w:jc w:val="center"/>
              <w:rPr>
                <w:rFonts w:hint="default"/>
                <w:color w:val="auto"/>
                <w:szCs w:val="21"/>
                <w:highlight w:val="none"/>
              </w:rPr>
            </w:pPr>
          </w:p>
          <w:p w14:paraId="43CD1F46">
            <w:pPr>
              <w:keepNext w:val="0"/>
              <w:keepLines w:val="0"/>
              <w:suppressLineNumbers w:val="0"/>
              <w:snapToGrid w:val="0"/>
              <w:spacing w:before="0" w:beforeAutospacing="0" w:after="0" w:afterAutospacing="0" w:line="240" w:lineRule="exact"/>
              <w:ind w:left="0" w:right="0"/>
              <w:jc w:val="center"/>
              <w:rPr>
                <w:rFonts w:hint="default"/>
                <w:color w:val="auto"/>
                <w:szCs w:val="21"/>
                <w:highlight w:val="none"/>
              </w:rPr>
            </w:pPr>
          </w:p>
          <w:p w14:paraId="5F1CDB68">
            <w:pPr>
              <w:keepNext w:val="0"/>
              <w:keepLines w:val="0"/>
              <w:suppressLineNumbers w:val="0"/>
              <w:snapToGrid w:val="0"/>
              <w:spacing w:before="0" w:beforeAutospacing="0" w:after="0" w:afterAutospacing="0" w:line="240" w:lineRule="exact"/>
              <w:ind w:left="0" w:right="0"/>
              <w:jc w:val="center"/>
              <w:rPr>
                <w:rFonts w:hint="default"/>
                <w:color w:val="auto"/>
                <w:szCs w:val="21"/>
                <w:highlight w:val="none"/>
              </w:rPr>
            </w:pPr>
            <w:r>
              <w:rPr>
                <w:rFonts w:hint="eastAsia"/>
                <w:color w:val="auto"/>
                <w:szCs w:val="21"/>
                <w:highlight w:val="none"/>
              </w:rPr>
              <w:t>序号</w:t>
            </w:r>
          </w:p>
        </w:tc>
        <w:tc>
          <w:tcPr>
            <w:tcW w:w="1255" w:type="dxa"/>
            <w:tcBorders>
              <w:top w:val="single" w:color="auto" w:sz="4" w:space="0"/>
              <w:left w:val="single" w:color="auto" w:sz="4" w:space="0"/>
              <w:bottom w:val="single" w:color="auto" w:sz="4" w:space="0"/>
              <w:right w:val="single" w:color="auto" w:sz="4" w:space="0"/>
            </w:tcBorders>
            <w:noWrap w:val="0"/>
            <w:vAlign w:val="center"/>
          </w:tcPr>
          <w:p w14:paraId="58DCEDE1">
            <w:pPr>
              <w:keepNext w:val="0"/>
              <w:keepLines w:val="0"/>
              <w:suppressLineNumbers w:val="0"/>
              <w:snapToGrid w:val="0"/>
              <w:spacing w:before="0" w:beforeAutospacing="0" w:after="0" w:afterAutospacing="0" w:line="240" w:lineRule="exact"/>
              <w:ind w:left="0" w:right="0"/>
              <w:jc w:val="center"/>
              <w:rPr>
                <w:rFonts w:hint="default"/>
                <w:color w:val="auto"/>
                <w:szCs w:val="21"/>
                <w:highlight w:val="none"/>
              </w:rPr>
            </w:pPr>
            <w:r>
              <w:rPr>
                <w:rFonts w:hint="default"/>
                <w:color w:val="auto"/>
                <w:szCs w:val="21"/>
                <w:highlight w:val="none"/>
              </w:rPr>
              <w:t>采购单位名称</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00348711">
            <w:pPr>
              <w:keepNext w:val="0"/>
              <w:keepLines w:val="0"/>
              <w:suppressLineNumbers w:val="0"/>
              <w:snapToGrid w:val="0"/>
              <w:spacing w:before="0" w:beforeAutospacing="0" w:after="0" w:afterAutospacing="0" w:line="240" w:lineRule="exact"/>
              <w:ind w:left="0" w:right="0"/>
              <w:jc w:val="center"/>
              <w:rPr>
                <w:rFonts w:hint="default"/>
                <w:color w:val="auto"/>
                <w:szCs w:val="21"/>
                <w:highlight w:val="none"/>
              </w:rPr>
            </w:pPr>
            <w:r>
              <w:rPr>
                <w:rFonts w:hint="default"/>
                <w:color w:val="auto"/>
                <w:szCs w:val="21"/>
                <w:highlight w:val="none"/>
              </w:rPr>
              <w:t>项目名称或服务内容</w:t>
            </w:r>
          </w:p>
        </w:tc>
        <w:tc>
          <w:tcPr>
            <w:tcW w:w="2359" w:type="dxa"/>
            <w:tcBorders>
              <w:top w:val="single" w:color="auto" w:sz="4" w:space="0"/>
              <w:left w:val="single" w:color="auto" w:sz="4" w:space="0"/>
              <w:bottom w:val="single" w:color="auto" w:sz="4" w:space="0"/>
              <w:right w:val="single" w:color="auto" w:sz="4" w:space="0"/>
            </w:tcBorders>
            <w:noWrap w:val="0"/>
            <w:vAlign w:val="center"/>
          </w:tcPr>
          <w:p w14:paraId="2EC33F19">
            <w:pPr>
              <w:keepNext w:val="0"/>
              <w:keepLines w:val="0"/>
              <w:suppressLineNumbers w:val="0"/>
              <w:snapToGrid w:val="0"/>
              <w:spacing w:before="0" w:beforeAutospacing="0" w:after="0" w:afterAutospacing="0" w:line="240" w:lineRule="exact"/>
              <w:ind w:left="0" w:right="0"/>
              <w:jc w:val="center"/>
              <w:rPr>
                <w:rFonts w:hint="default"/>
                <w:color w:val="auto"/>
                <w:szCs w:val="21"/>
                <w:highlight w:val="none"/>
              </w:rPr>
            </w:pPr>
            <w:r>
              <w:rPr>
                <w:rFonts w:hint="default"/>
                <w:color w:val="auto"/>
                <w:szCs w:val="21"/>
                <w:highlight w:val="none"/>
              </w:rPr>
              <w:t>服务</w:t>
            </w:r>
          </w:p>
          <w:p w14:paraId="1DC21FCC">
            <w:pPr>
              <w:keepNext w:val="0"/>
              <w:keepLines w:val="0"/>
              <w:suppressLineNumbers w:val="0"/>
              <w:snapToGrid w:val="0"/>
              <w:spacing w:before="0" w:beforeAutospacing="0" w:after="0" w:afterAutospacing="0" w:line="240" w:lineRule="exact"/>
              <w:ind w:left="0" w:right="0"/>
              <w:jc w:val="center"/>
              <w:rPr>
                <w:rFonts w:hint="default"/>
                <w:color w:val="auto"/>
                <w:szCs w:val="21"/>
                <w:highlight w:val="none"/>
              </w:rPr>
            </w:pPr>
            <w:r>
              <w:rPr>
                <w:rFonts w:hint="default"/>
                <w:color w:val="auto"/>
                <w:szCs w:val="21"/>
                <w:highlight w:val="none"/>
              </w:rPr>
              <w:t>数量或年限</w:t>
            </w:r>
          </w:p>
        </w:tc>
        <w:tc>
          <w:tcPr>
            <w:tcW w:w="1241" w:type="dxa"/>
            <w:tcBorders>
              <w:top w:val="single" w:color="auto" w:sz="4" w:space="0"/>
              <w:left w:val="single" w:color="auto" w:sz="4" w:space="0"/>
              <w:bottom w:val="single" w:color="auto" w:sz="4" w:space="0"/>
              <w:right w:val="single" w:color="auto" w:sz="4" w:space="0"/>
            </w:tcBorders>
            <w:noWrap w:val="0"/>
            <w:vAlign w:val="center"/>
          </w:tcPr>
          <w:p w14:paraId="1F66B393">
            <w:pPr>
              <w:keepNext w:val="0"/>
              <w:keepLines w:val="0"/>
              <w:suppressLineNumbers w:val="0"/>
              <w:snapToGrid w:val="0"/>
              <w:spacing w:before="0" w:beforeAutospacing="0" w:after="0" w:afterAutospacing="0" w:line="240" w:lineRule="exact"/>
              <w:ind w:left="0" w:right="0"/>
              <w:jc w:val="center"/>
              <w:rPr>
                <w:rFonts w:hint="default"/>
                <w:color w:val="auto"/>
                <w:szCs w:val="21"/>
                <w:highlight w:val="none"/>
              </w:rPr>
            </w:pPr>
            <w:r>
              <w:rPr>
                <w:rFonts w:hint="default"/>
                <w:color w:val="auto"/>
                <w:szCs w:val="21"/>
                <w:highlight w:val="none"/>
              </w:rPr>
              <w:t>单价</w:t>
            </w:r>
            <w:r>
              <w:rPr>
                <w:rFonts w:hint="eastAsia"/>
                <w:color w:val="auto"/>
                <w:szCs w:val="21"/>
                <w:highlight w:val="none"/>
              </w:rPr>
              <w:t>（元）</w:t>
            </w:r>
          </w:p>
        </w:tc>
        <w:tc>
          <w:tcPr>
            <w:tcW w:w="846" w:type="dxa"/>
            <w:tcBorders>
              <w:top w:val="single" w:color="auto" w:sz="4" w:space="0"/>
              <w:left w:val="single" w:color="auto" w:sz="4" w:space="0"/>
              <w:bottom w:val="single" w:color="auto" w:sz="4" w:space="0"/>
              <w:right w:val="single" w:color="auto" w:sz="4" w:space="0"/>
            </w:tcBorders>
            <w:noWrap w:val="0"/>
            <w:vAlign w:val="center"/>
          </w:tcPr>
          <w:p w14:paraId="6E4BBFDC">
            <w:pPr>
              <w:keepNext w:val="0"/>
              <w:keepLines w:val="0"/>
              <w:suppressLineNumbers w:val="0"/>
              <w:snapToGrid w:val="0"/>
              <w:spacing w:before="0" w:beforeAutospacing="0" w:after="0" w:afterAutospacing="0" w:line="240" w:lineRule="exact"/>
              <w:ind w:left="0" w:right="0"/>
              <w:jc w:val="center"/>
              <w:rPr>
                <w:rFonts w:hint="default"/>
                <w:color w:val="auto"/>
                <w:szCs w:val="21"/>
                <w:highlight w:val="none"/>
              </w:rPr>
            </w:pPr>
            <w:r>
              <w:rPr>
                <w:rFonts w:hint="default"/>
                <w:color w:val="auto"/>
                <w:szCs w:val="21"/>
                <w:highlight w:val="none"/>
              </w:rPr>
              <w:t>合同</w:t>
            </w:r>
            <w:r>
              <w:rPr>
                <w:rFonts w:hint="eastAsia"/>
                <w:color w:val="auto"/>
                <w:szCs w:val="21"/>
                <w:highlight w:val="none"/>
              </w:rPr>
              <w:t>总价</w:t>
            </w:r>
          </w:p>
          <w:p w14:paraId="7A666A78">
            <w:pPr>
              <w:keepNext w:val="0"/>
              <w:keepLines w:val="0"/>
              <w:suppressLineNumbers w:val="0"/>
              <w:snapToGrid w:val="0"/>
              <w:spacing w:before="0" w:beforeAutospacing="0" w:after="0" w:afterAutospacing="0" w:line="240" w:lineRule="exact"/>
              <w:ind w:left="0" w:right="0"/>
              <w:jc w:val="center"/>
              <w:rPr>
                <w:rFonts w:hint="default"/>
                <w:color w:val="auto"/>
                <w:szCs w:val="21"/>
                <w:highlight w:val="none"/>
              </w:rPr>
            </w:pPr>
            <w:r>
              <w:rPr>
                <w:rFonts w:hint="default"/>
                <w:color w:val="auto"/>
                <w:szCs w:val="21"/>
                <w:highlight w:val="none"/>
              </w:rPr>
              <w:t>（元）</w:t>
            </w:r>
          </w:p>
        </w:tc>
        <w:tc>
          <w:tcPr>
            <w:tcW w:w="927" w:type="dxa"/>
            <w:tcBorders>
              <w:top w:val="single" w:color="auto" w:sz="4" w:space="0"/>
              <w:left w:val="single" w:color="auto" w:sz="4" w:space="0"/>
              <w:bottom w:val="single" w:color="auto" w:sz="4" w:space="0"/>
              <w:right w:val="single" w:color="auto" w:sz="4" w:space="0"/>
            </w:tcBorders>
            <w:noWrap w:val="0"/>
            <w:vAlign w:val="center"/>
          </w:tcPr>
          <w:p w14:paraId="574CE90D">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采购单位联系人及联系电话</w:t>
            </w:r>
          </w:p>
        </w:tc>
      </w:tr>
      <w:tr w14:paraId="346660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80" w:type="dxa"/>
            <w:tcBorders>
              <w:top w:val="single" w:color="auto" w:sz="4" w:space="0"/>
              <w:left w:val="single" w:color="auto" w:sz="4" w:space="0"/>
              <w:bottom w:val="single" w:color="auto" w:sz="4" w:space="0"/>
              <w:right w:val="single" w:color="auto" w:sz="4" w:space="0"/>
            </w:tcBorders>
            <w:noWrap w:val="0"/>
            <w:vAlign w:val="top"/>
          </w:tcPr>
          <w:p w14:paraId="7258A46C">
            <w:pPr>
              <w:keepNext w:val="0"/>
              <w:keepLines w:val="0"/>
              <w:suppressLineNumbers w:val="0"/>
              <w:snapToGrid w:val="0"/>
              <w:spacing w:before="0" w:beforeAutospacing="0" w:after="0" w:afterAutospacing="0" w:line="240" w:lineRule="exact"/>
              <w:ind w:left="0" w:right="0"/>
              <w:jc w:val="left"/>
              <w:rPr>
                <w:rFonts w:hint="default"/>
                <w:color w:val="auto"/>
                <w:szCs w:val="21"/>
                <w:highlight w:val="none"/>
              </w:rPr>
            </w:pPr>
          </w:p>
        </w:tc>
        <w:tc>
          <w:tcPr>
            <w:tcW w:w="1255" w:type="dxa"/>
            <w:tcBorders>
              <w:top w:val="single" w:color="auto" w:sz="4" w:space="0"/>
              <w:left w:val="single" w:color="auto" w:sz="4" w:space="0"/>
              <w:bottom w:val="single" w:color="auto" w:sz="4" w:space="0"/>
              <w:right w:val="single" w:color="auto" w:sz="4" w:space="0"/>
            </w:tcBorders>
            <w:noWrap w:val="0"/>
            <w:vAlign w:val="top"/>
          </w:tcPr>
          <w:p w14:paraId="50AC3336">
            <w:pPr>
              <w:keepNext w:val="0"/>
              <w:keepLines w:val="0"/>
              <w:suppressLineNumbers w:val="0"/>
              <w:snapToGrid w:val="0"/>
              <w:spacing w:before="0" w:beforeAutospacing="0" w:after="0" w:afterAutospacing="0" w:line="240" w:lineRule="exact"/>
              <w:ind w:left="0" w:right="0"/>
              <w:jc w:val="left"/>
              <w:rPr>
                <w:rFonts w:hint="default"/>
                <w:color w:val="auto"/>
                <w:szCs w:val="21"/>
                <w:highlight w:val="none"/>
              </w:rPr>
            </w:pPr>
          </w:p>
        </w:tc>
        <w:tc>
          <w:tcPr>
            <w:tcW w:w="1455" w:type="dxa"/>
            <w:tcBorders>
              <w:top w:val="single" w:color="auto" w:sz="4" w:space="0"/>
              <w:left w:val="single" w:color="auto" w:sz="4" w:space="0"/>
              <w:bottom w:val="single" w:color="auto" w:sz="4" w:space="0"/>
              <w:right w:val="single" w:color="auto" w:sz="4" w:space="0"/>
            </w:tcBorders>
            <w:noWrap w:val="0"/>
            <w:vAlign w:val="top"/>
          </w:tcPr>
          <w:p w14:paraId="4B376067">
            <w:pPr>
              <w:keepNext w:val="0"/>
              <w:keepLines w:val="0"/>
              <w:suppressLineNumbers w:val="0"/>
              <w:snapToGrid w:val="0"/>
              <w:spacing w:before="0" w:beforeAutospacing="0" w:after="0" w:afterAutospacing="0" w:line="240" w:lineRule="exact"/>
              <w:ind w:left="0" w:right="0"/>
              <w:jc w:val="left"/>
              <w:rPr>
                <w:rFonts w:hint="default"/>
                <w:color w:val="auto"/>
                <w:szCs w:val="21"/>
                <w:highlight w:val="none"/>
              </w:rPr>
            </w:pPr>
          </w:p>
        </w:tc>
        <w:tc>
          <w:tcPr>
            <w:tcW w:w="2359" w:type="dxa"/>
            <w:tcBorders>
              <w:top w:val="single" w:color="auto" w:sz="4" w:space="0"/>
              <w:left w:val="single" w:color="auto" w:sz="4" w:space="0"/>
              <w:bottom w:val="single" w:color="auto" w:sz="4" w:space="0"/>
              <w:right w:val="single" w:color="auto" w:sz="4" w:space="0"/>
            </w:tcBorders>
            <w:noWrap w:val="0"/>
            <w:vAlign w:val="top"/>
          </w:tcPr>
          <w:p w14:paraId="11DBF615">
            <w:pPr>
              <w:keepNext w:val="0"/>
              <w:keepLines w:val="0"/>
              <w:suppressLineNumbers w:val="0"/>
              <w:snapToGrid w:val="0"/>
              <w:spacing w:before="0" w:beforeAutospacing="0" w:after="0" w:afterAutospacing="0" w:line="240" w:lineRule="exact"/>
              <w:ind w:left="0" w:right="0"/>
              <w:jc w:val="left"/>
              <w:rPr>
                <w:rFonts w:hint="default"/>
                <w:color w:val="auto"/>
                <w:szCs w:val="21"/>
                <w:highlight w:val="none"/>
              </w:rPr>
            </w:pPr>
          </w:p>
        </w:tc>
        <w:tc>
          <w:tcPr>
            <w:tcW w:w="1241" w:type="dxa"/>
            <w:tcBorders>
              <w:top w:val="single" w:color="auto" w:sz="4" w:space="0"/>
              <w:left w:val="single" w:color="auto" w:sz="4" w:space="0"/>
              <w:bottom w:val="single" w:color="auto" w:sz="4" w:space="0"/>
              <w:right w:val="single" w:color="auto" w:sz="4" w:space="0"/>
            </w:tcBorders>
            <w:noWrap w:val="0"/>
            <w:vAlign w:val="top"/>
          </w:tcPr>
          <w:p w14:paraId="6F897680">
            <w:pPr>
              <w:keepNext w:val="0"/>
              <w:keepLines w:val="0"/>
              <w:suppressLineNumbers w:val="0"/>
              <w:snapToGrid w:val="0"/>
              <w:spacing w:before="0" w:beforeAutospacing="0" w:after="0" w:afterAutospacing="0" w:line="240" w:lineRule="exact"/>
              <w:ind w:left="0" w:right="0"/>
              <w:jc w:val="left"/>
              <w:rPr>
                <w:rFonts w:hint="default"/>
                <w:color w:val="auto"/>
                <w:szCs w:val="21"/>
                <w:highlight w:val="none"/>
              </w:rPr>
            </w:pPr>
          </w:p>
        </w:tc>
        <w:tc>
          <w:tcPr>
            <w:tcW w:w="846" w:type="dxa"/>
            <w:tcBorders>
              <w:top w:val="single" w:color="auto" w:sz="4" w:space="0"/>
              <w:left w:val="single" w:color="auto" w:sz="4" w:space="0"/>
              <w:bottom w:val="single" w:color="auto" w:sz="4" w:space="0"/>
              <w:right w:val="single" w:color="auto" w:sz="4" w:space="0"/>
            </w:tcBorders>
            <w:noWrap w:val="0"/>
            <w:vAlign w:val="top"/>
          </w:tcPr>
          <w:p w14:paraId="1DD215CF">
            <w:pPr>
              <w:keepNext w:val="0"/>
              <w:keepLines w:val="0"/>
              <w:suppressLineNumbers w:val="0"/>
              <w:snapToGrid w:val="0"/>
              <w:spacing w:before="0" w:beforeAutospacing="0" w:after="0" w:afterAutospacing="0" w:line="240" w:lineRule="exact"/>
              <w:ind w:left="0" w:right="0"/>
              <w:jc w:val="left"/>
              <w:rPr>
                <w:rFonts w:hint="default"/>
                <w:color w:val="auto"/>
                <w:szCs w:val="21"/>
                <w:highlight w:val="none"/>
              </w:rPr>
            </w:pPr>
          </w:p>
        </w:tc>
        <w:tc>
          <w:tcPr>
            <w:tcW w:w="927" w:type="dxa"/>
            <w:tcBorders>
              <w:top w:val="single" w:color="auto" w:sz="4" w:space="0"/>
              <w:left w:val="single" w:color="auto" w:sz="4" w:space="0"/>
              <w:bottom w:val="single" w:color="auto" w:sz="4" w:space="0"/>
              <w:right w:val="single" w:color="auto" w:sz="4" w:space="0"/>
            </w:tcBorders>
            <w:noWrap w:val="0"/>
            <w:vAlign w:val="top"/>
          </w:tcPr>
          <w:p w14:paraId="60E2AB0A">
            <w:pPr>
              <w:keepNext w:val="0"/>
              <w:keepLines w:val="0"/>
              <w:suppressLineNumbers w:val="0"/>
              <w:snapToGrid w:val="0"/>
              <w:spacing w:before="0" w:beforeAutospacing="0" w:after="0" w:afterAutospacing="0" w:line="240" w:lineRule="exact"/>
              <w:ind w:left="0" w:right="0"/>
              <w:jc w:val="left"/>
              <w:rPr>
                <w:rFonts w:hint="default"/>
                <w:color w:val="auto"/>
                <w:szCs w:val="21"/>
                <w:highlight w:val="none"/>
              </w:rPr>
            </w:pPr>
          </w:p>
        </w:tc>
      </w:tr>
      <w:tr w14:paraId="53E37B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780" w:type="dxa"/>
            <w:tcBorders>
              <w:top w:val="single" w:color="auto" w:sz="4" w:space="0"/>
              <w:left w:val="single" w:color="auto" w:sz="4" w:space="0"/>
              <w:bottom w:val="single" w:color="auto" w:sz="4" w:space="0"/>
              <w:right w:val="single" w:color="auto" w:sz="4" w:space="0"/>
            </w:tcBorders>
            <w:noWrap w:val="0"/>
            <w:vAlign w:val="top"/>
          </w:tcPr>
          <w:p w14:paraId="600F25B9">
            <w:pPr>
              <w:keepNext w:val="0"/>
              <w:keepLines w:val="0"/>
              <w:suppressLineNumbers w:val="0"/>
              <w:snapToGrid w:val="0"/>
              <w:spacing w:before="50" w:beforeAutospacing="0" w:after="120" w:afterLines="50" w:afterAutospacing="0" w:line="400" w:lineRule="exact"/>
              <w:ind w:left="0" w:right="0"/>
              <w:jc w:val="left"/>
              <w:rPr>
                <w:rFonts w:hint="default"/>
                <w:color w:val="auto"/>
                <w:szCs w:val="21"/>
                <w:highlight w:val="none"/>
              </w:rPr>
            </w:pPr>
          </w:p>
        </w:tc>
        <w:tc>
          <w:tcPr>
            <w:tcW w:w="1255" w:type="dxa"/>
            <w:tcBorders>
              <w:top w:val="single" w:color="auto" w:sz="4" w:space="0"/>
              <w:left w:val="single" w:color="auto" w:sz="4" w:space="0"/>
              <w:bottom w:val="single" w:color="auto" w:sz="4" w:space="0"/>
              <w:right w:val="single" w:color="auto" w:sz="4" w:space="0"/>
            </w:tcBorders>
            <w:noWrap w:val="0"/>
            <w:vAlign w:val="top"/>
          </w:tcPr>
          <w:p w14:paraId="61E67125">
            <w:pPr>
              <w:keepNext w:val="0"/>
              <w:keepLines w:val="0"/>
              <w:suppressLineNumbers w:val="0"/>
              <w:snapToGrid w:val="0"/>
              <w:spacing w:before="50" w:beforeAutospacing="0" w:after="120" w:afterLines="50" w:afterAutospacing="0" w:line="400" w:lineRule="exact"/>
              <w:ind w:left="0" w:right="0"/>
              <w:jc w:val="left"/>
              <w:rPr>
                <w:rFonts w:hint="default"/>
                <w:color w:val="auto"/>
                <w:szCs w:val="21"/>
                <w:highlight w:val="none"/>
              </w:rPr>
            </w:pPr>
          </w:p>
        </w:tc>
        <w:tc>
          <w:tcPr>
            <w:tcW w:w="1455" w:type="dxa"/>
            <w:tcBorders>
              <w:top w:val="single" w:color="auto" w:sz="4" w:space="0"/>
              <w:left w:val="single" w:color="auto" w:sz="4" w:space="0"/>
              <w:bottom w:val="single" w:color="auto" w:sz="4" w:space="0"/>
              <w:right w:val="single" w:color="auto" w:sz="4" w:space="0"/>
            </w:tcBorders>
            <w:noWrap w:val="0"/>
            <w:vAlign w:val="top"/>
          </w:tcPr>
          <w:p w14:paraId="73526C18">
            <w:pPr>
              <w:keepNext w:val="0"/>
              <w:keepLines w:val="0"/>
              <w:suppressLineNumbers w:val="0"/>
              <w:snapToGrid w:val="0"/>
              <w:spacing w:before="50" w:beforeAutospacing="0" w:after="120" w:afterLines="50" w:afterAutospacing="0" w:line="400" w:lineRule="exact"/>
              <w:ind w:left="0" w:right="0"/>
              <w:jc w:val="left"/>
              <w:rPr>
                <w:rFonts w:hint="default"/>
                <w:color w:val="auto"/>
                <w:szCs w:val="21"/>
                <w:highlight w:val="none"/>
              </w:rPr>
            </w:pPr>
          </w:p>
        </w:tc>
        <w:tc>
          <w:tcPr>
            <w:tcW w:w="2359" w:type="dxa"/>
            <w:tcBorders>
              <w:top w:val="single" w:color="auto" w:sz="4" w:space="0"/>
              <w:left w:val="single" w:color="auto" w:sz="4" w:space="0"/>
              <w:bottom w:val="single" w:color="auto" w:sz="4" w:space="0"/>
              <w:right w:val="single" w:color="auto" w:sz="4" w:space="0"/>
            </w:tcBorders>
            <w:noWrap w:val="0"/>
            <w:vAlign w:val="top"/>
          </w:tcPr>
          <w:p w14:paraId="52146BC8">
            <w:pPr>
              <w:keepNext w:val="0"/>
              <w:keepLines w:val="0"/>
              <w:suppressLineNumbers w:val="0"/>
              <w:snapToGrid w:val="0"/>
              <w:spacing w:before="50" w:beforeAutospacing="0" w:after="120" w:afterLines="50" w:afterAutospacing="0" w:line="400" w:lineRule="exact"/>
              <w:ind w:left="0" w:right="0"/>
              <w:jc w:val="left"/>
              <w:rPr>
                <w:rFonts w:hint="default"/>
                <w:color w:val="auto"/>
                <w:szCs w:val="21"/>
                <w:highlight w:val="none"/>
              </w:rPr>
            </w:pPr>
          </w:p>
        </w:tc>
        <w:tc>
          <w:tcPr>
            <w:tcW w:w="1241" w:type="dxa"/>
            <w:tcBorders>
              <w:top w:val="single" w:color="auto" w:sz="4" w:space="0"/>
              <w:left w:val="single" w:color="auto" w:sz="4" w:space="0"/>
              <w:bottom w:val="single" w:color="auto" w:sz="4" w:space="0"/>
              <w:right w:val="single" w:color="auto" w:sz="4" w:space="0"/>
            </w:tcBorders>
            <w:noWrap w:val="0"/>
            <w:vAlign w:val="top"/>
          </w:tcPr>
          <w:p w14:paraId="44194324">
            <w:pPr>
              <w:keepNext w:val="0"/>
              <w:keepLines w:val="0"/>
              <w:suppressLineNumbers w:val="0"/>
              <w:snapToGrid w:val="0"/>
              <w:spacing w:before="50" w:beforeAutospacing="0" w:after="120" w:afterLines="50" w:afterAutospacing="0" w:line="400" w:lineRule="exact"/>
              <w:ind w:left="0" w:right="0"/>
              <w:jc w:val="left"/>
              <w:rPr>
                <w:rFonts w:hint="default"/>
                <w:color w:val="auto"/>
                <w:szCs w:val="21"/>
                <w:highlight w:val="none"/>
              </w:rPr>
            </w:pPr>
          </w:p>
        </w:tc>
        <w:tc>
          <w:tcPr>
            <w:tcW w:w="846" w:type="dxa"/>
            <w:tcBorders>
              <w:top w:val="single" w:color="auto" w:sz="4" w:space="0"/>
              <w:left w:val="single" w:color="auto" w:sz="4" w:space="0"/>
              <w:bottom w:val="single" w:color="auto" w:sz="4" w:space="0"/>
              <w:right w:val="single" w:color="auto" w:sz="4" w:space="0"/>
            </w:tcBorders>
            <w:noWrap w:val="0"/>
            <w:vAlign w:val="top"/>
          </w:tcPr>
          <w:p w14:paraId="2BCABEA2">
            <w:pPr>
              <w:keepNext w:val="0"/>
              <w:keepLines w:val="0"/>
              <w:suppressLineNumbers w:val="0"/>
              <w:snapToGrid w:val="0"/>
              <w:spacing w:before="50" w:beforeAutospacing="0" w:after="120" w:afterLines="50" w:afterAutospacing="0" w:line="400" w:lineRule="exact"/>
              <w:ind w:left="0" w:right="0"/>
              <w:jc w:val="left"/>
              <w:rPr>
                <w:rFonts w:hint="default"/>
                <w:color w:val="auto"/>
                <w:szCs w:val="21"/>
                <w:highlight w:val="none"/>
              </w:rPr>
            </w:pPr>
          </w:p>
        </w:tc>
        <w:tc>
          <w:tcPr>
            <w:tcW w:w="927" w:type="dxa"/>
            <w:tcBorders>
              <w:top w:val="single" w:color="auto" w:sz="4" w:space="0"/>
              <w:left w:val="single" w:color="auto" w:sz="4" w:space="0"/>
              <w:bottom w:val="single" w:color="auto" w:sz="4" w:space="0"/>
              <w:right w:val="single" w:color="auto" w:sz="4" w:space="0"/>
            </w:tcBorders>
            <w:noWrap w:val="0"/>
            <w:vAlign w:val="top"/>
          </w:tcPr>
          <w:p w14:paraId="29D7E797">
            <w:pPr>
              <w:keepNext w:val="0"/>
              <w:keepLines w:val="0"/>
              <w:suppressLineNumbers w:val="0"/>
              <w:snapToGrid w:val="0"/>
              <w:spacing w:before="50" w:beforeAutospacing="0" w:after="120" w:afterLines="50" w:afterAutospacing="0" w:line="400" w:lineRule="exact"/>
              <w:ind w:left="0" w:right="0"/>
              <w:jc w:val="left"/>
              <w:rPr>
                <w:rFonts w:hint="default"/>
                <w:color w:val="auto"/>
                <w:szCs w:val="21"/>
                <w:highlight w:val="none"/>
              </w:rPr>
            </w:pPr>
          </w:p>
        </w:tc>
      </w:tr>
      <w:tr w14:paraId="1E5FB5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8" w:hRule="atLeast"/>
        </w:trPr>
        <w:tc>
          <w:tcPr>
            <w:tcW w:w="780" w:type="dxa"/>
            <w:tcBorders>
              <w:top w:val="single" w:color="auto" w:sz="4" w:space="0"/>
              <w:left w:val="single" w:color="auto" w:sz="4" w:space="0"/>
              <w:bottom w:val="single" w:color="auto" w:sz="4" w:space="0"/>
              <w:right w:val="single" w:color="auto" w:sz="4" w:space="0"/>
            </w:tcBorders>
            <w:noWrap w:val="0"/>
            <w:vAlign w:val="top"/>
          </w:tcPr>
          <w:p w14:paraId="1D0333F8">
            <w:pPr>
              <w:keepNext w:val="0"/>
              <w:keepLines w:val="0"/>
              <w:suppressLineNumbers w:val="0"/>
              <w:snapToGrid w:val="0"/>
              <w:spacing w:before="50" w:beforeAutospacing="0" w:after="120" w:afterLines="50" w:afterAutospacing="0" w:line="400" w:lineRule="exact"/>
              <w:ind w:left="0" w:right="0"/>
              <w:jc w:val="left"/>
              <w:rPr>
                <w:rFonts w:hint="default"/>
                <w:color w:val="auto"/>
                <w:szCs w:val="21"/>
                <w:highlight w:val="none"/>
              </w:rPr>
            </w:pPr>
          </w:p>
        </w:tc>
        <w:tc>
          <w:tcPr>
            <w:tcW w:w="1255" w:type="dxa"/>
            <w:tcBorders>
              <w:top w:val="single" w:color="auto" w:sz="4" w:space="0"/>
              <w:left w:val="single" w:color="auto" w:sz="4" w:space="0"/>
              <w:bottom w:val="single" w:color="auto" w:sz="4" w:space="0"/>
              <w:right w:val="single" w:color="auto" w:sz="4" w:space="0"/>
            </w:tcBorders>
            <w:noWrap w:val="0"/>
            <w:vAlign w:val="top"/>
          </w:tcPr>
          <w:p w14:paraId="51531574">
            <w:pPr>
              <w:keepNext w:val="0"/>
              <w:keepLines w:val="0"/>
              <w:suppressLineNumbers w:val="0"/>
              <w:snapToGrid w:val="0"/>
              <w:spacing w:before="50" w:beforeAutospacing="0" w:after="120" w:afterLines="50" w:afterAutospacing="0" w:line="400" w:lineRule="exact"/>
              <w:ind w:left="0" w:right="0"/>
              <w:jc w:val="left"/>
              <w:rPr>
                <w:rFonts w:hint="default"/>
                <w:color w:val="auto"/>
                <w:szCs w:val="21"/>
                <w:highlight w:val="none"/>
              </w:rPr>
            </w:pPr>
          </w:p>
        </w:tc>
        <w:tc>
          <w:tcPr>
            <w:tcW w:w="1455" w:type="dxa"/>
            <w:tcBorders>
              <w:top w:val="single" w:color="auto" w:sz="4" w:space="0"/>
              <w:left w:val="single" w:color="auto" w:sz="4" w:space="0"/>
              <w:bottom w:val="single" w:color="auto" w:sz="4" w:space="0"/>
              <w:right w:val="single" w:color="auto" w:sz="4" w:space="0"/>
            </w:tcBorders>
            <w:noWrap w:val="0"/>
            <w:vAlign w:val="top"/>
          </w:tcPr>
          <w:p w14:paraId="654D8C8D">
            <w:pPr>
              <w:keepNext w:val="0"/>
              <w:keepLines w:val="0"/>
              <w:suppressLineNumbers w:val="0"/>
              <w:snapToGrid w:val="0"/>
              <w:spacing w:before="50" w:beforeAutospacing="0" w:after="120" w:afterLines="50" w:afterAutospacing="0" w:line="400" w:lineRule="exact"/>
              <w:ind w:left="0" w:right="0"/>
              <w:jc w:val="left"/>
              <w:rPr>
                <w:rFonts w:hint="default"/>
                <w:color w:val="auto"/>
                <w:szCs w:val="21"/>
                <w:highlight w:val="none"/>
              </w:rPr>
            </w:pPr>
          </w:p>
        </w:tc>
        <w:tc>
          <w:tcPr>
            <w:tcW w:w="2359" w:type="dxa"/>
            <w:tcBorders>
              <w:top w:val="single" w:color="auto" w:sz="4" w:space="0"/>
              <w:left w:val="single" w:color="auto" w:sz="4" w:space="0"/>
              <w:bottom w:val="single" w:color="auto" w:sz="4" w:space="0"/>
              <w:right w:val="single" w:color="auto" w:sz="4" w:space="0"/>
            </w:tcBorders>
            <w:noWrap w:val="0"/>
            <w:vAlign w:val="top"/>
          </w:tcPr>
          <w:p w14:paraId="4A7B2D4E">
            <w:pPr>
              <w:keepNext w:val="0"/>
              <w:keepLines w:val="0"/>
              <w:suppressLineNumbers w:val="0"/>
              <w:snapToGrid w:val="0"/>
              <w:spacing w:before="50" w:beforeAutospacing="0" w:after="120" w:afterLines="50" w:afterAutospacing="0" w:line="400" w:lineRule="exact"/>
              <w:ind w:left="0" w:right="0"/>
              <w:jc w:val="left"/>
              <w:rPr>
                <w:rFonts w:hint="default"/>
                <w:color w:val="auto"/>
                <w:szCs w:val="21"/>
                <w:highlight w:val="none"/>
              </w:rPr>
            </w:pPr>
          </w:p>
        </w:tc>
        <w:tc>
          <w:tcPr>
            <w:tcW w:w="1241" w:type="dxa"/>
            <w:tcBorders>
              <w:top w:val="single" w:color="auto" w:sz="4" w:space="0"/>
              <w:left w:val="single" w:color="auto" w:sz="4" w:space="0"/>
              <w:bottom w:val="single" w:color="auto" w:sz="4" w:space="0"/>
              <w:right w:val="single" w:color="auto" w:sz="4" w:space="0"/>
            </w:tcBorders>
            <w:noWrap w:val="0"/>
            <w:vAlign w:val="top"/>
          </w:tcPr>
          <w:p w14:paraId="16563729">
            <w:pPr>
              <w:keepNext w:val="0"/>
              <w:keepLines w:val="0"/>
              <w:suppressLineNumbers w:val="0"/>
              <w:snapToGrid w:val="0"/>
              <w:spacing w:before="50" w:beforeAutospacing="0" w:after="120" w:afterLines="50" w:afterAutospacing="0" w:line="400" w:lineRule="exact"/>
              <w:ind w:left="0" w:right="0"/>
              <w:jc w:val="left"/>
              <w:rPr>
                <w:rFonts w:hint="default"/>
                <w:color w:val="auto"/>
                <w:szCs w:val="21"/>
                <w:highlight w:val="none"/>
              </w:rPr>
            </w:pPr>
          </w:p>
        </w:tc>
        <w:tc>
          <w:tcPr>
            <w:tcW w:w="846" w:type="dxa"/>
            <w:tcBorders>
              <w:top w:val="single" w:color="auto" w:sz="4" w:space="0"/>
              <w:left w:val="single" w:color="auto" w:sz="4" w:space="0"/>
              <w:bottom w:val="single" w:color="auto" w:sz="4" w:space="0"/>
              <w:right w:val="single" w:color="auto" w:sz="4" w:space="0"/>
            </w:tcBorders>
            <w:noWrap w:val="0"/>
            <w:vAlign w:val="top"/>
          </w:tcPr>
          <w:p w14:paraId="502C8313">
            <w:pPr>
              <w:keepNext w:val="0"/>
              <w:keepLines w:val="0"/>
              <w:suppressLineNumbers w:val="0"/>
              <w:snapToGrid w:val="0"/>
              <w:spacing w:before="50" w:beforeAutospacing="0" w:after="120" w:afterLines="50" w:afterAutospacing="0" w:line="400" w:lineRule="exact"/>
              <w:ind w:left="0" w:right="0"/>
              <w:jc w:val="left"/>
              <w:rPr>
                <w:rFonts w:hint="default"/>
                <w:color w:val="auto"/>
                <w:szCs w:val="21"/>
                <w:highlight w:val="none"/>
              </w:rPr>
            </w:pPr>
          </w:p>
        </w:tc>
        <w:tc>
          <w:tcPr>
            <w:tcW w:w="927" w:type="dxa"/>
            <w:tcBorders>
              <w:top w:val="single" w:color="auto" w:sz="4" w:space="0"/>
              <w:left w:val="single" w:color="auto" w:sz="4" w:space="0"/>
              <w:bottom w:val="single" w:color="auto" w:sz="4" w:space="0"/>
              <w:right w:val="single" w:color="auto" w:sz="4" w:space="0"/>
            </w:tcBorders>
            <w:noWrap w:val="0"/>
            <w:vAlign w:val="top"/>
          </w:tcPr>
          <w:p w14:paraId="6FDC43A5">
            <w:pPr>
              <w:keepNext w:val="0"/>
              <w:keepLines w:val="0"/>
              <w:suppressLineNumbers w:val="0"/>
              <w:snapToGrid w:val="0"/>
              <w:spacing w:before="50" w:beforeAutospacing="0" w:after="120" w:afterLines="50" w:afterAutospacing="0" w:line="400" w:lineRule="exact"/>
              <w:ind w:left="0" w:right="0"/>
              <w:jc w:val="left"/>
              <w:rPr>
                <w:rFonts w:hint="default"/>
                <w:color w:val="auto"/>
                <w:szCs w:val="21"/>
                <w:highlight w:val="none"/>
              </w:rPr>
            </w:pPr>
          </w:p>
        </w:tc>
      </w:tr>
      <w:tr w14:paraId="5CA3B6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780" w:type="dxa"/>
            <w:tcBorders>
              <w:top w:val="single" w:color="auto" w:sz="4" w:space="0"/>
              <w:left w:val="single" w:color="auto" w:sz="4" w:space="0"/>
              <w:bottom w:val="single" w:color="auto" w:sz="4" w:space="0"/>
              <w:right w:val="single" w:color="auto" w:sz="4" w:space="0"/>
            </w:tcBorders>
            <w:noWrap w:val="0"/>
            <w:vAlign w:val="top"/>
          </w:tcPr>
          <w:p w14:paraId="09EE63EB">
            <w:pPr>
              <w:keepNext w:val="0"/>
              <w:keepLines w:val="0"/>
              <w:suppressLineNumbers w:val="0"/>
              <w:snapToGrid w:val="0"/>
              <w:spacing w:before="50" w:beforeAutospacing="0" w:after="120" w:afterLines="50" w:afterAutospacing="0" w:line="400" w:lineRule="exact"/>
              <w:ind w:left="0" w:right="0"/>
              <w:jc w:val="left"/>
              <w:rPr>
                <w:rFonts w:hint="default"/>
                <w:color w:val="auto"/>
                <w:szCs w:val="21"/>
                <w:highlight w:val="none"/>
              </w:rPr>
            </w:pPr>
          </w:p>
        </w:tc>
        <w:tc>
          <w:tcPr>
            <w:tcW w:w="1255" w:type="dxa"/>
            <w:tcBorders>
              <w:top w:val="single" w:color="auto" w:sz="4" w:space="0"/>
              <w:left w:val="single" w:color="auto" w:sz="4" w:space="0"/>
              <w:bottom w:val="single" w:color="auto" w:sz="4" w:space="0"/>
              <w:right w:val="single" w:color="auto" w:sz="4" w:space="0"/>
            </w:tcBorders>
            <w:noWrap w:val="0"/>
            <w:vAlign w:val="top"/>
          </w:tcPr>
          <w:p w14:paraId="6225AB1C">
            <w:pPr>
              <w:keepNext w:val="0"/>
              <w:keepLines w:val="0"/>
              <w:suppressLineNumbers w:val="0"/>
              <w:snapToGrid w:val="0"/>
              <w:spacing w:before="50" w:beforeAutospacing="0" w:after="120" w:afterLines="50" w:afterAutospacing="0" w:line="400" w:lineRule="exact"/>
              <w:ind w:left="0" w:right="0"/>
              <w:jc w:val="left"/>
              <w:rPr>
                <w:rFonts w:hint="default"/>
                <w:color w:val="auto"/>
                <w:szCs w:val="21"/>
                <w:highlight w:val="none"/>
              </w:rPr>
            </w:pPr>
          </w:p>
        </w:tc>
        <w:tc>
          <w:tcPr>
            <w:tcW w:w="1455" w:type="dxa"/>
            <w:tcBorders>
              <w:top w:val="single" w:color="auto" w:sz="4" w:space="0"/>
              <w:left w:val="single" w:color="auto" w:sz="4" w:space="0"/>
              <w:bottom w:val="single" w:color="auto" w:sz="4" w:space="0"/>
              <w:right w:val="single" w:color="auto" w:sz="4" w:space="0"/>
            </w:tcBorders>
            <w:noWrap w:val="0"/>
            <w:vAlign w:val="top"/>
          </w:tcPr>
          <w:p w14:paraId="117A943A">
            <w:pPr>
              <w:keepNext w:val="0"/>
              <w:keepLines w:val="0"/>
              <w:suppressLineNumbers w:val="0"/>
              <w:snapToGrid w:val="0"/>
              <w:spacing w:before="50" w:beforeAutospacing="0" w:after="120" w:afterLines="50" w:afterAutospacing="0" w:line="400" w:lineRule="exact"/>
              <w:ind w:left="0" w:right="0"/>
              <w:jc w:val="left"/>
              <w:rPr>
                <w:rFonts w:hint="default"/>
                <w:color w:val="auto"/>
                <w:szCs w:val="21"/>
                <w:highlight w:val="none"/>
              </w:rPr>
            </w:pPr>
          </w:p>
        </w:tc>
        <w:tc>
          <w:tcPr>
            <w:tcW w:w="2359" w:type="dxa"/>
            <w:tcBorders>
              <w:top w:val="single" w:color="auto" w:sz="4" w:space="0"/>
              <w:left w:val="single" w:color="auto" w:sz="4" w:space="0"/>
              <w:bottom w:val="single" w:color="auto" w:sz="4" w:space="0"/>
              <w:right w:val="single" w:color="auto" w:sz="4" w:space="0"/>
            </w:tcBorders>
            <w:noWrap w:val="0"/>
            <w:vAlign w:val="top"/>
          </w:tcPr>
          <w:p w14:paraId="7130E354">
            <w:pPr>
              <w:keepNext w:val="0"/>
              <w:keepLines w:val="0"/>
              <w:suppressLineNumbers w:val="0"/>
              <w:snapToGrid w:val="0"/>
              <w:spacing w:before="50" w:beforeAutospacing="0" w:after="120" w:afterLines="50" w:afterAutospacing="0" w:line="400" w:lineRule="exact"/>
              <w:ind w:left="0" w:right="0"/>
              <w:jc w:val="left"/>
              <w:rPr>
                <w:rFonts w:hint="default"/>
                <w:color w:val="auto"/>
                <w:szCs w:val="21"/>
                <w:highlight w:val="none"/>
              </w:rPr>
            </w:pPr>
          </w:p>
        </w:tc>
        <w:tc>
          <w:tcPr>
            <w:tcW w:w="1241" w:type="dxa"/>
            <w:tcBorders>
              <w:top w:val="single" w:color="auto" w:sz="4" w:space="0"/>
              <w:left w:val="single" w:color="auto" w:sz="4" w:space="0"/>
              <w:bottom w:val="single" w:color="auto" w:sz="4" w:space="0"/>
              <w:right w:val="single" w:color="auto" w:sz="4" w:space="0"/>
            </w:tcBorders>
            <w:noWrap w:val="0"/>
            <w:vAlign w:val="top"/>
          </w:tcPr>
          <w:p w14:paraId="0AB22673">
            <w:pPr>
              <w:keepNext w:val="0"/>
              <w:keepLines w:val="0"/>
              <w:suppressLineNumbers w:val="0"/>
              <w:snapToGrid w:val="0"/>
              <w:spacing w:before="50" w:beforeAutospacing="0" w:after="120" w:afterLines="50" w:afterAutospacing="0" w:line="400" w:lineRule="exact"/>
              <w:ind w:left="0" w:right="0"/>
              <w:jc w:val="left"/>
              <w:rPr>
                <w:rFonts w:hint="default"/>
                <w:color w:val="auto"/>
                <w:szCs w:val="21"/>
                <w:highlight w:val="none"/>
              </w:rPr>
            </w:pPr>
          </w:p>
        </w:tc>
        <w:tc>
          <w:tcPr>
            <w:tcW w:w="846" w:type="dxa"/>
            <w:tcBorders>
              <w:top w:val="single" w:color="auto" w:sz="4" w:space="0"/>
              <w:left w:val="single" w:color="auto" w:sz="4" w:space="0"/>
              <w:bottom w:val="single" w:color="auto" w:sz="4" w:space="0"/>
              <w:right w:val="single" w:color="auto" w:sz="4" w:space="0"/>
            </w:tcBorders>
            <w:noWrap w:val="0"/>
            <w:vAlign w:val="top"/>
          </w:tcPr>
          <w:p w14:paraId="2FEDCD2A">
            <w:pPr>
              <w:keepNext w:val="0"/>
              <w:keepLines w:val="0"/>
              <w:suppressLineNumbers w:val="0"/>
              <w:snapToGrid w:val="0"/>
              <w:spacing w:before="50" w:beforeAutospacing="0" w:after="120" w:afterLines="50" w:afterAutospacing="0" w:line="400" w:lineRule="exact"/>
              <w:ind w:left="0" w:right="0"/>
              <w:jc w:val="left"/>
              <w:rPr>
                <w:rFonts w:hint="default"/>
                <w:color w:val="auto"/>
                <w:szCs w:val="21"/>
                <w:highlight w:val="none"/>
              </w:rPr>
            </w:pPr>
          </w:p>
        </w:tc>
        <w:tc>
          <w:tcPr>
            <w:tcW w:w="927" w:type="dxa"/>
            <w:tcBorders>
              <w:top w:val="single" w:color="auto" w:sz="4" w:space="0"/>
              <w:left w:val="single" w:color="auto" w:sz="4" w:space="0"/>
              <w:bottom w:val="single" w:color="auto" w:sz="4" w:space="0"/>
              <w:right w:val="single" w:color="auto" w:sz="4" w:space="0"/>
            </w:tcBorders>
            <w:noWrap w:val="0"/>
            <w:vAlign w:val="top"/>
          </w:tcPr>
          <w:p w14:paraId="4E718160">
            <w:pPr>
              <w:keepNext w:val="0"/>
              <w:keepLines w:val="0"/>
              <w:suppressLineNumbers w:val="0"/>
              <w:snapToGrid w:val="0"/>
              <w:spacing w:before="50" w:beforeAutospacing="0" w:after="120" w:afterLines="50" w:afterAutospacing="0" w:line="400" w:lineRule="exact"/>
              <w:ind w:left="0" w:right="0"/>
              <w:jc w:val="left"/>
              <w:rPr>
                <w:rFonts w:hint="default"/>
                <w:color w:val="auto"/>
                <w:szCs w:val="21"/>
                <w:highlight w:val="none"/>
              </w:rPr>
            </w:pPr>
          </w:p>
        </w:tc>
      </w:tr>
      <w:tr w14:paraId="61992E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780" w:type="dxa"/>
            <w:tcBorders>
              <w:top w:val="single" w:color="auto" w:sz="4" w:space="0"/>
              <w:left w:val="single" w:color="auto" w:sz="4" w:space="0"/>
              <w:bottom w:val="single" w:color="auto" w:sz="4" w:space="0"/>
              <w:right w:val="single" w:color="auto" w:sz="4" w:space="0"/>
            </w:tcBorders>
            <w:noWrap w:val="0"/>
            <w:vAlign w:val="top"/>
          </w:tcPr>
          <w:p w14:paraId="5026DDCB">
            <w:pPr>
              <w:keepNext w:val="0"/>
              <w:keepLines w:val="0"/>
              <w:suppressLineNumbers w:val="0"/>
              <w:snapToGrid w:val="0"/>
              <w:spacing w:before="50" w:beforeAutospacing="0" w:after="120" w:afterLines="50" w:afterAutospacing="0" w:line="400" w:lineRule="exact"/>
              <w:ind w:left="0" w:right="0"/>
              <w:jc w:val="left"/>
              <w:rPr>
                <w:rFonts w:hint="default"/>
                <w:color w:val="auto"/>
                <w:szCs w:val="21"/>
                <w:highlight w:val="none"/>
              </w:rPr>
            </w:pPr>
          </w:p>
        </w:tc>
        <w:tc>
          <w:tcPr>
            <w:tcW w:w="1255" w:type="dxa"/>
            <w:tcBorders>
              <w:top w:val="single" w:color="auto" w:sz="4" w:space="0"/>
              <w:left w:val="single" w:color="auto" w:sz="4" w:space="0"/>
              <w:bottom w:val="single" w:color="auto" w:sz="4" w:space="0"/>
              <w:right w:val="single" w:color="auto" w:sz="4" w:space="0"/>
            </w:tcBorders>
            <w:noWrap w:val="0"/>
            <w:vAlign w:val="top"/>
          </w:tcPr>
          <w:p w14:paraId="50E3B546">
            <w:pPr>
              <w:keepNext w:val="0"/>
              <w:keepLines w:val="0"/>
              <w:suppressLineNumbers w:val="0"/>
              <w:snapToGrid w:val="0"/>
              <w:spacing w:before="50" w:beforeAutospacing="0" w:after="120" w:afterLines="50" w:afterAutospacing="0" w:line="400" w:lineRule="exact"/>
              <w:ind w:left="0" w:right="0"/>
              <w:jc w:val="left"/>
              <w:rPr>
                <w:rFonts w:hint="default"/>
                <w:color w:val="auto"/>
                <w:szCs w:val="21"/>
                <w:highlight w:val="none"/>
              </w:rPr>
            </w:pPr>
          </w:p>
        </w:tc>
        <w:tc>
          <w:tcPr>
            <w:tcW w:w="1455" w:type="dxa"/>
            <w:tcBorders>
              <w:top w:val="single" w:color="auto" w:sz="4" w:space="0"/>
              <w:left w:val="single" w:color="auto" w:sz="4" w:space="0"/>
              <w:bottom w:val="single" w:color="auto" w:sz="4" w:space="0"/>
              <w:right w:val="single" w:color="auto" w:sz="4" w:space="0"/>
            </w:tcBorders>
            <w:noWrap w:val="0"/>
            <w:vAlign w:val="top"/>
          </w:tcPr>
          <w:p w14:paraId="7D3968D0">
            <w:pPr>
              <w:keepNext w:val="0"/>
              <w:keepLines w:val="0"/>
              <w:suppressLineNumbers w:val="0"/>
              <w:snapToGrid w:val="0"/>
              <w:spacing w:before="50" w:beforeAutospacing="0" w:after="120" w:afterLines="50" w:afterAutospacing="0" w:line="400" w:lineRule="exact"/>
              <w:ind w:left="0" w:right="0"/>
              <w:jc w:val="left"/>
              <w:rPr>
                <w:rFonts w:hint="default"/>
                <w:color w:val="auto"/>
                <w:szCs w:val="21"/>
                <w:highlight w:val="none"/>
              </w:rPr>
            </w:pPr>
          </w:p>
        </w:tc>
        <w:tc>
          <w:tcPr>
            <w:tcW w:w="2359" w:type="dxa"/>
            <w:tcBorders>
              <w:top w:val="single" w:color="auto" w:sz="4" w:space="0"/>
              <w:left w:val="single" w:color="auto" w:sz="4" w:space="0"/>
              <w:bottom w:val="single" w:color="auto" w:sz="4" w:space="0"/>
              <w:right w:val="single" w:color="auto" w:sz="4" w:space="0"/>
            </w:tcBorders>
            <w:noWrap w:val="0"/>
            <w:vAlign w:val="top"/>
          </w:tcPr>
          <w:p w14:paraId="40AFF940">
            <w:pPr>
              <w:keepNext w:val="0"/>
              <w:keepLines w:val="0"/>
              <w:suppressLineNumbers w:val="0"/>
              <w:snapToGrid w:val="0"/>
              <w:spacing w:before="50" w:beforeAutospacing="0" w:after="120" w:afterLines="50" w:afterAutospacing="0" w:line="400" w:lineRule="exact"/>
              <w:ind w:left="0" w:right="0"/>
              <w:jc w:val="left"/>
              <w:rPr>
                <w:rFonts w:hint="default"/>
                <w:color w:val="auto"/>
                <w:szCs w:val="21"/>
                <w:highlight w:val="none"/>
              </w:rPr>
            </w:pPr>
          </w:p>
        </w:tc>
        <w:tc>
          <w:tcPr>
            <w:tcW w:w="1241" w:type="dxa"/>
            <w:tcBorders>
              <w:top w:val="single" w:color="auto" w:sz="4" w:space="0"/>
              <w:left w:val="single" w:color="auto" w:sz="4" w:space="0"/>
              <w:bottom w:val="single" w:color="auto" w:sz="4" w:space="0"/>
              <w:right w:val="single" w:color="auto" w:sz="4" w:space="0"/>
            </w:tcBorders>
            <w:noWrap w:val="0"/>
            <w:vAlign w:val="top"/>
          </w:tcPr>
          <w:p w14:paraId="296DC0E1">
            <w:pPr>
              <w:keepNext w:val="0"/>
              <w:keepLines w:val="0"/>
              <w:suppressLineNumbers w:val="0"/>
              <w:snapToGrid w:val="0"/>
              <w:spacing w:before="50" w:beforeAutospacing="0" w:after="120" w:afterLines="50" w:afterAutospacing="0" w:line="400" w:lineRule="exact"/>
              <w:ind w:left="0" w:right="0"/>
              <w:jc w:val="left"/>
              <w:rPr>
                <w:rFonts w:hint="default"/>
                <w:color w:val="auto"/>
                <w:szCs w:val="21"/>
                <w:highlight w:val="none"/>
              </w:rPr>
            </w:pPr>
          </w:p>
        </w:tc>
        <w:tc>
          <w:tcPr>
            <w:tcW w:w="846" w:type="dxa"/>
            <w:tcBorders>
              <w:top w:val="single" w:color="auto" w:sz="4" w:space="0"/>
              <w:left w:val="single" w:color="auto" w:sz="4" w:space="0"/>
              <w:bottom w:val="single" w:color="auto" w:sz="4" w:space="0"/>
              <w:right w:val="single" w:color="auto" w:sz="4" w:space="0"/>
            </w:tcBorders>
            <w:noWrap w:val="0"/>
            <w:vAlign w:val="top"/>
          </w:tcPr>
          <w:p w14:paraId="06ADCD52">
            <w:pPr>
              <w:keepNext w:val="0"/>
              <w:keepLines w:val="0"/>
              <w:suppressLineNumbers w:val="0"/>
              <w:snapToGrid w:val="0"/>
              <w:spacing w:before="50" w:beforeAutospacing="0" w:after="120" w:afterLines="50" w:afterAutospacing="0" w:line="400" w:lineRule="exact"/>
              <w:ind w:left="0" w:right="0"/>
              <w:jc w:val="left"/>
              <w:rPr>
                <w:rFonts w:hint="default"/>
                <w:color w:val="auto"/>
                <w:szCs w:val="21"/>
                <w:highlight w:val="none"/>
              </w:rPr>
            </w:pPr>
          </w:p>
        </w:tc>
        <w:tc>
          <w:tcPr>
            <w:tcW w:w="927" w:type="dxa"/>
            <w:tcBorders>
              <w:top w:val="single" w:color="auto" w:sz="4" w:space="0"/>
              <w:left w:val="single" w:color="auto" w:sz="4" w:space="0"/>
              <w:bottom w:val="single" w:color="auto" w:sz="4" w:space="0"/>
              <w:right w:val="single" w:color="auto" w:sz="4" w:space="0"/>
            </w:tcBorders>
            <w:noWrap w:val="0"/>
            <w:vAlign w:val="top"/>
          </w:tcPr>
          <w:p w14:paraId="6DBC512E">
            <w:pPr>
              <w:keepNext w:val="0"/>
              <w:keepLines w:val="0"/>
              <w:suppressLineNumbers w:val="0"/>
              <w:snapToGrid w:val="0"/>
              <w:spacing w:before="50" w:beforeAutospacing="0" w:after="120" w:afterLines="50" w:afterAutospacing="0" w:line="400" w:lineRule="exact"/>
              <w:ind w:left="0" w:right="0"/>
              <w:jc w:val="left"/>
              <w:rPr>
                <w:rFonts w:hint="default"/>
                <w:color w:val="auto"/>
                <w:szCs w:val="21"/>
                <w:highlight w:val="none"/>
              </w:rPr>
            </w:pPr>
          </w:p>
        </w:tc>
      </w:tr>
    </w:tbl>
    <w:p w14:paraId="354989A1">
      <w:pPr>
        <w:pStyle w:val="15"/>
        <w:snapToGrid w:val="0"/>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注：</w:t>
      </w:r>
    </w:p>
    <w:p w14:paraId="3BF8829C">
      <w:pPr>
        <w:pStyle w:val="15"/>
        <w:snapToGrid w:val="0"/>
        <w:rPr>
          <w:rFonts w:hint="eastAsia" w:ascii="Times New Roman" w:hAnsi="Times New Roman" w:eastAsia="宋体" w:cs="Times New Roman"/>
          <w:color w:val="auto"/>
          <w:sz w:val="21"/>
          <w:szCs w:val="21"/>
          <w:highlight w:val="none"/>
        </w:rPr>
      </w:pPr>
      <w:r>
        <w:rPr>
          <w:rFonts w:ascii="Times New Roman" w:hAnsi="Times New Roman" w:eastAsia="宋体" w:cs="Times New Roman"/>
          <w:color w:val="auto"/>
          <w:szCs w:val="21"/>
          <w:highlight w:val="none"/>
        </w:rPr>
        <w:t>（1）</w:t>
      </w:r>
      <w:r>
        <w:rPr>
          <w:rFonts w:ascii="Times New Roman" w:hAnsi="Times New Roman" w:eastAsia="宋体" w:cs="Times New Roman"/>
          <w:color w:val="auto"/>
          <w:sz w:val="21"/>
          <w:szCs w:val="21"/>
          <w:highlight w:val="none"/>
        </w:rPr>
        <w:t>未附</w:t>
      </w:r>
      <w:r>
        <w:rPr>
          <w:rFonts w:hint="eastAsia" w:ascii="Times New Roman" w:hAnsi="Times New Roman" w:eastAsia="宋体" w:cs="Times New Roman"/>
          <w:color w:val="auto"/>
          <w:sz w:val="21"/>
          <w:szCs w:val="21"/>
          <w:highlight w:val="none"/>
        </w:rPr>
        <w:t>证明材料</w:t>
      </w:r>
      <w:r>
        <w:rPr>
          <w:rFonts w:ascii="Times New Roman" w:hAnsi="Times New Roman" w:eastAsia="宋体" w:cs="Times New Roman"/>
          <w:color w:val="auto"/>
          <w:sz w:val="21"/>
          <w:szCs w:val="21"/>
          <w:highlight w:val="none"/>
        </w:rPr>
        <w:t>的业绩无效</w:t>
      </w:r>
      <w:r>
        <w:rPr>
          <w:rFonts w:hint="eastAsia" w:ascii="Times New Roman" w:hAnsi="Times New Roman" w:eastAsia="宋体" w:cs="Times New Roman"/>
          <w:color w:val="auto"/>
          <w:sz w:val="21"/>
          <w:szCs w:val="21"/>
          <w:highlight w:val="none"/>
        </w:rPr>
        <w:t>，证明材料</w:t>
      </w:r>
      <w:r>
        <w:rPr>
          <w:rFonts w:ascii="Times New Roman" w:hAnsi="Times New Roman" w:eastAsia="宋体" w:cs="Times New Roman"/>
          <w:color w:val="auto"/>
          <w:sz w:val="21"/>
          <w:szCs w:val="21"/>
          <w:highlight w:val="none"/>
        </w:rPr>
        <w:t>见第四章《评审方法及标准》规定</w:t>
      </w:r>
      <w:r>
        <w:rPr>
          <w:rFonts w:hint="eastAsia" w:ascii="Times New Roman" w:hAnsi="Times New Roman" w:eastAsia="宋体" w:cs="Times New Roman"/>
          <w:color w:val="auto"/>
          <w:sz w:val="21"/>
          <w:szCs w:val="21"/>
          <w:highlight w:val="none"/>
        </w:rPr>
        <w:t>。</w:t>
      </w:r>
    </w:p>
    <w:p w14:paraId="1FEE3914">
      <w:pPr>
        <w:pStyle w:val="15"/>
        <w:snapToGrid w:val="0"/>
        <w:rPr>
          <w:rFonts w:ascii="Times New Roman" w:hAnsi="Times New Roman" w:eastAsia="宋体" w:cs="Times New Roman"/>
          <w:color w:val="auto"/>
          <w:sz w:val="21"/>
          <w:szCs w:val="21"/>
          <w:highlight w:val="none"/>
        </w:rPr>
      </w:pPr>
      <w:r>
        <w:rPr>
          <w:rFonts w:ascii="Times New Roman" w:hAnsi="Times New Roman" w:eastAsia="宋体" w:cs="Times New Roman"/>
          <w:color w:val="auto"/>
          <w:szCs w:val="21"/>
          <w:highlight w:val="none"/>
        </w:rPr>
        <w:t>（2）</w:t>
      </w:r>
      <w:r>
        <w:rPr>
          <w:rFonts w:ascii="Times New Roman" w:hAnsi="Times New Roman" w:eastAsia="宋体" w:cs="Times New Roman"/>
          <w:color w:val="auto"/>
          <w:sz w:val="21"/>
          <w:szCs w:val="21"/>
          <w:highlight w:val="none"/>
        </w:rPr>
        <w:t>类似项目的定义见第四章《评审方法及标准》规定。</w:t>
      </w:r>
    </w:p>
    <w:p w14:paraId="313472C1">
      <w:pPr>
        <w:rPr>
          <w:color w:val="auto"/>
          <w:highlight w:val="none"/>
        </w:rPr>
      </w:pPr>
      <w:r>
        <w:rPr>
          <w:color w:val="auto"/>
          <w:szCs w:val="21"/>
          <w:highlight w:val="none"/>
        </w:rPr>
        <w:t>（3）</w:t>
      </w:r>
      <w:r>
        <w:rPr>
          <w:color w:val="auto"/>
          <w:highlight w:val="none"/>
        </w:rPr>
        <w:t>本表可拓展</w:t>
      </w:r>
    </w:p>
    <w:p w14:paraId="32D0CD7E">
      <w:pPr>
        <w:snapToGrid w:val="0"/>
        <w:spacing w:before="50"/>
        <w:jc w:val="left"/>
        <w:rPr>
          <w:color w:val="auto"/>
          <w:szCs w:val="21"/>
          <w:highlight w:val="none"/>
        </w:rPr>
      </w:pPr>
    </w:p>
    <w:p w14:paraId="2FCD3EB7">
      <w:pPr>
        <w:snapToGrid w:val="0"/>
        <w:spacing w:before="50"/>
        <w:jc w:val="left"/>
        <w:rPr>
          <w:rFonts w:hint="eastAsia"/>
          <w:color w:val="auto"/>
          <w:szCs w:val="21"/>
          <w:highlight w:val="none"/>
        </w:rPr>
        <w:sectPr>
          <w:headerReference r:id="rId17" w:type="default"/>
          <w:footerReference r:id="rId18" w:type="default"/>
          <w:pgSz w:w="11906" w:h="16838"/>
          <w:pgMar w:top="1418" w:right="1418" w:bottom="1418" w:left="1274" w:header="851" w:footer="992" w:gutter="0"/>
          <w:cols w:space="720" w:num="1"/>
          <w:docGrid w:linePitch="312" w:charSpace="0"/>
        </w:sect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r>
        <w:rPr>
          <w:color w:val="auto"/>
          <w:szCs w:val="21"/>
          <w:highlight w:val="none"/>
        </w:rPr>
        <w:t xml:space="preserve">                                          年    月   </w:t>
      </w:r>
    </w:p>
    <w:p w14:paraId="08AB6B84">
      <w:pPr>
        <w:snapToGrid w:val="0"/>
        <w:spacing w:before="50" w:after="120" w:afterLines="50"/>
        <w:jc w:val="left"/>
        <w:rPr>
          <w:color w:val="auto"/>
          <w:szCs w:val="21"/>
          <w:highlight w:val="none"/>
        </w:rPr>
      </w:pPr>
      <w:bookmarkStart w:id="97" w:name="_Hlk93046716"/>
      <w:bookmarkStart w:id="98" w:name="_Hlk19110561"/>
      <w:r>
        <w:rPr>
          <w:color w:val="auto"/>
          <w:szCs w:val="21"/>
          <w:highlight w:val="none"/>
        </w:rPr>
        <w:t>1</w:t>
      </w:r>
      <w:r>
        <w:rPr>
          <w:rFonts w:hint="eastAsia"/>
          <w:color w:val="auto"/>
          <w:szCs w:val="21"/>
          <w:highlight w:val="none"/>
          <w:lang w:val="en-US" w:eastAsia="zh-CN"/>
        </w:rPr>
        <w:t>4</w:t>
      </w:r>
      <w:r>
        <w:rPr>
          <w:color w:val="auto"/>
          <w:szCs w:val="21"/>
          <w:highlight w:val="none"/>
        </w:rPr>
        <w:t>.</w:t>
      </w:r>
      <w:r>
        <w:rPr>
          <w:rFonts w:hint="eastAsia"/>
          <w:color w:val="auto"/>
          <w:highlight w:val="none"/>
        </w:rPr>
        <w:t xml:space="preserve"> </w:t>
      </w:r>
      <w:r>
        <w:rPr>
          <w:rFonts w:hint="eastAsia"/>
          <w:color w:val="auto"/>
          <w:szCs w:val="21"/>
          <w:highlight w:val="none"/>
        </w:rPr>
        <w:t>无串标行为承诺函</w:t>
      </w:r>
    </w:p>
    <w:p w14:paraId="1979DF5D">
      <w:pPr>
        <w:snapToGrid w:val="0"/>
        <w:spacing w:before="50" w:after="120" w:afterLines="50"/>
        <w:jc w:val="center"/>
        <w:rPr>
          <w:color w:val="auto"/>
          <w:szCs w:val="21"/>
          <w:highlight w:val="none"/>
        </w:rPr>
      </w:pPr>
    </w:p>
    <w:p w14:paraId="6F0F1F6B">
      <w:pPr>
        <w:snapToGrid w:val="0"/>
        <w:spacing w:before="50" w:after="120" w:afterLines="50"/>
        <w:jc w:val="center"/>
        <w:rPr>
          <w:color w:val="auto"/>
          <w:szCs w:val="21"/>
          <w:highlight w:val="none"/>
        </w:rPr>
      </w:pPr>
      <w:r>
        <w:rPr>
          <w:rFonts w:hint="eastAsia"/>
          <w:color w:val="auto"/>
          <w:szCs w:val="21"/>
          <w:highlight w:val="none"/>
        </w:rPr>
        <w:t>供应商参加本项目无围标串标行为的承诺函</w:t>
      </w:r>
    </w:p>
    <w:p w14:paraId="45136CC7">
      <w:pPr>
        <w:snapToGrid w:val="0"/>
        <w:spacing w:before="50" w:after="120" w:afterLines="50"/>
        <w:jc w:val="left"/>
        <w:rPr>
          <w:color w:val="auto"/>
          <w:szCs w:val="21"/>
          <w:highlight w:val="none"/>
        </w:rPr>
      </w:pPr>
    </w:p>
    <w:p w14:paraId="6AD16309">
      <w:pPr>
        <w:snapToGrid w:val="0"/>
        <w:spacing w:before="50" w:after="120" w:afterLines="50"/>
        <w:jc w:val="left"/>
        <w:rPr>
          <w:color w:val="auto"/>
          <w:szCs w:val="21"/>
          <w:highlight w:val="none"/>
        </w:rPr>
      </w:pPr>
      <w:r>
        <w:rPr>
          <w:rFonts w:hint="eastAsia"/>
          <w:color w:val="auto"/>
          <w:szCs w:val="21"/>
          <w:highlight w:val="none"/>
        </w:rPr>
        <w:t>一、我方承诺无下列相互串通投标的情形：</w:t>
      </w:r>
    </w:p>
    <w:p w14:paraId="7A8E1686">
      <w:pPr>
        <w:snapToGrid w:val="0"/>
        <w:spacing w:before="50" w:after="120" w:afterLines="50"/>
        <w:jc w:val="left"/>
        <w:rPr>
          <w:color w:val="auto"/>
          <w:szCs w:val="21"/>
          <w:highlight w:val="none"/>
        </w:rPr>
      </w:pPr>
      <w:r>
        <w:rPr>
          <w:rFonts w:hint="eastAsia"/>
          <w:color w:val="auto"/>
          <w:szCs w:val="21"/>
          <w:highlight w:val="none"/>
        </w:rPr>
        <w:t>1.不同供应商的响应文件由同一单位或者个人编制；或者不同供应商报名的IP地址一致的；</w:t>
      </w:r>
    </w:p>
    <w:p w14:paraId="0A3AC8F0">
      <w:pPr>
        <w:snapToGrid w:val="0"/>
        <w:spacing w:before="50" w:after="120" w:afterLines="50"/>
        <w:jc w:val="left"/>
        <w:rPr>
          <w:color w:val="auto"/>
          <w:szCs w:val="21"/>
          <w:highlight w:val="none"/>
        </w:rPr>
      </w:pPr>
      <w:r>
        <w:rPr>
          <w:rFonts w:hint="eastAsia"/>
          <w:color w:val="auto"/>
          <w:szCs w:val="21"/>
          <w:highlight w:val="none"/>
        </w:rPr>
        <w:t>2.不同供应商委托同一单位或者个人办理投标事宜；</w:t>
      </w:r>
    </w:p>
    <w:p w14:paraId="05E13778">
      <w:pPr>
        <w:snapToGrid w:val="0"/>
        <w:spacing w:before="50" w:after="120" w:afterLines="50"/>
        <w:jc w:val="left"/>
        <w:rPr>
          <w:color w:val="auto"/>
          <w:szCs w:val="21"/>
          <w:highlight w:val="none"/>
        </w:rPr>
      </w:pPr>
      <w:r>
        <w:rPr>
          <w:rFonts w:hint="eastAsia"/>
          <w:color w:val="auto"/>
          <w:szCs w:val="21"/>
          <w:highlight w:val="none"/>
        </w:rPr>
        <w:t>3.不同的供应商的响应文件载明的项目管理员为同一个人；</w:t>
      </w:r>
    </w:p>
    <w:p w14:paraId="7C01939A">
      <w:pPr>
        <w:snapToGrid w:val="0"/>
        <w:spacing w:before="50" w:after="120" w:afterLines="50"/>
        <w:jc w:val="left"/>
        <w:rPr>
          <w:color w:val="auto"/>
          <w:szCs w:val="21"/>
          <w:highlight w:val="none"/>
        </w:rPr>
      </w:pPr>
      <w:r>
        <w:rPr>
          <w:rFonts w:hint="eastAsia"/>
          <w:color w:val="auto"/>
          <w:szCs w:val="21"/>
          <w:highlight w:val="none"/>
        </w:rPr>
        <w:t>4.不同供应商的响应文件异常一致或者投标报价呈规律性差异；</w:t>
      </w:r>
    </w:p>
    <w:p w14:paraId="49618368">
      <w:pPr>
        <w:snapToGrid w:val="0"/>
        <w:spacing w:before="50" w:after="120" w:afterLines="50"/>
        <w:jc w:val="left"/>
        <w:rPr>
          <w:color w:val="auto"/>
          <w:szCs w:val="21"/>
          <w:highlight w:val="none"/>
        </w:rPr>
      </w:pPr>
      <w:r>
        <w:rPr>
          <w:rFonts w:hint="eastAsia"/>
          <w:color w:val="auto"/>
          <w:szCs w:val="21"/>
          <w:highlight w:val="none"/>
        </w:rPr>
        <w:t>5.不同供应商的响应文件相互混装；</w:t>
      </w:r>
    </w:p>
    <w:p w14:paraId="1C2BFEED">
      <w:pPr>
        <w:snapToGrid w:val="0"/>
        <w:spacing w:before="50" w:after="120" w:afterLines="50"/>
        <w:jc w:val="left"/>
        <w:rPr>
          <w:color w:val="auto"/>
          <w:szCs w:val="21"/>
          <w:highlight w:val="none"/>
        </w:rPr>
      </w:pPr>
      <w:r>
        <w:rPr>
          <w:rFonts w:hint="eastAsia"/>
          <w:color w:val="auto"/>
          <w:szCs w:val="21"/>
          <w:highlight w:val="none"/>
        </w:rPr>
        <w:t>6.不同供应商的磋商保证金从同一单位或者个人账户转出。</w:t>
      </w:r>
    </w:p>
    <w:p w14:paraId="7BC27136">
      <w:pPr>
        <w:snapToGrid w:val="0"/>
        <w:spacing w:before="50" w:after="120" w:afterLines="50"/>
        <w:jc w:val="left"/>
        <w:rPr>
          <w:color w:val="auto"/>
          <w:szCs w:val="21"/>
          <w:highlight w:val="none"/>
        </w:rPr>
      </w:pPr>
      <w:r>
        <w:rPr>
          <w:rFonts w:hint="eastAsia"/>
          <w:color w:val="auto"/>
          <w:szCs w:val="21"/>
          <w:highlight w:val="none"/>
        </w:rPr>
        <w:t>二、我方承诺无下列恶意串通的情形：</w:t>
      </w:r>
    </w:p>
    <w:p w14:paraId="6BF7647F">
      <w:pPr>
        <w:snapToGrid w:val="0"/>
        <w:spacing w:before="50" w:after="120" w:afterLines="50"/>
        <w:jc w:val="left"/>
        <w:rPr>
          <w:color w:val="auto"/>
          <w:szCs w:val="21"/>
          <w:highlight w:val="none"/>
        </w:rPr>
      </w:pPr>
      <w:r>
        <w:rPr>
          <w:rFonts w:hint="eastAsia"/>
          <w:color w:val="auto"/>
          <w:szCs w:val="21"/>
          <w:highlight w:val="none"/>
        </w:rPr>
        <w:t>1.供应商直接或者间接从采购人或者采购代理机构处获得其他供应商的相关信息并修改其响应文件或者响应文件；</w:t>
      </w:r>
    </w:p>
    <w:p w14:paraId="03ABB05B">
      <w:pPr>
        <w:snapToGrid w:val="0"/>
        <w:spacing w:before="50" w:after="120" w:afterLines="50"/>
        <w:jc w:val="left"/>
        <w:rPr>
          <w:color w:val="auto"/>
          <w:szCs w:val="21"/>
          <w:highlight w:val="none"/>
        </w:rPr>
      </w:pPr>
      <w:r>
        <w:rPr>
          <w:rFonts w:hint="eastAsia"/>
          <w:color w:val="auto"/>
          <w:szCs w:val="21"/>
          <w:highlight w:val="none"/>
        </w:rPr>
        <w:t>2.供应商按照采购人或者采购代理机构的授意撤换、修改响应文件或者响应文件；</w:t>
      </w:r>
    </w:p>
    <w:p w14:paraId="0926A0AE">
      <w:pPr>
        <w:snapToGrid w:val="0"/>
        <w:spacing w:before="50" w:after="120" w:afterLines="50"/>
        <w:jc w:val="left"/>
        <w:rPr>
          <w:color w:val="auto"/>
          <w:szCs w:val="21"/>
          <w:highlight w:val="none"/>
        </w:rPr>
      </w:pPr>
      <w:r>
        <w:rPr>
          <w:rFonts w:hint="eastAsia"/>
          <w:color w:val="auto"/>
          <w:szCs w:val="21"/>
          <w:highlight w:val="none"/>
        </w:rPr>
        <w:t>3.供应商之间协商报价、技术方案等响应文件或者响应文件的实质性内容；</w:t>
      </w:r>
    </w:p>
    <w:p w14:paraId="61B1E46B">
      <w:pPr>
        <w:snapToGrid w:val="0"/>
        <w:spacing w:before="50" w:after="120" w:afterLines="50"/>
        <w:jc w:val="left"/>
        <w:rPr>
          <w:color w:val="auto"/>
          <w:szCs w:val="21"/>
          <w:highlight w:val="none"/>
        </w:rPr>
      </w:pPr>
      <w:r>
        <w:rPr>
          <w:rFonts w:hint="eastAsia"/>
          <w:color w:val="auto"/>
          <w:szCs w:val="21"/>
          <w:highlight w:val="none"/>
        </w:rPr>
        <w:t>4.属于同一集团、协会、商会等组织成员的供应商按照该组织要求协同参加政府采购活动；</w:t>
      </w:r>
    </w:p>
    <w:p w14:paraId="0BDB1468">
      <w:pPr>
        <w:snapToGrid w:val="0"/>
        <w:spacing w:before="50" w:after="120" w:afterLines="50"/>
        <w:jc w:val="left"/>
        <w:rPr>
          <w:color w:val="auto"/>
          <w:szCs w:val="21"/>
          <w:highlight w:val="none"/>
        </w:rPr>
      </w:pPr>
      <w:r>
        <w:rPr>
          <w:rFonts w:hint="eastAsia"/>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02FFFB46">
      <w:pPr>
        <w:snapToGrid w:val="0"/>
        <w:spacing w:before="50" w:after="120" w:afterLines="50"/>
        <w:jc w:val="left"/>
        <w:rPr>
          <w:color w:val="auto"/>
          <w:szCs w:val="21"/>
          <w:highlight w:val="none"/>
        </w:rPr>
      </w:pPr>
      <w:r>
        <w:rPr>
          <w:rFonts w:hint="eastAsia"/>
          <w:color w:val="auto"/>
          <w:szCs w:val="21"/>
          <w:highlight w:val="none"/>
        </w:rPr>
        <w:t>6.供应商之间商定部分供应商放弃参加政府采购活动或者放弃中标；</w:t>
      </w:r>
    </w:p>
    <w:p w14:paraId="4CEB94E1">
      <w:pPr>
        <w:snapToGrid w:val="0"/>
        <w:spacing w:before="50" w:after="120" w:afterLines="50"/>
        <w:jc w:val="left"/>
        <w:rPr>
          <w:color w:val="auto"/>
          <w:szCs w:val="21"/>
          <w:highlight w:val="none"/>
        </w:rPr>
      </w:pPr>
      <w:r>
        <w:rPr>
          <w:rFonts w:hint="eastAsia"/>
          <w:color w:val="auto"/>
          <w:szCs w:val="21"/>
          <w:highlight w:val="none"/>
        </w:rPr>
        <w:t>7.供应商与采购人或者采购代理机构之间、供应商相互之间，为谋求特定供应商中标或者排斥其他供应商的其他串通行为。</w:t>
      </w:r>
    </w:p>
    <w:p w14:paraId="6C05A4B6">
      <w:pPr>
        <w:snapToGrid w:val="0"/>
        <w:spacing w:before="50" w:after="120" w:afterLines="50"/>
        <w:jc w:val="left"/>
        <w:rPr>
          <w:color w:val="auto"/>
          <w:szCs w:val="21"/>
          <w:highlight w:val="none"/>
        </w:rPr>
      </w:pPr>
      <w:r>
        <w:rPr>
          <w:rFonts w:hint="eastAsia"/>
          <w:color w:val="auto"/>
          <w:szCs w:val="21"/>
          <w:highlight w:val="none"/>
        </w:rPr>
        <w:t>以上情形一经核查属实，我方愿意承担一切后果，并不再寻求任何旨在减轻或者免除法律责任的辩解。</w:t>
      </w:r>
    </w:p>
    <w:p w14:paraId="524A5C8D">
      <w:pPr>
        <w:snapToGrid w:val="0"/>
        <w:spacing w:before="50" w:after="120" w:afterLines="50"/>
        <w:jc w:val="center"/>
        <w:rPr>
          <w:color w:val="auto"/>
          <w:szCs w:val="21"/>
          <w:highlight w:val="none"/>
        </w:rPr>
      </w:pPr>
      <w:r>
        <w:rPr>
          <w:rFonts w:hint="eastAsia"/>
          <w:color w:val="auto"/>
          <w:szCs w:val="21"/>
          <w:highlight w:val="none"/>
        </w:rPr>
        <w:t xml:space="preserve"> </w:t>
      </w:r>
      <w:r>
        <w:rPr>
          <w:color w:val="auto"/>
          <w:szCs w:val="21"/>
          <w:highlight w:val="none"/>
        </w:rPr>
        <w:t xml:space="preserve"> </w:t>
      </w:r>
    </w:p>
    <w:p w14:paraId="646687EC">
      <w:pPr>
        <w:snapToGrid w:val="0"/>
        <w:spacing w:before="50" w:after="120" w:afterLines="50"/>
        <w:jc w:val="center"/>
        <w:rPr>
          <w:color w:val="auto"/>
          <w:szCs w:val="21"/>
          <w:highlight w:val="none"/>
        </w:rPr>
      </w:pPr>
    </w:p>
    <w:p w14:paraId="358A8203">
      <w:pPr>
        <w:snapToGrid w:val="0"/>
        <w:spacing w:before="50" w:after="120" w:afterLines="50"/>
        <w:jc w:val="center"/>
        <w:rPr>
          <w:color w:val="auto"/>
          <w:szCs w:val="21"/>
          <w:highlight w:val="none"/>
        </w:rPr>
      </w:pPr>
    </w:p>
    <w:p w14:paraId="46D997B1">
      <w:pPr>
        <w:snapToGrid w:val="0"/>
        <w:spacing w:before="50" w:after="120" w:afterLines="50"/>
        <w:jc w:val="center"/>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rFonts w:hint="eastAsia"/>
          <w:color w:val="auto"/>
          <w:szCs w:val="21"/>
          <w:highlight w:val="none"/>
        </w:rPr>
        <w:t>：</w:t>
      </w:r>
    </w:p>
    <w:p w14:paraId="04DBB310">
      <w:pPr>
        <w:snapToGrid w:val="0"/>
        <w:spacing w:before="50" w:after="120" w:afterLines="50"/>
        <w:jc w:val="center"/>
        <w:rPr>
          <w:color w:val="auto"/>
          <w:szCs w:val="21"/>
          <w:highlight w:val="none"/>
        </w:rPr>
      </w:pPr>
      <w:r>
        <w:rPr>
          <w:rFonts w:hint="eastAsia"/>
          <w:color w:val="auto"/>
          <w:szCs w:val="21"/>
          <w:highlight w:val="none"/>
        </w:rPr>
        <w:t>日期：  年  月   日</w:t>
      </w:r>
    </w:p>
    <w:p w14:paraId="26D30762">
      <w:pPr>
        <w:snapToGrid w:val="0"/>
        <w:spacing w:before="50" w:after="120" w:afterLines="50"/>
        <w:jc w:val="left"/>
        <w:rPr>
          <w:color w:val="auto"/>
          <w:szCs w:val="21"/>
          <w:highlight w:val="none"/>
        </w:rPr>
      </w:pPr>
      <w:r>
        <w:rPr>
          <w:color w:val="auto"/>
          <w:szCs w:val="21"/>
          <w:highlight w:val="none"/>
        </w:rPr>
        <w:br w:type="page"/>
      </w:r>
      <w:bookmarkEnd w:id="97"/>
      <w:r>
        <w:rPr>
          <w:color w:val="auto"/>
          <w:szCs w:val="21"/>
          <w:highlight w:val="none"/>
        </w:rPr>
        <w:t>1</w:t>
      </w:r>
      <w:r>
        <w:rPr>
          <w:rFonts w:hint="eastAsia"/>
          <w:color w:val="auto"/>
          <w:szCs w:val="21"/>
          <w:highlight w:val="none"/>
          <w:lang w:val="en-US" w:eastAsia="zh-CN"/>
        </w:rPr>
        <w:t>5</w:t>
      </w:r>
      <w:r>
        <w:rPr>
          <w:color w:val="auto"/>
          <w:szCs w:val="21"/>
          <w:highlight w:val="none"/>
        </w:rPr>
        <w:t>．代理服务费承诺书</w:t>
      </w:r>
      <w:bookmarkEnd w:id="98"/>
    </w:p>
    <w:p w14:paraId="3A8DBAAE">
      <w:pPr>
        <w:spacing w:line="360" w:lineRule="exact"/>
        <w:rPr>
          <w:color w:val="auto"/>
          <w:szCs w:val="21"/>
          <w:highlight w:val="none"/>
        </w:rPr>
      </w:pPr>
      <w:bookmarkStart w:id="99" w:name="_Hlk19110490"/>
      <w:r>
        <w:rPr>
          <w:color w:val="auto"/>
          <w:szCs w:val="21"/>
          <w:highlight w:val="none"/>
        </w:rPr>
        <w:t>致：广西机电设备招标有限公司</w:t>
      </w:r>
    </w:p>
    <w:p w14:paraId="2282DAA3">
      <w:pPr>
        <w:spacing w:line="360" w:lineRule="exact"/>
        <w:ind w:firstLine="420" w:firstLineChars="200"/>
        <w:rPr>
          <w:color w:val="auto"/>
          <w:szCs w:val="21"/>
          <w:highlight w:val="none"/>
        </w:rPr>
      </w:pPr>
      <w:r>
        <w:rPr>
          <w:color w:val="auto"/>
          <w:szCs w:val="21"/>
          <w:highlight w:val="none"/>
        </w:rPr>
        <w:t>我单位参加了贵方组织的磋商项目编号为</w:t>
      </w:r>
      <w:r>
        <w:rPr>
          <w:b/>
          <w:color w:val="auto"/>
          <w:szCs w:val="21"/>
          <w:highlight w:val="none"/>
        </w:rPr>
        <w:t>（</w:t>
      </w:r>
      <w:r>
        <w:rPr>
          <w:color w:val="auto"/>
          <w:szCs w:val="21"/>
          <w:highlight w:val="none"/>
          <w:u w:val="single"/>
        </w:rPr>
        <w:t xml:space="preserve">                    )</w:t>
      </w:r>
      <w:r>
        <w:rPr>
          <w:color w:val="auto"/>
          <w:szCs w:val="21"/>
          <w:highlight w:val="none"/>
        </w:rPr>
        <w:t>的响应，并递交了磋商保证金</w:t>
      </w:r>
      <w:r>
        <w:rPr>
          <w:color w:val="auto"/>
          <w:szCs w:val="21"/>
          <w:highlight w:val="none"/>
          <w:u w:val="single"/>
        </w:rPr>
        <w:t xml:space="preserve">                  </w:t>
      </w:r>
      <w:r>
        <w:rPr>
          <w:color w:val="auto"/>
          <w:szCs w:val="21"/>
          <w:highlight w:val="none"/>
        </w:rPr>
        <w:t>（</w:t>
      </w:r>
      <w:r>
        <w:rPr>
          <w:color w:val="auto"/>
          <w:kern w:val="0"/>
          <w:szCs w:val="21"/>
          <w:highlight w:val="none"/>
        </w:rPr>
        <w:t>¥</w:t>
      </w:r>
      <w:r>
        <w:rPr>
          <w:color w:val="auto"/>
          <w:szCs w:val="21"/>
          <w:highlight w:val="none"/>
          <w:u w:val="single"/>
        </w:rPr>
        <w:t xml:space="preserve">       </w:t>
      </w:r>
      <w:r>
        <w:rPr>
          <w:color w:val="auto"/>
          <w:szCs w:val="21"/>
          <w:highlight w:val="none"/>
        </w:rPr>
        <w:t>），在此我方说明如下：</w:t>
      </w:r>
    </w:p>
    <w:p w14:paraId="1E2374F6">
      <w:pPr>
        <w:spacing w:line="360" w:lineRule="exact"/>
        <w:ind w:firstLine="420" w:firstLineChars="200"/>
        <w:rPr>
          <w:color w:val="auto"/>
          <w:szCs w:val="21"/>
          <w:highlight w:val="none"/>
        </w:rPr>
      </w:pPr>
      <w:r>
        <w:rPr>
          <w:color w:val="auto"/>
          <w:szCs w:val="21"/>
          <w:highlight w:val="none"/>
        </w:rPr>
        <w:t>1．我方承诺，若我单位</w:t>
      </w:r>
      <w:r>
        <w:rPr>
          <w:rFonts w:hint="eastAsia"/>
          <w:color w:val="auto"/>
          <w:szCs w:val="21"/>
          <w:highlight w:val="none"/>
        </w:rPr>
        <w:t>成交</w:t>
      </w:r>
      <w:r>
        <w:rPr>
          <w:color w:val="auto"/>
          <w:szCs w:val="21"/>
          <w:highlight w:val="none"/>
        </w:rPr>
        <w:t>，保证在领取</w:t>
      </w:r>
      <w:r>
        <w:rPr>
          <w:rFonts w:hint="eastAsia"/>
          <w:color w:val="auto"/>
          <w:szCs w:val="21"/>
          <w:highlight w:val="none"/>
        </w:rPr>
        <w:t>成交</w:t>
      </w:r>
      <w:r>
        <w:rPr>
          <w:color w:val="auto"/>
          <w:szCs w:val="21"/>
          <w:highlight w:val="none"/>
        </w:rPr>
        <w:t>通知书之前，按本项目</w:t>
      </w:r>
      <w:r>
        <w:rPr>
          <w:rFonts w:hint="eastAsia"/>
          <w:color w:val="auto"/>
          <w:szCs w:val="21"/>
          <w:highlight w:val="none"/>
        </w:rPr>
        <w:t>采购文件</w:t>
      </w:r>
      <w:r>
        <w:rPr>
          <w:color w:val="auto"/>
          <w:szCs w:val="21"/>
          <w:highlight w:val="none"/>
        </w:rPr>
        <w:t>的规定标准向贵单位支付代理服务费。如我单位未按规定缴纳代理服务费，贵方可</w:t>
      </w:r>
      <w:r>
        <w:rPr>
          <w:rFonts w:hint="eastAsia"/>
          <w:color w:val="auto"/>
          <w:szCs w:val="21"/>
          <w:highlight w:val="none"/>
        </w:rPr>
        <w:t>不退还</w:t>
      </w:r>
      <w:r>
        <w:rPr>
          <w:color w:val="auto"/>
          <w:szCs w:val="21"/>
          <w:highlight w:val="none"/>
        </w:rPr>
        <w:t>我单位提交的</w:t>
      </w:r>
      <w:r>
        <w:rPr>
          <w:rFonts w:hint="eastAsia"/>
          <w:color w:val="auto"/>
          <w:szCs w:val="21"/>
          <w:highlight w:val="none"/>
        </w:rPr>
        <w:t>磋商</w:t>
      </w:r>
      <w:r>
        <w:rPr>
          <w:color w:val="auto"/>
          <w:szCs w:val="21"/>
          <w:highlight w:val="none"/>
        </w:rPr>
        <w:t>保证金</w:t>
      </w:r>
      <w:r>
        <w:rPr>
          <w:rFonts w:hint="eastAsia"/>
          <w:color w:val="auto"/>
          <w:szCs w:val="21"/>
          <w:highlight w:val="none"/>
        </w:rPr>
        <w:t>，并从中</w:t>
      </w:r>
      <w:r>
        <w:rPr>
          <w:color w:val="auto"/>
          <w:szCs w:val="21"/>
          <w:highlight w:val="none"/>
        </w:rPr>
        <w:t>扣除</w:t>
      </w:r>
      <w:r>
        <w:rPr>
          <w:rFonts w:hint="eastAsia"/>
          <w:color w:val="auto"/>
          <w:szCs w:val="21"/>
          <w:highlight w:val="none"/>
        </w:rPr>
        <w:t>代理服务费</w:t>
      </w:r>
      <w:r>
        <w:rPr>
          <w:color w:val="auto"/>
          <w:szCs w:val="21"/>
          <w:highlight w:val="none"/>
        </w:rPr>
        <w:t>，余款按下列账户退回。</w:t>
      </w:r>
    </w:p>
    <w:bookmarkEnd w:id="99"/>
    <w:p w14:paraId="4ACA8F90">
      <w:pPr>
        <w:spacing w:line="360" w:lineRule="exact"/>
        <w:ind w:firstLine="420" w:firstLineChars="200"/>
        <w:rPr>
          <w:color w:val="auto"/>
          <w:szCs w:val="21"/>
          <w:highlight w:val="none"/>
        </w:rPr>
      </w:pPr>
      <w:r>
        <w:rPr>
          <w:color w:val="auto"/>
          <w:szCs w:val="21"/>
          <w:highlight w:val="none"/>
        </w:rPr>
        <w:t>我公司选择第</w:t>
      </w:r>
      <w:r>
        <w:rPr>
          <w:color w:val="auto"/>
          <w:szCs w:val="21"/>
          <w:highlight w:val="none"/>
          <w:u w:val="single"/>
        </w:rPr>
        <w:t xml:space="preserve">     </w:t>
      </w:r>
      <w:r>
        <w:rPr>
          <w:color w:val="auto"/>
          <w:szCs w:val="21"/>
          <w:highlight w:val="none"/>
        </w:rPr>
        <w:t>种方式缴纳代理服务费。</w:t>
      </w:r>
    </w:p>
    <w:p w14:paraId="3B508BEB">
      <w:pPr>
        <w:spacing w:line="360" w:lineRule="exact"/>
        <w:ind w:firstLine="420" w:firstLineChars="200"/>
        <w:rPr>
          <w:color w:val="auto"/>
          <w:szCs w:val="21"/>
          <w:highlight w:val="none"/>
        </w:rPr>
      </w:pPr>
      <w:r>
        <w:rPr>
          <w:color w:val="auto"/>
          <w:szCs w:val="21"/>
          <w:highlight w:val="none"/>
        </w:rPr>
        <w:t>第一种方式：一次性足额缴纳代理服务费。</w:t>
      </w:r>
    </w:p>
    <w:p w14:paraId="3693F5AE">
      <w:pPr>
        <w:spacing w:line="360" w:lineRule="exact"/>
        <w:ind w:firstLine="420" w:firstLineChars="200"/>
        <w:rPr>
          <w:rFonts w:hint="eastAsia"/>
          <w:color w:val="auto"/>
          <w:szCs w:val="21"/>
          <w:highlight w:val="none"/>
        </w:rPr>
      </w:pPr>
      <w:r>
        <w:rPr>
          <w:color w:val="auto"/>
          <w:szCs w:val="21"/>
          <w:highlight w:val="none"/>
        </w:rPr>
        <w:t>第二种方式：从</w:t>
      </w:r>
      <w:r>
        <w:rPr>
          <w:rFonts w:hint="eastAsia"/>
          <w:color w:val="auto"/>
          <w:szCs w:val="21"/>
          <w:highlight w:val="none"/>
        </w:rPr>
        <w:t>磋商</w:t>
      </w:r>
      <w:r>
        <w:rPr>
          <w:color w:val="auto"/>
          <w:szCs w:val="21"/>
          <w:highlight w:val="none"/>
        </w:rPr>
        <w:t>保证金中抵扣代理服务费，不足部分补交。</w:t>
      </w:r>
    </w:p>
    <w:p w14:paraId="6A007E59">
      <w:pPr>
        <w:spacing w:line="360" w:lineRule="exact"/>
        <w:ind w:firstLine="420" w:firstLineChars="200"/>
        <w:rPr>
          <w:color w:val="auto"/>
          <w:szCs w:val="21"/>
          <w:highlight w:val="none"/>
        </w:rPr>
      </w:pPr>
      <w:r>
        <w:rPr>
          <w:color w:val="auto"/>
          <w:szCs w:val="21"/>
          <w:highlight w:val="none"/>
        </w:rPr>
        <w:t>2．如我单位磋商保证金无法原路返回，请按下表账户信息无息退还。</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33"/>
        <w:gridCol w:w="5431"/>
      </w:tblGrid>
      <w:tr w14:paraId="1DA68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2157511A">
            <w:pPr>
              <w:keepNext w:val="0"/>
              <w:keepLines w:val="0"/>
              <w:suppressLineNumbers w:val="0"/>
              <w:spacing w:before="0" w:beforeAutospacing="0" w:after="0" w:afterAutospacing="0" w:line="360" w:lineRule="exact"/>
              <w:ind w:left="0" w:right="0"/>
              <w:jc w:val="center"/>
              <w:rPr>
                <w:rFonts w:hint="default"/>
                <w:color w:val="auto"/>
                <w:szCs w:val="21"/>
                <w:highlight w:val="none"/>
              </w:rPr>
            </w:pPr>
            <w:r>
              <w:rPr>
                <w:rFonts w:hint="default"/>
                <w:color w:val="auto"/>
                <w:szCs w:val="21"/>
                <w:highlight w:val="none"/>
              </w:rPr>
              <w:t>收款户名</w:t>
            </w:r>
          </w:p>
        </w:tc>
        <w:tc>
          <w:tcPr>
            <w:tcW w:w="5431" w:type="dxa"/>
            <w:noWrap w:val="0"/>
            <w:vAlign w:val="center"/>
          </w:tcPr>
          <w:p w14:paraId="244C5879">
            <w:pPr>
              <w:keepNext w:val="0"/>
              <w:keepLines w:val="0"/>
              <w:suppressLineNumbers w:val="0"/>
              <w:spacing w:before="0" w:beforeAutospacing="0" w:after="0" w:afterAutospacing="0" w:line="360" w:lineRule="exact"/>
              <w:ind w:left="0" w:right="0"/>
              <w:jc w:val="center"/>
              <w:rPr>
                <w:rFonts w:hint="default"/>
                <w:color w:val="auto"/>
                <w:szCs w:val="21"/>
                <w:highlight w:val="none"/>
              </w:rPr>
            </w:pPr>
          </w:p>
        </w:tc>
      </w:tr>
      <w:tr w14:paraId="1400C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68BFC743">
            <w:pPr>
              <w:keepNext w:val="0"/>
              <w:keepLines w:val="0"/>
              <w:suppressLineNumbers w:val="0"/>
              <w:spacing w:before="0" w:beforeAutospacing="0" w:after="0" w:afterAutospacing="0" w:line="360" w:lineRule="exact"/>
              <w:ind w:left="0" w:right="0"/>
              <w:jc w:val="center"/>
              <w:rPr>
                <w:rFonts w:hint="default"/>
                <w:color w:val="auto"/>
                <w:szCs w:val="21"/>
                <w:highlight w:val="none"/>
              </w:rPr>
            </w:pPr>
            <w:r>
              <w:rPr>
                <w:rFonts w:hint="default"/>
                <w:color w:val="auto"/>
                <w:szCs w:val="21"/>
                <w:highlight w:val="none"/>
              </w:rPr>
              <w:t>账    号</w:t>
            </w:r>
          </w:p>
        </w:tc>
        <w:tc>
          <w:tcPr>
            <w:tcW w:w="5431" w:type="dxa"/>
            <w:noWrap w:val="0"/>
            <w:vAlign w:val="center"/>
          </w:tcPr>
          <w:p w14:paraId="6279CD40">
            <w:pPr>
              <w:keepNext w:val="0"/>
              <w:keepLines w:val="0"/>
              <w:suppressLineNumbers w:val="0"/>
              <w:spacing w:before="0" w:beforeAutospacing="0" w:after="0" w:afterAutospacing="0" w:line="360" w:lineRule="exact"/>
              <w:ind w:left="0" w:right="0"/>
              <w:jc w:val="center"/>
              <w:rPr>
                <w:rFonts w:hint="default"/>
                <w:color w:val="auto"/>
                <w:szCs w:val="21"/>
                <w:highlight w:val="none"/>
              </w:rPr>
            </w:pPr>
          </w:p>
        </w:tc>
      </w:tr>
      <w:tr w14:paraId="3B176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3F9F219F">
            <w:pPr>
              <w:keepNext w:val="0"/>
              <w:keepLines w:val="0"/>
              <w:suppressLineNumbers w:val="0"/>
              <w:spacing w:before="0" w:beforeAutospacing="0" w:after="0" w:afterAutospacing="0" w:line="360" w:lineRule="exact"/>
              <w:ind w:left="0" w:right="0"/>
              <w:jc w:val="center"/>
              <w:rPr>
                <w:rFonts w:hint="default"/>
                <w:color w:val="auto"/>
                <w:szCs w:val="21"/>
                <w:highlight w:val="none"/>
              </w:rPr>
            </w:pPr>
            <w:r>
              <w:rPr>
                <w:rFonts w:hint="default"/>
                <w:color w:val="auto"/>
                <w:szCs w:val="21"/>
                <w:highlight w:val="none"/>
              </w:rPr>
              <w:t>开户银行</w:t>
            </w:r>
          </w:p>
        </w:tc>
        <w:tc>
          <w:tcPr>
            <w:tcW w:w="5431" w:type="dxa"/>
            <w:noWrap w:val="0"/>
            <w:vAlign w:val="center"/>
          </w:tcPr>
          <w:p w14:paraId="5BD92A7D">
            <w:pPr>
              <w:keepNext w:val="0"/>
              <w:keepLines w:val="0"/>
              <w:suppressLineNumbers w:val="0"/>
              <w:spacing w:before="0" w:beforeAutospacing="0" w:after="0" w:afterAutospacing="0" w:line="360" w:lineRule="exact"/>
              <w:ind w:left="0" w:right="0"/>
              <w:jc w:val="center"/>
              <w:rPr>
                <w:rFonts w:hint="default"/>
                <w:color w:val="auto"/>
                <w:szCs w:val="21"/>
                <w:highlight w:val="none"/>
              </w:rPr>
            </w:pPr>
          </w:p>
        </w:tc>
      </w:tr>
      <w:tr w14:paraId="48933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43D82D91">
            <w:pPr>
              <w:keepNext w:val="0"/>
              <w:keepLines w:val="0"/>
              <w:suppressLineNumbers w:val="0"/>
              <w:spacing w:before="0" w:beforeAutospacing="0" w:after="0" w:afterAutospacing="0" w:line="360" w:lineRule="exact"/>
              <w:ind w:left="0" w:right="0"/>
              <w:jc w:val="center"/>
              <w:rPr>
                <w:rFonts w:hint="default"/>
                <w:color w:val="auto"/>
                <w:szCs w:val="21"/>
                <w:highlight w:val="none"/>
              </w:rPr>
            </w:pPr>
            <w:r>
              <w:rPr>
                <w:rFonts w:hint="default"/>
                <w:color w:val="auto"/>
                <w:szCs w:val="21"/>
                <w:highlight w:val="none"/>
              </w:rPr>
              <w:t>银行行号</w:t>
            </w:r>
          </w:p>
        </w:tc>
        <w:tc>
          <w:tcPr>
            <w:tcW w:w="5431" w:type="dxa"/>
            <w:noWrap w:val="0"/>
            <w:vAlign w:val="center"/>
          </w:tcPr>
          <w:p w14:paraId="79E87D74">
            <w:pPr>
              <w:keepNext w:val="0"/>
              <w:keepLines w:val="0"/>
              <w:suppressLineNumbers w:val="0"/>
              <w:spacing w:before="0" w:beforeAutospacing="0" w:after="0" w:afterAutospacing="0" w:line="360" w:lineRule="exact"/>
              <w:ind w:left="0" w:right="0"/>
              <w:jc w:val="center"/>
              <w:rPr>
                <w:rFonts w:hint="default"/>
                <w:color w:val="auto"/>
                <w:szCs w:val="21"/>
                <w:highlight w:val="none"/>
              </w:rPr>
            </w:pPr>
          </w:p>
        </w:tc>
      </w:tr>
    </w:tbl>
    <w:p w14:paraId="156EBBF6">
      <w:pPr>
        <w:spacing w:line="360" w:lineRule="exact"/>
        <w:ind w:firstLine="420" w:firstLineChars="200"/>
        <w:rPr>
          <w:color w:val="auto"/>
          <w:szCs w:val="21"/>
          <w:highlight w:val="none"/>
        </w:rPr>
      </w:pPr>
      <w:r>
        <w:rPr>
          <w:color w:val="auto"/>
          <w:szCs w:val="21"/>
          <w:highlight w:val="none"/>
        </w:rPr>
        <w:t>3．如果我单位未遵守有关采购文件关于磋商保证金的规定，贵方可以没收我单位磋商保证金。</w:t>
      </w:r>
    </w:p>
    <w:p w14:paraId="57E1CC56">
      <w:pPr>
        <w:spacing w:line="360" w:lineRule="exact"/>
        <w:ind w:firstLine="420" w:firstLineChars="200"/>
        <w:rPr>
          <w:color w:val="auto"/>
          <w:szCs w:val="21"/>
          <w:highlight w:val="none"/>
        </w:rPr>
      </w:pPr>
      <w:r>
        <w:rPr>
          <w:color w:val="auto"/>
          <w:szCs w:val="21"/>
          <w:highlight w:val="none"/>
        </w:rPr>
        <w:t>4. 我单位选择第</w:t>
      </w:r>
      <w:r>
        <w:rPr>
          <w:color w:val="auto"/>
          <w:szCs w:val="21"/>
          <w:highlight w:val="none"/>
          <w:u w:val="single"/>
        </w:rPr>
        <w:t xml:space="preserve">     </w:t>
      </w:r>
      <w:r>
        <w:rPr>
          <w:color w:val="auto"/>
          <w:szCs w:val="21"/>
          <w:highlight w:val="none"/>
        </w:rPr>
        <w:t>种方式作为代理服务费开票类型：</w:t>
      </w:r>
    </w:p>
    <w:p w14:paraId="6705BE38">
      <w:pPr>
        <w:spacing w:line="360" w:lineRule="exact"/>
        <w:ind w:firstLine="420" w:firstLineChars="200"/>
        <w:rPr>
          <w:color w:val="auto"/>
          <w:szCs w:val="21"/>
          <w:highlight w:val="none"/>
        </w:rPr>
      </w:pPr>
      <w:r>
        <w:rPr>
          <w:color w:val="auto"/>
          <w:szCs w:val="21"/>
          <w:highlight w:val="none"/>
        </w:rPr>
        <w:t>第一种方式：开具收据。</w:t>
      </w:r>
    </w:p>
    <w:p w14:paraId="75DCA2DC">
      <w:pPr>
        <w:spacing w:line="360" w:lineRule="exact"/>
        <w:ind w:firstLine="420" w:firstLineChars="200"/>
        <w:rPr>
          <w:color w:val="auto"/>
          <w:szCs w:val="21"/>
          <w:highlight w:val="none"/>
        </w:rPr>
      </w:pPr>
      <w:r>
        <w:rPr>
          <w:color w:val="auto"/>
          <w:szCs w:val="21"/>
          <w:highlight w:val="none"/>
        </w:rPr>
        <w:t>第二种方式：开具增值税普通发票。 1.公司名称</w:t>
      </w:r>
      <w:r>
        <w:rPr>
          <w:color w:val="auto"/>
          <w:szCs w:val="21"/>
          <w:highlight w:val="none"/>
          <w:u w:val="single"/>
        </w:rPr>
        <w:t xml:space="preserve">                      </w:t>
      </w:r>
      <w:r>
        <w:rPr>
          <w:color w:val="auto"/>
          <w:szCs w:val="21"/>
          <w:highlight w:val="none"/>
        </w:rPr>
        <w:t>；2.纳税人识别号</w:t>
      </w:r>
      <w:r>
        <w:rPr>
          <w:color w:val="auto"/>
          <w:szCs w:val="21"/>
          <w:highlight w:val="none"/>
          <w:u w:val="single"/>
        </w:rPr>
        <w:t xml:space="preserve">                     </w:t>
      </w:r>
      <w:r>
        <w:rPr>
          <w:color w:val="auto"/>
          <w:szCs w:val="21"/>
          <w:highlight w:val="none"/>
        </w:rPr>
        <w:t>；</w:t>
      </w:r>
    </w:p>
    <w:p w14:paraId="7DFCEC4E">
      <w:pPr>
        <w:spacing w:line="360" w:lineRule="exact"/>
        <w:ind w:firstLine="420" w:firstLineChars="200"/>
        <w:rPr>
          <w:color w:val="auto"/>
          <w:szCs w:val="21"/>
          <w:highlight w:val="none"/>
        </w:rPr>
      </w:pPr>
      <w:r>
        <w:rPr>
          <w:color w:val="auto"/>
          <w:szCs w:val="21"/>
          <w:highlight w:val="none"/>
        </w:rPr>
        <w:t>第三种方式：开具增值税专用发票，开票信息如下：1.公司名称</w:t>
      </w:r>
      <w:r>
        <w:rPr>
          <w:color w:val="auto"/>
          <w:szCs w:val="21"/>
          <w:highlight w:val="none"/>
          <w:u w:val="single"/>
        </w:rPr>
        <w:t xml:space="preserve">                      </w:t>
      </w:r>
      <w:r>
        <w:rPr>
          <w:color w:val="auto"/>
          <w:szCs w:val="21"/>
          <w:highlight w:val="none"/>
        </w:rPr>
        <w:t>；2.纳税人识别号</w:t>
      </w:r>
      <w:r>
        <w:rPr>
          <w:color w:val="auto"/>
          <w:szCs w:val="21"/>
          <w:highlight w:val="none"/>
          <w:u w:val="single"/>
        </w:rPr>
        <w:t xml:space="preserve">                     </w:t>
      </w:r>
      <w:r>
        <w:rPr>
          <w:color w:val="auto"/>
          <w:szCs w:val="21"/>
          <w:highlight w:val="none"/>
        </w:rPr>
        <w:t>；3.税局登记地址</w:t>
      </w:r>
      <w:r>
        <w:rPr>
          <w:color w:val="auto"/>
          <w:szCs w:val="21"/>
          <w:highlight w:val="none"/>
          <w:u w:val="single"/>
        </w:rPr>
        <w:t xml:space="preserve">                     </w:t>
      </w:r>
      <w:r>
        <w:rPr>
          <w:color w:val="auto"/>
          <w:szCs w:val="21"/>
          <w:highlight w:val="none"/>
        </w:rPr>
        <w:t>；4.税局登记电话</w:t>
      </w:r>
      <w:r>
        <w:rPr>
          <w:color w:val="auto"/>
          <w:szCs w:val="21"/>
          <w:highlight w:val="none"/>
          <w:u w:val="single"/>
        </w:rPr>
        <w:t xml:space="preserve">             </w:t>
      </w:r>
      <w:r>
        <w:rPr>
          <w:color w:val="auto"/>
          <w:szCs w:val="21"/>
          <w:highlight w:val="none"/>
        </w:rPr>
        <w:t>；5.开户银行</w:t>
      </w:r>
      <w:r>
        <w:rPr>
          <w:color w:val="auto"/>
          <w:szCs w:val="21"/>
          <w:highlight w:val="none"/>
          <w:u w:val="single"/>
        </w:rPr>
        <w:t xml:space="preserve">                 </w:t>
      </w:r>
      <w:r>
        <w:rPr>
          <w:color w:val="auto"/>
          <w:szCs w:val="21"/>
          <w:highlight w:val="none"/>
        </w:rPr>
        <w:t>；6.银行账户</w:t>
      </w:r>
      <w:r>
        <w:rPr>
          <w:color w:val="auto"/>
          <w:szCs w:val="21"/>
          <w:highlight w:val="none"/>
          <w:u w:val="single"/>
        </w:rPr>
        <w:t xml:space="preserve">                         </w:t>
      </w:r>
      <w:r>
        <w:rPr>
          <w:color w:val="auto"/>
          <w:szCs w:val="21"/>
          <w:highlight w:val="none"/>
        </w:rPr>
        <w:t>。</w:t>
      </w:r>
    </w:p>
    <w:p w14:paraId="3F0433CE">
      <w:pPr>
        <w:spacing w:before="120" w:beforeLines="50" w:line="360" w:lineRule="auto"/>
        <w:jc w:val="left"/>
        <w:rPr>
          <w:color w:val="auto"/>
          <w:szCs w:val="21"/>
          <w:highlight w:val="none"/>
        </w:rPr>
      </w:pPr>
    </w:p>
    <w:p w14:paraId="61C0A578">
      <w:pPr>
        <w:spacing w:before="120" w:beforeLines="50" w:line="360" w:lineRule="auto"/>
        <w:jc w:val="left"/>
        <w:rPr>
          <w:color w:val="auto"/>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6D5489FE">
      <w:pPr>
        <w:spacing w:before="120" w:beforeLines="50" w:line="360" w:lineRule="auto"/>
        <w:jc w:val="left"/>
        <w:rPr>
          <w:color w:val="auto"/>
          <w:szCs w:val="21"/>
          <w:highlight w:val="none"/>
        </w:rPr>
      </w:pPr>
      <w:r>
        <w:rPr>
          <w:color w:val="auto"/>
          <w:szCs w:val="21"/>
          <w:highlight w:val="none"/>
        </w:rPr>
        <w:t>供应商地址：</w:t>
      </w:r>
      <w:r>
        <w:rPr>
          <w:color w:val="auto"/>
          <w:szCs w:val="21"/>
          <w:highlight w:val="none"/>
          <w:u w:val="single"/>
        </w:rPr>
        <w:t xml:space="preserve">                                     </w:t>
      </w:r>
    </w:p>
    <w:p w14:paraId="3046550B">
      <w:pPr>
        <w:spacing w:before="120" w:beforeLines="50" w:line="360" w:lineRule="auto"/>
        <w:jc w:val="left"/>
        <w:rPr>
          <w:color w:val="auto"/>
          <w:szCs w:val="21"/>
          <w:highlight w:val="none"/>
          <w:u w:val="single"/>
        </w:rPr>
      </w:pPr>
    </w:p>
    <w:p w14:paraId="63440FDA">
      <w:pPr>
        <w:wordWrap w:val="0"/>
        <w:spacing w:before="120" w:beforeLines="50" w:line="360" w:lineRule="auto"/>
        <w:jc w:val="right"/>
        <w:rPr>
          <w:color w:val="auto"/>
          <w:szCs w:val="21"/>
          <w:highlight w:val="none"/>
        </w:rPr>
      </w:pPr>
      <w:r>
        <w:rPr>
          <w:color w:val="auto"/>
          <w:szCs w:val="21"/>
          <w:highlight w:val="none"/>
        </w:rPr>
        <w:t>日期：</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14:paraId="70817DD0">
      <w:pPr>
        <w:spacing w:before="120" w:beforeLines="50"/>
        <w:rPr>
          <w:color w:val="auto"/>
          <w:szCs w:val="21"/>
          <w:highlight w:val="none"/>
        </w:rPr>
      </w:pPr>
      <w:r>
        <w:rPr>
          <w:color w:val="auto"/>
          <w:szCs w:val="21"/>
          <w:highlight w:val="none"/>
        </w:rPr>
        <w:t>说明：</w:t>
      </w:r>
    </w:p>
    <w:p w14:paraId="6D48D1DF">
      <w:pPr>
        <w:spacing w:line="340" w:lineRule="exact"/>
        <w:ind w:firstLine="420" w:firstLineChars="200"/>
        <w:rPr>
          <w:color w:val="auto"/>
          <w:szCs w:val="21"/>
          <w:highlight w:val="none"/>
        </w:rPr>
      </w:pPr>
      <w:r>
        <w:rPr>
          <w:color w:val="auto"/>
          <w:szCs w:val="21"/>
          <w:highlight w:val="none"/>
        </w:rPr>
        <w:t>（1）为保障资金安全，上述账户不能为私人账户。</w:t>
      </w:r>
    </w:p>
    <w:p w14:paraId="46C3B8DC">
      <w:pPr>
        <w:spacing w:line="340" w:lineRule="exact"/>
        <w:ind w:firstLine="420" w:firstLineChars="200"/>
        <w:rPr>
          <w:color w:val="auto"/>
          <w:szCs w:val="21"/>
          <w:highlight w:val="none"/>
        </w:rPr>
      </w:pPr>
      <w:r>
        <w:rPr>
          <w:color w:val="auto"/>
          <w:szCs w:val="21"/>
          <w:highlight w:val="none"/>
        </w:rPr>
        <w:t>（2）如因未按要求缴纳磋商保证金，导致磋商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6634D18E">
      <w:pPr>
        <w:spacing w:line="340" w:lineRule="exact"/>
        <w:ind w:firstLine="420" w:firstLineChars="200"/>
        <w:rPr>
          <w:color w:val="auto"/>
          <w:szCs w:val="21"/>
          <w:highlight w:val="none"/>
        </w:rPr>
      </w:pPr>
      <w:r>
        <w:rPr>
          <w:color w:val="auto"/>
          <w:szCs w:val="21"/>
          <w:highlight w:val="none"/>
        </w:rPr>
        <w:t>（3）如供应商未及时收到退回款项，请与广西机电设备招标有限公司财务部联系。广西机电设备招标有限公司财务部联系方式：联系人：吴茜；电话：0771-2821398；传真：0771-2843545。</w:t>
      </w:r>
    </w:p>
    <w:p w14:paraId="24705C85">
      <w:pPr>
        <w:snapToGrid w:val="0"/>
        <w:spacing w:before="120" w:beforeLines="50" w:after="50" w:line="440" w:lineRule="exact"/>
        <w:jc w:val="center"/>
        <w:outlineLvl w:val="1"/>
        <w:rPr>
          <w:bCs/>
          <w:color w:val="auto"/>
          <w:sz w:val="24"/>
          <w:highlight w:val="none"/>
        </w:rPr>
      </w:pPr>
      <w:r>
        <w:rPr>
          <w:color w:val="auto"/>
          <w:szCs w:val="21"/>
          <w:highlight w:val="none"/>
        </w:rPr>
        <w:br w:type="page"/>
      </w:r>
      <w:r>
        <w:rPr>
          <w:bCs/>
          <w:color w:val="auto"/>
          <w:sz w:val="24"/>
          <w:highlight w:val="none"/>
        </w:rPr>
        <w:t>第</w:t>
      </w:r>
      <w:r>
        <w:rPr>
          <w:rFonts w:hint="eastAsia"/>
          <w:bCs/>
          <w:color w:val="auto"/>
          <w:sz w:val="24"/>
          <w:highlight w:val="none"/>
        </w:rPr>
        <w:t>三</w:t>
      </w:r>
      <w:r>
        <w:rPr>
          <w:bCs/>
          <w:color w:val="auto"/>
          <w:sz w:val="24"/>
          <w:highlight w:val="none"/>
        </w:rPr>
        <w:t>部分 报价文件</w:t>
      </w:r>
    </w:p>
    <w:p w14:paraId="5B4BAF8A">
      <w:pPr>
        <w:jc w:val="center"/>
        <w:rPr>
          <w:b/>
          <w:bCs/>
          <w:color w:val="auto"/>
          <w:szCs w:val="21"/>
          <w:highlight w:val="none"/>
        </w:rPr>
      </w:pPr>
    </w:p>
    <w:p w14:paraId="0664E12A">
      <w:pPr>
        <w:rPr>
          <w:rFonts w:hint="eastAsia"/>
          <w:b/>
          <w:color w:val="auto"/>
          <w:szCs w:val="21"/>
          <w:highlight w:val="none"/>
        </w:rPr>
      </w:pPr>
      <w:r>
        <w:rPr>
          <w:b/>
          <w:color w:val="auto"/>
          <w:szCs w:val="21"/>
          <w:highlight w:val="none"/>
        </w:rPr>
        <w:t>1．响应函格式：</w:t>
      </w:r>
    </w:p>
    <w:p w14:paraId="24C73711">
      <w:pPr>
        <w:rPr>
          <w:b/>
          <w:color w:val="auto"/>
          <w:szCs w:val="21"/>
          <w:highlight w:val="none"/>
        </w:rPr>
      </w:pPr>
    </w:p>
    <w:p w14:paraId="04298F82">
      <w:pPr>
        <w:jc w:val="center"/>
        <w:rPr>
          <w:b/>
          <w:color w:val="auto"/>
          <w:szCs w:val="21"/>
          <w:highlight w:val="none"/>
        </w:rPr>
      </w:pPr>
      <w:r>
        <w:rPr>
          <w:b/>
          <w:color w:val="auto"/>
          <w:szCs w:val="21"/>
          <w:highlight w:val="none"/>
        </w:rPr>
        <w:t>响 应 函</w:t>
      </w:r>
    </w:p>
    <w:p w14:paraId="7463990C">
      <w:pPr>
        <w:rPr>
          <w:b/>
          <w:color w:val="auto"/>
          <w:szCs w:val="21"/>
          <w:highlight w:val="none"/>
        </w:rPr>
      </w:pPr>
    </w:p>
    <w:p w14:paraId="3ABE1089">
      <w:pPr>
        <w:spacing w:line="360" w:lineRule="auto"/>
        <w:rPr>
          <w:color w:val="auto"/>
          <w:szCs w:val="21"/>
          <w:highlight w:val="none"/>
        </w:rPr>
      </w:pPr>
      <w:bookmarkStart w:id="100" w:name="_Hlk19110643"/>
      <w:r>
        <w:rPr>
          <w:color w:val="auto"/>
          <w:szCs w:val="21"/>
          <w:highlight w:val="none"/>
        </w:rPr>
        <w:t>致：_</w:t>
      </w:r>
      <w:r>
        <w:rPr>
          <w:i/>
          <w:iCs/>
          <w:color w:val="auto"/>
          <w:szCs w:val="21"/>
          <w:highlight w:val="none"/>
          <w:u w:val="single"/>
        </w:rPr>
        <w:t>（采购</w:t>
      </w:r>
      <w:r>
        <w:rPr>
          <w:rFonts w:hint="eastAsia"/>
          <w:i/>
          <w:iCs/>
          <w:color w:val="auto"/>
          <w:szCs w:val="21"/>
          <w:highlight w:val="none"/>
          <w:u w:val="single"/>
        </w:rPr>
        <w:t>人</w:t>
      </w:r>
      <w:r>
        <w:rPr>
          <w:i/>
          <w:iCs/>
          <w:color w:val="auto"/>
          <w:szCs w:val="21"/>
          <w:highlight w:val="none"/>
          <w:u w:val="single"/>
        </w:rPr>
        <w:t>名称）</w:t>
      </w:r>
      <w:r>
        <w:rPr>
          <w:i/>
          <w:iCs/>
          <w:color w:val="auto"/>
          <w:szCs w:val="21"/>
          <w:highlight w:val="none"/>
        </w:rPr>
        <w:t>_</w:t>
      </w:r>
    </w:p>
    <w:p w14:paraId="2EE7CAA1">
      <w:pPr>
        <w:spacing w:line="360" w:lineRule="auto"/>
        <w:ind w:firstLine="420" w:firstLineChars="200"/>
        <w:rPr>
          <w:color w:val="auto"/>
          <w:szCs w:val="21"/>
          <w:highlight w:val="none"/>
        </w:rPr>
      </w:pPr>
      <w:r>
        <w:rPr>
          <w:color w:val="auto"/>
          <w:szCs w:val="21"/>
          <w:highlight w:val="none"/>
        </w:rPr>
        <w:t>我方已仔细研究了</w:t>
      </w:r>
      <w:r>
        <w:rPr>
          <w:rFonts w:hint="eastAsia"/>
          <w:i/>
          <w:iCs/>
          <w:color w:val="auto"/>
          <w:szCs w:val="21"/>
          <w:highlight w:val="none"/>
          <w:u w:val="single"/>
        </w:rPr>
        <w:t>（项目名称）</w:t>
      </w:r>
      <w:r>
        <w:rPr>
          <w:color w:val="auto"/>
          <w:szCs w:val="21"/>
          <w:highlight w:val="none"/>
        </w:rPr>
        <w:t>的</w:t>
      </w:r>
      <w:r>
        <w:rPr>
          <w:rFonts w:hint="eastAsia"/>
          <w:color w:val="auto"/>
          <w:szCs w:val="21"/>
          <w:highlight w:val="none"/>
        </w:rPr>
        <w:t>采购文件</w:t>
      </w:r>
      <w:r>
        <w:rPr>
          <w:color w:val="auto"/>
          <w:szCs w:val="21"/>
          <w:highlight w:val="none"/>
        </w:rPr>
        <w:t>的全部内容</w:t>
      </w:r>
      <w:r>
        <w:rPr>
          <w:rFonts w:hint="eastAsia"/>
          <w:color w:val="auto"/>
          <w:szCs w:val="21"/>
          <w:highlight w:val="none"/>
        </w:rPr>
        <w:t>，</w:t>
      </w:r>
      <w:r>
        <w:rPr>
          <w:color w:val="auto"/>
          <w:szCs w:val="21"/>
          <w:highlight w:val="none"/>
        </w:rPr>
        <w:t>签字代表</w:t>
      </w:r>
      <w:r>
        <w:rPr>
          <w:rFonts w:hint="eastAsia"/>
          <w:i/>
          <w:iCs/>
          <w:color w:val="auto"/>
          <w:szCs w:val="21"/>
          <w:highlight w:val="none"/>
          <w:u w:val="single"/>
        </w:rPr>
        <w:t>（授权代表姓名）</w:t>
      </w:r>
      <w:r>
        <w:rPr>
          <w:color w:val="auto"/>
          <w:szCs w:val="21"/>
          <w:highlight w:val="none"/>
        </w:rPr>
        <w:t>经正式授权并代表供应商</w:t>
      </w:r>
      <w:r>
        <w:rPr>
          <w:color w:val="auto"/>
          <w:szCs w:val="21"/>
          <w:highlight w:val="none"/>
          <w:u w:val="single"/>
        </w:rPr>
        <w:t xml:space="preserve"> </w:t>
      </w:r>
      <w:r>
        <w:rPr>
          <w:i/>
          <w:iCs/>
          <w:color w:val="auto"/>
          <w:szCs w:val="21"/>
          <w:highlight w:val="none"/>
          <w:u w:val="single"/>
        </w:rPr>
        <w:t>（供应商名称）</w:t>
      </w:r>
      <w:r>
        <w:rPr>
          <w:rFonts w:hint="eastAsia"/>
          <w:i/>
          <w:iCs/>
          <w:color w:val="auto"/>
          <w:szCs w:val="21"/>
          <w:highlight w:val="none"/>
          <w:u w:val="single"/>
        </w:rPr>
        <w:t xml:space="preserve"> </w:t>
      </w:r>
      <w:r>
        <w:rPr>
          <w:color w:val="auto"/>
          <w:szCs w:val="21"/>
          <w:highlight w:val="none"/>
        </w:rPr>
        <w:t>提交响应文件。</w:t>
      </w:r>
    </w:p>
    <w:bookmarkEnd w:id="100"/>
    <w:p w14:paraId="51772575">
      <w:pPr>
        <w:spacing w:line="360" w:lineRule="auto"/>
        <w:ind w:firstLine="420" w:firstLineChars="200"/>
        <w:rPr>
          <w:color w:val="auto"/>
          <w:szCs w:val="21"/>
          <w:highlight w:val="none"/>
        </w:rPr>
      </w:pPr>
      <w:r>
        <w:rPr>
          <w:color w:val="auto"/>
          <w:szCs w:val="21"/>
          <w:highlight w:val="none"/>
        </w:rPr>
        <w:t>据此函，签字代表宣布同意如下：</w:t>
      </w:r>
    </w:p>
    <w:p w14:paraId="2B1E8153">
      <w:pPr>
        <w:spacing w:line="360" w:lineRule="auto"/>
        <w:rPr>
          <w:color w:val="auto"/>
          <w:szCs w:val="21"/>
          <w:highlight w:val="none"/>
        </w:rPr>
      </w:pPr>
      <w:r>
        <w:rPr>
          <w:color w:val="auto"/>
          <w:szCs w:val="21"/>
          <w:highlight w:val="none"/>
        </w:rPr>
        <w:t>（1）供应商已详细审查全部“采购文件”，包括修改文件（如有的话）以及全部参考资料和有关附件，已经了解我方对于采购文件、采购过程、采购结果有依法进行询问、质疑、投诉的权利及相关渠道和要求。</w:t>
      </w:r>
    </w:p>
    <w:p w14:paraId="56991689">
      <w:pPr>
        <w:spacing w:line="360" w:lineRule="auto"/>
        <w:rPr>
          <w:color w:val="auto"/>
          <w:szCs w:val="21"/>
          <w:highlight w:val="none"/>
        </w:rPr>
      </w:pPr>
      <w:r>
        <w:rPr>
          <w:color w:val="auto"/>
          <w:szCs w:val="21"/>
          <w:highlight w:val="none"/>
        </w:rPr>
        <w:t>（2）供应商在响应之前已经与贵方进行了充分的沟通，完全理解并接受采购文件的各项规定和要求，对采购文件的合理性、合法性不再有异议。</w:t>
      </w:r>
    </w:p>
    <w:p w14:paraId="5D33BCF8">
      <w:pPr>
        <w:spacing w:line="360" w:lineRule="auto"/>
        <w:rPr>
          <w:color w:val="auto"/>
          <w:szCs w:val="21"/>
          <w:highlight w:val="none"/>
        </w:rPr>
      </w:pPr>
      <w:r>
        <w:rPr>
          <w:rFonts w:hint="eastAsia"/>
          <w:color w:val="auto"/>
          <w:szCs w:val="21"/>
          <w:highlight w:val="none"/>
        </w:rPr>
        <w:t>（3）我方承诺本响应有效期为第三章供应商须知规定的期限。</w:t>
      </w:r>
    </w:p>
    <w:p w14:paraId="093C9A48">
      <w:pPr>
        <w:spacing w:line="360" w:lineRule="auto"/>
        <w:rPr>
          <w:color w:val="auto"/>
          <w:szCs w:val="21"/>
          <w:highlight w:val="none"/>
        </w:rPr>
      </w:pPr>
      <w:r>
        <w:rPr>
          <w:color w:val="auto"/>
          <w:szCs w:val="21"/>
          <w:highlight w:val="none"/>
        </w:rPr>
        <w:t>（4）如成交，本响应文件至本项目合同履行完毕止均保持有效，本供应商将按“采购文件”及政府采购法律、法规的规定履行合同责任和义务</w:t>
      </w:r>
      <w:r>
        <w:rPr>
          <w:rFonts w:hint="eastAsia"/>
          <w:color w:val="auto"/>
          <w:szCs w:val="21"/>
          <w:highlight w:val="none"/>
        </w:rPr>
        <w:t>，并承诺</w:t>
      </w:r>
      <w:r>
        <w:rPr>
          <w:color w:val="auto"/>
          <w:szCs w:val="21"/>
          <w:highlight w:val="none"/>
        </w:rPr>
        <w:t>不分包及转包他人。</w:t>
      </w:r>
    </w:p>
    <w:p w14:paraId="73B47E8A">
      <w:pPr>
        <w:spacing w:line="360" w:lineRule="auto"/>
        <w:rPr>
          <w:color w:val="auto"/>
          <w:szCs w:val="21"/>
          <w:highlight w:val="none"/>
        </w:rPr>
      </w:pPr>
      <w:r>
        <w:rPr>
          <w:color w:val="auto"/>
          <w:szCs w:val="21"/>
          <w:highlight w:val="none"/>
        </w:rPr>
        <w:t>（5）供应商同意按照贵方要求提供与响应有关的一切数据或资料。</w:t>
      </w:r>
    </w:p>
    <w:p w14:paraId="0CE60CD6">
      <w:pPr>
        <w:spacing w:line="360" w:lineRule="auto"/>
        <w:rPr>
          <w:color w:val="auto"/>
          <w:szCs w:val="21"/>
          <w:highlight w:val="none"/>
        </w:rPr>
      </w:pPr>
      <w:r>
        <w:rPr>
          <w:color w:val="auto"/>
          <w:szCs w:val="21"/>
          <w:highlight w:val="none"/>
        </w:rPr>
        <w:t>（</w:t>
      </w:r>
      <w:r>
        <w:rPr>
          <w:rFonts w:hint="eastAsia"/>
          <w:color w:val="auto"/>
          <w:szCs w:val="21"/>
          <w:highlight w:val="none"/>
        </w:rPr>
        <w:t>6</w:t>
      </w:r>
      <w:r>
        <w:rPr>
          <w:color w:val="auto"/>
          <w:szCs w:val="21"/>
          <w:highlight w:val="none"/>
        </w:rPr>
        <w:t>）与本项目有关的一切正式往来信函请寄：</w:t>
      </w:r>
    </w:p>
    <w:p w14:paraId="5683CE29">
      <w:pPr>
        <w:spacing w:line="360" w:lineRule="auto"/>
        <w:rPr>
          <w:color w:val="auto"/>
          <w:szCs w:val="21"/>
          <w:highlight w:val="none"/>
        </w:rPr>
      </w:pPr>
      <w:r>
        <w:rPr>
          <w:color w:val="auto"/>
          <w:szCs w:val="21"/>
          <w:highlight w:val="none"/>
        </w:rPr>
        <w:t>地址：</w:t>
      </w:r>
      <w:r>
        <w:rPr>
          <w:color w:val="auto"/>
          <w:szCs w:val="21"/>
          <w:highlight w:val="none"/>
          <w:u w:val="single"/>
        </w:rPr>
        <w:t xml:space="preserve">                      </w:t>
      </w:r>
      <w:r>
        <w:rPr>
          <w:color w:val="auto"/>
          <w:szCs w:val="21"/>
          <w:highlight w:val="none"/>
        </w:rPr>
        <w:t>邮编：</w:t>
      </w:r>
      <w:r>
        <w:rPr>
          <w:color w:val="auto"/>
          <w:szCs w:val="21"/>
          <w:highlight w:val="none"/>
          <w:u w:val="single"/>
        </w:rPr>
        <w:t xml:space="preserve">         </w:t>
      </w:r>
      <w:r>
        <w:rPr>
          <w:color w:val="auto"/>
          <w:szCs w:val="21"/>
          <w:highlight w:val="none"/>
        </w:rPr>
        <w:t xml:space="preserve">  电话：</w:t>
      </w:r>
      <w:r>
        <w:rPr>
          <w:color w:val="auto"/>
          <w:szCs w:val="21"/>
          <w:highlight w:val="none"/>
          <w:u w:val="single"/>
        </w:rPr>
        <w:t xml:space="preserve">            </w:t>
      </w:r>
    </w:p>
    <w:p w14:paraId="07A58314">
      <w:pPr>
        <w:spacing w:line="360" w:lineRule="auto"/>
        <w:rPr>
          <w:color w:val="auto"/>
          <w:szCs w:val="21"/>
          <w:highlight w:val="none"/>
        </w:rPr>
      </w:pPr>
      <w:r>
        <w:rPr>
          <w:color w:val="auto"/>
          <w:szCs w:val="21"/>
          <w:highlight w:val="none"/>
        </w:rPr>
        <w:t>传真：</w:t>
      </w:r>
      <w:r>
        <w:rPr>
          <w:color w:val="auto"/>
          <w:szCs w:val="21"/>
          <w:highlight w:val="none"/>
          <w:u w:val="single"/>
        </w:rPr>
        <w:t xml:space="preserve">           </w:t>
      </w:r>
      <w:r>
        <w:rPr>
          <w:color w:val="auto"/>
          <w:szCs w:val="21"/>
          <w:highlight w:val="none"/>
        </w:rPr>
        <w:t xml:space="preserve"> </w:t>
      </w:r>
    </w:p>
    <w:p w14:paraId="47F3775E">
      <w:pPr>
        <w:spacing w:line="360" w:lineRule="auto"/>
        <w:rPr>
          <w:color w:val="auto"/>
          <w:szCs w:val="21"/>
          <w:highlight w:val="none"/>
        </w:rPr>
      </w:pPr>
      <w:r>
        <w:rPr>
          <w:color w:val="auto"/>
          <w:szCs w:val="21"/>
          <w:highlight w:val="none"/>
        </w:rPr>
        <w:t>供应商代表姓名</w:t>
      </w:r>
      <w:r>
        <w:rPr>
          <w:color w:val="auto"/>
          <w:szCs w:val="21"/>
          <w:highlight w:val="none"/>
          <w:u w:val="single"/>
        </w:rPr>
        <w:t xml:space="preserve">         </w:t>
      </w:r>
      <w:r>
        <w:rPr>
          <w:color w:val="auto"/>
          <w:szCs w:val="21"/>
          <w:highlight w:val="none"/>
        </w:rPr>
        <w:t xml:space="preserve">  职务：</w:t>
      </w:r>
      <w:r>
        <w:rPr>
          <w:color w:val="auto"/>
          <w:szCs w:val="21"/>
          <w:highlight w:val="none"/>
          <w:u w:val="single"/>
        </w:rPr>
        <w:t xml:space="preserve">             </w:t>
      </w:r>
      <w:r>
        <w:rPr>
          <w:rFonts w:hint="eastAsia"/>
          <w:color w:val="auto"/>
          <w:szCs w:val="21"/>
          <w:highlight w:val="none"/>
        </w:rPr>
        <w:t>邮箱：</w:t>
      </w:r>
      <w:r>
        <w:rPr>
          <w:rFonts w:hint="eastAsia"/>
          <w:color w:val="auto"/>
          <w:szCs w:val="21"/>
          <w:highlight w:val="none"/>
          <w:u w:val="single"/>
        </w:rPr>
        <w:t xml:space="preserve"> </w:t>
      </w:r>
      <w:r>
        <w:rPr>
          <w:color w:val="auto"/>
          <w:szCs w:val="21"/>
          <w:highlight w:val="none"/>
          <w:u w:val="single"/>
        </w:rPr>
        <w:t xml:space="preserve">             </w:t>
      </w:r>
    </w:p>
    <w:p w14:paraId="580556D1">
      <w:pPr>
        <w:spacing w:line="360" w:lineRule="auto"/>
        <w:rPr>
          <w:rFonts w:hint="eastAsia"/>
          <w:color w:val="auto"/>
          <w:szCs w:val="21"/>
          <w:highlight w:val="none"/>
        </w:rPr>
      </w:pPr>
    </w:p>
    <w:p w14:paraId="121496C5">
      <w:pPr>
        <w:spacing w:line="360" w:lineRule="auto"/>
        <w:rPr>
          <w:rFonts w:hint="eastAsia"/>
          <w:color w:val="auto"/>
          <w:szCs w:val="21"/>
          <w:highlight w:val="none"/>
        </w:rPr>
      </w:pPr>
    </w:p>
    <w:p w14:paraId="12441365">
      <w:pPr>
        <w:spacing w:line="360" w:lineRule="auto"/>
        <w:rPr>
          <w:rFonts w:hint="eastAsia"/>
          <w:color w:val="auto"/>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1712C3AC">
      <w:pPr>
        <w:spacing w:line="360" w:lineRule="auto"/>
        <w:rPr>
          <w:color w:val="auto"/>
          <w:szCs w:val="21"/>
          <w:highlight w:val="none"/>
        </w:rPr>
      </w:pPr>
    </w:p>
    <w:p w14:paraId="696A5165">
      <w:pPr>
        <w:spacing w:line="360" w:lineRule="auto"/>
        <w:rPr>
          <w:rFonts w:hint="eastAsia"/>
          <w:color w:val="auto"/>
          <w:szCs w:val="21"/>
          <w:highlight w:val="none"/>
        </w:rPr>
      </w:pPr>
    </w:p>
    <w:p w14:paraId="3D20F21C">
      <w:pPr>
        <w:spacing w:line="360" w:lineRule="auto"/>
        <w:rPr>
          <w:color w:val="auto"/>
          <w:szCs w:val="21"/>
          <w:highlight w:val="none"/>
        </w:rPr>
      </w:pPr>
      <w:r>
        <w:rPr>
          <w:color w:val="auto"/>
          <w:szCs w:val="21"/>
          <w:highlight w:val="none"/>
        </w:rPr>
        <w:t>日期：</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14:paraId="78C688D8">
      <w:pPr>
        <w:rPr>
          <w:b/>
          <w:color w:val="auto"/>
          <w:szCs w:val="21"/>
          <w:highlight w:val="none"/>
        </w:rPr>
      </w:pPr>
      <w:r>
        <w:rPr>
          <w:b/>
          <w:color w:val="auto"/>
          <w:szCs w:val="21"/>
          <w:highlight w:val="none"/>
        </w:rPr>
        <w:br w:type="page"/>
      </w:r>
      <w:r>
        <w:rPr>
          <w:b/>
          <w:color w:val="auto"/>
          <w:szCs w:val="21"/>
          <w:highlight w:val="none"/>
        </w:rPr>
        <w:t>2．响应报价明细表格式：</w:t>
      </w:r>
    </w:p>
    <w:p w14:paraId="73BEE382">
      <w:pPr>
        <w:jc w:val="center"/>
        <w:rPr>
          <w:b/>
          <w:color w:val="auto"/>
          <w:szCs w:val="21"/>
          <w:highlight w:val="none"/>
        </w:rPr>
      </w:pPr>
      <w:r>
        <w:rPr>
          <w:b/>
          <w:color w:val="auto"/>
          <w:szCs w:val="21"/>
          <w:highlight w:val="none"/>
        </w:rPr>
        <w:t>响应报价明细表</w:t>
      </w:r>
    </w:p>
    <w:p w14:paraId="58A157A4">
      <w:pPr>
        <w:ind w:firstLine="2415" w:firstLineChars="1150"/>
        <w:rPr>
          <w:color w:val="auto"/>
          <w:szCs w:val="21"/>
          <w:highlight w:val="none"/>
        </w:rPr>
      </w:pPr>
      <w:r>
        <w:rPr>
          <w:color w:val="auto"/>
          <w:szCs w:val="21"/>
          <w:highlight w:val="none"/>
        </w:rPr>
        <w:t xml:space="preserve">                            金额单位：人民币（元）</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8"/>
        <w:gridCol w:w="1783"/>
        <w:gridCol w:w="1189"/>
        <w:gridCol w:w="1783"/>
        <w:gridCol w:w="1387"/>
        <w:gridCol w:w="1585"/>
      </w:tblGrid>
      <w:tr w14:paraId="0C3603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3" w:hRule="exact"/>
          <w:jc w:val="center"/>
        </w:trPr>
        <w:tc>
          <w:tcPr>
            <w:tcW w:w="898" w:type="dxa"/>
            <w:tcBorders>
              <w:top w:val="single" w:color="auto" w:sz="4" w:space="0"/>
              <w:left w:val="single" w:color="auto" w:sz="4" w:space="0"/>
              <w:bottom w:val="single" w:color="auto" w:sz="4" w:space="0"/>
              <w:right w:val="single" w:color="auto" w:sz="4" w:space="0"/>
            </w:tcBorders>
            <w:noWrap w:val="0"/>
            <w:vAlign w:val="center"/>
          </w:tcPr>
          <w:p w14:paraId="4F6641E3">
            <w:pPr>
              <w:keepNext w:val="0"/>
              <w:keepLines w:val="0"/>
              <w:suppressLineNumbers w:val="0"/>
              <w:spacing w:before="0" w:beforeAutospacing="0" w:after="0" w:afterAutospacing="0"/>
              <w:ind w:left="0" w:right="0"/>
              <w:jc w:val="center"/>
              <w:rPr>
                <w:rFonts w:hint="default"/>
                <w:color w:val="auto"/>
                <w:spacing w:val="20"/>
                <w:szCs w:val="21"/>
                <w:highlight w:val="none"/>
              </w:rPr>
            </w:pPr>
            <w:r>
              <w:rPr>
                <w:rFonts w:hint="default"/>
                <w:color w:val="auto"/>
                <w:szCs w:val="21"/>
                <w:highlight w:val="none"/>
              </w:rPr>
              <w:t>序号</w:t>
            </w:r>
          </w:p>
        </w:tc>
        <w:tc>
          <w:tcPr>
            <w:tcW w:w="1783" w:type="dxa"/>
            <w:tcBorders>
              <w:top w:val="single" w:color="auto" w:sz="4" w:space="0"/>
              <w:left w:val="single" w:color="auto" w:sz="4" w:space="0"/>
              <w:bottom w:val="single" w:color="auto" w:sz="4" w:space="0"/>
              <w:right w:val="single" w:color="auto" w:sz="4" w:space="0"/>
            </w:tcBorders>
            <w:noWrap w:val="0"/>
            <w:vAlign w:val="center"/>
          </w:tcPr>
          <w:p w14:paraId="3C881A87">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服务名称</w:t>
            </w:r>
          </w:p>
        </w:tc>
        <w:tc>
          <w:tcPr>
            <w:tcW w:w="1189" w:type="dxa"/>
            <w:tcBorders>
              <w:top w:val="single" w:color="auto" w:sz="4" w:space="0"/>
              <w:left w:val="single" w:color="auto" w:sz="4" w:space="0"/>
              <w:bottom w:val="single" w:color="auto" w:sz="4" w:space="0"/>
              <w:right w:val="single" w:color="auto" w:sz="4" w:space="0"/>
            </w:tcBorders>
            <w:noWrap w:val="0"/>
            <w:vAlign w:val="center"/>
          </w:tcPr>
          <w:p w14:paraId="535E5D38">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服务商</w:t>
            </w:r>
          </w:p>
        </w:tc>
        <w:tc>
          <w:tcPr>
            <w:tcW w:w="1783" w:type="dxa"/>
            <w:tcBorders>
              <w:top w:val="single" w:color="auto" w:sz="4" w:space="0"/>
              <w:left w:val="single" w:color="auto" w:sz="4" w:space="0"/>
              <w:bottom w:val="single" w:color="auto" w:sz="4" w:space="0"/>
              <w:right w:val="single" w:color="auto" w:sz="4" w:space="0"/>
            </w:tcBorders>
            <w:noWrap w:val="0"/>
            <w:vAlign w:val="center"/>
          </w:tcPr>
          <w:p w14:paraId="481582D9">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单位及数量</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6B952D7B">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单价</w:t>
            </w:r>
          </w:p>
        </w:tc>
        <w:tc>
          <w:tcPr>
            <w:tcW w:w="1585" w:type="dxa"/>
            <w:tcBorders>
              <w:top w:val="single" w:color="auto" w:sz="4" w:space="0"/>
              <w:left w:val="single" w:color="auto" w:sz="4" w:space="0"/>
              <w:bottom w:val="single" w:color="auto" w:sz="4" w:space="0"/>
              <w:right w:val="single" w:color="auto" w:sz="4" w:space="0"/>
            </w:tcBorders>
            <w:noWrap w:val="0"/>
            <w:vAlign w:val="center"/>
          </w:tcPr>
          <w:p w14:paraId="01CFA734">
            <w:pPr>
              <w:keepNext w:val="0"/>
              <w:keepLines w:val="0"/>
              <w:suppressLineNumbers w:val="0"/>
              <w:spacing w:before="0" w:beforeAutospacing="0" w:after="0" w:afterAutospacing="0"/>
              <w:ind w:left="0" w:right="0"/>
              <w:jc w:val="center"/>
              <w:rPr>
                <w:rFonts w:hint="default"/>
                <w:color w:val="auto"/>
                <w:szCs w:val="21"/>
                <w:highlight w:val="none"/>
              </w:rPr>
            </w:pPr>
            <w:r>
              <w:rPr>
                <w:rFonts w:hint="eastAsia"/>
                <w:color w:val="auto"/>
                <w:szCs w:val="21"/>
                <w:highlight w:val="none"/>
              </w:rPr>
              <w:t>合计</w:t>
            </w:r>
          </w:p>
        </w:tc>
      </w:tr>
      <w:tr w14:paraId="1367FA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3" w:hRule="exact"/>
          <w:jc w:val="center"/>
        </w:trPr>
        <w:tc>
          <w:tcPr>
            <w:tcW w:w="898" w:type="dxa"/>
            <w:tcBorders>
              <w:top w:val="single" w:color="auto" w:sz="4" w:space="0"/>
              <w:left w:val="single" w:color="auto" w:sz="4" w:space="0"/>
              <w:bottom w:val="single" w:color="auto" w:sz="4" w:space="0"/>
              <w:right w:val="single" w:color="auto" w:sz="4" w:space="0"/>
            </w:tcBorders>
            <w:noWrap w:val="0"/>
            <w:vAlign w:val="center"/>
          </w:tcPr>
          <w:p w14:paraId="2665A770">
            <w:pPr>
              <w:keepNext w:val="0"/>
              <w:keepLines w:val="0"/>
              <w:suppressLineNumbers w:val="0"/>
              <w:spacing w:before="0" w:beforeAutospacing="0" w:after="0" w:afterAutospacing="0"/>
              <w:ind w:left="0" w:right="0"/>
              <w:jc w:val="center"/>
              <w:rPr>
                <w:rFonts w:hint="default"/>
                <w:color w:val="auto"/>
                <w:spacing w:val="20"/>
                <w:szCs w:val="21"/>
                <w:highlight w:val="none"/>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03168E7D">
            <w:pPr>
              <w:keepNext w:val="0"/>
              <w:keepLines w:val="0"/>
              <w:suppressLineNumbers w:val="0"/>
              <w:spacing w:before="0" w:beforeAutospacing="0" w:after="0" w:afterAutospacing="0"/>
              <w:ind w:left="0" w:right="0"/>
              <w:jc w:val="center"/>
              <w:rPr>
                <w:rFonts w:hint="default"/>
                <w:color w:val="auto"/>
                <w:spacing w:val="20"/>
                <w:szCs w:val="21"/>
                <w:highlight w:val="none"/>
              </w:rPr>
            </w:pPr>
          </w:p>
        </w:tc>
        <w:tc>
          <w:tcPr>
            <w:tcW w:w="1189" w:type="dxa"/>
            <w:tcBorders>
              <w:top w:val="single" w:color="auto" w:sz="4" w:space="0"/>
              <w:left w:val="single" w:color="auto" w:sz="4" w:space="0"/>
              <w:bottom w:val="single" w:color="auto" w:sz="4" w:space="0"/>
              <w:right w:val="single" w:color="auto" w:sz="4" w:space="0"/>
            </w:tcBorders>
            <w:noWrap w:val="0"/>
            <w:vAlign w:val="center"/>
          </w:tcPr>
          <w:p w14:paraId="737B3BE9">
            <w:pPr>
              <w:keepNext w:val="0"/>
              <w:keepLines w:val="0"/>
              <w:suppressLineNumbers w:val="0"/>
              <w:spacing w:before="0" w:beforeAutospacing="0" w:after="0" w:afterAutospacing="0"/>
              <w:ind w:left="0" w:right="0"/>
              <w:jc w:val="center"/>
              <w:rPr>
                <w:rFonts w:hint="default"/>
                <w:color w:val="auto"/>
                <w:spacing w:val="20"/>
                <w:szCs w:val="21"/>
                <w:highlight w:val="none"/>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7E5B1F4A">
            <w:pPr>
              <w:keepNext w:val="0"/>
              <w:keepLines w:val="0"/>
              <w:suppressLineNumbers w:val="0"/>
              <w:spacing w:before="0" w:beforeAutospacing="0" w:after="0" w:afterAutospacing="0"/>
              <w:ind w:left="0" w:right="0"/>
              <w:jc w:val="center"/>
              <w:rPr>
                <w:rFonts w:hint="default"/>
                <w:color w:val="auto"/>
                <w:spacing w:val="20"/>
                <w:szCs w:val="21"/>
                <w:highlight w:val="none"/>
              </w:rPr>
            </w:pPr>
          </w:p>
        </w:tc>
        <w:tc>
          <w:tcPr>
            <w:tcW w:w="1387" w:type="dxa"/>
            <w:tcBorders>
              <w:top w:val="single" w:color="auto" w:sz="4" w:space="0"/>
              <w:left w:val="single" w:color="auto" w:sz="4" w:space="0"/>
              <w:bottom w:val="single" w:color="auto" w:sz="4" w:space="0"/>
              <w:right w:val="single" w:color="auto" w:sz="4" w:space="0"/>
            </w:tcBorders>
            <w:noWrap w:val="0"/>
            <w:vAlign w:val="center"/>
          </w:tcPr>
          <w:p w14:paraId="30C886ED">
            <w:pPr>
              <w:keepNext w:val="0"/>
              <w:keepLines w:val="0"/>
              <w:suppressLineNumbers w:val="0"/>
              <w:spacing w:before="0" w:beforeAutospacing="0" w:after="0" w:afterAutospacing="0"/>
              <w:ind w:left="0" w:right="0"/>
              <w:jc w:val="center"/>
              <w:rPr>
                <w:rFonts w:hint="default"/>
                <w:color w:val="auto"/>
                <w:spacing w:val="20"/>
                <w:szCs w:val="21"/>
                <w:highlight w:val="none"/>
              </w:rPr>
            </w:pPr>
          </w:p>
        </w:tc>
        <w:tc>
          <w:tcPr>
            <w:tcW w:w="1585" w:type="dxa"/>
            <w:tcBorders>
              <w:top w:val="single" w:color="auto" w:sz="4" w:space="0"/>
              <w:left w:val="single" w:color="auto" w:sz="4" w:space="0"/>
              <w:bottom w:val="single" w:color="auto" w:sz="4" w:space="0"/>
              <w:right w:val="single" w:color="auto" w:sz="4" w:space="0"/>
            </w:tcBorders>
            <w:noWrap w:val="0"/>
            <w:vAlign w:val="center"/>
          </w:tcPr>
          <w:p w14:paraId="7C3C2D1A">
            <w:pPr>
              <w:keepNext w:val="0"/>
              <w:keepLines w:val="0"/>
              <w:suppressLineNumbers w:val="0"/>
              <w:spacing w:before="0" w:beforeAutospacing="0" w:after="0" w:afterAutospacing="0"/>
              <w:ind w:left="0" w:right="0"/>
              <w:jc w:val="center"/>
              <w:rPr>
                <w:rFonts w:hint="default"/>
                <w:color w:val="auto"/>
                <w:spacing w:val="20"/>
                <w:szCs w:val="21"/>
                <w:highlight w:val="none"/>
              </w:rPr>
            </w:pPr>
          </w:p>
        </w:tc>
      </w:tr>
      <w:tr w14:paraId="04E7AD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3" w:hRule="exact"/>
          <w:jc w:val="center"/>
        </w:trPr>
        <w:tc>
          <w:tcPr>
            <w:tcW w:w="898" w:type="dxa"/>
            <w:tcBorders>
              <w:top w:val="single" w:color="auto" w:sz="4" w:space="0"/>
              <w:left w:val="single" w:color="auto" w:sz="4" w:space="0"/>
              <w:bottom w:val="single" w:color="auto" w:sz="4" w:space="0"/>
              <w:right w:val="single" w:color="auto" w:sz="4" w:space="0"/>
            </w:tcBorders>
            <w:noWrap w:val="0"/>
            <w:vAlign w:val="center"/>
          </w:tcPr>
          <w:p w14:paraId="2BA713E3">
            <w:pPr>
              <w:keepNext w:val="0"/>
              <w:keepLines w:val="0"/>
              <w:suppressLineNumbers w:val="0"/>
              <w:spacing w:before="0" w:beforeAutospacing="0" w:after="0" w:afterAutospacing="0"/>
              <w:ind w:left="0" w:right="0"/>
              <w:jc w:val="center"/>
              <w:rPr>
                <w:rFonts w:hint="default"/>
                <w:color w:val="auto"/>
                <w:spacing w:val="20"/>
                <w:szCs w:val="21"/>
                <w:highlight w:val="none"/>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0AB4AAD3">
            <w:pPr>
              <w:keepNext w:val="0"/>
              <w:keepLines w:val="0"/>
              <w:suppressLineNumbers w:val="0"/>
              <w:spacing w:before="0" w:beforeAutospacing="0" w:after="0" w:afterAutospacing="0"/>
              <w:ind w:left="0" w:right="0"/>
              <w:jc w:val="center"/>
              <w:rPr>
                <w:rFonts w:hint="default"/>
                <w:color w:val="auto"/>
                <w:spacing w:val="20"/>
                <w:szCs w:val="21"/>
                <w:highlight w:val="none"/>
              </w:rPr>
            </w:pPr>
          </w:p>
        </w:tc>
        <w:tc>
          <w:tcPr>
            <w:tcW w:w="1189" w:type="dxa"/>
            <w:tcBorders>
              <w:top w:val="single" w:color="auto" w:sz="4" w:space="0"/>
              <w:left w:val="single" w:color="auto" w:sz="4" w:space="0"/>
              <w:bottom w:val="single" w:color="auto" w:sz="4" w:space="0"/>
              <w:right w:val="single" w:color="auto" w:sz="4" w:space="0"/>
            </w:tcBorders>
            <w:noWrap w:val="0"/>
            <w:vAlign w:val="center"/>
          </w:tcPr>
          <w:p w14:paraId="7B68F7C5">
            <w:pPr>
              <w:keepNext w:val="0"/>
              <w:keepLines w:val="0"/>
              <w:suppressLineNumbers w:val="0"/>
              <w:spacing w:before="0" w:beforeAutospacing="0" w:after="0" w:afterAutospacing="0"/>
              <w:ind w:left="0" w:right="0"/>
              <w:jc w:val="center"/>
              <w:rPr>
                <w:rFonts w:hint="default"/>
                <w:color w:val="auto"/>
                <w:spacing w:val="20"/>
                <w:szCs w:val="21"/>
                <w:highlight w:val="none"/>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2192B3E3">
            <w:pPr>
              <w:keepNext w:val="0"/>
              <w:keepLines w:val="0"/>
              <w:suppressLineNumbers w:val="0"/>
              <w:spacing w:before="0" w:beforeAutospacing="0" w:after="0" w:afterAutospacing="0"/>
              <w:ind w:left="0" w:right="0"/>
              <w:jc w:val="center"/>
              <w:rPr>
                <w:rFonts w:hint="default"/>
                <w:color w:val="auto"/>
                <w:spacing w:val="20"/>
                <w:szCs w:val="21"/>
                <w:highlight w:val="none"/>
              </w:rPr>
            </w:pPr>
          </w:p>
        </w:tc>
        <w:tc>
          <w:tcPr>
            <w:tcW w:w="1387" w:type="dxa"/>
            <w:tcBorders>
              <w:top w:val="single" w:color="auto" w:sz="4" w:space="0"/>
              <w:left w:val="single" w:color="auto" w:sz="4" w:space="0"/>
              <w:bottom w:val="single" w:color="auto" w:sz="4" w:space="0"/>
              <w:right w:val="single" w:color="auto" w:sz="4" w:space="0"/>
            </w:tcBorders>
            <w:noWrap w:val="0"/>
            <w:vAlign w:val="center"/>
          </w:tcPr>
          <w:p w14:paraId="3DDC0414">
            <w:pPr>
              <w:keepNext w:val="0"/>
              <w:keepLines w:val="0"/>
              <w:suppressLineNumbers w:val="0"/>
              <w:spacing w:before="0" w:beforeAutospacing="0" w:after="0" w:afterAutospacing="0"/>
              <w:ind w:left="0" w:right="0"/>
              <w:jc w:val="center"/>
              <w:rPr>
                <w:rFonts w:hint="default"/>
                <w:color w:val="auto"/>
                <w:spacing w:val="20"/>
                <w:szCs w:val="21"/>
                <w:highlight w:val="none"/>
              </w:rPr>
            </w:pPr>
          </w:p>
        </w:tc>
        <w:tc>
          <w:tcPr>
            <w:tcW w:w="1585" w:type="dxa"/>
            <w:tcBorders>
              <w:top w:val="single" w:color="auto" w:sz="4" w:space="0"/>
              <w:left w:val="single" w:color="auto" w:sz="4" w:space="0"/>
              <w:bottom w:val="single" w:color="auto" w:sz="4" w:space="0"/>
              <w:right w:val="single" w:color="auto" w:sz="4" w:space="0"/>
            </w:tcBorders>
            <w:noWrap w:val="0"/>
            <w:vAlign w:val="center"/>
          </w:tcPr>
          <w:p w14:paraId="19CC4258">
            <w:pPr>
              <w:keepNext w:val="0"/>
              <w:keepLines w:val="0"/>
              <w:suppressLineNumbers w:val="0"/>
              <w:spacing w:before="0" w:beforeAutospacing="0" w:after="0" w:afterAutospacing="0"/>
              <w:ind w:left="0" w:right="0"/>
              <w:jc w:val="center"/>
              <w:rPr>
                <w:rFonts w:hint="default"/>
                <w:color w:val="auto"/>
                <w:spacing w:val="20"/>
                <w:szCs w:val="21"/>
                <w:highlight w:val="none"/>
              </w:rPr>
            </w:pPr>
          </w:p>
        </w:tc>
      </w:tr>
      <w:tr w14:paraId="7907E8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3" w:hRule="exact"/>
          <w:jc w:val="center"/>
        </w:trPr>
        <w:tc>
          <w:tcPr>
            <w:tcW w:w="898" w:type="dxa"/>
            <w:tcBorders>
              <w:top w:val="single" w:color="auto" w:sz="4" w:space="0"/>
              <w:left w:val="single" w:color="auto" w:sz="4" w:space="0"/>
              <w:bottom w:val="single" w:color="auto" w:sz="4" w:space="0"/>
              <w:right w:val="single" w:color="auto" w:sz="4" w:space="0"/>
            </w:tcBorders>
            <w:noWrap w:val="0"/>
            <w:vAlign w:val="center"/>
          </w:tcPr>
          <w:p w14:paraId="0E2FA2D4">
            <w:pPr>
              <w:keepNext w:val="0"/>
              <w:keepLines w:val="0"/>
              <w:suppressLineNumbers w:val="0"/>
              <w:spacing w:before="0" w:beforeAutospacing="0" w:after="0" w:afterAutospacing="0"/>
              <w:ind w:left="0" w:right="0"/>
              <w:jc w:val="center"/>
              <w:rPr>
                <w:rFonts w:hint="default"/>
                <w:color w:val="auto"/>
                <w:spacing w:val="20"/>
                <w:szCs w:val="21"/>
                <w:highlight w:val="none"/>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488C072E">
            <w:pPr>
              <w:keepNext w:val="0"/>
              <w:keepLines w:val="0"/>
              <w:suppressLineNumbers w:val="0"/>
              <w:spacing w:before="0" w:beforeAutospacing="0" w:after="0" w:afterAutospacing="0"/>
              <w:ind w:left="0" w:right="0"/>
              <w:jc w:val="center"/>
              <w:rPr>
                <w:rFonts w:hint="default"/>
                <w:color w:val="auto"/>
                <w:spacing w:val="20"/>
                <w:szCs w:val="21"/>
                <w:highlight w:val="none"/>
              </w:rPr>
            </w:pPr>
            <w:r>
              <w:rPr>
                <w:rFonts w:hint="default"/>
                <w:color w:val="auto"/>
                <w:spacing w:val="20"/>
                <w:szCs w:val="21"/>
                <w:highlight w:val="none"/>
              </w:rPr>
              <w:t>……</w:t>
            </w:r>
          </w:p>
        </w:tc>
        <w:tc>
          <w:tcPr>
            <w:tcW w:w="1189" w:type="dxa"/>
            <w:tcBorders>
              <w:top w:val="single" w:color="auto" w:sz="4" w:space="0"/>
              <w:left w:val="single" w:color="auto" w:sz="4" w:space="0"/>
              <w:bottom w:val="single" w:color="auto" w:sz="4" w:space="0"/>
              <w:right w:val="single" w:color="auto" w:sz="4" w:space="0"/>
            </w:tcBorders>
            <w:noWrap w:val="0"/>
            <w:vAlign w:val="center"/>
          </w:tcPr>
          <w:p w14:paraId="011E797E">
            <w:pPr>
              <w:keepNext w:val="0"/>
              <w:keepLines w:val="0"/>
              <w:suppressLineNumbers w:val="0"/>
              <w:spacing w:before="0" w:beforeAutospacing="0" w:after="0" w:afterAutospacing="0"/>
              <w:ind w:left="0" w:right="0"/>
              <w:jc w:val="center"/>
              <w:rPr>
                <w:rFonts w:hint="default"/>
                <w:color w:val="auto"/>
                <w:spacing w:val="20"/>
                <w:szCs w:val="21"/>
                <w:highlight w:val="none"/>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22EAF199">
            <w:pPr>
              <w:keepNext w:val="0"/>
              <w:keepLines w:val="0"/>
              <w:suppressLineNumbers w:val="0"/>
              <w:spacing w:before="0" w:beforeAutospacing="0" w:after="0" w:afterAutospacing="0"/>
              <w:ind w:left="0" w:right="0"/>
              <w:jc w:val="center"/>
              <w:rPr>
                <w:rFonts w:hint="default"/>
                <w:color w:val="auto"/>
                <w:spacing w:val="20"/>
                <w:szCs w:val="21"/>
                <w:highlight w:val="none"/>
              </w:rPr>
            </w:pPr>
          </w:p>
        </w:tc>
        <w:tc>
          <w:tcPr>
            <w:tcW w:w="1387" w:type="dxa"/>
            <w:tcBorders>
              <w:top w:val="single" w:color="auto" w:sz="4" w:space="0"/>
              <w:left w:val="single" w:color="auto" w:sz="4" w:space="0"/>
              <w:bottom w:val="single" w:color="auto" w:sz="4" w:space="0"/>
              <w:right w:val="single" w:color="auto" w:sz="4" w:space="0"/>
            </w:tcBorders>
            <w:noWrap w:val="0"/>
            <w:vAlign w:val="center"/>
          </w:tcPr>
          <w:p w14:paraId="50406C31">
            <w:pPr>
              <w:keepNext w:val="0"/>
              <w:keepLines w:val="0"/>
              <w:suppressLineNumbers w:val="0"/>
              <w:spacing w:before="0" w:beforeAutospacing="0" w:after="0" w:afterAutospacing="0"/>
              <w:ind w:left="0" w:right="0"/>
              <w:jc w:val="center"/>
              <w:rPr>
                <w:rFonts w:hint="default"/>
                <w:color w:val="auto"/>
                <w:spacing w:val="20"/>
                <w:szCs w:val="21"/>
                <w:highlight w:val="none"/>
              </w:rPr>
            </w:pPr>
          </w:p>
        </w:tc>
        <w:tc>
          <w:tcPr>
            <w:tcW w:w="1585" w:type="dxa"/>
            <w:tcBorders>
              <w:top w:val="single" w:color="auto" w:sz="4" w:space="0"/>
              <w:left w:val="single" w:color="auto" w:sz="4" w:space="0"/>
              <w:bottom w:val="single" w:color="auto" w:sz="4" w:space="0"/>
              <w:right w:val="single" w:color="auto" w:sz="4" w:space="0"/>
            </w:tcBorders>
            <w:noWrap w:val="0"/>
            <w:vAlign w:val="center"/>
          </w:tcPr>
          <w:p w14:paraId="58056CF6">
            <w:pPr>
              <w:keepNext w:val="0"/>
              <w:keepLines w:val="0"/>
              <w:suppressLineNumbers w:val="0"/>
              <w:spacing w:before="0" w:beforeAutospacing="0" w:after="0" w:afterAutospacing="0"/>
              <w:ind w:left="0" w:right="0"/>
              <w:jc w:val="center"/>
              <w:rPr>
                <w:rFonts w:hint="default"/>
                <w:color w:val="auto"/>
                <w:spacing w:val="20"/>
                <w:szCs w:val="21"/>
                <w:highlight w:val="none"/>
              </w:rPr>
            </w:pPr>
          </w:p>
        </w:tc>
      </w:tr>
    </w:tbl>
    <w:p w14:paraId="5DE51AD4">
      <w:pPr>
        <w:rPr>
          <w:color w:val="auto"/>
          <w:spacing w:val="20"/>
          <w:szCs w:val="21"/>
          <w:highlight w:val="none"/>
          <w:u w:val="single"/>
        </w:rPr>
      </w:pPr>
    </w:p>
    <w:p w14:paraId="53598670">
      <w:pPr>
        <w:spacing w:line="360" w:lineRule="auto"/>
        <w:rPr>
          <w:color w:val="auto"/>
          <w:spacing w:val="20"/>
          <w:szCs w:val="21"/>
          <w:highlight w:val="none"/>
        </w:rPr>
      </w:pPr>
    </w:p>
    <w:p w14:paraId="4580B320">
      <w:pPr>
        <w:pStyle w:val="17"/>
        <w:rPr>
          <w:color w:val="auto"/>
          <w:highlight w:val="none"/>
        </w:rPr>
      </w:pPr>
      <w:r>
        <w:rPr>
          <w:color w:val="auto"/>
          <w:szCs w:val="21"/>
          <w:highlight w:val="none"/>
        </w:rPr>
        <w:t>注：</w:t>
      </w:r>
      <w:r>
        <w:rPr>
          <w:rFonts w:hint="eastAsia"/>
          <w:color w:val="auto"/>
          <w:szCs w:val="21"/>
          <w:highlight w:val="none"/>
        </w:rPr>
        <w:t>本表如</w:t>
      </w:r>
      <w:r>
        <w:rPr>
          <w:rFonts w:hint="eastAsia"/>
          <w:color w:val="auto"/>
          <w:highlight w:val="none"/>
        </w:rPr>
        <w:t>与广西政府采购云平台不一致的，以广西政府采购云平台为准。</w:t>
      </w:r>
    </w:p>
    <w:p w14:paraId="40BD3744">
      <w:pPr>
        <w:jc w:val="left"/>
        <w:rPr>
          <w:color w:val="auto"/>
          <w:szCs w:val="21"/>
          <w:highlight w:val="none"/>
        </w:rPr>
      </w:pPr>
    </w:p>
    <w:p w14:paraId="77DEDCC4">
      <w:pPr>
        <w:spacing w:line="360" w:lineRule="auto"/>
        <w:rPr>
          <w:color w:val="auto"/>
          <w:spacing w:val="20"/>
          <w:szCs w:val="21"/>
          <w:highlight w:val="none"/>
        </w:rPr>
      </w:pPr>
    </w:p>
    <w:p w14:paraId="03ED288D">
      <w:pPr>
        <w:spacing w:line="360" w:lineRule="auto"/>
        <w:rPr>
          <w:color w:val="auto"/>
          <w:szCs w:val="21"/>
          <w:highlight w:val="none"/>
        </w:rPr>
      </w:pPr>
      <w:r>
        <w:rPr>
          <w:color w:val="auto"/>
          <w:szCs w:val="21"/>
          <w:highlight w:val="none"/>
        </w:rPr>
        <w:t>供应商名称（</w:t>
      </w:r>
      <w:r>
        <w:rPr>
          <w:rFonts w:hint="eastAsia"/>
          <w:color w:val="auto"/>
          <w:szCs w:val="21"/>
          <w:highlight w:val="none"/>
        </w:rPr>
        <w:t>电子签章</w:t>
      </w:r>
      <w:r>
        <w:rPr>
          <w:color w:val="auto"/>
          <w:szCs w:val="21"/>
          <w:highlight w:val="none"/>
        </w:rPr>
        <w:t>）：</w:t>
      </w:r>
      <w:r>
        <w:rPr>
          <w:color w:val="auto"/>
          <w:szCs w:val="21"/>
          <w:highlight w:val="none"/>
          <w:u w:val="single"/>
        </w:rPr>
        <w:t xml:space="preserve">                          </w:t>
      </w:r>
    </w:p>
    <w:p w14:paraId="31C7D1DA">
      <w:pPr>
        <w:spacing w:line="360" w:lineRule="auto"/>
        <w:rPr>
          <w:color w:val="auto"/>
          <w:spacing w:val="20"/>
          <w:szCs w:val="21"/>
          <w:highlight w:val="none"/>
          <w:u w:val="single"/>
        </w:rPr>
      </w:pPr>
      <w:r>
        <w:rPr>
          <w:color w:val="auto"/>
          <w:szCs w:val="21"/>
          <w:highlight w:val="none"/>
        </w:rPr>
        <w:t>日  期：：</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 xml:space="preserve">日 </w:t>
      </w:r>
    </w:p>
    <w:p w14:paraId="36EB4626">
      <w:pPr>
        <w:snapToGrid/>
        <w:spacing w:before="0" w:after="0" w:afterLines="-2147483648"/>
        <w:jc w:val="left"/>
        <w:outlineLvl w:val="9"/>
        <w:rPr>
          <w:color w:val="auto"/>
          <w:szCs w:val="21"/>
          <w:highlight w:val="none"/>
        </w:rPr>
      </w:pPr>
      <w:r>
        <w:rPr>
          <w:color w:val="auto"/>
          <w:szCs w:val="21"/>
          <w:highlight w:val="none"/>
        </w:rPr>
        <w:br w:type="page"/>
      </w:r>
    </w:p>
    <w:p w14:paraId="63CAAED1">
      <w:pPr>
        <w:rPr>
          <w:rFonts w:hint="eastAsia" w:eastAsia="宋体"/>
          <w:color w:val="auto"/>
          <w:szCs w:val="21"/>
          <w:highlight w:val="none"/>
          <w:lang w:eastAsia="zh-CN"/>
        </w:rPr>
      </w:pPr>
      <w:r>
        <w:rPr>
          <w:rFonts w:hint="eastAsia"/>
          <w:color w:val="auto"/>
          <w:szCs w:val="21"/>
          <w:highlight w:val="none"/>
          <w:lang w:val="en-US" w:eastAsia="zh-CN"/>
        </w:rPr>
        <w:t>3.1</w:t>
      </w:r>
      <w:r>
        <w:rPr>
          <w:rFonts w:hint="eastAsia"/>
          <w:bCs/>
          <w:color w:val="auto"/>
          <w:szCs w:val="21"/>
          <w:highlight w:val="none"/>
        </w:rPr>
        <w:t>中小企业声明函</w:t>
      </w:r>
      <w:r>
        <w:rPr>
          <w:rFonts w:hint="eastAsia"/>
          <w:color w:val="auto"/>
          <w:szCs w:val="21"/>
          <w:highlight w:val="none"/>
          <w:lang w:eastAsia="zh-CN"/>
        </w:rPr>
        <w:t>（</w:t>
      </w:r>
      <w:r>
        <w:rPr>
          <w:rFonts w:hint="eastAsia"/>
          <w:color w:val="auto"/>
          <w:szCs w:val="21"/>
          <w:highlight w:val="none"/>
          <w:lang w:val="en-US" w:eastAsia="zh-CN"/>
        </w:rPr>
        <w:t>如有，请提供</w:t>
      </w:r>
      <w:r>
        <w:rPr>
          <w:rFonts w:hint="eastAsia"/>
          <w:color w:val="auto"/>
          <w:szCs w:val="21"/>
          <w:highlight w:val="none"/>
          <w:lang w:eastAsia="zh-CN"/>
        </w:rPr>
        <w:t>）</w:t>
      </w:r>
    </w:p>
    <w:p w14:paraId="7530B8B6">
      <w:pPr>
        <w:spacing w:line="360" w:lineRule="auto"/>
        <w:ind w:firstLine="3584" w:firstLineChars="1700"/>
        <w:rPr>
          <w:b/>
          <w:color w:val="auto"/>
          <w:szCs w:val="21"/>
          <w:highlight w:val="none"/>
        </w:rPr>
      </w:pPr>
    </w:p>
    <w:p w14:paraId="3568996B">
      <w:pPr>
        <w:spacing w:line="360" w:lineRule="auto"/>
        <w:ind w:firstLine="3584" w:firstLineChars="1700"/>
        <w:rPr>
          <w:b/>
          <w:color w:val="auto"/>
          <w:szCs w:val="21"/>
          <w:highlight w:val="none"/>
        </w:rPr>
      </w:pPr>
      <w:r>
        <w:rPr>
          <w:rFonts w:hint="eastAsia"/>
          <w:b/>
          <w:color w:val="auto"/>
          <w:szCs w:val="21"/>
          <w:highlight w:val="none"/>
        </w:rPr>
        <w:t>中小企业声明函（服务）</w:t>
      </w:r>
    </w:p>
    <w:p w14:paraId="6F9C6909">
      <w:pPr>
        <w:spacing w:line="360" w:lineRule="auto"/>
        <w:ind w:firstLine="420"/>
        <w:rPr>
          <w:bCs/>
          <w:color w:val="auto"/>
          <w:szCs w:val="21"/>
          <w:highlight w:val="none"/>
        </w:rPr>
      </w:pPr>
      <w:r>
        <w:rPr>
          <w:rFonts w:hint="eastAsia"/>
          <w:bCs/>
          <w:color w:val="auto"/>
          <w:szCs w:val="21"/>
          <w:highlight w:val="none"/>
        </w:rPr>
        <w:t>本公司（联合体）郑重声明，根据《政府采购促进中小企业发展管理办法》（财库﹝2020﹞46 号）的规定，本公司（联合体）参加</w:t>
      </w:r>
      <w:r>
        <w:rPr>
          <w:rFonts w:hint="eastAsia"/>
          <w:bCs/>
          <w:color w:val="auto"/>
          <w:szCs w:val="21"/>
          <w:highlight w:val="none"/>
          <w:u w:val="single"/>
        </w:rPr>
        <w:t>（单位名称）</w:t>
      </w:r>
      <w:r>
        <w:rPr>
          <w:rFonts w:hint="eastAsia"/>
          <w:bCs/>
          <w:color w:val="auto"/>
          <w:szCs w:val="21"/>
          <w:highlight w:val="none"/>
        </w:rPr>
        <w:t>的</w:t>
      </w:r>
      <w:r>
        <w:rPr>
          <w:rFonts w:hint="eastAsia"/>
          <w:bCs/>
          <w:color w:val="auto"/>
          <w:szCs w:val="21"/>
          <w:highlight w:val="none"/>
          <w:u w:val="single"/>
        </w:rPr>
        <w:t>（项目名称）</w:t>
      </w:r>
      <w:r>
        <w:rPr>
          <w:rFonts w:hint="eastAsia"/>
          <w:bCs/>
          <w:color w:val="auto"/>
          <w:szCs w:val="21"/>
          <w:highlight w:val="none"/>
        </w:rPr>
        <w:t>采购活动，服务全部由符合政策要求的中小企业承接。相关企业（含联合体中的中小企业、签订分包意向协议的中小企业） 的具体情况如下：</w:t>
      </w:r>
    </w:p>
    <w:p w14:paraId="188C826E">
      <w:pPr>
        <w:spacing w:line="360" w:lineRule="auto"/>
        <w:ind w:firstLine="420"/>
        <w:rPr>
          <w:bCs/>
          <w:color w:val="auto"/>
          <w:szCs w:val="21"/>
          <w:highlight w:val="none"/>
        </w:rPr>
      </w:pPr>
      <w:r>
        <w:rPr>
          <w:bCs/>
          <w:color w:val="auto"/>
          <w:szCs w:val="21"/>
          <w:highlight w:val="none"/>
        </w:rPr>
        <w:t>1.</w:t>
      </w:r>
      <w:r>
        <w:rPr>
          <w:rFonts w:hint="eastAsia"/>
          <w:bCs/>
          <w:color w:val="auto"/>
          <w:szCs w:val="21"/>
          <w:highlight w:val="none"/>
          <w:u w:val="single"/>
        </w:rPr>
        <w:t>（标的名称）</w:t>
      </w:r>
      <w:r>
        <w:rPr>
          <w:rFonts w:hint="eastAsia"/>
          <w:bCs/>
          <w:color w:val="auto"/>
          <w:szCs w:val="21"/>
          <w:highlight w:val="none"/>
        </w:rPr>
        <w:t>，属于</w:t>
      </w:r>
      <w:r>
        <w:rPr>
          <w:rFonts w:hint="eastAsia"/>
          <w:bCs/>
          <w:color w:val="auto"/>
          <w:szCs w:val="21"/>
          <w:highlight w:val="none"/>
          <w:u w:val="single"/>
        </w:rPr>
        <w:t>（采购文件中明确的所属行业）</w:t>
      </w:r>
      <w:r>
        <w:rPr>
          <w:rFonts w:hint="eastAsia"/>
          <w:bCs/>
          <w:color w:val="auto"/>
          <w:szCs w:val="21"/>
          <w:highlight w:val="none"/>
        </w:rPr>
        <w:t>行业；承接企业为</w:t>
      </w:r>
      <w:r>
        <w:rPr>
          <w:rFonts w:hint="eastAsia"/>
          <w:bCs/>
          <w:color w:val="auto"/>
          <w:szCs w:val="21"/>
          <w:highlight w:val="none"/>
          <w:u w:val="single"/>
        </w:rPr>
        <w:t>（企业名称）</w:t>
      </w:r>
      <w:r>
        <w:rPr>
          <w:rFonts w:hint="eastAsia"/>
          <w:bCs/>
          <w:color w:val="auto"/>
          <w:szCs w:val="21"/>
          <w:highlight w:val="none"/>
        </w:rPr>
        <w:t>，从业人员</w:t>
      </w:r>
      <w:r>
        <w:rPr>
          <w:bCs/>
          <w:color w:val="auto"/>
          <w:szCs w:val="21"/>
          <w:highlight w:val="none"/>
          <w:u w:val="single"/>
        </w:rPr>
        <w:t xml:space="preserve">    </w:t>
      </w:r>
      <w:r>
        <w:rPr>
          <w:rFonts w:hint="eastAsia"/>
          <w:bCs/>
          <w:color w:val="auto"/>
          <w:szCs w:val="21"/>
          <w:highlight w:val="none"/>
        </w:rPr>
        <w:t>人，营业收入为</w:t>
      </w:r>
      <w:r>
        <w:rPr>
          <w:rFonts w:hint="eastAsia"/>
          <w:bCs/>
          <w:color w:val="auto"/>
          <w:szCs w:val="21"/>
          <w:highlight w:val="none"/>
          <w:u w:val="single"/>
        </w:rPr>
        <w:t xml:space="preserve"> </w:t>
      </w:r>
      <w:r>
        <w:rPr>
          <w:bCs/>
          <w:color w:val="auto"/>
          <w:szCs w:val="21"/>
          <w:highlight w:val="none"/>
          <w:u w:val="single"/>
        </w:rPr>
        <w:t xml:space="preserve">  </w:t>
      </w:r>
      <w:r>
        <w:rPr>
          <w:rFonts w:hint="eastAsia"/>
          <w:bCs/>
          <w:color w:val="auto"/>
          <w:szCs w:val="21"/>
          <w:highlight w:val="none"/>
          <w:u w:val="single"/>
        </w:rPr>
        <w:t xml:space="preserve"> </w:t>
      </w:r>
      <w:r>
        <w:rPr>
          <w:rFonts w:hint="eastAsia"/>
          <w:bCs/>
          <w:color w:val="auto"/>
          <w:szCs w:val="21"/>
          <w:highlight w:val="none"/>
        </w:rPr>
        <w:t>万元，资产总额为</w:t>
      </w:r>
      <w:r>
        <w:rPr>
          <w:rFonts w:hint="eastAsia"/>
          <w:bCs/>
          <w:color w:val="auto"/>
          <w:szCs w:val="21"/>
          <w:highlight w:val="none"/>
          <w:u w:val="single"/>
        </w:rPr>
        <w:t xml:space="preserve">    </w:t>
      </w:r>
      <w:r>
        <w:rPr>
          <w:rFonts w:hint="eastAsia"/>
          <w:bCs/>
          <w:color w:val="auto"/>
          <w:szCs w:val="21"/>
          <w:highlight w:val="none"/>
        </w:rPr>
        <w:t>万元，属于</w:t>
      </w:r>
      <w:r>
        <w:rPr>
          <w:rFonts w:hint="eastAsia"/>
          <w:bCs/>
          <w:color w:val="auto"/>
          <w:szCs w:val="21"/>
          <w:highlight w:val="none"/>
          <w:u w:val="single"/>
        </w:rPr>
        <w:t>（中型企业、小型企业、微型企业）</w:t>
      </w:r>
      <w:r>
        <w:rPr>
          <w:rFonts w:hint="eastAsia"/>
          <w:bCs/>
          <w:color w:val="auto"/>
          <w:szCs w:val="21"/>
          <w:highlight w:val="none"/>
        </w:rPr>
        <w:t>；</w:t>
      </w:r>
    </w:p>
    <w:p w14:paraId="726D1D57">
      <w:pPr>
        <w:spacing w:line="360" w:lineRule="auto"/>
        <w:ind w:firstLine="420"/>
        <w:rPr>
          <w:bCs/>
          <w:color w:val="auto"/>
          <w:szCs w:val="21"/>
          <w:highlight w:val="none"/>
        </w:rPr>
      </w:pPr>
      <w:r>
        <w:rPr>
          <w:bCs/>
          <w:color w:val="auto"/>
          <w:szCs w:val="21"/>
          <w:highlight w:val="none"/>
        </w:rPr>
        <w:t>2.</w:t>
      </w:r>
      <w:r>
        <w:rPr>
          <w:rFonts w:hint="eastAsia"/>
          <w:bCs/>
          <w:color w:val="auto"/>
          <w:szCs w:val="21"/>
          <w:highlight w:val="none"/>
          <w:u w:val="single"/>
        </w:rPr>
        <w:t>（标的名称）</w:t>
      </w:r>
      <w:r>
        <w:rPr>
          <w:rFonts w:hint="eastAsia"/>
          <w:bCs/>
          <w:color w:val="auto"/>
          <w:szCs w:val="21"/>
          <w:highlight w:val="none"/>
        </w:rPr>
        <w:t>，属于</w:t>
      </w:r>
      <w:r>
        <w:rPr>
          <w:rFonts w:hint="eastAsia"/>
          <w:bCs/>
          <w:color w:val="auto"/>
          <w:szCs w:val="21"/>
          <w:highlight w:val="none"/>
          <w:u w:val="single"/>
        </w:rPr>
        <w:t>（采购文件中明确的所属行业）</w:t>
      </w:r>
      <w:r>
        <w:rPr>
          <w:rFonts w:hint="eastAsia"/>
          <w:bCs/>
          <w:color w:val="auto"/>
          <w:szCs w:val="21"/>
          <w:highlight w:val="none"/>
        </w:rPr>
        <w:t>行业；承接企业为</w:t>
      </w:r>
      <w:r>
        <w:rPr>
          <w:rFonts w:hint="eastAsia"/>
          <w:bCs/>
          <w:color w:val="auto"/>
          <w:szCs w:val="21"/>
          <w:highlight w:val="none"/>
          <w:u w:val="single"/>
        </w:rPr>
        <w:t>（企业名称）</w:t>
      </w:r>
      <w:r>
        <w:rPr>
          <w:rFonts w:hint="eastAsia"/>
          <w:bCs/>
          <w:color w:val="auto"/>
          <w:szCs w:val="21"/>
          <w:highlight w:val="none"/>
        </w:rPr>
        <w:t>，从业人员</w:t>
      </w:r>
      <w:r>
        <w:rPr>
          <w:rFonts w:hint="eastAsia"/>
          <w:bCs/>
          <w:color w:val="auto"/>
          <w:szCs w:val="21"/>
          <w:highlight w:val="none"/>
          <w:u w:val="single"/>
        </w:rPr>
        <w:t xml:space="preserve">       </w:t>
      </w:r>
      <w:r>
        <w:rPr>
          <w:rFonts w:hint="eastAsia"/>
          <w:bCs/>
          <w:color w:val="auto"/>
          <w:szCs w:val="21"/>
          <w:highlight w:val="none"/>
        </w:rPr>
        <w:t>人，营业收入为</w:t>
      </w:r>
      <w:r>
        <w:rPr>
          <w:rFonts w:hint="eastAsia"/>
          <w:bCs/>
          <w:color w:val="auto"/>
          <w:szCs w:val="21"/>
          <w:highlight w:val="none"/>
          <w:u w:val="single"/>
        </w:rPr>
        <w:t xml:space="preserve">     </w:t>
      </w:r>
      <w:r>
        <w:rPr>
          <w:rFonts w:hint="eastAsia"/>
          <w:bCs/>
          <w:color w:val="auto"/>
          <w:szCs w:val="21"/>
          <w:highlight w:val="none"/>
        </w:rPr>
        <w:t>万元，资产总额为</w:t>
      </w:r>
      <w:r>
        <w:rPr>
          <w:rFonts w:hint="eastAsia"/>
          <w:bCs/>
          <w:color w:val="auto"/>
          <w:szCs w:val="21"/>
          <w:highlight w:val="none"/>
          <w:u w:val="single"/>
        </w:rPr>
        <w:t xml:space="preserve"> </w:t>
      </w:r>
      <w:r>
        <w:rPr>
          <w:bCs/>
          <w:color w:val="auto"/>
          <w:szCs w:val="21"/>
          <w:highlight w:val="none"/>
          <w:u w:val="single"/>
        </w:rPr>
        <w:t xml:space="preserve">     </w:t>
      </w:r>
      <w:r>
        <w:rPr>
          <w:rFonts w:hint="eastAsia"/>
          <w:bCs/>
          <w:color w:val="auto"/>
          <w:szCs w:val="21"/>
          <w:highlight w:val="none"/>
          <w:u w:val="single"/>
        </w:rPr>
        <w:t xml:space="preserve"> </w:t>
      </w:r>
      <w:r>
        <w:rPr>
          <w:rFonts w:hint="eastAsia"/>
          <w:bCs/>
          <w:color w:val="auto"/>
          <w:szCs w:val="21"/>
          <w:highlight w:val="none"/>
        </w:rPr>
        <w:t>万元，属于</w:t>
      </w:r>
      <w:r>
        <w:rPr>
          <w:rFonts w:hint="eastAsia"/>
          <w:bCs/>
          <w:color w:val="auto"/>
          <w:szCs w:val="21"/>
          <w:highlight w:val="none"/>
          <w:u w:val="single"/>
        </w:rPr>
        <w:t>（中型企业、小型企业、微型企业）</w:t>
      </w:r>
      <w:r>
        <w:rPr>
          <w:rFonts w:hint="eastAsia"/>
          <w:bCs/>
          <w:color w:val="auto"/>
          <w:szCs w:val="21"/>
          <w:highlight w:val="none"/>
        </w:rPr>
        <w:t>；</w:t>
      </w:r>
    </w:p>
    <w:p w14:paraId="6F37400D">
      <w:pPr>
        <w:spacing w:line="360" w:lineRule="auto"/>
        <w:ind w:firstLine="420"/>
        <w:rPr>
          <w:bCs/>
          <w:color w:val="auto"/>
          <w:szCs w:val="21"/>
          <w:highlight w:val="none"/>
        </w:rPr>
      </w:pPr>
      <w:r>
        <w:rPr>
          <w:rFonts w:hint="eastAsia"/>
          <w:bCs/>
          <w:color w:val="auto"/>
          <w:szCs w:val="21"/>
          <w:highlight w:val="none"/>
        </w:rPr>
        <w:t>……</w:t>
      </w:r>
    </w:p>
    <w:p w14:paraId="0CD732C7">
      <w:pPr>
        <w:spacing w:line="360" w:lineRule="auto"/>
        <w:ind w:firstLine="420"/>
        <w:rPr>
          <w:bCs/>
          <w:color w:val="auto"/>
          <w:szCs w:val="21"/>
          <w:highlight w:val="none"/>
        </w:rPr>
      </w:pPr>
      <w:r>
        <w:rPr>
          <w:rFonts w:hint="eastAsia"/>
          <w:bCs/>
          <w:color w:val="auto"/>
          <w:szCs w:val="21"/>
          <w:highlight w:val="none"/>
        </w:rPr>
        <w:t>以上企业，不属于大企业的分支机构，不存在控股股东为大企业的情形，也不存在与大企业的负责人为同一人的情形。</w:t>
      </w:r>
    </w:p>
    <w:p w14:paraId="481FA18B">
      <w:pPr>
        <w:spacing w:line="360" w:lineRule="auto"/>
        <w:ind w:firstLine="420"/>
        <w:rPr>
          <w:bCs/>
          <w:color w:val="auto"/>
          <w:szCs w:val="21"/>
          <w:highlight w:val="none"/>
        </w:rPr>
      </w:pPr>
      <w:r>
        <w:rPr>
          <w:rFonts w:hint="eastAsia"/>
          <w:bCs/>
          <w:color w:val="auto"/>
          <w:szCs w:val="21"/>
          <w:highlight w:val="none"/>
        </w:rPr>
        <w:t>本企业对上述声明内容的真实性负责。如有虚假，将依法承担相应责任。</w:t>
      </w:r>
    </w:p>
    <w:p w14:paraId="660CC355">
      <w:pPr>
        <w:spacing w:line="360" w:lineRule="auto"/>
        <w:ind w:firstLine="3150" w:firstLineChars="1500"/>
        <w:rPr>
          <w:bCs/>
          <w:color w:val="auto"/>
          <w:szCs w:val="21"/>
          <w:highlight w:val="none"/>
        </w:rPr>
      </w:pPr>
      <w:r>
        <w:rPr>
          <w:rFonts w:hint="eastAsia"/>
          <w:bCs/>
          <w:color w:val="auto"/>
          <w:szCs w:val="21"/>
          <w:highlight w:val="none"/>
        </w:rPr>
        <w:t xml:space="preserve">企业名称（电子签章）： </w:t>
      </w:r>
      <w:r>
        <w:rPr>
          <w:bCs/>
          <w:color w:val="auto"/>
          <w:szCs w:val="21"/>
          <w:highlight w:val="none"/>
        </w:rPr>
        <w:t xml:space="preserve"> </w:t>
      </w:r>
      <w:r>
        <w:rPr>
          <w:rFonts w:hint="eastAsia"/>
          <w:bCs/>
          <w:color w:val="auto"/>
          <w:szCs w:val="21"/>
          <w:highlight w:val="none"/>
        </w:rPr>
        <w:t>日期：</w:t>
      </w:r>
    </w:p>
    <w:p w14:paraId="73EC9BF6">
      <w:pPr>
        <w:spacing w:line="360" w:lineRule="auto"/>
        <w:jc w:val="left"/>
        <w:rPr>
          <w:bCs/>
          <w:color w:val="auto"/>
          <w:szCs w:val="21"/>
          <w:highlight w:val="none"/>
        </w:rPr>
      </w:pPr>
      <w:r>
        <w:rPr>
          <w:rFonts w:hint="eastAsia"/>
          <w:bCs/>
          <w:color w:val="auto"/>
          <w:szCs w:val="21"/>
          <w:highlight w:val="none"/>
        </w:rPr>
        <w:t>注：</w:t>
      </w:r>
    </w:p>
    <w:p w14:paraId="043FD1CF">
      <w:pPr>
        <w:spacing w:line="360" w:lineRule="auto"/>
        <w:jc w:val="left"/>
        <w:rPr>
          <w:bCs/>
          <w:color w:val="auto"/>
          <w:szCs w:val="21"/>
          <w:highlight w:val="none"/>
        </w:rPr>
      </w:pPr>
      <w:r>
        <w:rPr>
          <w:rFonts w:hint="eastAsia"/>
          <w:bCs/>
          <w:color w:val="auto"/>
          <w:szCs w:val="21"/>
          <w:highlight w:val="none"/>
        </w:rPr>
        <w:t>（1）标的名称按照第二章采购需求一览表中的名称填写，</w:t>
      </w:r>
      <w:r>
        <w:rPr>
          <w:color w:val="auto"/>
          <w:szCs w:val="21"/>
          <w:highlight w:val="none"/>
        </w:rPr>
        <w:t>所属行业标明“/”的</w:t>
      </w:r>
      <w:r>
        <w:rPr>
          <w:rFonts w:hint="eastAsia"/>
          <w:bCs/>
          <w:color w:val="auto"/>
          <w:szCs w:val="21"/>
          <w:highlight w:val="none"/>
        </w:rPr>
        <w:t>，无需在上表填写。</w:t>
      </w:r>
    </w:p>
    <w:p w14:paraId="74DCB9DA">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2</w:t>
      </w:r>
      <w:r>
        <w:rPr>
          <w:rFonts w:hint="eastAsia"/>
          <w:bCs/>
          <w:color w:val="auto"/>
          <w:szCs w:val="21"/>
          <w:highlight w:val="none"/>
        </w:rPr>
        <w:t>）如供应商为联合体或分包的，声明函中“项目名称”应填写联合体中小微企业承担的具体内容或者小微企业具体分包内容。</w:t>
      </w:r>
    </w:p>
    <w:p w14:paraId="7E15891A">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3</w:t>
      </w:r>
      <w:r>
        <w:rPr>
          <w:rFonts w:hint="eastAsia"/>
          <w:bCs/>
          <w:color w:val="auto"/>
          <w:szCs w:val="21"/>
          <w:highlight w:val="none"/>
        </w:rPr>
        <w:t>）从业人员、营业收入、资产总额填报上一年度数据，无上一年度数据的新成立企业参照国务院批准的中小企业划分标准，根据企业自身情况如实判断。</w:t>
      </w:r>
    </w:p>
    <w:p w14:paraId="4F8006B7">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4</w:t>
      </w:r>
      <w:r>
        <w:rPr>
          <w:rFonts w:hint="eastAsia"/>
          <w:bCs/>
          <w:color w:val="auto"/>
          <w:szCs w:val="21"/>
          <w:highlight w:val="none"/>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3B4B2FE3">
      <w:pPr>
        <w:spacing w:line="360" w:lineRule="auto"/>
        <w:jc w:val="left"/>
        <w:rPr>
          <w:rFonts w:hint="eastAsia"/>
          <w:bCs/>
          <w:color w:val="auto"/>
          <w:szCs w:val="21"/>
          <w:highlight w:val="none"/>
        </w:rPr>
      </w:pPr>
      <w:r>
        <w:rPr>
          <w:rFonts w:hint="eastAsia"/>
          <w:bCs/>
          <w:color w:val="auto"/>
          <w:szCs w:val="21"/>
          <w:highlight w:val="none"/>
        </w:rPr>
        <w:t>（5）根据国际统计局《劳动工资统计报表制度》，从业人员数是指本单位工作，并取得工资或其他形式劳动报酬的人员数，是在岗职工、劳务派遣人员及其他从业人员之和。</w:t>
      </w:r>
    </w:p>
    <w:p w14:paraId="5FD580FB">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6</w:t>
      </w:r>
      <w:r>
        <w:rPr>
          <w:rFonts w:hint="eastAsia"/>
          <w:bCs/>
          <w:color w:val="auto"/>
          <w:szCs w:val="21"/>
          <w:highlight w:val="none"/>
        </w:rPr>
        <w:t>）本声明函由供应商填写，供应商应按中小企业划分标准《关于印发中小企业划型标准规定的通知》（工信部联企业〔2011〕300号</w:t>
      </w:r>
      <w:r>
        <w:rPr>
          <w:rFonts w:hint="eastAsia"/>
          <w:color w:val="auto"/>
          <w:szCs w:val="21"/>
          <w:highlight w:val="none"/>
        </w:rPr>
        <w:t>以及《金融业企业划型标准规定》（银发〔2015〕309号）</w:t>
      </w:r>
      <w:r>
        <w:rPr>
          <w:rFonts w:hint="eastAsia"/>
          <w:bCs/>
          <w:color w:val="auto"/>
          <w:szCs w:val="21"/>
          <w:highlight w:val="none"/>
        </w:rPr>
        <w:t>）判断是否为中小企业。</w:t>
      </w:r>
    </w:p>
    <w:p w14:paraId="28B14496">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7</w:t>
      </w:r>
      <w:r>
        <w:rPr>
          <w:rFonts w:hint="eastAsia"/>
          <w:bCs/>
          <w:color w:val="auto"/>
          <w:szCs w:val="21"/>
          <w:highlight w:val="none"/>
        </w:rPr>
        <w:t>）供应商对《中小企业声明函》的真实性负责，如有虚假则需承担不利后果。依法享受中小企业优惠政策的，采购人或采购代理机构在公告成交结果时，同时公告其《中小企业声明函》，接受社会监督。</w:t>
      </w:r>
    </w:p>
    <w:p w14:paraId="212C3F40">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8</w:t>
      </w:r>
      <w:r>
        <w:rPr>
          <w:rFonts w:hint="eastAsia"/>
          <w:bCs/>
          <w:color w:val="auto"/>
          <w:szCs w:val="21"/>
          <w:highlight w:val="none"/>
        </w:rPr>
        <w:t>）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20FE5C76">
      <w:pPr>
        <w:snapToGrid w:val="0"/>
        <w:spacing w:before="50" w:after="120" w:afterLines="50"/>
        <w:jc w:val="left"/>
        <w:rPr>
          <w:color w:val="auto"/>
          <w:szCs w:val="21"/>
          <w:highlight w:val="none"/>
        </w:rPr>
      </w:pPr>
    </w:p>
    <w:p w14:paraId="1063B0C3">
      <w:pPr>
        <w:snapToGrid w:val="0"/>
        <w:spacing w:before="50" w:after="120" w:afterLines="50"/>
        <w:jc w:val="left"/>
        <w:rPr>
          <w:color w:val="auto"/>
          <w:szCs w:val="21"/>
          <w:highlight w:val="none"/>
        </w:rPr>
      </w:pPr>
      <w:r>
        <w:rPr>
          <w:rFonts w:hint="eastAsia"/>
          <w:color w:val="auto"/>
          <w:szCs w:val="21"/>
          <w:highlight w:val="none"/>
          <w:lang w:val="en-US" w:eastAsia="zh-CN"/>
        </w:rPr>
        <w:t>3</w:t>
      </w:r>
      <w:r>
        <w:rPr>
          <w:color w:val="auto"/>
          <w:szCs w:val="21"/>
          <w:highlight w:val="none"/>
        </w:rPr>
        <w:t>.2监狱企业须提供最新一期《XX省监狱企业产品目录》或其他监狱企业证明材料。（非监狱企业无需提供）</w:t>
      </w:r>
    </w:p>
    <w:p w14:paraId="4897EF00">
      <w:pPr>
        <w:snapToGrid w:val="0"/>
        <w:spacing w:before="50" w:after="120" w:afterLines="50"/>
        <w:jc w:val="left"/>
        <w:rPr>
          <w:color w:val="auto"/>
          <w:szCs w:val="21"/>
          <w:highlight w:val="none"/>
        </w:rPr>
      </w:pPr>
    </w:p>
    <w:p w14:paraId="7BA74991">
      <w:pPr>
        <w:widowControl/>
        <w:jc w:val="left"/>
        <w:rPr>
          <w:color w:val="auto"/>
          <w:szCs w:val="21"/>
          <w:highlight w:val="none"/>
        </w:rPr>
      </w:pPr>
      <w:r>
        <w:rPr>
          <w:rFonts w:hint="eastAsia"/>
          <w:color w:val="auto"/>
          <w:szCs w:val="21"/>
          <w:highlight w:val="none"/>
          <w:lang w:val="en-US" w:eastAsia="zh-CN"/>
        </w:rPr>
        <w:t>3</w:t>
      </w:r>
      <w:r>
        <w:rPr>
          <w:color w:val="auto"/>
          <w:szCs w:val="21"/>
          <w:highlight w:val="none"/>
        </w:rPr>
        <w:t>.3</w:t>
      </w:r>
      <w:r>
        <w:rPr>
          <w:color w:val="auto"/>
          <w:highlight w:val="none"/>
        </w:rPr>
        <w:t>残疾人福利性单位须提供《残疾人福利性单位声明函》，格式如下。</w:t>
      </w:r>
      <w:r>
        <w:rPr>
          <w:color w:val="auto"/>
          <w:szCs w:val="21"/>
          <w:highlight w:val="none"/>
        </w:rPr>
        <w:t>（非残疾人福利性单位无需提供）</w:t>
      </w:r>
    </w:p>
    <w:p w14:paraId="59E16F33">
      <w:pPr>
        <w:spacing w:line="360" w:lineRule="auto"/>
        <w:jc w:val="center"/>
        <w:rPr>
          <w:b/>
          <w:color w:val="auto"/>
          <w:szCs w:val="21"/>
          <w:highlight w:val="none"/>
        </w:rPr>
      </w:pPr>
    </w:p>
    <w:p w14:paraId="562588A1">
      <w:pPr>
        <w:spacing w:line="360" w:lineRule="auto"/>
        <w:jc w:val="center"/>
        <w:rPr>
          <w:b/>
          <w:color w:val="auto"/>
          <w:szCs w:val="21"/>
          <w:highlight w:val="none"/>
        </w:rPr>
      </w:pPr>
      <w:r>
        <w:rPr>
          <w:b/>
          <w:color w:val="auto"/>
          <w:szCs w:val="21"/>
          <w:highlight w:val="none"/>
        </w:rPr>
        <w:t>残疾人福利性单位声明函</w:t>
      </w:r>
    </w:p>
    <w:p w14:paraId="4A6DACC9">
      <w:pPr>
        <w:spacing w:line="360" w:lineRule="auto"/>
        <w:ind w:firstLine="420"/>
        <w:jc w:val="left"/>
        <w:rPr>
          <w:color w:val="auto"/>
          <w:szCs w:val="21"/>
          <w:highlight w:val="none"/>
        </w:rPr>
      </w:pPr>
      <w:r>
        <w:rPr>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color w:val="auto"/>
          <w:szCs w:val="21"/>
          <w:highlight w:val="none"/>
          <w:u w:val="single"/>
        </w:rPr>
        <w:t xml:space="preserve">        </w:t>
      </w:r>
      <w:r>
        <w:rPr>
          <w:color w:val="auto"/>
          <w:szCs w:val="21"/>
          <w:highlight w:val="none"/>
        </w:rPr>
        <w:t>单位的</w:t>
      </w:r>
      <w:r>
        <w:rPr>
          <w:color w:val="auto"/>
          <w:szCs w:val="21"/>
          <w:highlight w:val="none"/>
          <w:u w:val="single"/>
        </w:rPr>
        <w:t xml:space="preserve">           </w:t>
      </w:r>
      <w:r>
        <w:rPr>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386BCCB3">
      <w:pPr>
        <w:spacing w:line="360" w:lineRule="auto"/>
        <w:ind w:firstLine="420"/>
        <w:rPr>
          <w:color w:val="auto"/>
          <w:szCs w:val="21"/>
          <w:highlight w:val="none"/>
        </w:rPr>
      </w:pPr>
      <w:r>
        <w:rPr>
          <w:color w:val="auto"/>
          <w:szCs w:val="21"/>
          <w:highlight w:val="none"/>
        </w:rPr>
        <w:t>本单位对上述声明的真实性负责。如有虚假，将依法承担相应责任。</w:t>
      </w:r>
    </w:p>
    <w:p w14:paraId="6A8DBC16">
      <w:pPr>
        <w:spacing w:line="360" w:lineRule="auto"/>
        <w:ind w:firstLine="420"/>
        <w:jc w:val="right"/>
        <w:rPr>
          <w:color w:val="auto"/>
          <w:spacing w:val="6"/>
          <w:szCs w:val="21"/>
          <w:highlight w:val="none"/>
        </w:rPr>
      </w:pPr>
      <w:r>
        <w:rPr>
          <w:color w:val="auto"/>
          <w:spacing w:val="6"/>
          <w:sz w:val="30"/>
          <w:szCs w:val="30"/>
          <w:highlight w:val="none"/>
        </w:rPr>
        <w:t xml:space="preserve"> </w:t>
      </w:r>
      <w:r>
        <w:rPr>
          <w:color w:val="auto"/>
          <w:spacing w:val="6"/>
          <w:szCs w:val="21"/>
          <w:highlight w:val="none"/>
        </w:rPr>
        <w:t xml:space="preserve"> </w:t>
      </w:r>
      <w:r>
        <w:rPr>
          <w:rFonts w:hint="eastAsia"/>
          <w:color w:val="auto"/>
          <w:spacing w:val="6"/>
          <w:szCs w:val="21"/>
          <w:highlight w:val="none"/>
        </w:rPr>
        <w:t xml:space="preserve">                                            </w:t>
      </w:r>
      <w:r>
        <w:rPr>
          <w:color w:val="auto"/>
          <w:spacing w:val="6"/>
          <w:szCs w:val="21"/>
          <w:highlight w:val="none"/>
        </w:rPr>
        <w:t>单位名称</w:t>
      </w:r>
      <w:r>
        <w:rPr>
          <w:rFonts w:hint="eastAsia"/>
          <w:color w:val="auto"/>
          <w:szCs w:val="21"/>
          <w:highlight w:val="none"/>
        </w:rPr>
        <w:t>(电子签章</w:t>
      </w:r>
      <w:r>
        <w:rPr>
          <w:color w:val="auto"/>
          <w:szCs w:val="21"/>
          <w:highlight w:val="none"/>
        </w:rPr>
        <w:t>)</w:t>
      </w:r>
      <w:r>
        <w:rPr>
          <w:color w:val="auto"/>
          <w:spacing w:val="6"/>
          <w:szCs w:val="21"/>
          <w:highlight w:val="none"/>
        </w:rPr>
        <w:t xml:space="preserve">：          </w:t>
      </w:r>
    </w:p>
    <w:p w14:paraId="5AB3393F">
      <w:pPr>
        <w:snapToGrid w:val="0"/>
        <w:spacing w:before="50" w:after="120" w:afterLines="50"/>
        <w:jc w:val="left"/>
        <w:outlineLvl w:val="1"/>
        <w:rPr>
          <w:color w:val="auto"/>
          <w:szCs w:val="21"/>
          <w:highlight w:val="none"/>
        </w:rPr>
      </w:pPr>
      <w:r>
        <w:rPr>
          <w:color w:val="auto"/>
          <w:spacing w:val="6"/>
          <w:szCs w:val="21"/>
          <w:highlight w:val="none"/>
        </w:rPr>
        <w:t xml:space="preserve"> </w:t>
      </w:r>
      <w:r>
        <w:rPr>
          <w:rFonts w:hint="eastAsia"/>
          <w:color w:val="auto"/>
          <w:spacing w:val="6"/>
          <w:szCs w:val="21"/>
          <w:highlight w:val="none"/>
        </w:rPr>
        <w:t xml:space="preserve">                                                      </w:t>
      </w:r>
      <w:r>
        <w:rPr>
          <w:color w:val="auto"/>
          <w:spacing w:val="6"/>
          <w:szCs w:val="21"/>
          <w:highlight w:val="none"/>
        </w:rPr>
        <w:t>日  期：</w:t>
      </w:r>
      <w:r>
        <w:rPr>
          <w:color w:val="auto"/>
          <w:szCs w:val="21"/>
          <w:highlight w:val="none"/>
        </w:rPr>
        <w:br w:type="page"/>
      </w:r>
      <w:bookmarkStart w:id="101" w:name="_Hlk65852042"/>
      <w:r>
        <w:rPr>
          <w:rFonts w:hint="eastAsia"/>
          <w:color w:val="auto"/>
          <w:szCs w:val="21"/>
          <w:highlight w:val="none"/>
          <w:lang w:val="en-US" w:eastAsia="zh-CN"/>
        </w:rPr>
        <w:t>4</w:t>
      </w:r>
      <w:r>
        <w:rPr>
          <w:rFonts w:hint="eastAsia"/>
          <w:color w:val="auto"/>
          <w:szCs w:val="21"/>
          <w:highlight w:val="none"/>
        </w:rPr>
        <w:t>.开标一览表</w:t>
      </w:r>
    </w:p>
    <w:p w14:paraId="27E124AB">
      <w:pPr>
        <w:widowControl/>
        <w:jc w:val="left"/>
        <w:rPr>
          <w:color w:val="auto"/>
          <w:szCs w:val="21"/>
          <w:highlight w:val="none"/>
        </w:rPr>
      </w:pPr>
    </w:p>
    <w:p w14:paraId="778E7235">
      <w:pPr>
        <w:widowControl/>
        <w:jc w:val="left"/>
        <w:rPr>
          <w:color w:val="auto"/>
          <w:szCs w:val="21"/>
          <w:highlight w:val="none"/>
        </w:rPr>
      </w:pPr>
    </w:p>
    <w:p w14:paraId="491ADC0C">
      <w:pPr>
        <w:widowControl/>
        <w:jc w:val="left"/>
        <w:rPr>
          <w:color w:val="auto"/>
          <w:szCs w:val="21"/>
          <w:highlight w:val="none"/>
        </w:rPr>
      </w:pPr>
    </w:p>
    <w:p w14:paraId="689B8372">
      <w:pPr>
        <w:rPr>
          <w:b/>
          <w:color w:val="auto"/>
          <w:szCs w:val="21"/>
          <w:highlight w:val="none"/>
        </w:rPr>
      </w:pPr>
    </w:p>
    <w:p w14:paraId="49EA9B24">
      <w:pPr>
        <w:rPr>
          <w:b/>
          <w:color w:val="auto"/>
          <w:szCs w:val="21"/>
          <w:highlight w:val="none"/>
        </w:rPr>
      </w:pPr>
    </w:p>
    <w:p w14:paraId="22E6E61C">
      <w:pPr>
        <w:rPr>
          <w:b/>
          <w:color w:val="auto"/>
          <w:szCs w:val="21"/>
          <w:highlight w:val="none"/>
        </w:rPr>
      </w:pPr>
      <w:r>
        <w:rPr>
          <w:rFonts w:hint="eastAsia"/>
          <w:b/>
          <w:color w:val="auto"/>
          <w:szCs w:val="21"/>
          <w:highlight w:val="none"/>
        </w:rPr>
        <w:t>格式详见广西政府采购云平台，且仅在广西政府采购云平台填写即可。</w:t>
      </w:r>
    </w:p>
    <w:p w14:paraId="0FE5AE50">
      <w:pPr>
        <w:widowControl/>
        <w:jc w:val="left"/>
        <w:rPr>
          <w:color w:val="auto"/>
          <w:szCs w:val="21"/>
          <w:highlight w:val="none"/>
        </w:rPr>
      </w:pPr>
    </w:p>
    <w:bookmarkEnd w:id="101"/>
    <w:p w14:paraId="57BD5DE0">
      <w:pPr>
        <w:spacing w:line="360" w:lineRule="auto"/>
        <w:ind w:firstLine="420"/>
        <w:rPr>
          <w:rFonts w:hint="eastAsia"/>
          <w:color w:val="auto"/>
          <w:szCs w:val="21"/>
          <w:highlight w:val="none"/>
        </w:rPr>
      </w:pPr>
    </w:p>
    <w:p w14:paraId="7F388A51">
      <w:pPr>
        <w:snapToGrid w:val="0"/>
        <w:spacing w:before="120" w:beforeLines="50" w:after="50" w:line="440" w:lineRule="exact"/>
        <w:jc w:val="left"/>
        <w:outlineLvl w:val="1"/>
        <w:rPr>
          <w:rFonts w:hint="eastAsia"/>
          <w:bCs/>
          <w:color w:val="auto"/>
          <w:sz w:val="24"/>
          <w:highlight w:val="none"/>
        </w:rPr>
      </w:pPr>
      <w:r>
        <w:rPr>
          <w:bCs/>
          <w:color w:val="auto"/>
          <w:sz w:val="24"/>
          <w:highlight w:val="none"/>
        </w:rPr>
        <w:t xml:space="preserve"> </w:t>
      </w:r>
    </w:p>
    <w:p w14:paraId="59640FF4">
      <w:pPr>
        <w:rPr>
          <w:color w:val="auto"/>
          <w:highlight w:val="none"/>
        </w:rPr>
      </w:pPr>
    </w:p>
    <w:sectPr>
      <w:headerReference r:id="rId19" w:type="default"/>
      <w:pgSz w:w="11906" w:h="16838"/>
      <w:pgMar w:top="1418" w:right="1133" w:bottom="1246"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_x000B__x000C_">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4EACE">
    <w:pPr>
      <w:pStyle w:val="31"/>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1646F">
    <w:pPr>
      <w:pStyle w:val="31"/>
      <w:framePr w:wrap="around" w:vAnchor="text" w:hAnchor="margin" w:xAlign="center" w:y="1"/>
      <w:rPr>
        <w:rStyle w:val="55"/>
      </w:rPr>
    </w:pPr>
    <w:r>
      <w:fldChar w:fldCharType="begin"/>
    </w:r>
    <w:r>
      <w:rPr>
        <w:rStyle w:val="55"/>
      </w:rPr>
      <w:instrText xml:space="preserve">PAGE  </w:instrText>
    </w:r>
    <w:r>
      <w:fldChar w:fldCharType="separate"/>
    </w:r>
    <w:r>
      <w:fldChar w:fldCharType="end"/>
    </w:r>
  </w:p>
  <w:p w14:paraId="40056F57">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DF36B">
    <w:pPr>
      <w:pStyle w:val="31"/>
      <w:ind w:right="360"/>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7E6BC">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8</w:t>
    </w:r>
    <w:r>
      <w:fldChar w:fldCharType="end"/>
    </w:r>
  </w:p>
  <w:p w14:paraId="58E5E738">
    <w:pPr>
      <w:pStyle w:val="31"/>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05C1A">
    <w:pPr>
      <w:pStyle w:val="31"/>
      <w:jc w:val="center"/>
      <w:rPr>
        <w:rFonts w:hint="eastAsia"/>
      </w:rPr>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CD03C">
    <w:pPr>
      <w:pStyle w:val="31"/>
      <w:jc w:val="center"/>
      <w:rPr>
        <w:rFonts w:hint="eastAsia"/>
      </w:rPr>
    </w:pPr>
    <w:r>
      <w:fldChar w:fldCharType="begin"/>
    </w:r>
    <w:r>
      <w:instrText xml:space="preserve">PAGE   \* MERGEFORMAT</w:instrText>
    </w:r>
    <w:r>
      <w:fldChar w:fldCharType="separate"/>
    </w:r>
    <w:r>
      <w:rPr>
        <w:lang w:val="zh-CN"/>
      </w:rPr>
      <w:t>7</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E5272">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57</w:t>
    </w:r>
    <w:r>
      <w:fldChar w:fldCharType="end"/>
    </w:r>
  </w:p>
  <w:p w14:paraId="34A82267">
    <w:pPr>
      <w:pStyle w:val="31"/>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E17EE">
    <w:pPr>
      <w:pStyle w:val="32"/>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0F9E0">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69955">
    <w:pPr>
      <w:pStyle w:val="32"/>
      <w:jc w:val="left"/>
    </w:pPr>
    <w:r>
      <w:rPr>
        <w:rFonts w:hint="eastAsia"/>
      </w:rPr>
      <w:t xml:space="preserve">广西机电设备招标有限公司采购文件                                                               </w:t>
    </w:r>
  </w:p>
  <w:p w14:paraId="5D832EDC">
    <w:pPr>
      <w:pStyle w:val="3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CDF07">
    <w:pPr>
      <w:pStyle w:val="32"/>
      <w:jc w:val="left"/>
    </w:pPr>
    <w:r>
      <w:rPr>
        <w:rFonts w:hint="eastAsia"/>
      </w:rPr>
      <w:t xml:space="preserve">广西机电设备招标有限公司采购文件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53AF6">
    <w:pPr>
      <w:pStyle w:val="32"/>
      <w:jc w:val="left"/>
    </w:pPr>
    <w:r>
      <w:rPr>
        <w:rFonts w:hint="eastAsia"/>
      </w:rPr>
      <w:t xml:space="preserve">广西机电设备招标有限公司采购文件                                                         </w:t>
    </w:r>
  </w:p>
  <w:p w14:paraId="3BD007CB">
    <w:pPr>
      <w:pStyle w:val="32"/>
      <w:pBdr>
        <w:bottom w:val="none" w:color="auto" w:sz="0" w:space="0"/>
      </w:pBdr>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234C1">
    <w:pPr>
      <w:pStyle w:val="32"/>
      <w:pBdr>
        <w:bottom w:val="single" w:color="auto" w:sz="6" w:space="0"/>
      </w:pBdr>
      <w:jc w:val="left"/>
    </w:pPr>
    <w:r>
      <w:rPr>
        <w:rFonts w:hint="eastAsia"/>
      </w:rPr>
      <w:t xml:space="preserve">广西机电设备招标有限公司采购文件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2AA01">
    <w:pPr>
      <w:pStyle w:val="32"/>
      <w:jc w:val="left"/>
    </w:pPr>
    <w:r>
      <w:rPr>
        <w:rFonts w:hint="eastAsia"/>
      </w:rPr>
      <w:t xml:space="preserve">广西机电设备招标有限公司采购文件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44A51">
    <w:pPr>
      <w:pStyle w:val="32"/>
      <w:jc w:val="left"/>
    </w:pPr>
    <w:r>
      <w:rPr>
        <w:rFonts w:hint="eastAsia"/>
      </w:rPr>
      <w:t xml:space="preserve">广西机电设备招标有限公司采购文件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D5CD4">
    <w:pPr>
      <w:pStyle w:val="32"/>
      <w:jc w:val="left"/>
      <w:rPr>
        <w:rFonts w:hint="eastAsia"/>
      </w:rPr>
    </w:pPr>
    <w:r>
      <w:rPr>
        <w:rFonts w:hint="eastAsia"/>
      </w:rPr>
      <w:t xml:space="preserve">广西机电设备招标有限公司采购文件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97579">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1E15EB"/>
    <w:multiLevelType w:val="singleLevel"/>
    <w:tmpl w:val="951E15EB"/>
    <w:lvl w:ilvl="0" w:tentative="0">
      <w:start w:val="4"/>
      <w:numFmt w:val="chineseCounting"/>
      <w:suff w:val="nothing"/>
      <w:lvlText w:val="%1、"/>
      <w:lvlJc w:val="left"/>
      <w:rPr>
        <w:rFonts w:hint="eastAsia"/>
      </w:rPr>
    </w:lvl>
  </w:abstractNum>
  <w:abstractNum w:abstractNumId="1">
    <w:nsid w:val="00000013"/>
    <w:multiLevelType w:val="multilevel"/>
    <w:tmpl w:val="0000001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0A32A69E"/>
    <w:multiLevelType w:val="singleLevel"/>
    <w:tmpl w:val="0A32A69E"/>
    <w:lvl w:ilvl="0" w:tentative="0">
      <w:start w:val="5"/>
      <w:numFmt w:val="decimal"/>
      <w:lvlText w:val="%1."/>
      <w:lvlJc w:val="left"/>
      <w:pPr>
        <w:tabs>
          <w:tab w:val="left" w:pos="312"/>
        </w:tabs>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3NjlhMzJkMWNhYTgzMzUxNGM1YmI0YmEwMDYzMmUifQ=="/>
  </w:docVars>
  <w:rsids>
    <w:rsidRoot w:val="00172A27"/>
    <w:rsid w:val="000003EF"/>
    <w:rsid w:val="000005B6"/>
    <w:rsid w:val="0000091B"/>
    <w:rsid w:val="00000D0A"/>
    <w:rsid w:val="00000D19"/>
    <w:rsid w:val="00000E1A"/>
    <w:rsid w:val="0000104A"/>
    <w:rsid w:val="000014EC"/>
    <w:rsid w:val="000016CE"/>
    <w:rsid w:val="00001B3E"/>
    <w:rsid w:val="00001CD6"/>
    <w:rsid w:val="00001D90"/>
    <w:rsid w:val="0000215C"/>
    <w:rsid w:val="00002584"/>
    <w:rsid w:val="00002A53"/>
    <w:rsid w:val="00002DDA"/>
    <w:rsid w:val="00003DAE"/>
    <w:rsid w:val="00004272"/>
    <w:rsid w:val="000055EE"/>
    <w:rsid w:val="000058D7"/>
    <w:rsid w:val="00005E55"/>
    <w:rsid w:val="000067B7"/>
    <w:rsid w:val="00006E2C"/>
    <w:rsid w:val="000074D7"/>
    <w:rsid w:val="000079FF"/>
    <w:rsid w:val="00007B0D"/>
    <w:rsid w:val="000102A9"/>
    <w:rsid w:val="00011095"/>
    <w:rsid w:val="00011D72"/>
    <w:rsid w:val="00012078"/>
    <w:rsid w:val="000127F0"/>
    <w:rsid w:val="0001283C"/>
    <w:rsid w:val="00012E43"/>
    <w:rsid w:val="0001306C"/>
    <w:rsid w:val="0001312F"/>
    <w:rsid w:val="00013607"/>
    <w:rsid w:val="00013748"/>
    <w:rsid w:val="00013D41"/>
    <w:rsid w:val="0001408B"/>
    <w:rsid w:val="000143A3"/>
    <w:rsid w:val="00014DD6"/>
    <w:rsid w:val="0001598C"/>
    <w:rsid w:val="0001618B"/>
    <w:rsid w:val="00016C31"/>
    <w:rsid w:val="00020BB1"/>
    <w:rsid w:val="00020BF0"/>
    <w:rsid w:val="000215B7"/>
    <w:rsid w:val="000217BF"/>
    <w:rsid w:val="00021C98"/>
    <w:rsid w:val="00021CCD"/>
    <w:rsid w:val="00021EE3"/>
    <w:rsid w:val="00022368"/>
    <w:rsid w:val="000228AB"/>
    <w:rsid w:val="000233CA"/>
    <w:rsid w:val="00023652"/>
    <w:rsid w:val="00024633"/>
    <w:rsid w:val="00024B6F"/>
    <w:rsid w:val="00024F95"/>
    <w:rsid w:val="0002560A"/>
    <w:rsid w:val="000256C1"/>
    <w:rsid w:val="00025CAB"/>
    <w:rsid w:val="00025DA0"/>
    <w:rsid w:val="0002696D"/>
    <w:rsid w:val="0002754D"/>
    <w:rsid w:val="00027666"/>
    <w:rsid w:val="000276B2"/>
    <w:rsid w:val="00027A46"/>
    <w:rsid w:val="00027AF3"/>
    <w:rsid w:val="00030024"/>
    <w:rsid w:val="00030124"/>
    <w:rsid w:val="000305FD"/>
    <w:rsid w:val="0003084F"/>
    <w:rsid w:val="00030C2F"/>
    <w:rsid w:val="000311F9"/>
    <w:rsid w:val="00031757"/>
    <w:rsid w:val="00032533"/>
    <w:rsid w:val="00032686"/>
    <w:rsid w:val="0003274B"/>
    <w:rsid w:val="00032AD8"/>
    <w:rsid w:val="000331CC"/>
    <w:rsid w:val="0003322E"/>
    <w:rsid w:val="00033927"/>
    <w:rsid w:val="00035840"/>
    <w:rsid w:val="00035844"/>
    <w:rsid w:val="00036BAA"/>
    <w:rsid w:val="0003738D"/>
    <w:rsid w:val="00037C63"/>
    <w:rsid w:val="00037CE4"/>
    <w:rsid w:val="00040187"/>
    <w:rsid w:val="00040AC1"/>
    <w:rsid w:val="000418B1"/>
    <w:rsid w:val="00041BFC"/>
    <w:rsid w:val="00042BF9"/>
    <w:rsid w:val="00042F4A"/>
    <w:rsid w:val="00043295"/>
    <w:rsid w:val="00043829"/>
    <w:rsid w:val="000441ED"/>
    <w:rsid w:val="00044EE7"/>
    <w:rsid w:val="00045069"/>
    <w:rsid w:val="00045828"/>
    <w:rsid w:val="00045947"/>
    <w:rsid w:val="000462A8"/>
    <w:rsid w:val="00046360"/>
    <w:rsid w:val="0004653D"/>
    <w:rsid w:val="000465AB"/>
    <w:rsid w:val="00046662"/>
    <w:rsid w:val="00046900"/>
    <w:rsid w:val="00046E59"/>
    <w:rsid w:val="0004716B"/>
    <w:rsid w:val="000472E6"/>
    <w:rsid w:val="000479CD"/>
    <w:rsid w:val="000500E6"/>
    <w:rsid w:val="0005037C"/>
    <w:rsid w:val="000504FE"/>
    <w:rsid w:val="000513A7"/>
    <w:rsid w:val="00053BFC"/>
    <w:rsid w:val="000541A4"/>
    <w:rsid w:val="0005428F"/>
    <w:rsid w:val="00054870"/>
    <w:rsid w:val="00054ABD"/>
    <w:rsid w:val="00054F7D"/>
    <w:rsid w:val="00055230"/>
    <w:rsid w:val="00055557"/>
    <w:rsid w:val="00055A8A"/>
    <w:rsid w:val="00055E6D"/>
    <w:rsid w:val="00055FFC"/>
    <w:rsid w:val="0005625F"/>
    <w:rsid w:val="0005649E"/>
    <w:rsid w:val="00056597"/>
    <w:rsid w:val="0005700C"/>
    <w:rsid w:val="00057393"/>
    <w:rsid w:val="00057629"/>
    <w:rsid w:val="00057E45"/>
    <w:rsid w:val="000606B6"/>
    <w:rsid w:val="00060F97"/>
    <w:rsid w:val="00062637"/>
    <w:rsid w:val="000631AC"/>
    <w:rsid w:val="000631B7"/>
    <w:rsid w:val="000637FF"/>
    <w:rsid w:val="000639D4"/>
    <w:rsid w:val="00063D47"/>
    <w:rsid w:val="00064A48"/>
    <w:rsid w:val="00064C80"/>
    <w:rsid w:val="000655D7"/>
    <w:rsid w:val="00065AB7"/>
    <w:rsid w:val="00065D71"/>
    <w:rsid w:val="000667DB"/>
    <w:rsid w:val="000673D8"/>
    <w:rsid w:val="00067B14"/>
    <w:rsid w:val="00067DE7"/>
    <w:rsid w:val="000706AC"/>
    <w:rsid w:val="00070950"/>
    <w:rsid w:val="000709D3"/>
    <w:rsid w:val="000712F8"/>
    <w:rsid w:val="00071309"/>
    <w:rsid w:val="00071A6A"/>
    <w:rsid w:val="00071C95"/>
    <w:rsid w:val="00072A95"/>
    <w:rsid w:val="00072E1C"/>
    <w:rsid w:val="00072E6E"/>
    <w:rsid w:val="00074923"/>
    <w:rsid w:val="00074FED"/>
    <w:rsid w:val="000750EA"/>
    <w:rsid w:val="00075286"/>
    <w:rsid w:val="00076417"/>
    <w:rsid w:val="00077698"/>
    <w:rsid w:val="00077733"/>
    <w:rsid w:val="00077891"/>
    <w:rsid w:val="000778ED"/>
    <w:rsid w:val="0007791D"/>
    <w:rsid w:val="0007797E"/>
    <w:rsid w:val="0008017C"/>
    <w:rsid w:val="00080AA6"/>
    <w:rsid w:val="0008186A"/>
    <w:rsid w:val="00081C1C"/>
    <w:rsid w:val="000822F0"/>
    <w:rsid w:val="00082611"/>
    <w:rsid w:val="0008264F"/>
    <w:rsid w:val="0008278B"/>
    <w:rsid w:val="00082969"/>
    <w:rsid w:val="00082EFD"/>
    <w:rsid w:val="0008372E"/>
    <w:rsid w:val="000839ED"/>
    <w:rsid w:val="00083A64"/>
    <w:rsid w:val="00083B97"/>
    <w:rsid w:val="00083DE9"/>
    <w:rsid w:val="0008480B"/>
    <w:rsid w:val="00084DAF"/>
    <w:rsid w:val="000856A1"/>
    <w:rsid w:val="0008572C"/>
    <w:rsid w:val="000859E6"/>
    <w:rsid w:val="00085F62"/>
    <w:rsid w:val="00085FB6"/>
    <w:rsid w:val="000866A9"/>
    <w:rsid w:val="00086C00"/>
    <w:rsid w:val="00086EC2"/>
    <w:rsid w:val="00087358"/>
    <w:rsid w:val="000873F5"/>
    <w:rsid w:val="00087AF8"/>
    <w:rsid w:val="00087E3D"/>
    <w:rsid w:val="000900DF"/>
    <w:rsid w:val="00090193"/>
    <w:rsid w:val="0009021F"/>
    <w:rsid w:val="00090373"/>
    <w:rsid w:val="00090FAF"/>
    <w:rsid w:val="00091B1D"/>
    <w:rsid w:val="00091D8D"/>
    <w:rsid w:val="0009229B"/>
    <w:rsid w:val="00093DF8"/>
    <w:rsid w:val="000941F6"/>
    <w:rsid w:val="000945C5"/>
    <w:rsid w:val="000947F1"/>
    <w:rsid w:val="00094ECF"/>
    <w:rsid w:val="00094F56"/>
    <w:rsid w:val="0009592E"/>
    <w:rsid w:val="00095D1D"/>
    <w:rsid w:val="00096B35"/>
    <w:rsid w:val="00096DFE"/>
    <w:rsid w:val="0009715C"/>
    <w:rsid w:val="000973E6"/>
    <w:rsid w:val="000A0DB9"/>
    <w:rsid w:val="000A10DB"/>
    <w:rsid w:val="000A1466"/>
    <w:rsid w:val="000A1F25"/>
    <w:rsid w:val="000A2968"/>
    <w:rsid w:val="000A346E"/>
    <w:rsid w:val="000A3515"/>
    <w:rsid w:val="000A3518"/>
    <w:rsid w:val="000A3F79"/>
    <w:rsid w:val="000A5540"/>
    <w:rsid w:val="000A59B9"/>
    <w:rsid w:val="000A5CFB"/>
    <w:rsid w:val="000A66A7"/>
    <w:rsid w:val="000A6F1D"/>
    <w:rsid w:val="000A70C7"/>
    <w:rsid w:val="000A7238"/>
    <w:rsid w:val="000A791D"/>
    <w:rsid w:val="000B09FE"/>
    <w:rsid w:val="000B0EFF"/>
    <w:rsid w:val="000B15EF"/>
    <w:rsid w:val="000B2225"/>
    <w:rsid w:val="000B26D6"/>
    <w:rsid w:val="000B316D"/>
    <w:rsid w:val="000B3194"/>
    <w:rsid w:val="000B3741"/>
    <w:rsid w:val="000B3CFE"/>
    <w:rsid w:val="000B42D5"/>
    <w:rsid w:val="000B4EF3"/>
    <w:rsid w:val="000B522C"/>
    <w:rsid w:val="000B554C"/>
    <w:rsid w:val="000B588F"/>
    <w:rsid w:val="000B5D87"/>
    <w:rsid w:val="000B67AE"/>
    <w:rsid w:val="000B6F18"/>
    <w:rsid w:val="000B7189"/>
    <w:rsid w:val="000B7E6D"/>
    <w:rsid w:val="000C11FD"/>
    <w:rsid w:val="000C350A"/>
    <w:rsid w:val="000C3CDF"/>
    <w:rsid w:val="000C4020"/>
    <w:rsid w:val="000C41AA"/>
    <w:rsid w:val="000C4959"/>
    <w:rsid w:val="000C4988"/>
    <w:rsid w:val="000C4E28"/>
    <w:rsid w:val="000C50DF"/>
    <w:rsid w:val="000C59D1"/>
    <w:rsid w:val="000C61CD"/>
    <w:rsid w:val="000C7045"/>
    <w:rsid w:val="000C757A"/>
    <w:rsid w:val="000C7A24"/>
    <w:rsid w:val="000C7D9F"/>
    <w:rsid w:val="000D1274"/>
    <w:rsid w:val="000D12D5"/>
    <w:rsid w:val="000D1B95"/>
    <w:rsid w:val="000D1C10"/>
    <w:rsid w:val="000D1E5A"/>
    <w:rsid w:val="000D38A6"/>
    <w:rsid w:val="000D3E1B"/>
    <w:rsid w:val="000D4061"/>
    <w:rsid w:val="000D4860"/>
    <w:rsid w:val="000D48FB"/>
    <w:rsid w:val="000D4B4F"/>
    <w:rsid w:val="000D4C66"/>
    <w:rsid w:val="000D4EC1"/>
    <w:rsid w:val="000D549B"/>
    <w:rsid w:val="000D55FD"/>
    <w:rsid w:val="000D5634"/>
    <w:rsid w:val="000D574F"/>
    <w:rsid w:val="000D5E20"/>
    <w:rsid w:val="000D6768"/>
    <w:rsid w:val="000E01DF"/>
    <w:rsid w:val="000E0FA4"/>
    <w:rsid w:val="000E1C04"/>
    <w:rsid w:val="000E2AD1"/>
    <w:rsid w:val="000E3D2F"/>
    <w:rsid w:val="000E4340"/>
    <w:rsid w:val="000E4712"/>
    <w:rsid w:val="000E4718"/>
    <w:rsid w:val="000E612C"/>
    <w:rsid w:val="000E6237"/>
    <w:rsid w:val="000E6D38"/>
    <w:rsid w:val="000E6FA0"/>
    <w:rsid w:val="000E72E7"/>
    <w:rsid w:val="000E72F6"/>
    <w:rsid w:val="000E75B3"/>
    <w:rsid w:val="000E7CC8"/>
    <w:rsid w:val="000F1264"/>
    <w:rsid w:val="000F1266"/>
    <w:rsid w:val="000F1B78"/>
    <w:rsid w:val="000F1E74"/>
    <w:rsid w:val="000F1F51"/>
    <w:rsid w:val="000F1FB0"/>
    <w:rsid w:val="000F2181"/>
    <w:rsid w:val="000F24AC"/>
    <w:rsid w:val="000F254B"/>
    <w:rsid w:val="000F2830"/>
    <w:rsid w:val="000F2F60"/>
    <w:rsid w:val="000F3326"/>
    <w:rsid w:val="000F4B3A"/>
    <w:rsid w:val="000F4EDD"/>
    <w:rsid w:val="000F5331"/>
    <w:rsid w:val="000F55C9"/>
    <w:rsid w:val="000F5E8B"/>
    <w:rsid w:val="000F6242"/>
    <w:rsid w:val="000F6F32"/>
    <w:rsid w:val="000F70F9"/>
    <w:rsid w:val="000F75A8"/>
    <w:rsid w:val="000F76E0"/>
    <w:rsid w:val="000F77B4"/>
    <w:rsid w:val="00100331"/>
    <w:rsid w:val="00101255"/>
    <w:rsid w:val="001016BB"/>
    <w:rsid w:val="0010251A"/>
    <w:rsid w:val="00102BC3"/>
    <w:rsid w:val="00103458"/>
    <w:rsid w:val="00104AFF"/>
    <w:rsid w:val="001054B0"/>
    <w:rsid w:val="00105A06"/>
    <w:rsid w:val="00105B2E"/>
    <w:rsid w:val="00107326"/>
    <w:rsid w:val="001078F4"/>
    <w:rsid w:val="00110797"/>
    <w:rsid w:val="00111ECD"/>
    <w:rsid w:val="001121DD"/>
    <w:rsid w:val="0011227C"/>
    <w:rsid w:val="00112DBF"/>
    <w:rsid w:val="00113646"/>
    <w:rsid w:val="00113992"/>
    <w:rsid w:val="0011487E"/>
    <w:rsid w:val="001149C5"/>
    <w:rsid w:val="0011539F"/>
    <w:rsid w:val="00116015"/>
    <w:rsid w:val="00116258"/>
    <w:rsid w:val="00116781"/>
    <w:rsid w:val="00117559"/>
    <w:rsid w:val="0012026D"/>
    <w:rsid w:val="00120457"/>
    <w:rsid w:val="001204EB"/>
    <w:rsid w:val="0012077F"/>
    <w:rsid w:val="00120813"/>
    <w:rsid w:val="0012099E"/>
    <w:rsid w:val="00120E60"/>
    <w:rsid w:val="0012130E"/>
    <w:rsid w:val="001213B0"/>
    <w:rsid w:val="00121741"/>
    <w:rsid w:val="00121832"/>
    <w:rsid w:val="0012235C"/>
    <w:rsid w:val="00122A75"/>
    <w:rsid w:val="001241D1"/>
    <w:rsid w:val="00124985"/>
    <w:rsid w:val="00125609"/>
    <w:rsid w:val="00125FC1"/>
    <w:rsid w:val="00126655"/>
    <w:rsid w:val="00126707"/>
    <w:rsid w:val="001269E0"/>
    <w:rsid w:val="00126C18"/>
    <w:rsid w:val="00126EBE"/>
    <w:rsid w:val="0012725A"/>
    <w:rsid w:val="00127E1B"/>
    <w:rsid w:val="00127FC8"/>
    <w:rsid w:val="001318F4"/>
    <w:rsid w:val="0013190A"/>
    <w:rsid w:val="00131945"/>
    <w:rsid w:val="00131C94"/>
    <w:rsid w:val="00131DE6"/>
    <w:rsid w:val="001326DF"/>
    <w:rsid w:val="00132AD8"/>
    <w:rsid w:val="00132CCE"/>
    <w:rsid w:val="00133D01"/>
    <w:rsid w:val="00134510"/>
    <w:rsid w:val="00135A65"/>
    <w:rsid w:val="00136073"/>
    <w:rsid w:val="001361F7"/>
    <w:rsid w:val="001364D5"/>
    <w:rsid w:val="00136606"/>
    <w:rsid w:val="00136806"/>
    <w:rsid w:val="001369A6"/>
    <w:rsid w:val="00136A93"/>
    <w:rsid w:val="00136BD6"/>
    <w:rsid w:val="00136DBC"/>
    <w:rsid w:val="00136F77"/>
    <w:rsid w:val="00136FA8"/>
    <w:rsid w:val="00137856"/>
    <w:rsid w:val="00137AF6"/>
    <w:rsid w:val="00137BD8"/>
    <w:rsid w:val="00140291"/>
    <w:rsid w:val="001404CD"/>
    <w:rsid w:val="00140BCF"/>
    <w:rsid w:val="00141AA7"/>
    <w:rsid w:val="00141AE5"/>
    <w:rsid w:val="00141E8C"/>
    <w:rsid w:val="001422D4"/>
    <w:rsid w:val="00142890"/>
    <w:rsid w:val="00143DF9"/>
    <w:rsid w:val="001442C2"/>
    <w:rsid w:val="001449E1"/>
    <w:rsid w:val="00144D5F"/>
    <w:rsid w:val="00145054"/>
    <w:rsid w:val="00145135"/>
    <w:rsid w:val="00145F55"/>
    <w:rsid w:val="0014647C"/>
    <w:rsid w:val="00147916"/>
    <w:rsid w:val="0014795D"/>
    <w:rsid w:val="001479AA"/>
    <w:rsid w:val="00147F00"/>
    <w:rsid w:val="00150564"/>
    <w:rsid w:val="001506A7"/>
    <w:rsid w:val="00150882"/>
    <w:rsid w:val="00150A4A"/>
    <w:rsid w:val="001518B5"/>
    <w:rsid w:val="00151BBA"/>
    <w:rsid w:val="0015252D"/>
    <w:rsid w:val="00152656"/>
    <w:rsid w:val="00152C00"/>
    <w:rsid w:val="00152C2B"/>
    <w:rsid w:val="00152E98"/>
    <w:rsid w:val="00153084"/>
    <w:rsid w:val="00153BED"/>
    <w:rsid w:val="00154304"/>
    <w:rsid w:val="001546D6"/>
    <w:rsid w:val="0015477A"/>
    <w:rsid w:val="001549D0"/>
    <w:rsid w:val="00154C22"/>
    <w:rsid w:val="00154F0A"/>
    <w:rsid w:val="0015563E"/>
    <w:rsid w:val="00156891"/>
    <w:rsid w:val="00156958"/>
    <w:rsid w:val="00156BA3"/>
    <w:rsid w:val="00157320"/>
    <w:rsid w:val="001579B9"/>
    <w:rsid w:val="00157CBD"/>
    <w:rsid w:val="001602EB"/>
    <w:rsid w:val="001610EB"/>
    <w:rsid w:val="00161C1F"/>
    <w:rsid w:val="00161C2F"/>
    <w:rsid w:val="00162013"/>
    <w:rsid w:val="001620B6"/>
    <w:rsid w:val="00162664"/>
    <w:rsid w:val="00162995"/>
    <w:rsid w:val="00163194"/>
    <w:rsid w:val="0016397B"/>
    <w:rsid w:val="00163DB9"/>
    <w:rsid w:val="001641BB"/>
    <w:rsid w:val="00164A8F"/>
    <w:rsid w:val="00164E8A"/>
    <w:rsid w:val="00164F8F"/>
    <w:rsid w:val="001650BB"/>
    <w:rsid w:val="0016529F"/>
    <w:rsid w:val="001658F5"/>
    <w:rsid w:val="00165F38"/>
    <w:rsid w:val="001661B8"/>
    <w:rsid w:val="00166237"/>
    <w:rsid w:val="00166416"/>
    <w:rsid w:val="0016644D"/>
    <w:rsid w:val="00166EE6"/>
    <w:rsid w:val="001672AF"/>
    <w:rsid w:val="00167629"/>
    <w:rsid w:val="0016783A"/>
    <w:rsid w:val="00170740"/>
    <w:rsid w:val="00170A14"/>
    <w:rsid w:val="0017112B"/>
    <w:rsid w:val="001726CF"/>
    <w:rsid w:val="00172BAF"/>
    <w:rsid w:val="00172EC0"/>
    <w:rsid w:val="00173191"/>
    <w:rsid w:val="001737FE"/>
    <w:rsid w:val="0017426E"/>
    <w:rsid w:val="00174E71"/>
    <w:rsid w:val="00176E50"/>
    <w:rsid w:val="0017723E"/>
    <w:rsid w:val="001772FF"/>
    <w:rsid w:val="001775DA"/>
    <w:rsid w:val="00177AD0"/>
    <w:rsid w:val="001808E8"/>
    <w:rsid w:val="00180AE0"/>
    <w:rsid w:val="00181135"/>
    <w:rsid w:val="00181C0B"/>
    <w:rsid w:val="00182382"/>
    <w:rsid w:val="00182A1C"/>
    <w:rsid w:val="00182DF8"/>
    <w:rsid w:val="00183951"/>
    <w:rsid w:val="00183CB0"/>
    <w:rsid w:val="00183CC7"/>
    <w:rsid w:val="001842FD"/>
    <w:rsid w:val="00185DB6"/>
    <w:rsid w:val="00186AE7"/>
    <w:rsid w:val="00187892"/>
    <w:rsid w:val="00187948"/>
    <w:rsid w:val="001879F2"/>
    <w:rsid w:val="00187DFB"/>
    <w:rsid w:val="001900A7"/>
    <w:rsid w:val="00190463"/>
    <w:rsid w:val="001913D1"/>
    <w:rsid w:val="00191435"/>
    <w:rsid w:val="00191F8F"/>
    <w:rsid w:val="00192213"/>
    <w:rsid w:val="001927A2"/>
    <w:rsid w:val="001927AF"/>
    <w:rsid w:val="00192C5B"/>
    <w:rsid w:val="001930B3"/>
    <w:rsid w:val="00193169"/>
    <w:rsid w:val="0019335B"/>
    <w:rsid w:val="0019394C"/>
    <w:rsid w:val="00193CA3"/>
    <w:rsid w:val="00193D49"/>
    <w:rsid w:val="0019423A"/>
    <w:rsid w:val="00195648"/>
    <w:rsid w:val="001959DC"/>
    <w:rsid w:val="00195F44"/>
    <w:rsid w:val="00195F61"/>
    <w:rsid w:val="00196019"/>
    <w:rsid w:val="00196A3F"/>
    <w:rsid w:val="00196B94"/>
    <w:rsid w:val="00196C83"/>
    <w:rsid w:val="00196E92"/>
    <w:rsid w:val="001A0614"/>
    <w:rsid w:val="001A0896"/>
    <w:rsid w:val="001A168C"/>
    <w:rsid w:val="001A1F4F"/>
    <w:rsid w:val="001A315B"/>
    <w:rsid w:val="001A3856"/>
    <w:rsid w:val="001A3F6D"/>
    <w:rsid w:val="001A4029"/>
    <w:rsid w:val="001A4A30"/>
    <w:rsid w:val="001A4C94"/>
    <w:rsid w:val="001A5DA1"/>
    <w:rsid w:val="001A636F"/>
    <w:rsid w:val="001A6601"/>
    <w:rsid w:val="001A775C"/>
    <w:rsid w:val="001A7CBA"/>
    <w:rsid w:val="001B064E"/>
    <w:rsid w:val="001B0A5F"/>
    <w:rsid w:val="001B1736"/>
    <w:rsid w:val="001B18AC"/>
    <w:rsid w:val="001B1AE6"/>
    <w:rsid w:val="001B1CC4"/>
    <w:rsid w:val="001B2033"/>
    <w:rsid w:val="001B32D3"/>
    <w:rsid w:val="001B32E4"/>
    <w:rsid w:val="001B3383"/>
    <w:rsid w:val="001B3778"/>
    <w:rsid w:val="001B3C66"/>
    <w:rsid w:val="001B3DDF"/>
    <w:rsid w:val="001B3E30"/>
    <w:rsid w:val="001B4ED3"/>
    <w:rsid w:val="001B50CC"/>
    <w:rsid w:val="001B5234"/>
    <w:rsid w:val="001B5355"/>
    <w:rsid w:val="001B6049"/>
    <w:rsid w:val="001B60D4"/>
    <w:rsid w:val="001B6482"/>
    <w:rsid w:val="001B6B84"/>
    <w:rsid w:val="001B7014"/>
    <w:rsid w:val="001B7C32"/>
    <w:rsid w:val="001B7CBF"/>
    <w:rsid w:val="001C0FC6"/>
    <w:rsid w:val="001C148A"/>
    <w:rsid w:val="001C15DB"/>
    <w:rsid w:val="001C1814"/>
    <w:rsid w:val="001C1FAC"/>
    <w:rsid w:val="001C21B9"/>
    <w:rsid w:val="001C3D80"/>
    <w:rsid w:val="001C4361"/>
    <w:rsid w:val="001C51A3"/>
    <w:rsid w:val="001C5358"/>
    <w:rsid w:val="001C56D1"/>
    <w:rsid w:val="001C5E07"/>
    <w:rsid w:val="001C7792"/>
    <w:rsid w:val="001C7A8C"/>
    <w:rsid w:val="001D05FE"/>
    <w:rsid w:val="001D07C6"/>
    <w:rsid w:val="001D15D9"/>
    <w:rsid w:val="001D1747"/>
    <w:rsid w:val="001D2019"/>
    <w:rsid w:val="001D23EF"/>
    <w:rsid w:val="001D2B65"/>
    <w:rsid w:val="001D3185"/>
    <w:rsid w:val="001D3534"/>
    <w:rsid w:val="001D42DA"/>
    <w:rsid w:val="001D537F"/>
    <w:rsid w:val="001D547D"/>
    <w:rsid w:val="001D6E58"/>
    <w:rsid w:val="001D723E"/>
    <w:rsid w:val="001D7681"/>
    <w:rsid w:val="001D7E8C"/>
    <w:rsid w:val="001E0CA5"/>
    <w:rsid w:val="001E131D"/>
    <w:rsid w:val="001E1F74"/>
    <w:rsid w:val="001E1FA3"/>
    <w:rsid w:val="001E20BB"/>
    <w:rsid w:val="001E21AC"/>
    <w:rsid w:val="001E24A4"/>
    <w:rsid w:val="001E28CC"/>
    <w:rsid w:val="001E321D"/>
    <w:rsid w:val="001E38B1"/>
    <w:rsid w:val="001E40F5"/>
    <w:rsid w:val="001E478C"/>
    <w:rsid w:val="001E4865"/>
    <w:rsid w:val="001E4C00"/>
    <w:rsid w:val="001E4D12"/>
    <w:rsid w:val="001E4D56"/>
    <w:rsid w:val="001E60F0"/>
    <w:rsid w:val="001E6214"/>
    <w:rsid w:val="001E7179"/>
    <w:rsid w:val="001E71E6"/>
    <w:rsid w:val="001E72E0"/>
    <w:rsid w:val="001E7B04"/>
    <w:rsid w:val="001F0064"/>
    <w:rsid w:val="001F1396"/>
    <w:rsid w:val="001F16DF"/>
    <w:rsid w:val="001F1960"/>
    <w:rsid w:val="001F2EB1"/>
    <w:rsid w:val="001F3105"/>
    <w:rsid w:val="001F3DAE"/>
    <w:rsid w:val="001F40B0"/>
    <w:rsid w:val="001F4A98"/>
    <w:rsid w:val="001F4E02"/>
    <w:rsid w:val="001F6159"/>
    <w:rsid w:val="001F62FF"/>
    <w:rsid w:val="001F63FA"/>
    <w:rsid w:val="001F6680"/>
    <w:rsid w:val="001F6CE9"/>
    <w:rsid w:val="001F6FB6"/>
    <w:rsid w:val="001F740D"/>
    <w:rsid w:val="001F792F"/>
    <w:rsid w:val="001F7AC9"/>
    <w:rsid w:val="001F7B9E"/>
    <w:rsid w:val="001F7BE1"/>
    <w:rsid w:val="001F7C97"/>
    <w:rsid w:val="00200A84"/>
    <w:rsid w:val="00200DCF"/>
    <w:rsid w:val="00200E44"/>
    <w:rsid w:val="002014F7"/>
    <w:rsid w:val="00201A35"/>
    <w:rsid w:val="00201A96"/>
    <w:rsid w:val="00202576"/>
    <w:rsid w:val="00202B50"/>
    <w:rsid w:val="00202EF9"/>
    <w:rsid w:val="00203204"/>
    <w:rsid w:val="00203236"/>
    <w:rsid w:val="002036E8"/>
    <w:rsid w:val="00203B3F"/>
    <w:rsid w:val="002043F2"/>
    <w:rsid w:val="002048AD"/>
    <w:rsid w:val="002051F7"/>
    <w:rsid w:val="0020531C"/>
    <w:rsid w:val="002067D2"/>
    <w:rsid w:val="0020695B"/>
    <w:rsid w:val="0020708A"/>
    <w:rsid w:val="00207642"/>
    <w:rsid w:val="00207F6A"/>
    <w:rsid w:val="00210256"/>
    <w:rsid w:val="00210394"/>
    <w:rsid w:val="0021076E"/>
    <w:rsid w:val="00211882"/>
    <w:rsid w:val="00212B08"/>
    <w:rsid w:val="00212EE4"/>
    <w:rsid w:val="00212F20"/>
    <w:rsid w:val="00213289"/>
    <w:rsid w:val="0021364B"/>
    <w:rsid w:val="00213819"/>
    <w:rsid w:val="00213825"/>
    <w:rsid w:val="00214189"/>
    <w:rsid w:val="00214ADD"/>
    <w:rsid w:val="0021525B"/>
    <w:rsid w:val="00216B19"/>
    <w:rsid w:val="00216B94"/>
    <w:rsid w:val="00216CCC"/>
    <w:rsid w:val="00216E16"/>
    <w:rsid w:val="00217250"/>
    <w:rsid w:val="0021738B"/>
    <w:rsid w:val="002175E6"/>
    <w:rsid w:val="00217F25"/>
    <w:rsid w:val="00220082"/>
    <w:rsid w:val="002203BD"/>
    <w:rsid w:val="002205B9"/>
    <w:rsid w:val="00220630"/>
    <w:rsid w:val="00220776"/>
    <w:rsid w:val="002210C8"/>
    <w:rsid w:val="002221C3"/>
    <w:rsid w:val="002223BA"/>
    <w:rsid w:val="00222572"/>
    <w:rsid w:val="0022299A"/>
    <w:rsid w:val="00222B91"/>
    <w:rsid w:val="002230FD"/>
    <w:rsid w:val="002232B3"/>
    <w:rsid w:val="002242DB"/>
    <w:rsid w:val="00224756"/>
    <w:rsid w:val="00224878"/>
    <w:rsid w:val="00224B93"/>
    <w:rsid w:val="0022514D"/>
    <w:rsid w:val="002254D7"/>
    <w:rsid w:val="00225ADB"/>
    <w:rsid w:val="00225CEE"/>
    <w:rsid w:val="00226447"/>
    <w:rsid w:val="002266DB"/>
    <w:rsid w:val="00226894"/>
    <w:rsid w:val="002268B0"/>
    <w:rsid w:val="00226A4A"/>
    <w:rsid w:val="00227577"/>
    <w:rsid w:val="002277E9"/>
    <w:rsid w:val="002279E3"/>
    <w:rsid w:val="002303A6"/>
    <w:rsid w:val="00230894"/>
    <w:rsid w:val="002308E9"/>
    <w:rsid w:val="002309DD"/>
    <w:rsid w:val="00230C2C"/>
    <w:rsid w:val="00230CBE"/>
    <w:rsid w:val="00231B36"/>
    <w:rsid w:val="00231F9E"/>
    <w:rsid w:val="00232498"/>
    <w:rsid w:val="0023254E"/>
    <w:rsid w:val="00232733"/>
    <w:rsid w:val="00232785"/>
    <w:rsid w:val="00232918"/>
    <w:rsid w:val="0023350C"/>
    <w:rsid w:val="002337A4"/>
    <w:rsid w:val="00233E70"/>
    <w:rsid w:val="00234281"/>
    <w:rsid w:val="00234C67"/>
    <w:rsid w:val="00234FD3"/>
    <w:rsid w:val="00235E3F"/>
    <w:rsid w:val="00236A66"/>
    <w:rsid w:val="00236B90"/>
    <w:rsid w:val="002371BF"/>
    <w:rsid w:val="00237427"/>
    <w:rsid w:val="002376E3"/>
    <w:rsid w:val="00237820"/>
    <w:rsid w:val="00237A87"/>
    <w:rsid w:val="002403A1"/>
    <w:rsid w:val="002404C3"/>
    <w:rsid w:val="002406A2"/>
    <w:rsid w:val="00240F64"/>
    <w:rsid w:val="00241129"/>
    <w:rsid w:val="00241840"/>
    <w:rsid w:val="00241C36"/>
    <w:rsid w:val="00241F48"/>
    <w:rsid w:val="002427EB"/>
    <w:rsid w:val="002427F0"/>
    <w:rsid w:val="002428BD"/>
    <w:rsid w:val="002429C1"/>
    <w:rsid w:val="00242A17"/>
    <w:rsid w:val="00242E09"/>
    <w:rsid w:val="00242EEF"/>
    <w:rsid w:val="00243026"/>
    <w:rsid w:val="002432B7"/>
    <w:rsid w:val="0024349B"/>
    <w:rsid w:val="0024365F"/>
    <w:rsid w:val="00243BB5"/>
    <w:rsid w:val="0024400C"/>
    <w:rsid w:val="002440B2"/>
    <w:rsid w:val="002458CE"/>
    <w:rsid w:val="00246513"/>
    <w:rsid w:val="00246B1D"/>
    <w:rsid w:val="00247BDE"/>
    <w:rsid w:val="00247CEA"/>
    <w:rsid w:val="00250B11"/>
    <w:rsid w:val="00251EB3"/>
    <w:rsid w:val="00252472"/>
    <w:rsid w:val="002525A9"/>
    <w:rsid w:val="0025329B"/>
    <w:rsid w:val="002538BA"/>
    <w:rsid w:val="00253ABF"/>
    <w:rsid w:val="00253EC4"/>
    <w:rsid w:val="0025418A"/>
    <w:rsid w:val="00254240"/>
    <w:rsid w:val="00254266"/>
    <w:rsid w:val="00255A5B"/>
    <w:rsid w:val="00255BC2"/>
    <w:rsid w:val="002561BF"/>
    <w:rsid w:val="00256539"/>
    <w:rsid w:val="00256DEA"/>
    <w:rsid w:val="002572EB"/>
    <w:rsid w:val="00257C49"/>
    <w:rsid w:val="00257C4C"/>
    <w:rsid w:val="0026072F"/>
    <w:rsid w:val="00260952"/>
    <w:rsid w:val="00260A98"/>
    <w:rsid w:val="00261192"/>
    <w:rsid w:val="00261A11"/>
    <w:rsid w:val="00261CB5"/>
    <w:rsid w:val="0026202B"/>
    <w:rsid w:val="002625F2"/>
    <w:rsid w:val="00262869"/>
    <w:rsid w:val="00263268"/>
    <w:rsid w:val="00263413"/>
    <w:rsid w:val="002635F3"/>
    <w:rsid w:val="0026431A"/>
    <w:rsid w:val="002644A4"/>
    <w:rsid w:val="0026495A"/>
    <w:rsid w:val="00265066"/>
    <w:rsid w:val="00265C93"/>
    <w:rsid w:val="00266300"/>
    <w:rsid w:val="0026640E"/>
    <w:rsid w:val="002664CA"/>
    <w:rsid w:val="00267883"/>
    <w:rsid w:val="00271150"/>
    <w:rsid w:val="00271B87"/>
    <w:rsid w:val="00271C7B"/>
    <w:rsid w:val="00271D11"/>
    <w:rsid w:val="0027296D"/>
    <w:rsid w:val="00272D84"/>
    <w:rsid w:val="002735DD"/>
    <w:rsid w:val="00273892"/>
    <w:rsid w:val="002747CC"/>
    <w:rsid w:val="00274830"/>
    <w:rsid w:val="0027494B"/>
    <w:rsid w:val="00274DF9"/>
    <w:rsid w:val="00275170"/>
    <w:rsid w:val="00275D77"/>
    <w:rsid w:val="002778F2"/>
    <w:rsid w:val="00277F52"/>
    <w:rsid w:val="002809A3"/>
    <w:rsid w:val="00280F6B"/>
    <w:rsid w:val="00281979"/>
    <w:rsid w:val="00281E85"/>
    <w:rsid w:val="002837F8"/>
    <w:rsid w:val="00283978"/>
    <w:rsid w:val="00283ACF"/>
    <w:rsid w:val="00283C0D"/>
    <w:rsid w:val="00283C99"/>
    <w:rsid w:val="0028473D"/>
    <w:rsid w:val="00284850"/>
    <w:rsid w:val="00284D22"/>
    <w:rsid w:val="00285326"/>
    <w:rsid w:val="00285DE8"/>
    <w:rsid w:val="002866E2"/>
    <w:rsid w:val="00290891"/>
    <w:rsid w:val="0029132B"/>
    <w:rsid w:val="00291DA9"/>
    <w:rsid w:val="00292773"/>
    <w:rsid w:val="002927AC"/>
    <w:rsid w:val="00292A11"/>
    <w:rsid w:val="0029469F"/>
    <w:rsid w:val="00294A5F"/>
    <w:rsid w:val="0029506F"/>
    <w:rsid w:val="00295405"/>
    <w:rsid w:val="002954FB"/>
    <w:rsid w:val="0029618D"/>
    <w:rsid w:val="002964D9"/>
    <w:rsid w:val="002965BA"/>
    <w:rsid w:val="00296814"/>
    <w:rsid w:val="0029716C"/>
    <w:rsid w:val="0029798E"/>
    <w:rsid w:val="002A0DD4"/>
    <w:rsid w:val="002A2537"/>
    <w:rsid w:val="002A2AB8"/>
    <w:rsid w:val="002A2B8E"/>
    <w:rsid w:val="002A4B29"/>
    <w:rsid w:val="002A5126"/>
    <w:rsid w:val="002A5948"/>
    <w:rsid w:val="002A64F2"/>
    <w:rsid w:val="002A6590"/>
    <w:rsid w:val="002A7478"/>
    <w:rsid w:val="002A74AA"/>
    <w:rsid w:val="002A7B26"/>
    <w:rsid w:val="002B01AD"/>
    <w:rsid w:val="002B047F"/>
    <w:rsid w:val="002B11A6"/>
    <w:rsid w:val="002B1ACA"/>
    <w:rsid w:val="002B1C6E"/>
    <w:rsid w:val="002B2D78"/>
    <w:rsid w:val="002B32C9"/>
    <w:rsid w:val="002B3736"/>
    <w:rsid w:val="002B4054"/>
    <w:rsid w:val="002B4621"/>
    <w:rsid w:val="002B46FF"/>
    <w:rsid w:val="002B48A7"/>
    <w:rsid w:val="002B497D"/>
    <w:rsid w:val="002B4D0E"/>
    <w:rsid w:val="002B4F7B"/>
    <w:rsid w:val="002B542A"/>
    <w:rsid w:val="002B5495"/>
    <w:rsid w:val="002B54C5"/>
    <w:rsid w:val="002B55E5"/>
    <w:rsid w:val="002B653E"/>
    <w:rsid w:val="002B6703"/>
    <w:rsid w:val="002B6BCB"/>
    <w:rsid w:val="002B6D69"/>
    <w:rsid w:val="002B6F67"/>
    <w:rsid w:val="002B7411"/>
    <w:rsid w:val="002B7D02"/>
    <w:rsid w:val="002B7F1B"/>
    <w:rsid w:val="002C0083"/>
    <w:rsid w:val="002C00C0"/>
    <w:rsid w:val="002C032E"/>
    <w:rsid w:val="002C081A"/>
    <w:rsid w:val="002C108A"/>
    <w:rsid w:val="002C1553"/>
    <w:rsid w:val="002C1875"/>
    <w:rsid w:val="002C1F27"/>
    <w:rsid w:val="002C29BA"/>
    <w:rsid w:val="002C2CCD"/>
    <w:rsid w:val="002C2E7C"/>
    <w:rsid w:val="002C2E96"/>
    <w:rsid w:val="002C2F7F"/>
    <w:rsid w:val="002C2FB4"/>
    <w:rsid w:val="002C2FD3"/>
    <w:rsid w:val="002C3683"/>
    <w:rsid w:val="002C3B38"/>
    <w:rsid w:val="002C5319"/>
    <w:rsid w:val="002C6DC2"/>
    <w:rsid w:val="002C6DDA"/>
    <w:rsid w:val="002C713E"/>
    <w:rsid w:val="002C7335"/>
    <w:rsid w:val="002C79CC"/>
    <w:rsid w:val="002D053D"/>
    <w:rsid w:val="002D0B99"/>
    <w:rsid w:val="002D0D30"/>
    <w:rsid w:val="002D134A"/>
    <w:rsid w:val="002D1936"/>
    <w:rsid w:val="002D1CE8"/>
    <w:rsid w:val="002D2FB2"/>
    <w:rsid w:val="002D3782"/>
    <w:rsid w:val="002D3A97"/>
    <w:rsid w:val="002D48E6"/>
    <w:rsid w:val="002D499B"/>
    <w:rsid w:val="002D5010"/>
    <w:rsid w:val="002D5B16"/>
    <w:rsid w:val="002D5BA1"/>
    <w:rsid w:val="002D613A"/>
    <w:rsid w:val="002D62D2"/>
    <w:rsid w:val="002D769A"/>
    <w:rsid w:val="002D7789"/>
    <w:rsid w:val="002D77B7"/>
    <w:rsid w:val="002D7CC4"/>
    <w:rsid w:val="002D7DBC"/>
    <w:rsid w:val="002E02AA"/>
    <w:rsid w:val="002E0C21"/>
    <w:rsid w:val="002E0E96"/>
    <w:rsid w:val="002E1616"/>
    <w:rsid w:val="002E192A"/>
    <w:rsid w:val="002E2471"/>
    <w:rsid w:val="002E2B84"/>
    <w:rsid w:val="002E300A"/>
    <w:rsid w:val="002E3092"/>
    <w:rsid w:val="002E3543"/>
    <w:rsid w:val="002E3B82"/>
    <w:rsid w:val="002E3C95"/>
    <w:rsid w:val="002E40D7"/>
    <w:rsid w:val="002E474C"/>
    <w:rsid w:val="002E4BB3"/>
    <w:rsid w:val="002E5F0D"/>
    <w:rsid w:val="002E6D33"/>
    <w:rsid w:val="002E6EE7"/>
    <w:rsid w:val="002F0C6B"/>
    <w:rsid w:val="002F1CD0"/>
    <w:rsid w:val="002F1D5C"/>
    <w:rsid w:val="002F207F"/>
    <w:rsid w:val="002F24AF"/>
    <w:rsid w:val="002F32ED"/>
    <w:rsid w:val="002F3799"/>
    <w:rsid w:val="002F3869"/>
    <w:rsid w:val="002F43B6"/>
    <w:rsid w:val="002F49F9"/>
    <w:rsid w:val="002F515D"/>
    <w:rsid w:val="002F6673"/>
    <w:rsid w:val="002F66DB"/>
    <w:rsid w:val="002F6B16"/>
    <w:rsid w:val="002F6D83"/>
    <w:rsid w:val="002F7EB8"/>
    <w:rsid w:val="003000D8"/>
    <w:rsid w:val="00300191"/>
    <w:rsid w:val="0030086D"/>
    <w:rsid w:val="00300D86"/>
    <w:rsid w:val="003017E1"/>
    <w:rsid w:val="00301921"/>
    <w:rsid w:val="00301ABE"/>
    <w:rsid w:val="00302676"/>
    <w:rsid w:val="00302F6A"/>
    <w:rsid w:val="003040C0"/>
    <w:rsid w:val="00304B0A"/>
    <w:rsid w:val="00305CC7"/>
    <w:rsid w:val="00305EB6"/>
    <w:rsid w:val="00305F62"/>
    <w:rsid w:val="0030652B"/>
    <w:rsid w:val="0030688B"/>
    <w:rsid w:val="003070FF"/>
    <w:rsid w:val="003074FD"/>
    <w:rsid w:val="00307A2D"/>
    <w:rsid w:val="00307E65"/>
    <w:rsid w:val="00310204"/>
    <w:rsid w:val="00310272"/>
    <w:rsid w:val="00310D86"/>
    <w:rsid w:val="00310F34"/>
    <w:rsid w:val="00311088"/>
    <w:rsid w:val="00311327"/>
    <w:rsid w:val="003115FC"/>
    <w:rsid w:val="00311E95"/>
    <w:rsid w:val="00312462"/>
    <w:rsid w:val="00312AF6"/>
    <w:rsid w:val="00312CB7"/>
    <w:rsid w:val="00312E68"/>
    <w:rsid w:val="0031351A"/>
    <w:rsid w:val="003140C5"/>
    <w:rsid w:val="0031499C"/>
    <w:rsid w:val="003161E5"/>
    <w:rsid w:val="00316413"/>
    <w:rsid w:val="00316C18"/>
    <w:rsid w:val="00317071"/>
    <w:rsid w:val="003170F2"/>
    <w:rsid w:val="003204DA"/>
    <w:rsid w:val="00320582"/>
    <w:rsid w:val="00321282"/>
    <w:rsid w:val="0032130E"/>
    <w:rsid w:val="0032187E"/>
    <w:rsid w:val="003218EA"/>
    <w:rsid w:val="00321F93"/>
    <w:rsid w:val="0032278A"/>
    <w:rsid w:val="0032279E"/>
    <w:rsid w:val="00322912"/>
    <w:rsid w:val="00322A25"/>
    <w:rsid w:val="00322EDB"/>
    <w:rsid w:val="0032318E"/>
    <w:rsid w:val="00324A14"/>
    <w:rsid w:val="00325668"/>
    <w:rsid w:val="00325798"/>
    <w:rsid w:val="003262AB"/>
    <w:rsid w:val="0032659C"/>
    <w:rsid w:val="00327292"/>
    <w:rsid w:val="003272FD"/>
    <w:rsid w:val="0032744E"/>
    <w:rsid w:val="00327480"/>
    <w:rsid w:val="00330290"/>
    <w:rsid w:val="00330A37"/>
    <w:rsid w:val="00330B81"/>
    <w:rsid w:val="00330BA9"/>
    <w:rsid w:val="003314E8"/>
    <w:rsid w:val="00331E93"/>
    <w:rsid w:val="00333A15"/>
    <w:rsid w:val="00333A6D"/>
    <w:rsid w:val="00333F1D"/>
    <w:rsid w:val="00335776"/>
    <w:rsid w:val="00335E73"/>
    <w:rsid w:val="00336075"/>
    <w:rsid w:val="0033621C"/>
    <w:rsid w:val="00336705"/>
    <w:rsid w:val="00336C5F"/>
    <w:rsid w:val="00336E5A"/>
    <w:rsid w:val="00336ED2"/>
    <w:rsid w:val="003374B9"/>
    <w:rsid w:val="003375AB"/>
    <w:rsid w:val="003378B1"/>
    <w:rsid w:val="00337CE8"/>
    <w:rsid w:val="003404C5"/>
    <w:rsid w:val="003408E2"/>
    <w:rsid w:val="003415A2"/>
    <w:rsid w:val="00342528"/>
    <w:rsid w:val="0034312D"/>
    <w:rsid w:val="0034330F"/>
    <w:rsid w:val="003434B6"/>
    <w:rsid w:val="00343669"/>
    <w:rsid w:val="00343C67"/>
    <w:rsid w:val="0034413A"/>
    <w:rsid w:val="00344BA3"/>
    <w:rsid w:val="00344BDC"/>
    <w:rsid w:val="00344D5E"/>
    <w:rsid w:val="00345475"/>
    <w:rsid w:val="00345EEC"/>
    <w:rsid w:val="0034641D"/>
    <w:rsid w:val="00346AE5"/>
    <w:rsid w:val="00346C56"/>
    <w:rsid w:val="00347782"/>
    <w:rsid w:val="00347D51"/>
    <w:rsid w:val="00347E11"/>
    <w:rsid w:val="00350195"/>
    <w:rsid w:val="003501EB"/>
    <w:rsid w:val="00350268"/>
    <w:rsid w:val="00350594"/>
    <w:rsid w:val="003518DC"/>
    <w:rsid w:val="0035214B"/>
    <w:rsid w:val="00352542"/>
    <w:rsid w:val="0035298B"/>
    <w:rsid w:val="0035326A"/>
    <w:rsid w:val="0035327A"/>
    <w:rsid w:val="003533C8"/>
    <w:rsid w:val="003534CB"/>
    <w:rsid w:val="00353FC5"/>
    <w:rsid w:val="00354407"/>
    <w:rsid w:val="00354730"/>
    <w:rsid w:val="00354B00"/>
    <w:rsid w:val="0035557E"/>
    <w:rsid w:val="003555CF"/>
    <w:rsid w:val="00355B59"/>
    <w:rsid w:val="0035620E"/>
    <w:rsid w:val="00356219"/>
    <w:rsid w:val="003564B6"/>
    <w:rsid w:val="0035669E"/>
    <w:rsid w:val="00356AAB"/>
    <w:rsid w:val="0035738B"/>
    <w:rsid w:val="003574FA"/>
    <w:rsid w:val="00357563"/>
    <w:rsid w:val="00357C05"/>
    <w:rsid w:val="00357DE5"/>
    <w:rsid w:val="003601F2"/>
    <w:rsid w:val="0036071E"/>
    <w:rsid w:val="00360E0E"/>
    <w:rsid w:val="00361429"/>
    <w:rsid w:val="003618B0"/>
    <w:rsid w:val="00362E06"/>
    <w:rsid w:val="00363B12"/>
    <w:rsid w:val="0036423C"/>
    <w:rsid w:val="003648BB"/>
    <w:rsid w:val="00364D59"/>
    <w:rsid w:val="003654BE"/>
    <w:rsid w:val="003654DD"/>
    <w:rsid w:val="00365D2E"/>
    <w:rsid w:val="00365DBB"/>
    <w:rsid w:val="00365ECB"/>
    <w:rsid w:val="00366F81"/>
    <w:rsid w:val="003673E6"/>
    <w:rsid w:val="003675F0"/>
    <w:rsid w:val="00367A90"/>
    <w:rsid w:val="00367EE6"/>
    <w:rsid w:val="00370104"/>
    <w:rsid w:val="003701AB"/>
    <w:rsid w:val="003703EC"/>
    <w:rsid w:val="00370963"/>
    <w:rsid w:val="00371009"/>
    <w:rsid w:val="00371BC4"/>
    <w:rsid w:val="00371D64"/>
    <w:rsid w:val="003722E8"/>
    <w:rsid w:val="00372733"/>
    <w:rsid w:val="0037280D"/>
    <w:rsid w:val="003728E1"/>
    <w:rsid w:val="00372C4C"/>
    <w:rsid w:val="00373B9D"/>
    <w:rsid w:val="00374100"/>
    <w:rsid w:val="003745D0"/>
    <w:rsid w:val="00375B8A"/>
    <w:rsid w:val="00375BB2"/>
    <w:rsid w:val="00375C42"/>
    <w:rsid w:val="00375E04"/>
    <w:rsid w:val="00375E62"/>
    <w:rsid w:val="0037642E"/>
    <w:rsid w:val="00377D45"/>
    <w:rsid w:val="003801DC"/>
    <w:rsid w:val="00380E15"/>
    <w:rsid w:val="00380F51"/>
    <w:rsid w:val="00381070"/>
    <w:rsid w:val="00381993"/>
    <w:rsid w:val="00381B3A"/>
    <w:rsid w:val="00381F75"/>
    <w:rsid w:val="0038248C"/>
    <w:rsid w:val="00383E24"/>
    <w:rsid w:val="00384000"/>
    <w:rsid w:val="003847DB"/>
    <w:rsid w:val="00384837"/>
    <w:rsid w:val="00384F69"/>
    <w:rsid w:val="00385085"/>
    <w:rsid w:val="003856C6"/>
    <w:rsid w:val="00385E50"/>
    <w:rsid w:val="003860CA"/>
    <w:rsid w:val="0038685F"/>
    <w:rsid w:val="00386B07"/>
    <w:rsid w:val="00386B43"/>
    <w:rsid w:val="00386C77"/>
    <w:rsid w:val="00386CBA"/>
    <w:rsid w:val="00386FC4"/>
    <w:rsid w:val="003879A5"/>
    <w:rsid w:val="00387E69"/>
    <w:rsid w:val="003906C0"/>
    <w:rsid w:val="003911F2"/>
    <w:rsid w:val="00391268"/>
    <w:rsid w:val="003915D4"/>
    <w:rsid w:val="00391901"/>
    <w:rsid w:val="00391AC1"/>
    <w:rsid w:val="00391B2B"/>
    <w:rsid w:val="003923E6"/>
    <w:rsid w:val="00393FE9"/>
    <w:rsid w:val="0039476B"/>
    <w:rsid w:val="00394993"/>
    <w:rsid w:val="00395BEC"/>
    <w:rsid w:val="00396113"/>
    <w:rsid w:val="00396F26"/>
    <w:rsid w:val="003973FD"/>
    <w:rsid w:val="00397413"/>
    <w:rsid w:val="00397491"/>
    <w:rsid w:val="0039760C"/>
    <w:rsid w:val="003976E4"/>
    <w:rsid w:val="00397B53"/>
    <w:rsid w:val="00397E21"/>
    <w:rsid w:val="00397FDC"/>
    <w:rsid w:val="003A04AE"/>
    <w:rsid w:val="003A0667"/>
    <w:rsid w:val="003A19D6"/>
    <w:rsid w:val="003A22DF"/>
    <w:rsid w:val="003A2372"/>
    <w:rsid w:val="003A2C9B"/>
    <w:rsid w:val="003A2D4E"/>
    <w:rsid w:val="003A3999"/>
    <w:rsid w:val="003A4462"/>
    <w:rsid w:val="003A4663"/>
    <w:rsid w:val="003A4BFF"/>
    <w:rsid w:val="003A4F4E"/>
    <w:rsid w:val="003A5D90"/>
    <w:rsid w:val="003A62DA"/>
    <w:rsid w:val="003A72DF"/>
    <w:rsid w:val="003A759F"/>
    <w:rsid w:val="003A7B14"/>
    <w:rsid w:val="003A7B7B"/>
    <w:rsid w:val="003A7D2A"/>
    <w:rsid w:val="003A7D38"/>
    <w:rsid w:val="003B08CD"/>
    <w:rsid w:val="003B14FD"/>
    <w:rsid w:val="003B2427"/>
    <w:rsid w:val="003B2835"/>
    <w:rsid w:val="003B2D7D"/>
    <w:rsid w:val="003B2F1D"/>
    <w:rsid w:val="003B3AC6"/>
    <w:rsid w:val="003B3C63"/>
    <w:rsid w:val="003B3E12"/>
    <w:rsid w:val="003B3FEB"/>
    <w:rsid w:val="003B4696"/>
    <w:rsid w:val="003B46D9"/>
    <w:rsid w:val="003B4E65"/>
    <w:rsid w:val="003B4EB6"/>
    <w:rsid w:val="003B5400"/>
    <w:rsid w:val="003B6031"/>
    <w:rsid w:val="003B6599"/>
    <w:rsid w:val="003B6E81"/>
    <w:rsid w:val="003B7A2A"/>
    <w:rsid w:val="003B7E05"/>
    <w:rsid w:val="003C052A"/>
    <w:rsid w:val="003C131E"/>
    <w:rsid w:val="003C19A5"/>
    <w:rsid w:val="003C1C85"/>
    <w:rsid w:val="003C1F69"/>
    <w:rsid w:val="003C2434"/>
    <w:rsid w:val="003C3037"/>
    <w:rsid w:val="003C323F"/>
    <w:rsid w:val="003C324C"/>
    <w:rsid w:val="003C3A2A"/>
    <w:rsid w:val="003C3E7F"/>
    <w:rsid w:val="003C3FF9"/>
    <w:rsid w:val="003C4482"/>
    <w:rsid w:val="003C5260"/>
    <w:rsid w:val="003C574F"/>
    <w:rsid w:val="003C612F"/>
    <w:rsid w:val="003C6468"/>
    <w:rsid w:val="003C7B0C"/>
    <w:rsid w:val="003D0AF6"/>
    <w:rsid w:val="003D0BFD"/>
    <w:rsid w:val="003D0DB4"/>
    <w:rsid w:val="003D11D9"/>
    <w:rsid w:val="003D1E5A"/>
    <w:rsid w:val="003D27A0"/>
    <w:rsid w:val="003D3990"/>
    <w:rsid w:val="003D42B5"/>
    <w:rsid w:val="003D42CB"/>
    <w:rsid w:val="003D43E2"/>
    <w:rsid w:val="003D461B"/>
    <w:rsid w:val="003D4B62"/>
    <w:rsid w:val="003D4E9A"/>
    <w:rsid w:val="003D51F4"/>
    <w:rsid w:val="003D52CB"/>
    <w:rsid w:val="003D5811"/>
    <w:rsid w:val="003D58C5"/>
    <w:rsid w:val="003D5FB3"/>
    <w:rsid w:val="003D6638"/>
    <w:rsid w:val="003D7667"/>
    <w:rsid w:val="003D7786"/>
    <w:rsid w:val="003D7FC4"/>
    <w:rsid w:val="003E0354"/>
    <w:rsid w:val="003E08DC"/>
    <w:rsid w:val="003E17CF"/>
    <w:rsid w:val="003E184A"/>
    <w:rsid w:val="003E1887"/>
    <w:rsid w:val="003E18C9"/>
    <w:rsid w:val="003E19E2"/>
    <w:rsid w:val="003E2538"/>
    <w:rsid w:val="003E278F"/>
    <w:rsid w:val="003E2E55"/>
    <w:rsid w:val="003E383A"/>
    <w:rsid w:val="003E3AF6"/>
    <w:rsid w:val="003E3C62"/>
    <w:rsid w:val="003E40AA"/>
    <w:rsid w:val="003E4296"/>
    <w:rsid w:val="003E43C8"/>
    <w:rsid w:val="003E4B5F"/>
    <w:rsid w:val="003E528F"/>
    <w:rsid w:val="003E530F"/>
    <w:rsid w:val="003E5A33"/>
    <w:rsid w:val="003E5D0E"/>
    <w:rsid w:val="003E65FD"/>
    <w:rsid w:val="003E69CF"/>
    <w:rsid w:val="003E6DA0"/>
    <w:rsid w:val="003E72DA"/>
    <w:rsid w:val="003E73CD"/>
    <w:rsid w:val="003F031C"/>
    <w:rsid w:val="003F05D0"/>
    <w:rsid w:val="003F0D94"/>
    <w:rsid w:val="003F101F"/>
    <w:rsid w:val="003F1622"/>
    <w:rsid w:val="003F1AA3"/>
    <w:rsid w:val="003F2005"/>
    <w:rsid w:val="003F207C"/>
    <w:rsid w:val="003F25B7"/>
    <w:rsid w:val="003F25EF"/>
    <w:rsid w:val="003F289B"/>
    <w:rsid w:val="003F3277"/>
    <w:rsid w:val="003F3928"/>
    <w:rsid w:val="003F3FC1"/>
    <w:rsid w:val="003F48C4"/>
    <w:rsid w:val="003F4C79"/>
    <w:rsid w:val="003F4E06"/>
    <w:rsid w:val="003F4EA8"/>
    <w:rsid w:val="003F525C"/>
    <w:rsid w:val="003F5E3F"/>
    <w:rsid w:val="003F5F6E"/>
    <w:rsid w:val="003F67CB"/>
    <w:rsid w:val="003F70AA"/>
    <w:rsid w:val="003F71FE"/>
    <w:rsid w:val="003F759C"/>
    <w:rsid w:val="00400A20"/>
    <w:rsid w:val="00400AEC"/>
    <w:rsid w:val="00401241"/>
    <w:rsid w:val="00401CD0"/>
    <w:rsid w:val="004024AD"/>
    <w:rsid w:val="00402608"/>
    <w:rsid w:val="00402764"/>
    <w:rsid w:val="004029C9"/>
    <w:rsid w:val="00402B48"/>
    <w:rsid w:val="00403542"/>
    <w:rsid w:val="00403A15"/>
    <w:rsid w:val="00403A3E"/>
    <w:rsid w:val="00403DBE"/>
    <w:rsid w:val="00405461"/>
    <w:rsid w:val="00405477"/>
    <w:rsid w:val="0040566B"/>
    <w:rsid w:val="00405B56"/>
    <w:rsid w:val="004067F1"/>
    <w:rsid w:val="00406C91"/>
    <w:rsid w:val="00407403"/>
    <w:rsid w:val="00410441"/>
    <w:rsid w:val="0041078F"/>
    <w:rsid w:val="004108AD"/>
    <w:rsid w:val="004109ED"/>
    <w:rsid w:val="00410B78"/>
    <w:rsid w:val="00410FE6"/>
    <w:rsid w:val="0041102C"/>
    <w:rsid w:val="00411154"/>
    <w:rsid w:val="0041161B"/>
    <w:rsid w:val="004121CD"/>
    <w:rsid w:val="00412BDE"/>
    <w:rsid w:val="0041351D"/>
    <w:rsid w:val="00413FDE"/>
    <w:rsid w:val="004146E5"/>
    <w:rsid w:val="00414DE0"/>
    <w:rsid w:val="004150AC"/>
    <w:rsid w:val="004150FE"/>
    <w:rsid w:val="004158A0"/>
    <w:rsid w:val="00415CAD"/>
    <w:rsid w:val="00415D69"/>
    <w:rsid w:val="00415FAD"/>
    <w:rsid w:val="0041619C"/>
    <w:rsid w:val="00416523"/>
    <w:rsid w:val="0041747C"/>
    <w:rsid w:val="00417701"/>
    <w:rsid w:val="00417C68"/>
    <w:rsid w:val="00417D7A"/>
    <w:rsid w:val="004203AA"/>
    <w:rsid w:val="00420BA6"/>
    <w:rsid w:val="00420C84"/>
    <w:rsid w:val="00420E35"/>
    <w:rsid w:val="00420EED"/>
    <w:rsid w:val="0042121D"/>
    <w:rsid w:val="0042181C"/>
    <w:rsid w:val="00421F4C"/>
    <w:rsid w:val="00422508"/>
    <w:rsid w:val="0042267A"/>
    <w:rsid w:val="00422AB1"/>
    <w:rsid w:val="00422C59"/>
    <w:rsid w:val="00422CFC"/>
    <w:rsid w:val="00423915"/>
    <w:rsid w:val="0042412E"/>
    <w:rsid w:val="0042472D"/>
    <w:rsid w:val="004247B9"/>
    <w:rsid w:val="0042505E"/>
    <w:rsid w:val="004256CA"/>
    <w:rsid w:val="004257A7"/>
    <w:rsid w:val="00425EF9"/>
    <w:rsid w:val="0042642F"/>
    <w:rsid w:val="00427D16"/>
    <w:rsid w:val="00427DB2"/>
    <w:rsid w:val="004305C5"/>
    <w:rsid w:val="00430984"/>
    <w:rsid w:val="004318F9"/>
    <w:rsid w:val="0043244C"/>
    <w:rsid w:val="00432621"/>
    <w:rsid w:val="004326EF"/>
    <w:rsid w:val="004328FB"/>
    <w:rsid w:val="00432B9E"/>
    <w:rsid w:val="00432EAC"/>
    <w:rsid w:val="00433584"/>
    <w:rsid w:val="004342CB"/>
    <w:rsid w:val="00434374"/>
    <w:rsid w:val="00434954"/>
    <w:rsid w:val="00435197"/>
    <w:rsid w:val="004363D1"/>
    <w:rsid w:val="00436711"/>
    <w:rsid w:val="0043678E"/>
    <w:rsid w:val="00436CF3"/>
    <w:rsid w:val="0043731F"/>
    <w:rsid w:val="00437B57"/>
    <w:rsid w:val="0044054A"/>
    <w:rsid w:val="00440CD7"/>
    <w:rsid w:val="00440D7A"/>
    <w:rsid w:val="004410BC"/>
    <w:rsid w:val="00441164"/>
    <w:rsid w:val="0044130A"/>
    <w:rsid w:val="004414D3"/>
    <w:rsid w:val="00441A6C"/>
    <w:rsid w:val="00441F3E"/>
    <w:rsid w:val="004420F9"/>
    <w:rsid w:val="00443064"/>
    <w:rsid w:val="004435D7"/>
    <w:rsid w:val="00444188"/>
    <w:rsid w:val="00444473"/>
    <w:rsid w:val="004444D3"/>
    <w:rsid w:val="0044482D"/>
    <w:rsid w:val="00444927"/>
    <w:rsid w:val="00444FEA"/>
    <w:rsid w:val="004458AB"/>
    <w:rsid w:val="00445C9F"/>
    <w:rsid w:val="0044668C"/>
    <w:rsid w:val="00446D64"/>
    <w:rsid w:val="004479C3"/>
    <w:rsid w:val="004503A1"/>
    <w:rsid w:val="00450674"/>
    <w:rsid w:val="00450BE0"/>
    <w:rsid w:val="00450D8E"/>
    <w:rsid w:val="00451691"/>
    <w:rsid w:val="0045201A"/>
    <w:rsid w:val="004526C7"/>
    <w:rsid w:val="00452BE5"/>
    <w:rsid w:val="00453DB3"/>
    <w:rsid w:val="00454B8F"/>
    <w:rsid w:val="00454C20"/>
    <w:rsid w:val="004558FA"/>
    <w:rsid w:val="00455AB8"/>
    <w:rsid w:val="00455CAE"/>
    <w:rsid w:val="00455E9B"/>
    <w:rsid w:val="00456D15"/>
    <w:rsid w:val="004578E3"/>
    <w:rsid w:val="00460244"/>
    <w:rsid w:val="004602D4"/>
    <w:rsid w:val="00460529"/>
    <w:rsid w:val="00460847"/>
    <w:rsid w:val="00460A4B"/>
    <w:rsid w:val="00461074"/>
    <w:rsid w:val="00461252"/>
    <w:rsid w:val="0046159B"/>
    <w:rsid w:val="00461A84"/>
    <w:rsid w:val="00462286"/>
    <w:rsid w:val="00462F25"/>
    <w:rsid w:val="004631A1"/>
    <w:rsid w:val="0046330C"/>
    <w:rsid w:val="00463717"/>
    <w:rsid w:val="00463754"/>
    <w:rsid w:val="004637CD"/>
    <w:rsid w:val="004642AE"/>
    <w:rsid w:val="004644E5"/>
    <w:rsid w:val="004653AD"/>
    <w:rsid w:val="00465498"/>
    <w:rsid w:val="00465A3C"/>
    <w:rsid w:val="00465F55"/>
    <w:rsid w:val="0046615C"/>
    <w:rsid w:val="00466414"/>
    <w:rsid w:val="0046650F"/>
    <w:rsid w:val="00466742"/>
    <w:rsid w:val="00466AE4"/>
    <w:rsid w:val="0046713B"/>
    <w:rsid w:val="004673C5"/>
    <w:rsid w:val="0046756D"/>
    <w:rsid w:val="00467B68"/>
    <w:rsid w:val="00470EB0"/>
    <w:rsid w:val="00470ED5"/>
    <w:rsid w:val="00471361"/>
    <w:rsid w:val="00471B51"/>
    <w:rsid w:val="00471F60"/>
    <w:rsid w:val="00472834"/>
    <w:rsid w:val="00472ADA"/>
    <w:rsid w:val="00472AF9"/>
    <w:rsid w:val="00472E55"/>
    <w:rsid w:val="00472E87"/>
    <w:rsid w:val="004740ED"/>
    <w:rsid w:val="00474322"/>
    <w:rsid w:val="00474620"/>
    <w:rsid w:val="004750C4"/>
    <w:rsid w:val="0047548C"/>
    <w:rsid w:val="00476446"/>
    <w:rsid w:val="00477320"/>
    <w:rsid w:val="004779AB"/>
    <w:rsid w:val="004779CC"/>
    <w:rsid w:val="00477FA2"/>
    <w:rsid w:val="004801BA"/>
    <w:rsid w:val="0048028B"/>
    <w:rsid w:val="00481C87"/>
    <w:rsid w:val="004824B9"/>
    <w:rsid w:val="004828B4"/>
    <w:rsid w:val="00482E73"/>
    <w:rsid w:val="00482F94"/>
    <w:rsid w:val="00483AF5"/>
    <w:rsid w:val="00483FBD"/>
    <w:rsid w:val="004840B7"/>
    <w:rsid w:val="00484204"/>
    <w:rsid w:val="00484850"/>
    <w:rsid w:val="00485352"/>
    <w:rsid w:val="00485E18"/>
    <w:rsid w:val="0048614C"/>
    <w:rsid w:val="0048639E"/>
    <w:rsid w:val="00487507"/>
    <w:rsid w:val="004876C2"/>
    <w:rsid w:val="004878B6"/>
    <w:rsid w:val="00487CD9"/>
    <w:rsid w:val="00490724"/>
    <w:rsid w:val="00490831"/>
    <w:rsid w:val="00491095"/>
    <w:rsid w:val="004918B1"/>
    <w:rsid w:val="00492611"/>
    <w:rsid w:val="004929D0"/>
    <w:rsid w:val="00492C56"/>
    <w:rsid w:val="00492EFA"/>
    <w:rsid w:val="00492F1A"/>
    <w:rsid w:val="0049339A"/>
    <w:rsid w:val="00493782"/>
    <w:rsid w:val="00493CF5"/>
    <w:rsid w:val="00493E2D"/>
    <w:rsid w:val="00494B2E"/>
    <w:rsid w:val="004952A2"/>
    <w:rsid w:val="004952BD"/>
    <w:rsid w:val="0049590C"/>
    <w:rsid w:val="00495D9A"/>
    <w:rsid w:val="004962D8"/>
    <w:rsid w:val="004966E0"/>
    <w:rsid w:val="004969D3"/>
    <w:rsid w:val="004971AE"/>
    <w:rsid w:val="004974DE"/>
    <w:rsid w:val="004976EF"/>
    <w:rsid w:val="004A034F"/>
    <w:rsid w:val="004A0440"/>
    <w:rsid w:val="004A0E27"/>
    <w:rsid w:val="004A0ECC"/>
    <w:rsid w:val="004A1246"/>
    <w:rsid w:val="004A17FA"/>
    <w:rsid w:val="004A1FA8"/>
    <w:rsid w:val="004A213B"/>
    <w:rsid w:val="004A25D9"/>
    <w:rsid w:val="004A399B"/>
    <w:rsid w:val="004A3F18"/>
    <w:rsid w:val="004A4D06"/>
    <w:rsid w:val="004A4FC8"/>
    <w:rsid w:val="004A5232"/>
    <w:rsid w:val="004A55FF"/>
    <w:rsid w:val="004A61A6"/>
    <w:rsid w:val="004A6C65"/>
    <w:rsid w:val="004A76F0"/>
    <w:rsid w:val="004A7B7A"/>
    <w:rsid w:val="004B0A5F"/>
    <w:rsid w:val="004B11AD"/>
    <w:rsid w:val="004B15CE"/>
    <w:rsid w:val="004B2630"/>
    <w:rsid w:val="004B34B8"/>
    <w:rsid w:val="004B3F15"/>
    <w:rsid w:val="004B51A3"/>
    <w:rsid w:val="004B534E"/>
    <w:rsid w:val="004B59CB"/>
    <w:rsid w:val="004B5E9F"/>
    <w:rsid w:val="004B6901"/>
    <w:rsid w:val="004B6F05"/>
    <w:rsid w:val="004C0712"/>
    <w:rsid w:val="004C0F0D"/>
    <w:rsid w:val="004C1838"/>
    <w:rsid w:val="004C1CE3"/>
    <w:rsid w:val="004C33F7"/>
    <w:rsid w:val="004C3BD1"/>
    <w:rsid w:val="004C3FD7"/>
    <w:rsid w:val="004C5715"/>
    <w:rsid w:val="004C5AA1"/>
    <w:rsid w:val="004C600D"/>
    <w:rsid w:val="004C6374"/>
    <w:rsid w:val="004C64D0"/>
    <w:rsid w:val="004C683A"/>
    <w:rsid w:val="004C6B4F"/>
    <w:rsid w:val="004C6D63"/>
    <w:rsid w:val="004C6DF5"/>
    <w:rsid w:val="004C6F27"/>
    <w:rsid w:val="004C79D9"/>
    <w:rsid w:val="004D25E2"/>
    <w:rsid w:val="004D2D35"/>
    <w:rsid w:val="004D3A17"/>
    <w:rsid w:val="004D3C27"/>
    <w:rsid w:val="004D4AC2"/>
    <w:rsid w:val="004D5038"/>
    <w:rsid w:val="004D525C"/>
    <w:rsid w:val="004D5EBD"/>
    <w:rsid w:val="004D6314"/>
    <w:rsid w:val="004D6A67"/>
    <w:rsid w:val="004D71AA"/>
    <w:rsid w:val="004D7312"/>
    <w:rsid w:val="004D736E"/>
    <w:rsid w:val="004D7420"/>
    <w:rsid w:val="004E054D"/>
    <w:rsid w:val="004E07DA"/>
    <w:rsid w:val="004E1454"/>
    <w:rsid w:val="004E234B"/>
    <w:rsid w:val="004E2921"/>
    <w:rsid w:val="004E2BC5"/>
    <w:rsid w:val="004E305F"/>
    <w:rsid w:val="004E3C85"/>
    <w:rsid w:val="004E3FB6"/>
    <w:rsid w:val="004E41AF"/>
    <w:rsid w:val="004E4277"/>
    <w:rsid w:val="004E45CE"/>
    <w:rsid w:val="004E4F95"/>
    <w:rsid w:val="004E500F"/>
    <w:rsid w:val="004E53FC"/>
    <w:rsid w:val="004E578F"/>
    <w:rsid w:val="004E5CF5"/>
    <w:rsid w:val="004E5E88"/>
    <w:rsid w:val="004E67EA"/>
    <w:rsid w:val="004E7113"/>
    <w:rsid w:val="004E7540"/>
    <w:rsid w:val="004E76AF"/>
    <w:rsid w:val="004E7CC0"/>
    <w:rsid w:val="004E7FC0"/>
    <w:rsid w:val="004F05B8"/>
    <w:rsid w:val="004F1A7E"/>
    <w:rsid w:val="004F1EEE"/>
    <w:rsid w:val="004F2C3F"/>
    <w:rsid w:val="004F2F35"/>
    <w:rsid w:val="004F3434"/>
    <w:rsid w:val="004F3BE6"/>
    <w:rsid w:val="004F3D20"/>
    <w:rsid w:val="004F4978"/>
    <w:rsid w:val="004F4F47"/>
    <w:rsid w:val="004F56ED"/>
    <w:rsid w:val="004F5C0E"/>
    <w:rsid w:val="004F5D56"/>
    <w:rsid w:val="004F5FA0"/>
    <w:rsid w:val="004F6045"/>
    <w:rsid w:val="004F6147"/>
    <w:rsid w:val="004F614F"/>
    <w:rsid w:val="004F69FE"/>
    <w:rsid w:val="004F752A"/>
    <w:rsid w:val="004F781C"/>
    <w:rsid w:val="004F7918"/>
    <w:rsid w:val="0050098F"/>
    <w:rsid w:val="00500B7B"/>
    <w:rsid w:val="00500BA2"/>
    <w:rsid w:val="00500C74"/>
    <w:rsid w:val="00500CC6"/>
    <w:rsid w:val="0050145C"/>
    <w:rsid w:val="00502649"/>
    <w:rsid w:val="0050280C"/>
    <w:rsid w:val="00502E30"/>
    <w:rsid w:val="005030DB"/>
    <w:rsid w:val="00503797"/>
    <w:rsid w:val="0050398F"/>
    <w:rsid w:val="00503F6D"/>
    <w:rsid w:val="00505B35"/>
    <w:rsid w:val="0050647B"/>
    <w:rsid w:val="005067EB"/>
    <w:rsid w:val="00506B64"/>
    <w:rsid w:val="0050788C"/>
    <w:rsid w:val="005111E1"/>
    <w:rsid w:val="00511E0D"/>
    <w:rsid w:val="0051227C"/>
    <w:rsid w:val="0051254F"/>
    <w:rsid w:val="005130A1"/>
    <w:rsid w:val="00513D82"/>
    <w:rsid w:val="00513E25"/>
    <w:rsid w:val="005140F2"/>
    <w:rsid w:val="0051430B"/>
    <w:rsid w:val="005144B5"/>
    <w:rsid w:val="00514710"/>
    <w:rsid w:val="005162F1"/>
    <w:rsid w:val="00516603"/>
    <w:rsid w:val="005172C1"/>
    <w:rsid w:val="0051788F"/>
    <w:rsid w:val="00520235"/>
    <w:rsid w:val="005219BF"/>
    <w:rsid w:val="0052276B"/>
    <w:rsid w:val="00522FBE"/>
    <w:rsid w:val="005234BC"/>
    <w:rsid w:val="00523817"/>
    <w:rsid w:val="00523D53"/>
    <w:rsid w:val="00523F12"/>
    <w:rsid w:val="00523FCF"/>
    <w:rsid w:val="005241B4"/>
    <w:rsid w:val="00524E47"/>
    <w:rsid w:val="00525285"/>
    <w:rsid w:val="0052553B"/>
    <w:rsid w:val="00525BBB"/>
    <w:rsid w:val="00525C00"/>
    <w:rsid w:val="00526118"/>
    <w:rsid w:val="005263EB"/>
    <w:rsid w:val="0052699C"/>
    <w:rsid w:val="0052700A"/>
    <w:rsid w:val="005273BC"/>
    <w:rsid w:val="00527A5E"/>
    <w:rsid w:val="00527BA9"/>
    <w:rsid w:val="005300E9"/>
    <w:rsid w:val="00530166"/>
    <w:rsid w:val="00530771"/>
    <w:rsid w:val="00530783"/>
    <w:rsid w:val="00530833"/>
    <w:rsid w:val="00530DE9"/>
    <w:rsid w:val="00531B21"/>
    <w:rsid w:val="005320EA"/>
    <w:rsid w:val="00532601"/>
    <w:rsid w:val="00533E77"/>
    <w:rsid w:val="0053625D"/>
    <w:rsid w:val="00536F59"/>
    <w:rsid w:val="00537507"/>
    <w:rsid w:val="00537A32"/>
    <w:rsid w:val="0054077E"/>
    <w:rsid w:val="00540889"/>
    <w:rsid w:val="005408E9"/>
    <w:rsid w:val="00540997"/>
    <w:rsid w:val="005412F3"/>
    <w:rsid w:val="00541413"/>
    <w:rsid w:val="005431C5"/>
    <w:rsid w:val="005431F0"/>
    <w:rsid w:val="005431FC"/>
    <w:rsid w:val="00543446"/>
    <w:rsid w:val="005439F9"/>
    <w:rsid w:val="00544329"/>
    <w:rsid w:val="00544453"/>
    <w:rsid w:val="005446AA"/>
    <w:rsid w:val="00544D2B"/>
    <w:rsid w:val="005450A6"/>
    <w:rsid w:val="005451B1"/>
    <w:rsid w:val="005463FC"/>
    <w:rsid w:val="0054766B"/>
    <w:rsid w:val="005477A6"/>
    <w:rsid w:val="005477C1"/>
    <w:rsid w:val="00550AA6"/>
    <w:rsid w:val="005516BD"/>
    <w:rsid w:val="005527AC"/>
    <w:rsid w:val="005530E3"/>
    <w:rsid w:val="00553457"/>
    <w:rsid w:val="00553469"/>
    <w:rsid w:val="005539EC"/>
    <w:rsid w:val="00553A0B"/>
    <w:rsid w:val="00553C49"/>
    <w:rsid w:val="00554498"/>
    <w:rsid w:val="00554607"/>
    <w:rsid w:val="00554627"/>
    <w:rsid w:val="005547FF"/>
    <w:rsid w:val="00554930"/>
    <w:rsid w:val="00554EE3"/>
    <w:rsid w:val="00555E12"/>
    <w:rsid w:val="005563C9"/>
    <w:rsid w:val="00556583"/>
    <w:rsid w:val="005566AD"/>
    <w:rsid w:val="005574F9"/>
    <w:rsid w:val="00557902"/>
    <w:rsid w:val="00557A43"/>
    <w:rsid w:val="00560031"/>
    <w:rsid w:val="0056055D"/>
    <w:rsid w:val="00560624"/>
    <w:rsid w:val="005609DD"/>
    <w:rsid w:val="00560C38"/>
    <w:rsid w:val="00560DE2"/>
    <w:rsid w:val="00560FAC"/>
    <w:rsid w:val="005612D4"/>
    <w:rsid w:val="005613A3"/>
    <w:rsid w:val="005613A7"/>
    <w:rsid w:val="005619B7"/>
    <w:rsid w:val="00561C1C"/>
    <w:rsid w:val="005620C0"/>
    <w:rsid w:val="00562E3D"/>
    <w:rsid w:val="00563700"/>
    <w:rsid w:val="0056385C"/>
    <w:rsid w:val="00563ADB"/>
    <w:rsid w:val="00563F75"/>
    <w:rsid w:val="005640EB"/>
    <w:rsid w:val="00565514"/>
    <w:rsid w:val="00565567"/>
    <w:rsid w:val="005658D3"/>
    <w:rsid w:val="00565A55"/>
    <w:rsid w:val="00566000"/>
    <w:rsid w:val="00566845"/>
    <w:rsid w:val="00567EF7"/>
    <w:rsid w:val="0057034F"/>
    <w:rsid w:val="005704AC"/>
    <w:rsid w:val="00570584"/>
    <w:rsid w:val="005712D6"/>
    <w:rsid w:val="00571812"/>
    <w:rsid w:val="00571DCD"/>
    <w:rsid w:val="0057218C"/>
    <w:rsid w:val="00572C81"/>
    <w:rsid w:val="00572E70"/>
    <w:rsid w:val="00573369"/>
    <w:rsid w:val="005735D0"/>
    <w:rsid w:val="00573C20"/>
    <w:rsid w:val="0057418A"/>
    <w:rsid w:val="00574923"/>
    <w:rsid w:val="00574D59"/>
    <w:rsid w:val="00574E6D"/>
    <w:rsid w:val="00575302"/>
    <w:rsid w:val="005759DD"/>
    <w:rsid w:val="00575C24"/>
    <w:rsid w:val="00576226"/>
    <w:rsid w:val="005762EA"/>
    <w:rsid w:val="005767AE"/>
    <w:rsid w:val="00576F1E"/>
    <w:rsid w:val="00580390"/>
    <w:rsid w:val="00580B47"/>
    <w:rsid w:val="00580E2B"/>
    <w:rsid w:val="005817B2"/>
    <w:rsid w:val="005819F7"/>
    <w:rsid w:val="00581C35"/>
    <w:rsid w:val="005824C6"/>
    <w:rsid w:val="00582674"/>
    <w:rsid w:val="0058271E"/>
    <w:rsid w:val="0058283F"/>
    <w:rsid w:val="00583930"/>
    <w:rsid w:val="00583BFE"/>
    <w:rsid w:val="00583D8A"/>
    <w:rsid w:val="005840EF"/>
    <w:rsid w:val="005845A3"/>
    <w:rsid w:val="005848F8"/>
    <w:rsid w:val="00584E2F"/>
    <w:rsid w:val="00585151"/>
    <w:rsid w:val="0058525B"/>
    <w:rsid w:val="00585B3C"/>
    <w:rsid w:val="00585C03"/>
    <w:rsid w:val="00585CB6"/>
    <w:rsid w:val="0058619F"/>
    <w:rsid w:val="00586637"/>
    <w:rsid w:val="005868DC"/>
    <w:rsid w:val="005873E8"/>
    <w:rsid w:val="00587C46"/>
    <w:rsid w:val="00587F56"/>
    <w:rsid w:val="00587FD9"/>
    <w:rsid w:val="005908B9"/>
    <w:rsid w:val="00591265"/>
    <w:rsid w:val="00591283"/>
    <w:rsid w:val="005915A4"/>
    <w:rsid w:val="005924D3"/>
    <w:rsid w:val="005924F1"/>
    <w:rsid w:val="005925E3"/>
    <w:rsid w:val="00592E3B"/>
    <w:rsid w:val="0059304D"/>
    <w:rsid w:val="00593059"/>
    <w:rsid w:val="00593314"/>
    <w:rsid w:val="005933AE"/>
    <w:rsid w:val="00595156"/>
    <w:rsid w:val="005957B9"/>
    <w:rsid w:val="005959DB"/>
    <w:rsid w:val="00596832"/>
    <w:rsid w:val="00596CCB"/>
    <w:rsid w:val="00596DB6"/>
    <w:rsid w:val="005973C3"/>
    <w:rsid w:val="00597753"/>
    <w:rsid w:val="005977BB"/>
    <w:rsid w:val="00597E6F"/>
    <w:rsid w:val="005A0203"/>
    <w:rsid w:val="005A052F"/>
    <w:rsid w:val="005A0EFC"/>
    <w:rsid w:val="005A1018"/>
    <w:rsid w:val="005A1099"/>
    <w:rsid w:val="005A12EF"/>
    <w:rsid w:val="005A1980"/>
    <w:rsid w:val="005A1A26"/>
    <w:rsid w:val="005A1DAB"/>
    <w:rsid w:val="005A1F74"/>
    <w:rsid w:val="005A22F7"/>
    <w:rsid w:val="005A2593"/>
    <w:rsid w:val="005A3196"/>
    <w:rsid w:val="005A339E"/>
    <w:rsid w:val="005A3561"/>
    <w:rsid w:val="005A3757"/>
    <w:rsid w:val="005A3FD0"/>
    <w:rsid w:val="005A408B"/>
    <w:rsid w:val="005A4B38"/>
    <w:rsid w:val="005A4CE3"/>
    <w:rsid w:val="005A566A"/>
    <w:rsid w:val="005A61CD"/>
    <w:rsid w:val="005A6F80"/>
    <w:rsid w:val="005A7215"/>
    <w:rsid w:val="005A726F"/>
    <w:rsid w:val="005A7601"/>
    <w:rsid w:val="005A782E"/>
    <w:rsid w:val="005A793B"/>
    <w:rsid w:val="005A7949"/>
    <w:rsid w:val="005A79AE"/>
    <w:rsid w:val="005B081D"/>
    <w:rsid w:val="005B1142"/>
    <w:rsid w:val="005B1546"/>
    <w:rsid w:val="005B1E57"/>
    <w:rsid w:val="005B2054"/>
    <w:rsid w:val="005B2607"/>
    <w:rsid w:val="005B26FD"/>
    <w:rsid w:val="005B429E"/>
    <w:rsid w:val="005B44D0"/>
    <w:rsid w:val="005B4C55"/>
    <w:rsid w:val="005B4CD8"/>
    <w:rsid w:val="005B5B11"/>
    <w:rsid w:val="005B5C20"/>
    <w:rsid w:val="005B60BD"/>
    <w:rsid w:val="005B6837"/>
    <w:rsid w:val="005B730E"/>
    <w:rsid w:val="005B7879"/>
    <w:rsid w:val="005B78D4"/>
    <w:rsid w:val="005C00A0"/>
    <w:rsid w:val="005C0607"/>
    <w:rsid w:val="005C0A76"/>
    <w:rsid w:val="005C0F51"/>
    <w:rsid w:val="005C11E6"/>
    <w:rsid w:val="005C1F3B"/>
    <w:rsid w:val="005C208C"/>
    <w:rsid w:val="005C2E67"/>
    <w:rsid w:val="005C35ED"/>
    <w:rsid w:val="005C35FA"/>
    <w:rsid w:val="005C3AA3"/>
    <w:rsid w:val="005C4049"/>
    <w:rsid w:val="005C48FB"/>
    <w:rsid w:val="005C4D24"/>
    <w:rsid w:val="005C4DD7"/>
    <w:rsid w:val="005C539A"/>
    <w:rsid w:val="005C5C1B"/>
    <w:rsid w:val="005C688B"/>
    <w:rsid w:val="005C75CC"/>
    <w:rsid w:val="005C778A"/>
    <w:rsid w:val="005C794A"/>
    <w:rsid w:val="005C7B1F"/>
    <w:rsid w:val="005D03DC"/>
    <w:rsid w:val="005D04B6"/>
    <w:rsid w:val="005D107D"/>
    <w:rsid w:val="005D12BF"/>
    <w:rsid w:val="005D14E9"/>
    <w:rsid w:val="005D1B75"/>
    <w:rsid w:val="005D1C71"/>
    <w:rsid w:val="005D21A6"/>
    <w:rsid w:val="005D24F9"/>
    <w:rsid w:val="005D2888"/>
    <w:rsid w:val="005D29D5"/>
    <w:rsid w:val="005D3109"/>
    <w:rsid w:val="005D3E97"/>
    <w:rsid w:val="005D4095"/>
    <w:rsid w:val="005D4641"/>
    <w:rsid w:val="005D49FF"/>
    <w:rsid w:val="005D4D0A"/>
    <w:rsid w:val="005D5695"/>
    <w:rsid w:val="005D63D6"/>
    <w:rsid w:val="005D7ED3"/>
    <w:rsid w:val="005D7FAA"/>
    <w:rsid w:val="005E0862"/>
    <w:rsid w:val="005E0CC0"/>
    <w:rsid w:val="005E1375"/>
    <w:rsid w:val="005E147F"/>
    <w:rsid w:val="005E1CEB"/>
    <w:rsid w:val="005E2A30"/>
    <w:rsid w:val="005E2FF1"/>
    <w:rsid w:val="005E3850"/>
    <w:rsid w:val="005E3DEF"/>
    <w:rsid w:val="005E4E79"/>
    <w:rsid w:val="005E4E97"/>
    <w:rsid w:val="005E5C65"/>
    <w:rsid w:val="005E5DFA"/>
    <w:rsid w:val="005E682E"/>
    <w:rsid w:val="005E6F86"/>
    <w:rsid w:val="005E7479"/>
    <w:rsid w:val="005E75A1"/>
    <w:rsid w:val="005E7892"/>
    <w:rsid w:val="005E7A45"/>
    <w:rsid w:val="005E7E04"/>
    <w:rsid w:val="005F0245"/>
    <w:rsid w:val="005F0652"/>
    <w:rsid w:val="005F07BE"/>
    <w:rsid w:val="005F0AF1"/>
    <w:rsid w:val="005F0FCE"/>
    <w:rsid w:val="005F1146"/>
    <w:rsid w:val="005F17F5"/>
    <w:rsid w:val="005F3411"/>
    <w:rsid w:val="005F3CEA"/>
    <w:rsid w:val="005F4914"/>
    <w:rsid w:val="005F4A97"/>
    <w:rsid w:val="005F4E44"/>
    <w:rsid w:val="005F4E85"/>
    <w:rsid w:val="005F546F"/>
    <w:rsid w:val="005F5479"/>
    <w:rsid w:val="005F5B32"/>
    <w:rsid w:val="005F66DC"/>
    <w:rsid w:val="005F6868"/>
    <w:rsid w:val="005F6E3E"/>
    <w:rsid w:val="005F731B"/>
    <w:rsid w:val="006002D9"/>
    <w:rsid w:val="0060060D"/>
    <w:rsid w:val="00600773"/>
    <w:rsid w:val="00600C6B"/>
    <w:rsid w:val="00600CF0"/>
    <w:rsid w:val="00601200"/>
    <w:rsid w:val="006013FB"/>
    <w:rsid w:val="00601F1A"/>
    <w:rsid w:val="00602746"/>
    <w:rsid w:val="0060294C"/>
    <w:rsid w:val="00603073"/>
    <w:rsid w:val="00603128"/>
    <w:rsid w:val="006033B6"/>
    <w:rsid w:val="006036E2"/>
    <w:rsid w:val="006037C5"/>
    <w:rsid w:val="00603DC4"/>
    <w:rsid w:val="00604F87"/>
    <w:rsid w:val="006052B9"/>
    <w:rsid w:val="00605607"/>
    <w:rsid w:val="00605E4D"/>
    <w:rsid w:val="00606458"/>
    <w:rsid w:val="0060645F"/>
    <w:rsid w:val="00606CC5"/>
    <w:rsid w:val="00606F86"/>
    <w:rsid w:val="00607141"/>
    <w:rsid w:val="00607B23"/>
    <w:rsid w:val="00607E93"/>
    <w:rsid w:val="0061023E"/>
    <w:rsid w:val="0061061E"/>
    <w:rsid w:val="00610EB2"/>
    <w:rsid w:val="00611189"/>
    <w:rsid w:val="00611AD0"/>
    <w:rsid w:val="006125C5"/>
    <w:rsid w:val="0061278B"/>
    <w:rsid w:val="00613E2B"/>
    <w:rsid w:val="006144BB"/>
    <w:rsid w:val="00615CB3"/>
    <w:rsid w:val="00616900"/>
    <w:rsid w:val="00616ACC"/>
    <w:rsid w:val="00616B2A"/>
    <w:rsid w:val="006173B8"/>
    <w:rsid w:val="0061744E"/>
    <w:rsid w:val="0061799E"/>
    <w:rsid w:val="00617CDA"/>
    <w:rsid w:val="00620356"/>
    <w:rsid w:val="006204AA"/>
    <w:rsid w:val="006204D9"/>
    <w:rsid w:val="006205AD"/>
    <w:rsid w:val="00621323"/>
    <w:rsid w:val="00621934"/>
    <w:rsid w:val="00622007"/>
    <w:rsid w:val="00622D41"/>
    <w:rsid w:val="00623D94"/>
    <w:rsid w:val="00623F1D"/>
    <w:rsid w:val="00624D93"/>
    <w:rsid w:val="006254B1"/>
    <w:rsid w:val="00626034"/>
    <w:rsid w:val="00627058"/>
    <w:rsid w:val="00630007"/>
    <w:rsid w:val="006305AE"/>
    <w:rsid w:val="00630928"/>
    <w:rsid w:val="00630940"/>
    <w:rsid w:val="00630B6A"/>
    <w:rsid w:val="006312F7"/>
    <w:rsid w:val="0063144C"/>
    <w:rsid w:val="006315B7"/>
    <w:rsid w:val="006320CB"/>
    <w:rsid w:val="00632656"/>
    <w:rsid w:val="00632CD4"/>
    <w:rsid w:val="00632EDC"/>
    <w:rsid w:val="00632F67"/>
    <w:rsid w:val="0063315B"/>
    <w:rsid w:val="00633602"/>
    <w:rsid w:val="006345ED"/>
    <w:rsid w:val="006345EE"/>
    <w:rsid w:val="00634903"/>
    <w:rsid w:val="00634D1D"/>
    <w:rsid w:val="00635040"/>
    <w:rsid w:val="0063559F"/>
    <w:rsid w:val="006356A0"/>
    <w:rsid w:val="00636403"/>
    <w:rsid w:val="00637324"/>
    <w:rsid w:val="00640005"/>
    <w:rsid w:val="0064043A"/>
    <w:rsid w:val="0064099A"/>
    <w:rsid w:val="00641758"/>
    <w:rsid w:val="00641DF1"/>
    <w:rsid w:val="00642146"/>
    <w:rsid w:val="0064243B"/>
    <w:rsid w:val="00642B83"/>
    <w:rsid w:val="0064341D"/>
    <w:rsid w:val="006434E8"/>
    <w:rsid w:val="006450A9"/>
    <w:rsid w:val="00645164"/>
    <w:rsid w:val="006469A2"/>
    <w:rsid w:val="00646AB8"/>
    <w:rsid w:val="00646D0D"/>
    <w:rsid w:val="006471F9"/>
    <w:rsid w:val="0064782E"/>
    <w:rsid w:val="00650691"/>
    <w:rsid w:val="006507E9"/>
    <w:rsid w:val="00650822"/>
    <w:rsid w:val="00650A98"/>
    <w:rsid w:val="00651C2B"/>
    <w:rsid w:val="00652863"/>
    <w:rsid w:val="0065290E"/>
    <w:rsid w:val="00652921"/>
    <w:rsid w:val="006529EE"/>
    <w:rsid w:val="00653829"/>
    <w:rsid w:val="00653C4B"/>
    <w:rsid w:val="00653D6D"/>
    <w:rsid w:val="00654978"/>
    <w:rsid w:val="00654B18"/>
    <w:rsid w:val="006560A2"/>
    <w:rsid w:val="00656401"/>
    <w:rsid w:val="00656957"/>
    <w:rsid w:val="00656989"/>
    <w:rsid w:val="00656F93"/>
    <w:rsid w:val="006572C7"/>
    <w:rsid w:val="006578FA"/>
    <w:rsid w:val="0066025F"/>
    <w:rsid w:val="0066047B"/>
    <w:rsid w:val="00660524"/>
    <w:rsid w:val="00660E13"/>
    <w:rsid w:val="0066141F"/>
    <w:rsid w:val="00661731"/>
    <w:rsid w:val="00661B9D"/>
    <w:rsid w:val="006626DD"/>
    <w:rsid w:val="00662B82"/>
    <w:rsid w:val="00662E8A"/>
    <w:rsid w:val="00662EF9"/>
    <w:rsid w:val="00663136"/>
    <w:rsid w:val="00663BB8"/>
    <w:rsid w:val="00663F9C"/>
    <w:rsid w:val="00664085"/>
    <w:rsid w:val="0066419D"/>
    <w:rsid w:val="0066434A"/>
    <w:rsid w:val="006655C3"/>
    <w:rsid w:val="006661AE"/>
    <w:rsid w:val="006661E7"/>
    <w:rsid w:val="00666401"/>
    <w:rsid w:val="006667CC"/>
    <w:rsid w:val="0066711D"/>
    <w:rsid w:val="006674AF"/>
    <w:rsid w:val="00667861"/>
    <w:rsid w:val="00667DED"/>
    <w:rsid w:val="00667EF3"/>
    <w:rsid w:val="00667FEE"/>
    <w:rsid w:val="006701A1"/>
    <w:rsid w:val="006707CC"/>
    <w:rsid w:val="00670B0B"/>
    <w:rsid w:val="00670BA3"/>
    <w:rsid w:val="00670CAA"/>
    <w:rsid w:val="00670E7B"/>
    <w:rsid w:val="00670ECD"/>
    <w:rsid w:val="006711C8"/>
    <w:rsid w:val="00671EB9"/>
    <w:rsid w:val="00672482"/>
    <w:rsid w:val="0067279A"/>
    <w:rsid w:val="00673913"/>
    <w:rsid w:val="00673BEE"/>
    <w:rsid w:val="006740EF"/>
    <w:rsid w:val="0067429C"/>
    <w:rsid w:val="006746D0"/>
    <w:rsid w:val="0067478F"/>
    <w:rsid w:val="00675115"/>
    <w:rsid w:val="00675FA0"/>
    <w:rsid w:val="00677520"/>
    <w:rsid w:val="006777A9"/>
    <w:rsid w:val="00677A56"/>
    <w:rsid w:val="00677B79"/>
    <w:rsid w:val="00677D36"/>
    <w:rsid w:val="00677FAC"/>
    <w:rsid w:val="00680770"/>
    <w:rsid w:val="00680A37"/>
    <w:rsid w:val="00680B1F"/>
    <w:rsid w:val="00680E20"/>
    <w:rsid w:val="00681CEB"/>
    <w:rsid w:val="00681D97"/>
    <w:rsid w:val="00681F24"/>
    <w:rsid w:val="006826D6"/>
    <w:rsid w:val="00682EDE"/>
    <w:rsid w:val="00682F49"/>
    <w:rsid w:val="00683589"/>
    <w:rsid w:val="006838FF"/>
    <w:rsid w:val="0068398D"/>
    <w:rsid w:val="00683A64"/>
    <w:rsid w:val="006840C7"/>
    <w:rsid w:val="0068431E"/>
    <w:rsid w:val="0068441B"/>
    <w:rsid w:val="0068476F"/>
    <w:rsid w:val="00684C89"/>
    <w:rsid w:val="0068553C"/>
    <w:rsid w:val="00686F72"/>
    <w:rsid w:val="0068744E"/>
    <w:rsid w:val="00687644"/>
    <w:rsid w:val="00687A58"/>
    <w:rsid w:val="00687CF6"/>
    <w:rsid w:val="00687D00"/>
    <w:rsid w:val="0069098B"/>
    <w:rsid w:val="006914F0"/>
    <w:rsid w:val="00691625"/>
    <w:rsid w:val="0069302C"/>
    <w:rsid w:val="006930F8"/>
    <w:rsid w:val="00693912"/>
    <w:rsid w:val="00693BDB"/>
    <w:rsid w:val="006940D3"/>
    <w:rsid w:val="006940F0"/>
    <w:rsid w:val="00694113"/>
    <w:rsid w:val="006949CD"/>
    <w:rsid w:val="0069551F"/>
    <w:rsid w:val="006957DC"/>
    <w:rsid w:val="00695B1A"/>
    <w:rsid w:val="00695C9D"/>
    <w:rsid w:val="006966DF"/>
    <w:rsid w:val="00697D3C"/>
    <w:rsid w:val="006A0747"/>
    <w:rsid w:val="006A0F53"/>
    <w:rsid w:val="006A18E6"/>
    <w:rsid w:val="006A1DBF"/>
    <w:rsid w:val="006A29F8"/>
    <w:rsid w:val="006A3D1B"/>
    <w:rsid w:val="006A414B"/>
    <w:rsid w:val="006A4D96"/>
    <w:rsid w:val="006A55B0"/>
    <w:rsid w:val="006A6C1F"/>
    <w:rsid w:val="006A77AB"/>
    <w:rsid w:val="006A7D09"/>
    <w:rsid w:val="006B0723"/>
    <w:rsid w:val="006B0794"/>
    <w:rsid w:val="006B0B8C"/>
    <w:rsid w:val="006B14B4"/>
    <w:rsid w:val="006B1692"/>
    <w:rsid w:val="006B199B"/>
    <w:rsid w:val="006B1ACD"/>
    <w:rsid w:val="006B1B0F"/>
    <w:rsid w:val="006B1E28"/>
    <w:rsid w:val="006B25B8"/>
    <w:rsid w:val="006B2652"/>
    <w:rsid w:val="006B3E1A"/>
    <w:rsid w:val="006B3F37"/>
    <w:rsid w:val="006B490E"/>
    <w:rsid w:val="006B4EB7"/>
    <w:rsid w:val="006B51B9"/>
    <w:rsid w:val="006B75B6"/>
    <w:rsid w:val="006B7772"/>
    <w:rsid w:val="006B7B40"/>
    <w:rsid w:val="006C0484"/>
    <w:rsid w:val="006C05A9"/>
    <w:rsid w:val="006C0734"/>
    <w:rsid w:val="006C1643"/>
    <w:rsid w:val="006C178D"/>
    <w:rsid w:val="006C179E"/>
    <w:rsid w:val="006C183B"/>
    <w:rsid w:val="006C1850"/>
    <w:rsid w:val="006C3887"/>
    <w:rsid w:val="006C3AB5"/>
    <w:rsid w:val="006C562C"/>
    <w:rsid w:val="006C61A8"/>
    <w:rsid w:val="006C65A0"/>
    <w:rsid w:val="006C690B"/>
    <w:rsid w:val="006C6934"/>
    <w:rsid w:val="006C6E7A"/>
    <w:rsid w:val="006C6E9F"/>
    <w:rsid w:val="006C76C7"/>
    <w:rsid w:val="006C7EC3"/>
    <w:rsid w:val="006D0603"/>
    <w:rsid w:val="006D0793"/>
    <w:rsid w:val="006D0F97"/>
    <w:rsid w:val="006D1A08"/>
    <w:rsid w:val="006D1FBD"/>
    <w:rsid w:val="006D2AB1"/>
    <w:rsid w:val="006D2EBB"/>
    <w:rsid w:val="006D348B"/>
    <w:rsid w:val="006D3522"/>
    <w:rsid w:val="006D3530"/>
    <w:rsid w:val="006D3751"/>
    <w:rsid w:val="006D3870"/>
    <w:rsid w:val="006D4415"/>
    <w:rsid w:val="006D47F4"/>
    <w:rsid w:val="006D5683"/>
    <w:rsid w:val="006D60C9"/>
    <w:rsid w:val="006D7B59"/>
    <w:rsid w:val="006D7EAC"/>
    <w:rsid w:val="006E046B"/>
    <w:rsid w:val="006E0E44"/>
    <w:rsid w:val="006E17E8"/>
    <w:rsid w:val="006E1A47"/>
    <w:rsid w:val="006E2B76"/>
    <w:rsid w:val="006E37B2"/>
    <w:rsid w:val="006E3F38"/>
    <w:rsid w:val="006E54D2"/>
    <w:rsid w:val="006E566E"/>
    <w:rsid w:val="006E630E"/>
    <w:rsid w:val="006E6B34"/>
    <w:rsid w:val="006E737E"/>
    <w:rsid w:val="006E7887"/>
    <w:rsid w:val="006E7CBD"/>
    <w:rsid w:val="006F003B"/>
    <w:rsid w:val="006F0301"/>
    <w:rsid w:val="006F15A9"/>
    <w:rsid w:val="006F27E3"/>
    <w:rsid w:val="006F28FB"/>
    <w:rsid w:val="006F316D"/>
    <w:rsid w:val="006F39CD"/>
    <w:rsid w:val="006F3DAA"/>
    <w:rsid w:val="006F3E1E"/>
    <w:rsid w:val="006F50BC"/>
    <w:rsid w:val="006F5642"/>
    <w:rsid w:val="006F63EF"/>
    <w:rsid w:val="006F647C"/>
    <w:rsid w:val="006F6796"/>
    <w:rsid w:val="006F6DAF"/>
    <w:rsid w:val="006F7DDF"/>
    <w:rsid w:val="00700123"/>
    <w:rsid w:val="007003B9"/>
    <w:rsid w:val="007004A0"/>
    <w:rsid w:val="007004CE"/>
    <w:rsid w:val="00700D03"/>
    <w:rsid w:val="0070109F"/>
    <w:rsid w:val="00701447"/>
    <w:rsid w:val="007016D3"/>
    <w:rsid w:val="007017DE"/>
    <w:rsid w:val="00701979"/>
    <w:rsid w:val="00701F65"/>
    <w:rsid w:val="007021DE"/>
    <w:rsid w:val="007023A5"/>
    <w:rsid w:val="00702F78"/>
    <w:rsid w:val="00702F7F"/>
    <w:rsid w:val="00703334"/>
    <w:rsid w:val="00703623"/>
    <w:rsid w:val="007037BE"/>
    <w:rsid w:val="00703C9A"/>
    <w:rsid w:val="00703E2E"/>
    <w:rsid w:val="00703FAC"/>
    <w:rsid w:val="00704583"/>
    <w:rsid w:val="00704A0E"/>
    <w:rsid w:val="00705495"/>
    <w:rsid w:val="007055DE"/>
    <w:rsid w:val="007056E8"/>
    <w:rsid w:val="0070698D"/>
    <w:rsid w:val="00706A57"/>
    <w:rsid w:val="00706F45"/>
    <w:rsid w:val="00706FCE"/>
    <w:rsid w:val="00707892"/>
    <w:rsid w:val="007103E2"/>
    <w:rsid w:val="007104DD"/>
    <w:rsid w:val="00710889"/>
    <w:rsid w:val="00710B4F"/>
    <w:rsid w:val="00711196"/>
    <w:rsid w:val="00711B3F"/>
    <w:rsid w:val="007121B4"/>
    <w:rsid w:val="007125D5"/>
    <w:rsid w:val="00712886"/>
    <w:rsid w:val="00712D7E"/>
    <w:rsid w:val="007132A9"/>
    <w:rsid w:val="0071424A"/>
    <w:rsid w:val="00714306"/>
    <w:rsid w:val="007150D4"/>
    <w:rsid w:val="00716ECD"/>
    <w:rsid w:val="00717844"/>
    <w:rsid w:val="0071786A"/>
    <w:rsid w:val="00717B75"/>
    <w:rsid w:val="00717ECB"/>
    <w:rsid w:val="00717FE8"/>
    <w:rsid w:val="00720220"/>
    <w:rsid w:val="007203E3"/>
    <w:rsid w:val="00720C72"/>
    <w:rsid w:val="007213E4"/>
    <w:rsid w:val="0072163E"/>
    <w:rsid w:val="00721B12"/>
    <w:rsid w:val="007239F9"/>
    <w:rsid w:val="00723F70"/>
    <w:rsid w:val="0072492D"/>
    <w:rsid w:val="00724F6C"/>
    <w:rsid w:val="0072578A"/>
    <w:rsid w:val="0072662E"/>
    <w:rsid w:val="00726866"/>
    <w:rsid w:val="00726CC5"/>
    <w:rsid w:val="00726F7A"/>
    <w:rsid w:val="0072750D"/>
    <w:rsid w:val="00730355"/>
    <w:rsid w:val="0073158E"/>
    <w:rsid w:val="0073172A"/>
    <w:rsid w:val="00731C19"/>
    <w:rsid w:val="007322D1"/>
    <w:rsid w:val="00732705"/>
    <w:rsid w:val="00732773"/>
    <w:rsid w:val="00732EBC"/>
    <w:rsid w:val="00733465"/>
    <w:rsid w:val="00733672"/>
    <w:rsid w:val="0073379C"/>
    <w:rsid w:val="00733A82"/>
    <w:rsid w:val="00733E3B"/>
    <w:rsid w:val="00733FFC"/>
    <w:rsid w:val="00734118"/>
    <w:rsid w:val="0073414D"/>
    <w:rsid w:val="00734289"/>
    <w:rsid w:val="007345C7"/>
    <w:rsid w:val="00735046"/>
    <w:rsid w:val="00735263"/>
    <w:rsid w:val="00735626"/>
    <w:rsid w:val="00735C2D"/>
    <w:rsid w:val="00736733"/>
    <w:rsid w:val="00736D4A"/>
    <w:rsid w:val="007371A6"/>
    <w:rsid w:val="00737264"/>
    <w:rsid w:val="00737308"/>
    <w:rsid w:val="00737BA6"/>
    <w:rsid w:val="0074090A"/>
    <w:rsid w:val="007409B2"/>
    <w:rsid w:val="00740DDE"/>
    <w:rsid w:val="00740FB1"/>
    <w:rsid w:val="00741510"/>
    <w:rsid w:val="00742058"/>
    <w:rsid w:val="007435B1"/>
    <w:rsid w:val="00743ADC"/>
    <w:rsid w:val="00744416"/>
    <w:rsid w:val="00744493"/>
    <w:rsid w:val="00744C97"/>
    <w:rsid w:val="007456EB"/>
    <w:rsid w:val="00745A19"/>
    <w:rsid w:val="007462EC"/>
    <w:rsid w:val="00746589"/>
    <w:rsid w:val="0074663B"/>
    <w:rsid w:val="007500E5"/>
    <w:rsid w:val="0075090A"/>
    <w:rsid w:val="00750B94"/>
    <w:rsid w:val="00750F63"/>
    <w:rsid w:val="00751195"/>
    <w:rsid w:val="007522AF"/>
    <w:rsid w:val="007533C9"/>
    <w:rsid w:val="007539CB"/>
    <w:rsid w:val="0075437B"/>
    <w:rsid w:val="007544A9"/>
    <w:rsid w:val="007549F4"/>
    <w:rsid w:val="00755D9A"/>
    <w:rsid w:val="007564C4"/>
    <w:rsid w:val="00756B31"/>
    <w:rsid w:val="00757425"/>
    <w:rsid w:val="007605E5"/>
    <w:rsid w:val="007615F8"/>
    <w:rsid w:val="00761AC8"/>
    <w:rsid w:val="0076206F"/>
    <w:rsid w:val="00762CF0"/>
    <w:rsid w:val="007632E0"/>
    <w:rsid w:val="0076362F"/>
    <w:rsid w:val="00763C1F"/>
    <w:rsid w:val="00763DE9"/>
    <w:rsid w:val="00764453"/>
    <w:rsid w:val="00764801"/>
    <w:rsid w:val="00764C4A"/>
    <w:rsid w:val="0076515D"/>
    <w:rsid w:val="007655FA"/>
    <w:rsid w:val="007658E5"/>
    <w:rsid w:val="00765AA7"/>
    <w:rsid w:val="00766DC3"/>
    <w:rsid w:val="007679EB"/>
    <w:rsid w:val="00770D94"/>
    <w:rsid w:val="00771631"/>
    <w:rsid w:val="00771A6B"/>
    <w:rsid w:val="00771F9B"/>
    <w:rsid w:val="0077261D"/>
    <w:rsid w:val="0077271B"/>
    <w:rsid w:val="00772ADE"/>
    <w:rsid w:val="0077338B"/>
    <w:rsid w:val="00773552"/>
    <w:rsid w:val="007755CC"/>
    <w:rsid w:val="007755CD"/>
    <w:rsid w:val="00775E74"/>
    <w:rsid w:val="00775F75"/>
    <w:rsid w:val="007762CD"/>
    <w:rsid w:val="0077650F"/>
    <w:rsid w:val="00777290"/>
    <w:rsid w:val="007777F7"/>
    <w:rsid w:val="00777920"/>
    <w:rsid w:val="00780273"/>
    <w:rsid w:val="00780956"/>
    <w:rsid w:val="0078233F"/>
    <w:rsid w:val="00782630"/>
    <w:rsid w:val="00782D8F"/>
    <w:rsid w:val="00782F00"/>
    <w:rsid w:val="00782FC5"/>
    <w:rsid w:val="0078357E"/>
    <w:rsid w:val="0078385A"/>
    <w:rsid w:val="007839E7"/>
    <w:rsid w:val="007841FF"/>
    <w:rsid w:val="007846C1"/>
    <w:rsid w:val="00784CBB"/>
    <w:rsid w:val="00785009"/>
    <w:rsid w:val="00785621"/>
    <w:rsid w:val="00785E26"/>
    <w:rsid w:val="00785EFF"/>
    <w:rsid w:val="007864E5"/>
    <w:rsid w:val="00786824"/>
    <w:rsid w:val="0078724C"/>
    <w:rsid w:val="00787C9D"/>
    <w:rsid w:val="007906CA"/>
    <w:rsid w:val="007910B0"/>
    <w:rsid w:val="00791503"/>
    <w:rsid w:val="0079220D"/>
    <w:rsid w:val="00792A53"/>
    <w:rsid w:val="00792F87"/>
    <w:rsid w:val="007934D4"/>
    <w:rsid w:val="0079374C"/>
    <w:rsid w:val="007938D1"/>
    <w:rsid w:val="007939BD"/>
    <w:rsid w:val="00793C16"/>
    <w:rsid w:val="00793F4D"/>
    <w:rsid w:val="00793FBD"/>
    <w:rsid w:val="00795610"/>
    <w:rsid w:val="00795792"/>
    <w:rsid w:val="00796016"/>
    <w:rsid w:val="00796287"/>
    <w:rsid w:val="00796366"/>
    <w:rsid w:val="00796AC3"/>
    <w:rsid w:val="00796C5E"/>
    <w:rsid w:val="0079775B"/>
    <w:rsid w:val="007A0692"/>
    <w:rsid w:val="007A0B62"/>
    <w:rsid w:val="007A0C5A"/>
    <w:rsid w:val="007A11B0"/>
    <w:rsid w:val="007A1236"/>
    <w:rsid w:val="007A1266"/>
    <w:rsid w:val="007A1D32"/>
    <w:rsid w:val="007A2091"/>
    <w:rsid w:val="007A21A0"/>
    <w:rsid w:val="007A22B8"/>
    <w:rsid w:val="007A25B2"/>
    <w:rsid w:val="007A2A69"/>
    <w:rsid w:val="007A2A6F"/>
    <w:rsid w:val="007A39D3"/>
    <w:rsid w:val="007A3BDD"/>
    <w:rsid w:val="007A3E20"/>
    <w:rsid w:val="007A3E4D"/>
    <w:rsid w:val="007A4506"/>
    <w:rsid w:val="007A538A"/>
    <w:rsid w:val="007A57AE"/>
    <w:rsid w:val="007A6E20"/>
    <w:rsid w:val="007A73DA"/>
    <w:rsid w:val="007A74B2"/>
    <w:rsid w:val="007B07C4"/>
    <w:rsid w:val="007B0B94"/>
    <w:rsid w:val="007B11EC"/>
    <w:rsid w:val="007B17A6"/>
    <w:rsid w:val="007B1F57"/>
    <w:rsid w:val="007B3D31"/>
    <w:rsid w:val="007B4597"/>
    <w:rsid w:val="007B47A0"/>
    <w:rsid w:val="007B5174"/>
    <w:rsid w:val="007B52EC"/>
    <w:rsid w:val="007B5336"/>
    <w:rsid w:val="007B55BA"/>
    <w:rsid w:val="007B55C5"/>
    <w:rsid w:val="007B57D2"/>
    <w:rsid w:val="007B5E43"/>
    <w:rsid w:val="007B6A17"/>
    <w:rsid w:val="007B70FB"/>
    <w:rsid w:val="007B74DB"/>
    <w:rsid w:val="007C0482"/>
    <w:rsid w:val="007C0832"/>
    <w:rsid w:val="007C123C"/>
    <w:rsid w:val="007C1DC9"/>
    <w:rsid w:val="007C20FE"/>
    <w:rsid w:val="007C2678"/>
    <w:rsid w:val="007C298F"/>
    <w:rsid w:val="007C2C41"/>
    <w:rsid w:val="007C2FF2"/>
    <w:rsid w:val="007C3435"/>
    <w:rsid w:val="007C376A"/>
    <w:rsid w:val="007C3888"/>
    <w:rsid w:val="007C3E04"/>
    <w:rsid w:val="007C456F"/>
    <w:rsid w:val="007C4A77"/>
    <w:rsid w:val="007C53A3"/>
    <w:rsid w:val="007C54E9"/>
    <w:rsid w:val="007C55BE"/>
    <w:rsid w:val="007C5AB5"/>
    <w:rsid w:val="007C7119"/>
    <w:rsid w:val="007C766F"/>
    <w:rsid w:val="007C7AD6"/>
    <w:rsid w:val="007C7C59"/>
    <w:rsid w:val="007C7DC7"/>
    <w:rsid w:val="007D1E09"/>
    <w:rsid w:val="007D35A0"/>
    <w:rsid w:val="007D40F5"/>
    <w:rsid w:val="007D46D8"/>
    <w:rsid w:val="007D4892"/>
    <w:rsid w:val="007D48E9"/>
    <w:rsid w:val="007D53CB"/>
    <w:rsid w:val="007D5857"/>
    <w:rsid w:val="007D5E14"/>
    <w:rsid w:val="007D6F86"/>
    <w:rsid w:val="007D72EB"/>
    <w:rsid w:val="007D7CD6"/>
    <w:rsid w:val="007E0F8F"/>
    <w:rsid w:val="007E14A4"/>
    <w:rsid w:val="007E1C37"/>
    <w:rsid w:val="007E28AE"/>
    <w:rsid w:val="007E2F83"/>
    <w:rsid w:val="007E317C"/>
    <w:rsid w:val="007E3562"/>
    <w:rsid w:val="007E3E82"/>
    <w:rsid w:val="007E44F9"/>
    <w:rsid w:val="007E5E79"/>
    <w:rsid w:val="007E5ED9"/>
    <w:rsid w:val="007E5EDC"/>
    <w:rsid w:val="007E60AD"/>
    <w:rsid w:val="007E6646"/>
    <w:rsid w:val="007E6C51"/>
    <w:rsid w:val="007E6E28"/>
    <w:rsid w:val="007E7232"/>
    <w:rsid w:val="007E72AB"/>
    <w:rsid w:val="007E7891"/>
    <w:rsid w:val="007E7B16"/>
    <w:rsid w:val="007F0378"/>
    <w:rsid w:val="007F0684"/>
    <w:rsid w:val="007F06B6"/>
    <w:rsid w:val="007F06E8"/>
    <w:rsid w:val="007F0AF8"/>
    <w:rsid w:val="007F137F"/>
    <w:rsid w:val="007F1391"/>
    <w:rsid w:val="007F219A"/>
    <w:rsid w:val="007F385C"/>
    <w:rsid w:val="007F3F16"/>
    <w:rsid w:val="007F4981"/>
    <w:rsid w:val="007F4D3F"/>
    <w:rsid w:val="007F4D49"/>
    <w:rsid w:val="007F58A3"/>
    <w:rsid w:val="007F59DB"/>
    <w:rsid w:val="007F65DB"/>
    <w:rsid w:val="007F6761"/>
    <w:rsid w:val="007F6BC4"/>
    <w:rsid w:val="007F70D4"/>
    <w:rsid w:val="007F76B6"/>
    <w:rsid w:val="007F79BE"/>
    <w:rsid w:val="0080009A"/>
    <w:rsid w:val="00800120"/>
    <w:rsid w:val="008001B8"/>
    <w:rsid w:val="00800599"/>
    <w:rsid w:val="0080073F"/>
    <w:rsid w:val="008011BE"/>
    <w:rsid w:val="0080143D"/>
    <w:rsid w:val="00801CB1"/>
    <w:rsid w:val="00802515"/>
    <w:rsid w:val="00802AA7"/>
    <w:rsid w:val="00802B6F"/>
    <w:rsid w:val="00802C08"/>
    <w:rsid w:val="00802C7C"/>
    <w:rsid w:val="00803108"/>
    <w:rsid w:val="008039D0"/>
    <w:rsid w:val="00803ACE"/>
    <w:rsid w:val="00803EB7"/>
    <w:rsid w:val="008040BB"/>
    <w:rsid w:val="008041C2"/>
    <w:rsid w:val="008046E2"/>
    <w:rsid w:val="008054B3"/>
    <w:rsid w:val="00805B99"/>
    <w:rsid w:val="00806E9B"/>
    <w:rsid w:val="00807090"/>
    <w:rsid w:val="0080733C"/>
    <w:rsid w:val="00807926"/>
    <w:rsid w:val="00807A15"/>
    <w:rsid w:val="00807A2C"/>
    <w:rsid w:val="00807AB5"/>
    <w:rsid w:val="00807EEA"/>
    <w:rsid w:val="008100A2"/>
    <w:rsid w:val="008107F5"/>
    <w:rsid w:val="00810E30"/>
    <w:rsid w:val="00810ED7"/>
    <w:rsid w:val="008138D8"/>
    <w:rsid w:val="00813AEB"/>
    <w:rsid w:val="00814AB2"/>
    <w:rsid w:val="00814CAD"/>
    <w:rsid w:val="00815424"/>
    <w:rsid w:val="0081587D"/>
    <w:rsid w:val="00815AF2"/>
    <w:rsid w:val="00816320"/>
    <w:rsid w:val="008163C7"/>
    <w:rsid w:val="008171B1"/>
    <w:rsid w:val="00817D96"/>
    <w:rsid w:val="00817F9A"/>
    <w:rsid w:val="00820CCC"/>
    <w:rsid w:val="008227FA"/>
    <w:rsid w:val="008229A2"/>
    <w:rsid w:val="00823667"/>
    <w:rsid w:val="00823C3A"/>
    <w:rsid w:val="0082443D"/>
    <w:rsid w:val="008246FE"/>
    <w:rsid w:val="00824792"/>
    <w:rsid w:val="00824A9E"/>
    <w:rsid w:val="00825EA0"/>
    <w:rsid w:val="00825F58"/>
    <w:rsid w:val="008268CF"/>
    <w:rsid w:val="00826F8E"/>
    <w:rsid w:val="008270EE"/>
    <w:rsid w:val="00827497"/>
    <w:rsid w:val="00827D53"/>
    <w:rsid w:val="0083026B"/>
    <w:rsid w:val="00831472"/>
    <w:rsid w:val="00831612"/>
    <w:rsid w:val="00831789"/>
    <w:rsid w:val="00831EC1"/>
    <w:rsid w:val="00832696"/>
    <w:rsid w:val="008326A2"/>
    <w:rsid w:val="00832832"/>
    <w:rsid w:val="008329FF"/>
    <w:rsid w:val="00832ECB"/>
    <w:rsid w:val="00833526"/>
    <w:rsid w:val="008340EC"/>
    <w:rsid w:val="00834ACC"/>
    <w:rsid w:val="00834B47"/>
    <w:rsid w:val="00835459"/>
    <w:rsid w:val="00835609"/>
    <w:rsid w:val="00835DF4"/>
    <w:rsid w:val="0083659E"/>
    <w:rsid w:val="008365C4"/>
    <w:rsid w:val="00836D76"/>
    <w:rsid w:val="00837C41"/>
    <w:rsid w:val="00837C92"/>
    <w:rsid w:val="00837F0F"/>
    <w:rsid w:val="008416E5"/>
    <w:rsid w:val="0084210C"/>
    <w:rsid w:val="00842AD4"/>
    <w:rsid w:val="00842BBA"/>
    <w:rsid w:val="00842D41"/>
    <w:rsid w:val="00843029"/>
    <w:rsid w:val="008430CB"/>
    <w:rsid w:val="00843420"/>
    <w:rsid w:val="00843B5D"/>
    <w:rsid w:val="0084410A"/>
    <w:rsid w:val="008447C7"/>
    <w:rsid w:val="008447D4"/>
    <w:rsid w:val="00844FEB"/>
    <w:rsid w:val="0084506C"/>
    <w:rsid w:val="008454BD"/>
    <w:rsid w:val="0084562F"/>
    <w:rsid w:val="0084581C"/>
    <w:rsid w:val="00845BE7"/>
    <w:rsid w:val="008462BA"/>
    <w:rsid w:val="008463F3"/>
    <w:rsid w:val="00846D76"/>
    <w:rsid w:val="008471B2"/>
    <w:rsid w:val="0085005F"/>
    <w:rsid w:val="0085062F"/>
    <w:rsid w:val="00851307"/>
    <w:rsid w:val="008515B1"/>
    <w:rsid w:val="00851789"/>
    <w:rsid w:val="00851F92"/>
    <w:rsid w:val="00852508"/>
    <w:rsid w:val="00852E5B"/>
    <w:rsid w:val="00853498"/>
    <w:rsid w:val="00853677"/>
    <w:rsid w:val="008537EC"/>
    <w:rsid w:val="00853ACD"/>
    <w:rsid w:val="00853ACF"/>
    <w:rsid w:val="00853F1F"/>
    <w:rsid w:val="008544D3"/>
    <w:rsid w:val="00855143"/>
    <w:rsid w:val="008551EE"/>
    <w:rsid w:val="008558A1"/>
    <w:rsid w:val="0085642F"/>
    <w:rsid w:val="0085649E"/>
    <w:rsid w:val="008572D7"/>
    <w:rsid w:val="008573AF"/>
    <w:rsid w:val="00857645"/>
    <w:rsid w:val="00857D80"/>
    <w:rsid w:val="008602FC"/>
    <w:rsid w:val="008606F1"/>
    <w:rsid w:val="00860989"/>
    <w:rsid w:val="00860CF9"/>
    <w:rsid w:val="00861BF1"/>
    <w:rsid w:val="008622D3"/>
    <w:rsid w:val="0086268A"/>
    <w:rsid w:val="008639A2"/>
    <w:rsid w:val="00863BBB"/>
    <w:rsid w:val="0086401E"/>
    <w:rsid w:val="008640FD"/>
    <w:rsid w:val="0086426C"/>
    <w:rsid w:val="0086445F"/>
    <w:rsid w:val="008646E1"/>
    <w:rsid w:val="0086564F"/>
    <w:rsid w:val="00865681"/>
    <w:rsid w:val="00866618"/>
    <w:rsid w:val="00866858"/>
    <w:rsid w:val="00866DF4"/>
    <w:rsid w:val="00867B6B"/>
    <w:rsid w:val="00870AFC"/>
    <w:rsid w:val="00870AFD"/>
    <w:rsid w:val="00871452"/>
    <w:rsid w:val="008715CC"/>
    <w:rsid w:val="00872589"/>
    <w:rsid w:val="00872770"/>
    <w:rsid w:val="00873754"/>
    <w:rsid w:val="00873814"/>
    <w:rsid w:val="00875138"/>
    <w:rsid w:val="008752FC"/>
    <w:rsid w:val="00875FA4"/>
    <w:rsid w:val="00876044"/>
    <w:rsid w:val="008763C8"/>
    <w:rsid w:val="0087660D"/>
    <w:rsid w:val="00877D6E"/>
    <w:rsid w:val="00877E35"/>
    <w:rsid w:val="0088014E"/>
    <w:rsid w:val="00880BAB"/>
    <w:rsid w:val="00881604"/>
    <w:rsid w:val="008817FF"/>
    <w:rsid w:val="00881E99"/>
    <w:rsid w:val="008820C1"/>
    <w:rsid w:val="0088239C"/>
    <w:rsid w:val="00882745"/>
    <w:rsid w:val="008828F7"/>
    <w:rsid w:val="0088294F"/>
    <w:rsid w:val="00882A65"/>
    <w:rsid w:val="00882E58"/>
    <w:rsid w:val="0088302A"/>
    <w:rsid w:val="008835B1"/>
    <w:rsid w:val="008836F9"/>
    <w:rsid w:val="008837DE"/>
    <w:rsid w:val="00883B3F"/>
    <w:rsid w:val="008851BE"/>
    <w:rsid w:val="00885538"/>
    <w:rsid w:val="00885CA8"/>
    <w:rsid w:val="00886188"/>
    <w:rsid w:val="00887063"/>
    <w:rsid w:val="00887908"/>
    <w:rsid w:val="00887BD8"/>
    <w:rsid w:val="00887F1B"/>
    <w:rsid w:val="008900CF"/>
    <w:rsid w:val="00891602"/>
    <w:rsid w:val="00892011"/>
    <w:rsid w:val="008922CF"/>
    <w:rsid w:val="008923D1"/>
    <w:rsid w:val="008925B9"/>
    <w:rsid w:val="008928F3"/>
    <w:rsid w:val="008931AA"/>
    <w:rsid w:val="008937CB"/>
    <w:rsid w:val="0089427B"/>
    <w:rsid w:val="0089483C"/>
    <w:rsid w:val="00894A6B"/>
    <w:rsid w:val="00894A7F"/>
    <w:rsid w:val="00895922"/>
    <w:rsid w:val="00895E5A"/>
    <w:rsid w:val="0089601F"/>
    <w:rsid w:val="008960C3"/>
    <w:rsid w:val="00897502"/>
    <w:rsid w:val="00897855"/>
    <w:rsid w:val="008A0E63"/>
    <w:rsid w:val="008A1450"/>
    <w:rsid w:val="008A15A7"/>
    <w:rsid w:val="008A173F"/>
    <w:rsid w:val="008A1EFD"/>
    <w:rsid w:val="008A2340"/>
    <w:rsid w:val="008A238A"/>
    <w:rsid w:val="008A239E"/>
    <w:rsid w:val="008A2783"/>
    <w:rsid w:val="008A2790"/>
    <w:rsid w:val="008A2C5D"/>
    <w:rsid w:val="008A33B4"/>
    <w:rsid w:val="008A3B87"/>
    <w:rsid w:val="008A3C32"/>
    <w:rsid w:val="008A3EE7"/>
    <w:rsid w:val="008A42CE"/>
    <w:rsid w:val="008A4680"/>
    <w:rsid w:val="008A473D"/>
    <w:rsid w:val="008A4F57"/>
    <w:rsid w:val="008A52CE"/>
    <w:rsid w:val="008A574C"/>
    <w:rsid w:val="008A6A25"/>
    <w:rsid w:val="008A70F7"/>
    <w:rsid w:val="008B0968"/>
    <w:rsid w:val="008B0BA7"/>
    <w:rsid w:val="008B1E06"/>
    <w:rsid w:val="008B1FAB"/>
    <w:rsid w:val="008B20A4"/>
    <w:rsid w:val="008B2F1A"/>
    <w:rsid w:val="008B31AD"/>
    <w:rsid w:val="008B331F"/>
    <w:rsid w:val="008B3A87"/>
    <w:rsid w:val="008B3C1F"/>
    <w:rsid w:val="008B4243"/>
    <w:rsid w:val="008B42D0"/>
    <w:rsid w:val="008B4953"/>
    <w:rsid w:val="008B4A6D"/>
    <w:rsid w:val="008B4E19"/>
    <w:rsid w:val="008B4F72"/>
    <w:rsid w:val="008B5A96"/>
    <w:rsid w:val="008B5E1D"/>
    <w:rsid w:val="008B5F58"/>
    <w:rsid w:val="008B6367"/>
    <w:rsid w:val="008B63AD"/>
    <w:rsid w:val="008B646F"/>
    <w:rsid w:val="008B658C"/>
    <w:rsid w:val="008B7546"/>
    <w:rsid w:val="008C0557"/>
    <w:rsid w:val="008C0771"/>
    <w:rsid w:val="008C0845"/>
    <w:rsid w:val="008C092D"/>
    <w:rsid w:val="008C1107"/>
    <w:rsid w:val="008C1779"/>
    <w:rsid w:val="008C196C"/>
    <w:rsid w:val="008C1C57"/>
    <w:rsid w:val="008C1DC1"/>
    <w:rsid w:val="008C28B3"/>
    <w:rsid w:val="008C2A2B"/>
    <w:rsid w:val="008C3591"/>
    <w:rsid w:val="008C3A88"/>
    <w:rsid w:val="008C3AC1"/>
    <w:rsid w:val="008C3C11"/>
    <w:rsid w:val="008C4EB8"/>
    <w:rsid w:val="008C51A8"/>
    <w:rsid w:val="008C5856"/>
    <w:rsid w:val="008C5CB4"/>
    <w:rsid w:val="008C61B0"/>
    <w:rsid w:val="008C6FD3"/>
    <w:rsid w:val="008C70EB"/>
    <w:rsid w:val="008C7FA7"/>
    <w:rsid w:val="008D07F1"/>
    <w:rsid w:val="008D0C0E"/>
    <w:rsid w:val="008D155D"/>
    <w:rsid w:val="008D15E6"/>
    <w:rsid w:val="008D217D"/>
    <w:rsid w:val="008D229E"/>
    <w:rsid w:val="008D24C5"/>
    <w:rsid w:val="008D36D2"/>
    <w:rsid w:val="008D3C13"/>
    <w:rsid w:val="008D3FE4"/>
    <w:rsid w:val="008D415F"/>
    <w:rsid w:val="008D499F"/>
    <w:rsid w:val="008D4DF4"/>
    <w:rsid w:val="008D547C"/>
    <w:rsid w:val="008D5506"/>
    <w:rsid w:val="008D5DAB"/>
    <w:rsid w:val="008D6164"/>
    <w:rsid w:val="008D6641"/>
    <w:rsid w:val="008D67EC"/>
    <w:rsid w:val="008D6847"/>
    <w:rsid w:val="008D688E"/>
    <w:rsid w:val="008D6968"/>
    <w:rsid w:val="008D6C68"/>
    <w:rsid w:val="008D71F3"/>
    <w:rsid w:val="008D7AFD"/>
    <w:rsid w:val="008D7BE6"/>
    <w:rsid w:val="008D7E3E"/>
    <w:rsid w:val="008D7EA6"/>
    <w:rsid w:val="008E0029"/>
    <w:rsid w:val="008E01BA"/>
    <w:rsid w:val="008E0219"/>
    <w:rsid w:val="008E0386"/>
    <w:rsid w:val="008E0DE2"/>
    <w:rsid w:val="008E16F9"/>
    <w:rsid w:val="008E1CA4"/>
    <w:rsid w:val="008E2BCC"/>
    <w:rsid w:val="008E2D38"/>
    <w:rsid w:val="008E2ED0"/>
    <w:rsid w:val="008E38C7"/>
    <w:rsid w:val="008E489A"/>
    <w:rsid w:val="008E4C7D"/>
    <w:rsid w:val="008E5A4E"/>
    <w:rsid w:val="008E5E16"/>
    <w:rsid w:val="008E5F5F"/>
    <w:rsid w:val="008E6D37"/>
    <w:rsid w:val="008E6F6B"/>
    <w:rsid w:val="008E7155"/>
    <w:rsid w:val="008E71FB"/>
    <w:rsid w:val="008E7365"/>
    <w:rsid w:val="008E7838"/>
    <w:rsid w:val="008E7874"/>
    <w:rsid w:val="008E7BEB"/>
    <w:rsid w:val="008F0248"/>
    <w:rsid w:val="008F078E"/>
    <w:rsid w:val="008F07B8"/>
    <w:rsid w:val="008F0838"/>
    <w:rsid w:val="008F0932"/>
    <w:rsid w:val="008F0A62"/>
    <w:rsid w:val="008F0EF5"/>
    <w:rsid w:val="008F1238"/>
    <w:rsid w:val="008F1892"/>
    <w:rsid w:val="008F257A"/>
    <w:rsid w:val="008F35D9"/>
    <w:rsid w:val="008F3793"/>
    <w:rsid w:val="008F438C"/>
    <w:rsid w:val="008F525C"/>
    <w:rsid w:val="008F540C"/>
    <w:rsid w:val="008F6060"/>
    <w:rsid w:val="008F6426"/>
    <w:rsid w:val="008F6B8B"/>
    <w:rsid w:val="00900731"/>
    <w:rsid w:val="0090146E"/>
    <w:rsid w:val="009014C6"/>
    <w:rsid w:val="00901E4D"/>
    <w:rsid w:val="009030CA"/>
    <w:rsid w:val="00903424"/>
    <w:rsid w:val="009038F8"/>
    <w:rsid w:val="00903F71"/>
    <w:rsid w:val="00904173"/>
    <w:rsid w:val="00904206"/>
    <w:rsid w:val="00904BDA"/>
    <w:rsid w:val="00904CF7"/>
    <w:rsid w:val="00905456"/>
    <w:rsid w:val="00905829"/>
    <w:rsid w:val="00905F98"/>
    <w:rsid w:val="0090621C"/>
    <w:rsid w:val="00906618"/>
    <w:rsid w:val="00906B8C"/>
    <w:rsid w:val="00906C4A"/>
    <w:rsid w:val="00907FD2"/>
    <w:rsid w:val="009100B1"/>
    <w:rsid w:val="009104A4"/>
    <w:rsid w:val="00910866"/>
    <w:rsid w:val="00910F70"/>
    <w:rsid w:val="0091103D"/>
    <w:rsid w:val="009110AD"/>
    <w:rsid w:val="009111CC"/>
    <w:rsid w:val="009114FF"/>
    <w:rsid w:val="00911A79"/>
    <w:rsid w:val="00911B90"/>
    <w:rsid w:val="00911C5C"/>
    <w:rsid w:val="00911D8B"/>
    <w:rsid w:val="009127CC"/>
    <w:rsid w:val="00912AAF"/>
    <w:rsid w:val="00912B65"/>
    <w:rsid w:val="00912BC1"/>
    <w:rsid w:val="00914D40"/>
    <w:rsid w:val="009158B9"/>
    <w:rsid w:val="0091620A"/>
    <w:rsid w:val="00916863"/>
    <w:rsid w:val="0091728E"/>
    <w:rsid w:val="00917458"/>
    <w:rsid w:val="009176C9"/>
    <w:rsid w:val="0092096D"/>
    <w:rsid w:val="009214DE"/>
    <w:rsid w:val="00921B1B"/>
    <w:rsid w:val="00921E56"/>
    <w:rsid w:val="009221ED"/>
    <w:rsid w:val="0092259C"/>
    <w:rsid w:val="00922B73"/>
    <w:rsid w:val="00922F30"/>
    <w:rsid w:val="009231A0"/>
    <w:rsid w:val="009235C9"/>
    <w:rsid w:val="009235EC"/>
    <w:rsid w:val="00926F12"/>
    <w:rsid w:val="00927CE1"/>
    <w:rsid w:val="00927DE3"/>
    <w:rsid w:val="00930591"/>
    <w:rsid w:val="009305F9"/>
    <w:rsid w:val="00930609"/>
    <w:rsid w:val="0093071F"/>
    <w:rsid w:val="00930B72"/>
    <w:rsid w:val="0093196E"/>
    <w:rsid w:val="00931A58"/>
    <w:rsid w:val="00932113"/>
    <w:rsid w:val="0093264C"/>
    <w:rsid w:val="00932AD7"/>
    <w:rsid w:val="00932BD2"/>
    <w:rsid w:val="00932E71"/>
    <w:rsid w:val="009331AA"/>
    <w:rsid w:val="0093385B"/>
    <w:rsid w:val="00933CB4"/>
    <w:rsid w:val="00934790"/>
    <w:rsid w:val="009352C5"/>
    <w:rsid w:val="00935534"/>
    <w:rsid w:val="0093562F"/>
    <w:rsid w:val="00935978"/>
    <w:rsid w:val="00935F61"/>
    <w:rsid w:val="009360BB"/>
    <w:rsid w:val="00936B1F"/>
    <w:rsid w:val="00937808"/>
    <w:rsid w:val="009379F0"/>
    <w:rsid w:val="00937A67"/>
    <w:rsid w:val="00937A6A"/>
    <w:rsid w:val="0094115A"/>
    <w:rsid w:val="0094144F"/>
    <w:rsid w:val="00942B2E"/>
    <w:rsid w:val="00942D0E"/>
    <w:rsid w:val="00943238"/>
    <w:rsid w:val="0094352D"/>
    <w:rsid w:val="00943768"/>
    <w:rsid w:val="00943CFE"/>
    <w:rsid w:val="00943F96"/>
    <w:rsid w:val="00943FA2"/>
    <w:rsid w:val="0094494D"/>
    <w:rsid w:val="00944E59"/>
    <w:rsid w:val="00945401"/>
    <w:rsid w:val="009459F4"/>
    <w:rsid w:val="00945ABE"/>
    <w:rsid w:val="00945E58"/>
    <w:rsid w:val="00946127"/>
    <w:rsid w:val="00946907"/>
    <w:rsid w:val="00946E16"/>
    <w:rsid w:val="00950CAE"/>
    <w:rsid w:val="009512EC"/>
    <w:rsid w:val="00951992"/>
    <w:rsid w:val="009519A8"/>
    <w:rsid w:val="0095234A"/>
    <w:rsid w:val="009524FE"/>
    <w:rsid w:val="00952A5C"/>
    <w:rsid w:val="0095315A"/>
    <w:rsid w:val="009532F2"/>
    <w:rsid w:val="009534DD"/>
    <w:rsid w:val="009535C2"/>
    <w:rsid w:val="00953A73"/>
    <w:rsid w:val="00954D5A"/>
    <w:rsid w:val="009551A8"/>
    <w:rsid w:val="0095540A"/>
    <w:rsid w:val="0095640A"/>
    <w:rsid w:val="00956B6C"/>
    <w:rsid w:val="00956DE3"/>
    <w:rsid w:val="00957B5B"/>
    <w:rsid w:val="009601CB"/>
    <w:rsid w:val="0096044C"/>
    <w:rsid w:val="0096059A"/>
    <w:rsid w:val="0096081E"/>
    <w:rsid w:val="00960D39"/>
    <w:rsid w:val="00960F7E"/>
    <w:rsid w:val="009611A5"/>
    <w:rsid w:val="009614BD"/>
    <w:rsid w:val="0096193B"/>
    <w:rsid w:val="00961ABC"/>
    <w:rsid w:val="00962E6A"/>
    <w:rsid w:val="00963188"/>
    <w:rsid w:val="00963240"/>
    <w:rsid w:val="00963440"/>
    <w:rsid w:val="00963B82"/>
    <w:rsid w:val="00964475"/>
    <w:rsid w:val="00964A6E"/>
    <w:rsid w:val="00964FB4"/>
    <w:rsid w:val="009666BD"/>
    <w:rsid w:val="00966AC9"/>
    <w:rsid w:val="00966BFB"/>
    <w:rsid w:val="0096720E"/>
    <w:rsid w:val="00967CDA"/>
    <w:rsid w:val="00970048"/>
    <w:rsid w:val="00970278"/>
    <w:rsid w:val="00970847"/>
    <w:rsid w:val="00970858"/>
    <w:rsid w:val="00971831"/>
    <w:rsid w:val="00971B0F"/>
    <w:rsid w:val="0097216D"/>
    <w:rsid w:val="00972486"/>
    <w:rsid w:val="00972799"/>
    <w:rsid w:val="00972D8F"/>
    <w:rsid w:val="009735A7"/>
    <w:rsid w:val="00973C2B"/>
    <w:rsid w:val="0097437B"/>
    <w:rsid w:val="0097441E"/>
    <w:rsid w:val="0097517A"/>
    <w:rsid w:val="00975AEC"/>
    <w:rsid w:val="00975FB0"/>
    <w:rsid w:val="009762C7"/>
    <w:rsid w:val="0097670F"/>
    <w:rsid w:val="00976C61"/>
    <w:rsid w:val="00976ECA"/>
    <w:rsid w:val="00977532"/>
    <w:rsid w:val="009803EC"/>
    <w:rsid w:val="00981215"/>
    <w:rsid w:val="009812FC"/>
    <w:rsid w:val="009813BF"/>
    <w:rsid w:val="009819CD"/>
    <w:rsid w:val="0098256C"/>
    <w:rsid w:val="00982C0D"/>
    <w:rsid w:val="00982E78"/>
    <w:rsid w:val="009832BE"/>
    <w:rsid w:val="00983B0F"/>
    <w:rsid w:val="00983D98"/>
    <w:rsid w:val="00983EA1"/>
    <w:rsid w:val="009844B4"/>
    <w:rsid w:val="0098453B"/>
    <w:rsid w:val="00984D82"/>
    <w:rsid w:val="0098572B"/>
    <w:rsid w:val="00985CDA"/>
    <w:rsid w:val="0098603A"/>
    <w:rsid w:val="00986137"/>
    <w:rsid w:val="00986B96"/>
    <w:rsid w:val="0098740B"/>
    <w:rsid w:val="00987B9A"/>
    <w:rsid w:val="00987C6F"/>
    <w:rsid w:val="0099018C"/>
    <w:rsid w:val="00990549"/>
    <w:rsid w:val="00990708"/>
    <w:rsid w:val="0099078A"/>
    <w:rsid w:val="00990A3C"/>
    <w:rsid w:val="00990B18"/>
    <w:rsid w:val="00990C3D"/>
    <w:rsid w:val="00991603"/>
    <w:rsid w:val="0099199D"/>
    <w:rsid w:val="00991B9A"/>
    <w:rsid w:val="00991C09"/>
    <w:rsid w:val="00992EA9"/>
    <w:rsid w:val="00993499"/>
    <w:rsid w:val="009934DB"/>
    <w:rsid w:val="009939CB"/>
    <w:rsid w:val="00993D95"/>
    <w:rsid w:val="00994664"/>
    <w:rsid w:val="009948FE"/>
    <w:rsid w:val="009956CC"/>
    <w:rsid w:val="00995756"/>
    <w:rsid w:val="00997125"/>
    <w:rsid w:val="00997582"/>
    <w:rsid w:val="009A0208"/>
    <w:rsid w:val="009A05D0"/>
    <w:rsid w:val="009A0648"/>
    <w:rsid w:val="009A0B05"/>
    <w:rsid w:val="009A1B80"/>
    <w:rsid w:val="009A21EE"/>
    <w:rsid w:val="009A253B"/>
    <w:rsid w:val="009A3C6E"/>
    <w:rsid w:val="009A4973"/>
    <w:rsid w:val="009A640C"/>
    <w:rsid w:val="009A6698"/>
    <w:rsid w:val="009A68E7"/>
    <w:rsid w:val="009A6A04"/>
    <w:rsid w:val="009A6A34"/>
    <w:rsid w:val="009A78A6"/>
    <w:rsid w:val="009A7B46"/>
    <w:rsid w:val="009B01AE"/>
    <w:rsid w:val="009B04F2"/>
    <w:rsid w:val="009B0A43"/>
    <w:rsid w:val="009B0EEC"/>
    <w:rsid w:val="009B123D"/>
    <w:rsid w:val="009B1323"/>
    <w:rsid w:val="009B1676"/>
    <w:rsid w:val="009B1C1B"/>
    <w:rsid w:val="009B1E55"/>
    <w:rsid w:val="009B2E60"/>
    <w:rsid w:val="009B35BF"/>
    <w:rsid w:val="009B4C3E"/>
    <w:rsid w:val="009B4D2F"/>
    <w:rsid w:val="009B5038"/>
    <w:rsid w:val="009B5157"/>
    <w:rsid w:val="009B56BE"/>
    <w:rsid w:val="009B573C"/>
    <w:rsid w:val="009B583F"/>
    <w:rsid w:val="009B5DB6"/>
    <w:rsid w:val="009B604A"/>
    <w:rsid w:val="009B6E0F"/>
    <w:rsid w:val="009B71D8"/>
    <w:rsid w:val="009B7356"/>
    <w:rsid w:val="009B753E"/>
    <w:rsid w:val="009B7A8A"/>
    <w:rsid w:val="009C0978"/>
    <w:rsid w:val="009C099B"/>
    <w:rsid w:val="009C0AA5"/>
    <w:rsid w:val="009C0B86"/>
    <w:rsid w:val="009C1ADB"/>
    <w:rsid w:val="009C37BF"/>
    <w:rsid w:val="009C398A"/>
    <w:rsid w:val="009C4676"/>
    <w:rsid w:val="009C4FAC"/>
    <w:rsid w:val="009C5CCF"/>
    <w:rsid w:val="009C5E7B"/>
    <w:rsid w:val="009C5FC3"/>
    <w:rsid w:val="009C60E9"/>
    <w:rsid w:val="009C6629"/>
    <w:rsid w:val="009C71F3"/>
    <w:rsid w:val="009C7896"/>
    <w:rsid w:val="009D0292"/>
    <w:rsid w:val="009D0530"/>
    <w:rsid w:val="009D08E2"/>
    <w:rsid w:val="009D0C23"/>
    <w:rsid w:val="009D0CF4"/>
    <w:rsid w:val="009D0D52"/>
    <w:rsid w:val="009D140A"/>
    <w:rsid w:val="009D1A74"/>
    <w:rsid w:val="009D2215"/>
    <w:rsid w:val="009D2B87"/>
    <w:rsid w:val="009D3160"/>
    <w:rsid w:val="009D3219"/>
    <w:rsid w:val="009D39E1"/>
    <w:rsid w:val="009D3D90"/>
    <w:rsid w:val="009D43C4"/>
    <w:rsid w:val="009D45A9"/>
    <w:rsid w:val="009D4C5D"/>
    <w:rsid w:val="009D645F"/>
    <w:rsid w:val="009D6D3F"/>
    <w:rsid w:val="009D7410"/>
    <w:rsid w:val="009D7601"/>
    <w:rsid w:val="009D7622"/>
    <w:rsid w:val="009E075E"/>
    <w:rsid w:val="009E1788"/>
    <w:rsid w:val="009E1908"/>
    <w:rsid w:val="009E2011"/>
    <w:rsid w:val="009E233D"/>
    <w:rsid w:val="009E2463"/>
    <w:rsid w:val="009E2B4C"/>
    <w:rsid w:val="009E2C55"/>
    <w:rsid w:val="009E2E3F"/>
    <w:rsid w:val="009E2F8C"/>
    <w:rsid w:val="009E2FAC"/>
    <w:rsid w:val="009E3309"/>
    <w:rsid w:val="009E44A4"/>
    <w:rsid w:val="009E46DD"/>
    <w:rsid w:val="009E4A34"/>
    <w:rsid w:val="009E4E3B"/>
    <w:rsid w:val="009E59F4"/>
    <w:rsid w:val="009E5D7E"/>
    <w:rsid w:val="009E61B0"/>
    <w:rsid w:val="009E63F0"/>
    <w:rsid w:val="009E664F"/>
    <w:rsid w:val="009E7BCD"/>
    <w:rsid w:val="009F012F"/>
    <w:rsid w:val="009F0316"/>
    <w:rsid w:val="009F05AC"/>
    <w:rsid w:val="009F07AE"/>
    <w:rsid w:val="009F086C"/>
    <w:rsid w:val="009F0EA6"/>
    <w:rsid w:val="009F1387"/>
    <w:rsid w:val="009F1443"/>
    <w:rsid w:val="009F14F3"/>
    <w:rsid w:val="009F1778"/>
    <w:rsid w:val="009F1EEE"/>
    <w:rsid w:val="009F1FA6"/>
    <w:rsid w:val="009F239C"/>
    <w:rsid w:val="009F2E88"/>
    <w:rsid w:val="009F4825"/>
    <w:rsid w:val="009F49FF"/>
    <w:rsid w:val="009F4D3A"/>
    <w:rsid w:val="009F4E76"/>
    <w:rsid w:val="009F5BD7"/>
    <w:rsid w:val="009F5CE6"/>
    <w:rsid w:val="009F60E0"/>
    <w:rsid w:val="009F68A3"/>
    <w:rsid w:val="009F6B75"/>
    <w:rsid w:val="009F6C90"/>
    <w:rsid w:val="009F7297"/>
    <w:rsid w:val="009F7355"/>
    <w:rsid w:val="009F74DB"/>
    <w:rsid w:val="009F77DF"/>
    <w:rsid w:val="009F7813"/>
    <w:rsid w:val="00A00221"/>
    <w:rsid w:val="00A00437"/>
    <w:rsid w:val="00A005C0"/>
    <w:rsid w:val="00A0083A"/>
    <w:rsid w:val="00A00935"/>
    <w:rsid w:val="00A00DDA"/>
    <w:rsid w:val="00A00F7E"/>
    <w:rsid w:val="00A01385"/>
    <w:rsid w:val="00A01B9D"/>
    <w:rsid w:val="00A02089"/>
    <w:rsid w:val="00A02A2F"/>
    <w:rsid w:val="00A02C0A"/>
    <w:rsid w:val="00A03066"/>
    <w:rsid w:val="00A0310F"/>
    <w:rsid w:val="00A03652"/>
    <w:rsid w:val="00A03A2A"/>
    <w:rsid w:val="00A0480E"/>
    <w:rsid w:val="00A04844"/>
    <w:rsid w:val="00A06ED8"/>
    <w:rsid w:val="00A07147"/>
    <w:rsid w:val="00A07570"/>
    <w:rsid w:val="00A10103"/>
    <w:rsid w:val="00A11137"/>
    <w:rsid w:val="00A111EA"/>
    <w:rsid w:val="00A1135E"/>
    <w:rsid w:val="00A11447"/>
    <w:rsid w:val="00A11B67"/>
    <w:rsid w:val="00A11DEE"/>
    <w:rsid w:val="00A12405"/>
    <w:rsid w:val="00A12B28"/>
    <w:rsid w:val="00A12DF2"/>
    <w:rsid w:val="00A13EAB"/>
    <w:rsid w:val="00A162DF"/>
    <w:rsid w:val="00A16324"/>
    <w:rsid w:val="00A17013"/>
    <w:rsid w:val="00A17AF1"/>
    <w:rsid w:val="00A17B4D"/>
    <w:rsid w:val="00A17B91"/>
    <w:rsid w:val="00A20220"/>
    <w:rsid w:val="00A20CAE"/>
    <w:rsid w:val="00A2107F"/>
    <w:rsid w:val="00A2146D"/>
    <w:rsid w:val="00A216BF"/>
    <w:rsid w:val="00A21C7C"/>
    <w:rsid w:val="00A23269"/>
    <w:rsid w:val="00A233B1"/>
    <w:rsid w:val="00A23F95"/>
    <w:rsid w:val="00A2457D"/>
    <w:rsid w:val="00A24E61"/>
    <w:rsid w:val="00A25E6E"/>
    <w:rsid w:val="00A26462"/>
    <w:rsid w:val="00A26700"/>
    <w:rsid w:val="00A2670F"/>
    <w:rsid w:val="00A26B21"/>
    <w:rsid w:val="00A274E2"/>
    <w:rsid w:val="00A309AC"/>
    <w:rsid w:val="00A30B97"/>
    <w:rsid w:val="00A30BDB"/>
    <w:rsid w:val="00A31193"/>
    <w:rsid w:val="00A312FC"/>
    <w:rsid w:val="00A31F4F"/>
    <w:rsid w:val="00A31F9A"/>
    <w:rsid w:val="00A3288D"/>
    <w:rsid w:val="00A3307A"/>
    <w:rsid w:val="00A33F89"/>
    <w:rsid w:val="00A3466E"/>
    <w:rsid w:val="00A34BDA"/>
    <w:rsid w:val="00A34F8F"/>
    <w:rsid w:val="00A352BD"/>
    <w:rsid w:val="00A358DC"/>
    <w:rsid w:val="00A362FE"/>
    <w:rsid w:val="00A36A2B"/>
    <w:rsid w:val="00A40342"/>
    <w:rsid w:val="00A4164A"/>
    <w:rsid w:val="00A417B2"/>
    <w:rsid w:val="00A4189A"/>
    <w:rsid w:val="00A41C3D"/>
    <w:rsid w:val="00A41F2E"/>
    <w:rsid w:val="00A42159"/>
    <w:rsid w:val="00A42416"/>
    <w:rsid w:val="00A42D6D"/>
    <w:rsid w:val="00A42DF3"/>
    <w:rsid w:val="00A432A0"/>
    <w:rsid w:val="00A4354B"/>
    <w:rsid w:val="00A43E26"/>
    <w:rsid w:val="00A43EC3"/>
    <w:rsid w:val="00A43F0A"/>
    <w:rsid w:val="00A43FF9"/>
    <w:rsid w:val="00A44220"/>
    <w:rsid w:val="00A454CD"/>
    <w:rsid w:val="00A46541"/>
    <w:rsid w:val="00A465E9"/>
    <w:rsid w:val="00A46A4B"/>
    <w:rsid w:val="00A47774"/>
    <w:rsid w:val="00A47BC1"/>
    <w:rsid w:val="00A50899"/>
    <w:rsid w:val="00A512A2"/>
    <w:rsid w:val="00A5216F"/>
    <w:rsid w:val="00A52254"/>
    <w:rsid w:val="00A52401"/>
    <w:rsid w:val="00A52622"/>
    <w:rsid w:val="00A5287D"/>
    <w:rsid w:val="00A53729"/>
    <w:rsid w:val="00A550F7"/>
    <w:rsid w:val="00A55431"/>
    <w:rsid w:val="00A560C7"/>
    <w:rsid w:val="00A562BE"/>
    <w:rsid w:val="00A56A4F"/>
    <w:rsid w:val="00A56DDE"/>
    <w:rsid w:val="00A571F5"/>
    <w:rsid w:val="00A57205"/>
    <w:rsid w:val="00A57839"/>
    <w:rsid w:val="00A5787F"/>
    <w:rsid w:val="00A57914"/>
    <w:rsid w:val="00A57A70"/>
    <w:rsid w:val="00A57E73"/>
    <w:rsid w:val="00A60242"/>
    <w:rsid w:val="00A60436"/>
    <w:rsid w:val="00A607D9"/>
    <w:rsid w:val="00A60C3A"/>
    <w:rsid w:val="00A60EC2"/>
    <w:rsid w:val="00A61039"/>
    <w:rsid w:val="00A612AC"/>
    <w:rsid w:val="00A6190A"/>
    <w:rsid w:val="00A6209A"/>
    <w:rsid w:val="00A621B7"/>
    <w:rsid w:val="00A62AC5"/>
    <w:rsid w:val="00A63037"/>
    <w:rsid w:val="00A6323E"/>
    <w:rsid w:val="00A63478"/>
    <w:rsid w:val="00A63AAC"/>
    <w:rsid w:val="00A63AF3"/>
    <w:rsid w:val="00A63D28"/>
    <w:rsid w:val="00A6419E"/>
    <w:rsid w:val="00A64B15"/>
    <w:rsid w:val="00A64E8C"/>
    <w:rsid w:val="00A64EF8"/>
    <w:rsid w:val="00A65E01"/>
    <w:rsid w:val="00A664B6"/>
    <w:rsid w:val="00A6677B"/>
    <w:rsid w:val="00A66AC3"/>
    <w:rsid w:val="00A67466"/>
    <w:rsid w:val="00A67D1C"/>
    <w:rsid w:val="00A70065"/>
    <w:rsid w:val="00A710AC"/>
    <w:rsid w:val="00A717AD"/>
    <w:rsid w:val="00A7186E"/>
    <w:rsid w:val="00A71FC9"/>
    <w:rsid w:val="00A725DB"/>
    <w:rsid w:val="00A73738"/>
    <w:rsid w:val="00A73D7C"/>
    <w:rsid w:val="00A73E8F"/>
    <w:rsid w:val="00A7475B"/>
    <w:rsid w:val="00A747DC"/>
    <w:rsid w:val="00A74CC1"/>
    <w:rsid w:val="00A74D4E"/>
    <w:rsid w:val="00A75204"/>
    <w:rsid w:val="00A753BD"/>
    <w:rsid w:val="00A761EE"/>
    <w:rsid w:val="00A767D8"/>
    <w:rsid w:val="00A76B33"/>
    <w:rsid w:val="00A76D4A"/>
    <w:rsid w:val="00A76F54"/>
    <w:rsid w:val="00A77933"/>
    <w:rsid w:val="00A77BEC"/>
    <w:rsid w:val="00A77F98"/>
    <w:rsid w:val="00A80343"/>
    <w:rsid w:val="00A80813"/>
    <w:rsid w:val="00A80B2E"/>
    <w:rsid w:val="00A80EA4"/>
    <w:rsid w:val="00A81536"/>
    <w:rsid w:val="00A819DD"/>
    <w:rsid w:val="00A81C95"/>
    <w:rsid w:val="00A822D7"/>
    <w:rsid w:val="00A83768"/>
    <w:rsid w:val="00A83A16"/>
    <w:rsid w:val="00A83CA5"/>
    <w:rsid w:val="00A84336"/>
    <w:rsid w:val="00A84863"/>
    <w:rsid w:val="00A84EBD"/>
    <w:rsid w:val="00A84EDD"/>
    <w:rsid w:val="00A84F34"/>
    <w:rsid w:val="00A8542C"/>
    <w:rsid w:val="00A8620E"/>
    <w:rsid w:val="00A864B2"/>
    <w:rsid w:val="00A864E9"/>
    <w:rsid w:val="00A86CC9"/>
    <w:rsid w:val="00A87906"/>
    <w:rsid w:val="00A87958"/>
    <w:rsid w:val="00A87D0C"/>
    <w:rsid w:val="00A87E9E"/>
    <w:rsid w:val="00A901BE"/>
    <w:rsid w:val="00A904E2"/>
    <w:rsid w:val="00A90D2E"/>
    <w:rsid w:val="00A912E7"/>
    <w:rsid w:val="00A91E97"/>
    <w:rsid w:val="00A92BCF"/>
    <w:rsid w:val="00A93095"/>
    <w:rsid w:val="00A938E8"/>
    <w:rsid w:val="00A95EE7"/>
    <w:rsid w:val="00A96085"/>
    <w:rsid w:val="00A96424"/>
    <w:rsid w:val="00A96F5C"/>
    <w:rsid w:val="00AA04FA"/>
    <w:rsid w:val="00AA19A6"/>
    <w:rsid w:val="00AA1AED"/>
    <w:rsid w:val="00AA20B1"/>
    <w:rsid w:val="00AA22E3"/>
    <w:rsid w:val="00AA22F5"/>
    <w:rsid w:val="00AA262E"/>
    <w:rsid w:val="00AA2C89"/>
    <w:rsid w:val="00AA3451"/>
    <w:rsid w:val="00AA364A"/>
    <w:rsid w:val="00AA43BD"/>
    <w:rsid w:val="00AA46E6"/>
    <w:rsid w:val="00AA48C1"/>
    <w:rsid w:val="00AA52CC"/>
    <w:rsid w:val="00AA60A4"/>
    <w:rsid w:val="00AA6240"/>
    <w:rsid w:val="00AA682F"/>
    <w:rsid w:val="00AA73A8"/>
    <w:rsid w:val="00AA784D"/>
    <w:rsid w:val="00AA7A8A"/>
    <w:rsid w:val="00AB006F"/>
    <w:rsid w:val="00AB1A9F"/>
    <w:rsid w:val="00AB2483"/>
    <w:rsid w:val="00AB3037"/>
    <w:rsid w:val="00AB3184"/>
    <w:rsid w:val="00AB33F9"/>
    <w:rsid w:val="00AB3CEC"/>
    <w:rsid w:val="00AB3E8B"/>
    <w:rsid w:val="00AB4AFF"/>
    <w:rsid w:val="00AB537C"/>
    <w:rsid w:val="00AB5887"/>
    <w:rsid w:val="00AB5B81"/>
    <w:rsid w:val="00AB5C13"/>
    <w:rsid w:val="00AB5D24"/>
    <w:rsid w:val="00AB64E5"/>
    <w:rsid w:val="00AB6C31"/>
    <w:rsid w:val="00AB7213"/>
    <w:rsid w:val="00AB7442"/>
    <w:rsid w:val="00AB7888"/>
    <w:rsid w:val="00AC0BBF"/>
    <w:rsid w:val="00AC1226"/>
    <w:rsid w:val="00AC1686"/>
    <w:rsid w:val="00AC179A"/>
    <w:rsid w:val="00AC2484"/>
    <w:rsid w:val="00AC24F6"/>
    <w:rsid w:val="00AC299E"/>
    <w:rsid w:val="00AC2CC9"/>
    <w:rsid w:val="00AC2F23"/>
    <w:rsid w:val="00AC318F"/>
    <w:rsid w:val="00AC3535"/>
    <w:rsid w:val="00AC449D"/>
    <w:rsid w:val="00AC55C2"/>
    <w:rsid w:val="00AC5C6A"/>
    <w:rsid w:val="00AC5D05"/>
    <w:rsid w:val="00AC65AF"/>
    <w:rsid w:val="00AC7052"/>
    <w:rsid w:val="00AC70AF"/>
    <w:rsid w:val="00AC7703"/>
    <w:rsid w:val="00AC7736"/>
    <w:rsid w:val="00AC7E57"/>
    <w:rsid w:val="00AD0508"/>
    <w:rsid w:val="00AD0558"/>
    <w:rsid w:val="00AD05B2"/>
    <w:rsid w:val="00AD0DCF"/>
    <w:rsid w:val="00AD10E5"/>
    <w:rsid w:val="00AD1DF3"/>
    <w:rsid w:val="00AD1FF4"/>
    <w:rsid w:val="00AD23CC"/>
    <w:rsid w:val="00AD31EC"/>
    <w:rsid w:val="00AD3498"/>
    <w:rsid w:val="00AD35A4"/>
    <w:rsid w:val="00AD37F0"/>
    <w:rsid w:val="00AD3C2A"/>
    <w:rsid w:val="00AD3E6B"/>
    <w:rsid w:val="00AD4379"/>
    <w:rsid w:val="00AD4E47"/>
    <w:rsid w:val="00AD5D9A"/>
    <w:rsid w:val="00AD6676"/>
    <w:rsid w:val="00AD6833"/>
    <w:rsid w:val="00AD715B"/>
    <w:rsid w:val="00AD77FA"/>
    <w:rsid w:val="00AE0323"/>
    <w:rsid w:val="00AE1923"/>
    <w:rsid w:val="00AE1D4C"/>
    <w:rsid w:val="00AE2457"/>
    <w:rsid w:val="00AE252A"/>
    <w:rsid w:val="00AE2565"/>
    <w:rsid w:val="00AE2BAC"/>
    <w:rsid w:val="00AE3B43"/>
    <w:rsid w:val="00AE48A4"/>
    <w:rsid w:val="00AE4F38"/>
    <w:rsid w:val="00AE507F"/>
    <w:rsid w:val="00AE5427"/>
    <w:rsid w:val="00AE67C4"/>
    <w:rsid w:val="00AE6873"/>
    <w:rsid w:val="00AE6D21"/>
    <w:rsid w:val="00AE70EF"/>
    <w:rsid w:val="00AE7169"/>
    <w:rsid w:val="00AE7523"/>
    <w:rsid w:val="00AE7F9B"/>
    <w:rsid w:val="00AF0D16"/>
    <w:rsid w:val="00AF1DE2"/>
    <w:rsid w:val="00AF2806"/>
    <w:rsid w:val="00AF2A30"/>
    <w:rsid w:val="00AF3BEC"/>
    <w:rsid w:val="00AF406C"/>
    <w:rsid w:val="00AF428A"/>
    <w:rsid w:val="00AF4370"/>
    <w:rsid w:val="00AF498E"/>
    <w:rsid w:val="00AF4AF0"/>
    <w:rsid w:val="00AF4E90"/>
    <w:rsid w:val="00AF5912"/>
    <w:rsid w:val="00AF59AE"/>
    <w:rsid w:val="00AF5B5D"/>
    <w:rsid w:val="00AF5D8B"/>
    <w:rsid w:val="00AF5DBD"/>
    <w:rsid w:val="00AF60BF"/>
    <w:rsid w:val="00AF629F"/>
    <w:rsid w:val="00AF6AEC"/>
    <w:rsid w:val="00AF6B59"/>
    <w:rsid w:val="00AF7341"/>
    <w:rsid w:val="00AF7D80"/>
    <w:rsid w:val="00B0063B"/>
    <w:rsid w:val="00B00F17"/>
    <w:rsid w:val="00B01DB9"/>
    <w:rsid w:val="00B01E36"/>
    <w:rsid w:val="00B03B4D"/>
    <w:rsid w:val="00B04293"/>
    <w:rsid w:val="00B04643"/>
    <w:rsid w:val="00B04C10"/>
    <w:rsid w:val="00B055B1"/>
    <w:rsid w:val="00B0575B"/>
    <w:rsid w:val="00B05779"/>
    <w:rsid w:val="00B068E4"/>
    <w:rsid w:val="00B068FF"/>
    <w:rsid w:val="00B06BA0"/>
    <w:rsid w:val="00B06EA8"/>
    <w:rsid w:val="00B07DD0"/>
    <w:rsid w:val="00B115ED"/>
    <w:rsid w:val="00B117CB"/>
    <w:rsid w:val="00B117D7"/>
    <w:rsid w:val="00B11972"/>
    <w:rsid w:val="00B12516"/>
    <w:rsid w:val="00B12732"/>
    <w:rsid w:val="00B13785"/>
    <w:rsid w:val="00B13B8E"/>
    <w:rsid w:val="00B142E0"/>
    <w:rsid w:val="00B14312"/>
    <w:rsid w:val="00B14CF7"/>
    <w:rsid w:val="00B15237"/>
    <w:rsid w:val="00B154C1"/>
    <w:rsid w:val="00B17485"/>
    <w:rsid w:val="00B22822"/>
    <w:rsid w:val="00B22EBA"/>
    <w:rsid w:val="00B231BC"/>
    <w:rsid w:val="00B23278"/>
    <w:rsid w:val="00B23573"/>
    <w:rsid w:val="00B23ABE"/>
    <w:rsid w:val="00B23B67"/>
    <w:rsid w:val="00B24B78"/>
    <w:rsid w:val="00B24E97"/>
    <w:rsid w:val="00B25FEF"/>
    <w:rsid w:val="00B26303"/>
    <w:rsid w:val="00B26797"/>
    <w:rsid w:val="00B26BE1"/>
    <w:rsid w:val="00B26C98"/>
    <w:rsid w:val="00B26E4F"/>
    <w:rsid w:val="00B271E8"/>
    <w:rsid w:val="00B275D8"/>
    <w:rsid w:val="00B27680"/>
    <w:rsid w:val="00B27DA7"/>
    <w:rsid w:val="00B27F36"/>
    <w:rsid w:val="00B313F6"/>
    <w:rsid w:val="00B323E3"/>
    <w:rsid w:val="00B32506"/>
    <w:rsid w:val="00B32BF9"/>
    <w:rsid w:val="00B32F66"/>
    <w:rsid w:val="00B3325C"/>
    <w:rsid w:val="00B33364"/>
    <w:rsid w:val="00B33678"/>
    <w:rsid w:val="00B33DDF"/>
    <w:rsid w:val="00B33FD6"/>
    <w:rsid w:val="00B34406"/>
    <w:rsid w:val="00B3463B"/>
    <w:rsid w:val="00B34827"/>
    <w:rsid w:val="00B34AFD"/>
    <w:rsid w:val="00B3512D"/>
    <w:rsid w:val="00B354E2"/>
    <w:rsid w:val="00B358C1"/>
    <w:rsid w:val="00B3652D"/>
    <w:rsid w:val="00B36705"/>
    <w:rsid w:val="00B37073"/>
    <w:rsid w:val="00B40037"/>
    <w:rsid w:val="00B412F3"/>
    <w:rsid w:val="00B41861"/>
    <w:rsid w:val="00B41A1A"/>
    <w:rsid w:val="00B42107"/>
    <w:rsid w:val="00B4226E"/>
    <w:rsid w:val="00B428D3"/>
    <w:rsid w:val="00B4371F"/>
    <w:rsid w:val="00B440D1"/>
    <w:rsid w:val="00B44A28"/>
    <w:rsid w:val="00B44CF2"/>
    <w:rsid w:val="00B453BC"/>
    <w:rsid w:val="00B457E4"/>
    <w:rsid w:val="00B457F9"/>
    <w:rsid w:val="00B45869"/>
    <w:rsid w:val="00B45A65"/>
    <w:rsid w:val="00B45BBA"/>
    <w:rsid w:val="00B462D8"/>
    <w:rsid w:val="00B46347"/>
    <w:rsid w:val="00B46444"/>
    <w:rsid w:val="00B46E16"/>
    <w:rsid w:val="00B4762E"/>
    <w:rsid w:val="00B47DE4"/>
    <w:rsid w:val="00B507E3"/>
    <w:rsid w:val="00B51909"/>
    <w:rsid w:val="00B51CE3"/>
    <w:rsid w:val="00B52EAD"/>
    <w:rsid w:val="00B52F36"/>
    <w:rsid w:val="00B531A4"/>
    <w:rsid w:val="00B53A39"/>
    <w:rsid w:val="00B53E30"/>
    <w:rsid w:val="00B5474A"/>
    <w:rsid w:val="00B549A7"/>
    <w:rsid w:val="00B54B97"/>
    <w:rsid w:val="00B55825"/>
    <w:rsid w:val="00B558AD"/>
    <w:rsid w:val="00B55D4F"/>
    <w:rsid w:val="00B55E9E"/>
    <w:rsid w:val="00B56591"/>
    <w:rsid w:val="00B56ACA"/>
    <w:rsid w:val="00B57320"/>
    <w:rsid w:val="00B574FC"/>
    <w:rsid w:val="00B5752D"/>
    <w:rsid w:val="00B577AE"/>
    <w:rsid w:val="00B57AC2"/>
    <w:rsid w:val="00B60A5C"/>
    <w:rsid w:val="00B60E24"/>
    <w:rsid w:val="00B61068"/>
    <w:rsid w:val="00B6118D"/>
    <w:rsid w:val="00B62C41"/>
    <w:rsid w:val="00B64054"/>
    <w:rsid w:val="00B64A9A"/>
    <w:rsid w:val="00B666F5"/>
    <w:rsid w:val="00B66A53"/>
    <w:rsid w:val="00B66C43"/>
    <w:rsid w:val="00B6706A"/>
    <w:rsid w:val="00B6718B"/>
    <w:rsid w:val="00B6739C"/>
    <w:rsid w:val="00B674BE"/>
    <w:rsid w:val="00B67A5D"/>
    <w:rsid w:val="00B67BF5"/>
    <w:rsid w:val="00B70240"/>
    <w:rsid w:val="00B706E0"/>
    <w:rsid w:val="00B70E68"/>
    <w:rsid w:val="00B7111B"/>
    <w:rsid w:val="00B71BEA"/>
    <w:rsid w:val="00B71D0E"/>
    <w:rsid w:val="00B71D2A"/>
    <w:rsid w:val="00B71D57"/>
    <w:rsid w:val="00B71DE3"/>
    <w:rsid w:val="00B72616"/>
    <w:rsid w:val="00B7351F"/>
    <w:rsid w:val="00B743DF"/>
    <w:rsid w:val="00B74B6F"/>
    <w:rsid w:val="00B752A3"/>
    <w:rsid w:val="00B75640"/>
    <w:rsid w:val="00B75690"/>
    <w:rsid w:val="00B76433"/>
    <w:rsid w:val="00B76743"/>
    <w:rsid w:val="00B76EBE"/>
    <w:rsid w:val="00B77355"/>
    <w:rsid w:val="00B77E94"/>
    <w:rsid w:val="00B80321"/>
    <w:rsid w:val="00B81B04"/>
    <w:rsid w:val="00B81FE7"/>
    <w:rsid w:val="00B82AE5"/>
    <w:rsid w:val="00B82D16"/>
    <w:rsid w:val="00B838E8"/>
    <w:rsid w:val="00B847A7"/>
    <w:rsid w:val="00B84EB3"/>
    <w:rsid w:val="00B85FEE"/>
    <w:rsid w:val="00B863E7"/>
    <w:rsid w:val="00B8778B"/>
    <w:rsid w:val="00B87C95"/>
    <w:rsid w:val="00B9031C"/>
    <w:rsid w:val="00B90653"/>
    <w:rsid w:val="00B91213"/>
    <w:rsid w:val="00B925DB"/>
    <w:rsid w:val="00B9333B"/>
    <w:rsid w:val="00B934DE"/>
    <w:rsid w:val="00B938E4"/>
    <w:rsid w:val="00B94269"/>
    <w:rsid w:val="00B947BF"/>
    <w:rsid w:val="00B94A1E"/>
    <w:rsid w:val="00B94B69"/>
    <w:rsid w:val="00B94E55"/>
    <w:rsid w:val="00B94F87"/>
    <w:rsid w:val="00B951C1"/>
    <w:rsid w:val="00B9556E"/>
    <w:rsid w:val="00B95A50"/>
    <w:rsid w:val="00B95D2C"/>
    <w:rsid w:val="00B95DC7"/>
    <w:rsid w:val="00B963A6"/>
    <w:rsid w:val="00B96B43"/>
    <w:rsid w:val="00B96C52"/>
    <w:rsid w:val="00B96C53"/>
    <w:rsid w:val="00B96E50"/>
    <w:rsid w:val="00B973D0"/>
    <w:rsid w:val="00B975CF"/>
    <w:rsid w:val="00BA0F89"/>
    <w:rsid w:val="00BA1049"/>
    <w:rsid w:val="00BA179D"/>
    <w:rsid w:val="00BA1AFD"/>
    <w:rsid w:val="00BA217B"/>
    <w:rsid w:val="00BA2A85"/>
    <w:rsid w:val="00BA4525"/>
    <w:rsid w:val="00BA475F"/>
    <w:rsid w:val="00BA4BFB"/>
    <w:rsid w:val="00BA510A"/>
    <w:rsid w:val="00BA51F6"/>
    <w:rsid w:val="00BA5B47"/>
    <w:rsid w:val="00BA5ED6"/>
    <w:rsid w:val="00BA62EF"/>
    <w:rsid w:val="00BA648B"/>
    <w:rsid w:val="00BA6818"/>
    <w:rsid w:val="00BA77DE"/>
    <w:rsid w:val="00BA782E"/>
    <w:rsid w:val="00BA7A25"/>
    <w:rsid w:val="00BA7B21"/>
    <w:rsid w:val="00BA7F1B"/>
    <w:rsid w:val="00BB05F4"/>
    <w:rsid w:val="00BB0630"/>
    <w:rsid w:val="00BB0CA5"/>
    <w:rsid w:val="00BB0F61"/>
    <w:rsid w:val="00BB12F6"/>
    <w:rsid w:val="00BB13AC"/>
    <w:rsid w:val="00BB14DD"/>
    <w:rsid w:val="00BB174C"/>
    <w:rsid w:val="00BB3436"/>
    <w:rsid w:val="00BB3A7C"/>
    <w:rsid w:val="00BB3C90"/>
    <w:rsid w:val="00BB3D9E"/>
    <w:rsid w:val="00BB48F9"/>
    <w:rsid w:val="00BB51DC"/>
    <w:rsid w:val="00BB5776"/>
    <w:rsid w:val="00BB591D"/>
    <w:rsid w:val="00BB5B56"/>
    <w:rsid w:val="00BB6172"/>
    <w:rsid w:val="00BB6853"/>
    <w:rsid w:val="00BB6B0B"/>
    <w:rsid w:val="00BB6C0B"/>
    <w:rsid w:val="00BB6DEB"/>
    <w:rsid w:val="00BB6E54"/>
    <w:rsid w:val="00BB6F1C"/>
    <w:rsid w:val="00BB7144"/>
    <w:rsid w:val="00BB772D"/>
    <w:rsid w:val="00BB7A21"/>
    <w:rsid w:val="00BB7DB2"/>
    <w:rsid w:val="00BC062E"/>
    <w:rsid w:val="00BC091B"/>
    <w:rsid w:val="00BC13E1"/>
    <w:rsid w:val="00BC14C0"/>
    <w:rsid w:val="00BC23C0"/>
    <w:rsid w:val="00BC265E"/>
    <w:rsid w:val="00BC2978"/>
    <w:rsid w:val="00BC3563"/>
    <w:rsid w:val="00BC3677"/>
    <w:rsid w:val="00BC5795"/>
    <w:rsid w:val="00BC5D84"/>
    <w:rsid w:val="00BC66F9"/>
    <w:rsid w:val="00BC6794"/>
    <w:rsid w:val="00BC6B0B"/>
    <w:rsid w:val="00BC730B"/>
    <w:rsid w:val="00BC7C23"/>
    <w:rsid w:val="00BD00C1"/>
    <w:rsid w:val="00BD0750"/>
    <w:rsid w:val="00BD0E33"/>
    <w:rsid w:val="00BD1B8C"/>
    <w:rsid w:val="00BD1C96"/>
    <w:rsid w:val="00BD1D83"/>
    <w:rsid w:val="00BD283C"/>
    <w:rsid w:val="00BD35F1"/>
    <w:rsid w:val="00BD37BA"/>
    <w:rsid w:val="00BD383C"/>
    <w:rsid w:val="00BD4B63"/>
    <w:rsid w:val="00BD4CCC"/>
    <w:rsid w:val="00BD5031"/>
    <w:rsid w:val="00BD541B"/>
    <w:rsid w:val="00BD601C"/>
    <w:rsid w:val="00BD70AE"/>
    <w:rsid w:val="00BD7218"/>
    <w:rsid w:val="00BE0DCB"/>
    <w:rsid w:val="00BE1859"/>
    <w:rsid w:val="00BE24E9"/>
    <w:rsid w:val="00BE2D0C"/>
    <w:rsid w:val="00BE422F"/>
    <w:rsid w:val="00BE4477"/>
    <w:rsid w:val="00BE4B93"/>
    <w:rsid w:val="00BE538C"/>
    <w:rsid w:val="00BE6738"/>
    <w:rsid w:val="00BE756C"/>
    <w:rsid w:val="00BE7822"/>
    <w:rsid w:val="00BE7934"/>
    <w:rsid w:val="00BE7AC2"/>
    <w:rsid w:val="00BF01F1"/>
    <w:rsid w:val="00BF04AD"/>
    <w:rsid w:val="00BF07D6"/>
    <w:rsid w:val="00BF0A42"/>
    <w:rsid w:val="00BF1740"/>
    <w:rsid w:val="00BF2184"/>
    <w:rsid w:val="00BF2F32"/>
    <w:rsid w:val="00BF381C"/>
    <w:rsid w:val="00BF4607"/>
    <w:rsid w:val="00BF4733"/>
    <w:rsid w:val="00BF498B"/>
    <w:rsid w:val="00BF4EB8"/>
    <w:rsid w:val="00BF5363"/>
    <w:rsid w:val="00BF5D42"/>
    <w:rsid w:val="00BF60CD"/>
    <w:rsid w:val="00BF6690"/>
    <w:rsid w:val="00BF74EB"/>
    <w:rsid w:val="00BF7E99"/>
    <w:rsid w:val="00C0040C"/>
    <w:rsid w:val="00C00469"/>
    <w:rsid w:val="00C0047B"/>
    <w:rsid w:val="00C010FA"/>
    <w:rsid w:val="00C01B68"/>
    <w:rsid w:val="00C01BB0"/>
    <w:rsid w:val="00C0279B"/>
    <w:rsid w:val="00C02F70"/>
    <w:rsid w:val="00C03FC3"/>
    <w:rsid w:val="00C042FB"/>
    <w:rsid w:val="00C047D8"/>
    <w:rsid w:val="00C05422"/>
    <w:rsid w:val="00C05541"/>
    <w:rsid w:val="00C0591B"/>
    <w:rsid w:val="00C0643E"/>
    <w:rsid w:val="00C06FD8"/>
    <w:rsid w:val="00C07452"/>
    <w:rsid w:val="00C07AE4"/>
    <w:rsid w:val="00C10A2E"/>
    <w:rsid w:val="00C10E4A"/>
    <w:rsid w:val="00C10F84"/>
    <w:rsid w:val="00C1163D"/>
    <w:rsid w:val="00C11958"/>
    <w:rsid w:val="00C11D67"/>
    <w:rsid w:val="00C11E76"/>
    <w:rsid w:val="00C120B4"/>
    <w:rsid w:val="00C129C1"/>
    <w:rsid w:val="00C13EC6"/>
    <w:rsid w:val="00C14064"/>
    <w:rsid w:val="00C14145"/>
    <w:rsid w:val="00C14D49"/>
    <w:rsid w:val="00C15346"/>
    <w:rsid w:val="00C15E18"/>
    <w:rsid w:val="00C16DA8"/>
    <w:rsid w:val="00C17CD2"/>
    <w:rsid w:val="00C17D16"/>
    <w:rsid w:val="00C17EC4"/>
    <w:rsid w:val="00C202DC"/>
    <w:rsid w:val="00C20431"/>
    <w:rsid w:val="00C20D32"/>
    <w:rsid w:val="00C20DA8"/>
    <w:rsid w:val="00C20DF3"/>
    <w:rsid w:val="00C21563"/>
    <w:rsid w:val="00C21792"/>
    <w:rsid w:val="00C21910"/>
    <w:rsid w:val="00C21E6C"/>
    <w:rsid w:val="00C21FFB"/>
    <w:rsid w:val="00C2200C"/>
    <w:rsid w:val="00C220B5"/>
    <w:rsid w:val="00C22309"/>
    <w:rsid w:val="00C224D0"/>
    <w:rsid w:val="00C22E40"/>
    <w:rsid w:val="00C22E4B"/>
    <w:rsid w:val="00C22E7B"/>
    <w:rsid w:val="00C23E65"/>
    <w:rsid w:val="00C240D2"/>
    <w:rsid w:val="00C24652"/>
    <w:rsid w:val="00C24886"/>
    <w:rsid w:val="00C24A19"/>
    <w:rsid w:val="00C24A20"/>
    <w:rsid w:val="00C251CF"/>
    <w:rsid w:val="00C25770"/>
    <w:rsid w:val="00C2619D"/>
    <w:rsid w:val="00C262DD"/>
    <w:rsid w:val="00C26352"/>
    <w:rsid w:val="00C2636E"/>
    <w:rsid w:val="00C268C6"/>
    <w:rsid w:val="00C27F83"/>
    <w:rsid w:val="00C3074B"/>
    <w:rsid w:val="00C30904"/>
    <w:rsid w:val="00C310EC"/>
    <w:rsid w:val="00C318AF"/>
    <w:rsid w:val="00C31D26"/>
    <w:rsid w:val="00C321FC"/>
    <w:rsid w:val="00C324F0"/>
    <w:rsid w:val="00C3267E"/>
    <w:rsid w:val="00C327BC"/>
    <w:rsid w:val="00C33435"/>
    <w:rsid w:val="00C3360B"/>
    <w:rsid w:val="00C3385B"/>
    <w:rsid w:val="00C34193"/>
    <w:rsid w:val="00C35323"/>
    <w:rsid w:val="00C35747"/>
    <w:rsid w:val="00C35A2D"/>
    <w:rsid w:val="00C3671C"/>
    <w:rsid w:val="00C3678C"/>
    <w:rsid w:val="00C368B2"/>
    <w:rsid w:val="00C36FB7"/>
    <w:rsid w:val="00C37102"/>
    <w:rsid w:val="00C37435"/>
    <w:rsid w:val="00C37A49"/>
    <w:rsid w:val="00C4227F"/>
    <w:rsid w:val="00C42302"/>
    <w:rsid w:val="00C43770"/>
    <w:rsid w:val="00C43DB2"/>
    <w:rsid w:val="00C43F3C"/>
    <w:rsid w:val="00C44B2F"/>
    <w:rsid w:val="00C4508E"/>
    <w:rsid w:val="00C45463"/>
    <w:rsid w:val="00C46905"/>
    <w:rsid w:val="00C4786D"/>
    <w:rsid w:val="00C47DE2"/>
    <w:rsid w:val="00C50543"/>
    <w:rsid w:val="00C505BA"/>
    <w:rsid w:val="00C50835"/>
    <w:rsid w:val="00C5157D"/>
    <w:rsid w:val="00C52726"/>
    <w:rsid w:val="00C52A31"/>
    <w:rsid w:val="00C52CEE"/>
    <w:rsid w:val="00C530B7"/>
    <w:rsid w:val="00C53869"/>
    <w:rsid w:val="00C53C97"/>
    <w:rsid w:val="00C56DA7"/>
    <w:rsid w:val="00C56EA1"/>
    <w:rsid w:val="00C57277"/>
    <w:rsid w:val="00C57319"/>
    <w:rsid w:val="00C57A60"/>
    <w:rsid w:val="00C57C31"/>
    <w:rsid w:val="00C60E54"/>
    <w:rsid w:val="00C60ED4"/>
    <w:rsid w:val="00C61032"/>
    <w:rsid w:val="00C61102"/>
    <w:rsid w:val="00C61E12"/>
    <w:rsid w:val="00C620C3"/>
    <w:rsid w:val="00C6241F"/>
    <w:rsid w:val="00C624A9"/>
    <w:rsid w:val="00C62B22"/>
    <w:rsid w:val="00C63304"/>
    <w:rsid w:val="00C63BC0"/>
    <w:rsid w:val="00C63D7F"/>
    <w:rsid w:val="00C64D09"/>
    <w:rsid w:val="00C65AE0"/>
    <w:rsid w:val="00C661CD"/>
    <w:rsid w:val="00C66925"/>
    <w:rsid w:val="00C66FFA"/>
    <w:rsid w:val="00C6779C"/>
    <w:rsid w:val="00C67BA4"/>
    <w:rsid w:val="00C702FB"/>
    <w:rsid w:val="00C70B35"/>
    <w:rsid w:val="00C7112E"/>
    <w:rsid w:val="00C71A7E"/>
    <w:rsid w:val="00C71B29"/>
    <w:rsid w:val="00C71C06"/>
    <w:rsid w:val="00C71FAC"/>
    <w:rsid w:val="00C7234C"/>
    <w:rsid w:val="00C7346A"/>
    <w:rsid w:val="00C736A6"/>
    <w:rsid w:val="00C737B3"/>
    <w:rsid w:val="00C73BEB"/>
    <w:rsid w:val="00C73F09"/>
    <w:rsid w:val="00C744C0"/>
    <w:rsid w:val="00C74D6B"/>
    <w:rsid w:val="00C7524C"/>
    <w:rsid w:val="00C75AA9"/>
    <w:rsid w:val="00C766FC"/>
    <w:rsid w:val="00C76D6D"/>
    <w:rsid w:val="00C776FD"/>
    <w:rsid w:val="00C7774B"/>
    <w:rsid w:val="00C77879"/>
    <w:rsid w:val="00C77DF2"/>
    <w:rsid w:val="00C8020F"/>
    <w:rsid w:val="00C804E2"/>
    <w:rsid w:val="00C81842"/>
    <w:rsid w:val="00C8201D"/>
    <w:rsid w:val="00C8225E"/>
    <w:rsid w:val="00C82DF5"/>
    <w:rsid w:val="00C83948"/>
    <w:rsid w:val="00C83FC0"/>
    <w:rsid w:val="00C84351"/>
    <w:rsid w:val="00C84552"/>
    <w:rsid w:val="00C848BA"/>
    <w:rsid w:val="00C84F98"/>
    <w:rsid w:val="00C852CD"/>
    <w:rsid w:val="00C85810"/>
    <w:rsid w:val="00C86A07"/>
    <w:rsid w:val="00C87468"/>
    <w:rsid w:val="00C8799A"/>
    <w:rsid w:val="00C87FF5"/>
    <w:rsid w:val="00C903B9"/>
    <w:rsid w:val="00C90800"/>
    <w:rsid w:val="00C90877"/>
    <w:rsid w:val="00C91770"/>
    <w:rsid w:val="00C91C46"/>
    <w:rsid w:val="00C91E35"/>
    <w:rsid w:val="00C921B9"/>
    <w:rsid w:val="00C93087"/>
    <w:rsid w:val="00C93165"/>
    <w:rsid w:val="00C93944"/>
    <w:rsid w:val="00C9424C"/>
    <w:rsid w:val="00C94297"/>
    <w:rsid w:val="00C94660"/>
    <w:rsid w:val="00C94796"/>
    <w:rsid w:val="00C94C8D"/>
    <w:rsid w:val="00C9533D"/>
    <w:rsid w:val="00C95411"/>
    <w:rsid w:val="00C955AD"/>
    <w:rsid w:val="00C955D7"/>
    <w:rsid w:val="00C95F4E"/>
    <w:rsid w:val="00C96502"/>
    <w:rsid w:val="00C9688C"/>
    <w:rsid w:val="00C971AB"/>
    <w:rsid w:val="00C97654"/>
    <w:rsid w:val="00C978C8"/>
    <w:rsid w:val="00C97BC4"/>
    <w:rsid w:val="00C97E35"/>
    <w:rsid w:val="00CA043B"/>
    <w:rsid w:val="00CA062B"/>
    <w:rsid w:val="00CA0CFC"/>
    <w:rsid w:val="00CA1C86"/>
    <w:rsid w:val="00CA1CBB"/>
    <w:rsid w:val="00CA1D40"/>
    <w:rsid w:val="00CA2076"/>
    <w:rsid w:val="00CA2E6A"/>
    <w:rsid w:val="00CA301A"/>
    <w:rsid w:val="00CA33FB"/>
    <w:rsid w:val="00CA3632"/>
    <w:rsid w:val="00CA3981"/>
    <w:rsid w:val="00CA4552"/>
    <w:rsid w:val="00CA46A4"/>
    <w:rsid w:val="00CA4B8E"/>
    <w:rsid w:val="00CA4CB1"/>
    <w:rsid w:val="00CA52BC"/>
    <w:rsid w:val="00CA5A78"/>
    <w:rsid w:val="00CA5BD2"/>
    <w:rsid w:val="00CA6039"/>
    <w:rsid w:val="00CA6484"/>
    <w:rsid w:val="00CA68D4"/>
    <w:rsid w:val="00CA7C3B"/>
    <w:rsid w:val="00CB0479"/>
    <w:rsid w:val="00CB0A16"/>
    <w:rsid w:val="00CB0F3D"/>
    <w:rsid w:val="00CB1696"/>
    <w:rsid w:val="00CB1DCD"/>
    <w:rsid w:val="00CB2774"/>
    <w:rsid w:val="00CB285D"/>
    <w:rsid w:val="00CB2A32"/>
    <w:rsid w:val="00CB41FA"/>
    <w:rsid w:val="00CB4562"/>
    <w:rsid w:val="00CB47F9"/>
    <w:rsid w:val="00CB4D3C"/>
    <w:rsid w:val="00CB4F91"/>
    <w:rsid w:val="00CB5516"/>
    <w:rsid w:val="00CB5679"/>
    <w:rsid w:val="00CB5713"/>
    <w:rsid w:val="00CB68A2"/>
    <w:rsid w:val="00CB731B"/>
    <w:rsid w:val="00CB74A7"/>
    <w:rsid w:val="00CB7F3B"/>
    <w:rsid w:val="00CC01EB"/>
    <w:rsid w:val="00CC0A7F"/>
    <w:rsid w:val="00CC150E"/>
    <w:rsid w:val="00CC158F"/>
    <w:rsid w:val="00CC1F66"/>
    <w:rsid w:val="00CC25FD"/>
    <w:rsid w:val="00CC2932"/>
    <w:rsid w:val="00CC2CA2"/>
    <w:rsid w:val="00CC2E62"/>
    <w:rsid w:val="00CC2FBC"/>
    <w:rsid w:val="00CC30CE"/>
    <w:rsid w:val="00CC327F"/>
    <w:rsid w:val="00CC3624"/>
    <w:rsid w:val="00CC474A"/>
    <w:rsid w:val="00CC4BE7"/>
    <w:rsid w:val="00CC4C03"/>
    <w:rsid w:val="00CC4C62"/>
    <w:rsid w:val="00CC4D1A"/>
    <w:rsid w:val="00CC4EF2"/>
    <w:rsid w:val="00CC56A1"/>
    <w:rsid w:val="00CC61AA"/>
    <w:rsid w:val="00CC6875"/>
    <w:rsid w:val="00CC71A0"/>
    <w:rsid w:val="00CC75C2"/>
    <w:rsid w:val="00CC778A"/>
    <w:rsid w:val="00CC7F41"/>
    <w:rsid w:val="00CD0246"/>
    <w:rsid w:val="00CD03CF"/>
    <w:rsid w:val="00CD0842"/>
    <w:rsid w:val="00CD157B"/>
    <w:rsid w:val="00CD1B67"/>
    <w:rsid w:val="00CD21FE"/>
    <w:rsid w:val="00CD23D6"/>
    <w:rsid w:val="00CD2656"/>
    <w:rsid w:val="00CD365A"/>
    <w:rsid w:val="00CD3911"/>
    <w:rsid w:val="00CD3912"/>
    <w:rsid w:val="00CD3F18"/>
    <w:rsid w:val="00CD45E3"/>
    <w:rsid w:val="00CD4B8D"/>
    <w:rsid w:val="00CD5618"/>
    <w:rsid w:val="00CD5857"/>
    <w:rsid w:val="00CD5FFD"/>
    <w:rsid w:val="00CD688F"/>
    <w:rsid w:val="00CD6ACE"/>
    <w:rsid w:val="00CD7CCB"/>
    <w:rsid w:val="00CE02E6"/>
    <w:rsid w:val="00CE1043"/>
    <w:rsid w:val="00CE1B0F"/>
    <w:rsid w:val="00CE1F2E"/>
    <w:rsid w:val="00CE1F54"/>
    <w:rsid w:val="00CE31E5"/>
    <w:rsid w:val="00CE344C"/>
    <w:rsid w:val="00CE3564"/>
    <w:rsid w:val="00CE3ADC"/>
    <w:rsid w:val="00CE419A"/>
    <w:rsid w:val="00CE5D82"/>
    <w:rsid w:val="00CE6528"/>
    <w:rsid w:val="00CE6B16"/>
    <w:rsid w:val="00CE6BB0"/>
    <w:rsid w:val="00CE6F27"/>
    <w:rsid w:val="00CE7054"/>
    <w:rsid w:val="00CE76D3"/>
    <w:rsid w:val="00CE79FE"/>
    <w:rsid w:val="00CE7B16"/>
    <w:rsid w:val="00CE7E16"/>
    <w:rsid w:val="00CF010F"/>
    <w:rsid w:val="00CF01A9"/>
    <w:rsid w:val="00CF072B"/>
    <w:rsid w:val="00CF0ADD"/>
    <w:rsid w:val="00CF0AFE"/>
    <w:rsid w:val="00CF0D20"/>
    <w:rsid w:val="00CF1132"/>
    <w:rsid w:val="00CF176A"/>
    <w:rsid w:val="00CF20CC"/>
    <w:rsid w:val="00CF2344"/>
    <w:rsid w:val="00CF28EE"/>
    <w:rsid w:val="00CF2E9D"/>
    <w:rsid w:val="00CF3159"/>
    <w:rsid w:val="00CF3471"/>
    <w:rsid w:val="00CF347A"/>
    <w:rsid w:val="00CF402D"/>
    <w:rsid w:val="00CF431B"/>
    <w:rsid w:val="00CF500C"/>
    <w:rsid w:val="00CF5577"/>
    <w:rsid w:val="00CF62A8"/>
    <w:rsid w:val="00CF67BC"/>
    <w:rsid w:val="00CF6D2B"/>
    <w:rsid w:val="00CF6DF4"/>
    <w:rsid w:val="00CF6EA7"/>
    <w:rsid w:val="00CF6EFA"/>
    <w:rsid w:val="00CF75DB"/>
    <w:rsid w:val="00CF7684"/>
    <w:rsid w:val="00D0024E"/>
    <w:rsid w:val="00D00F0F"/>
    <w:rsid w:val="00D00FC1"/>
    <w:rsid w:val="00D00FC7"/>
    <w:rsid w:val="00D0212E"/>
    <w:rsid w:val="00D02668"/>
    <w:rsid w:val="00D04A80"/>
    <w:rsid w:val="00D04F7B"/>
    <w:rsid w:val="00D050A6"/>
    <w:rsid w:val="00D0512C"/>
    <w:rsid w:val="00D06211"/>
    <w:rsid w:val="00D06E9F"/>
    <w:rsid w:val="00D06FFF"/>
    <w:rsid w:val="00D07B7D"/>
    <w:rsid w:val="00D113E7"/>
    <w:rsid w:val="00D116F0"/>
    <w:rsid w:val="00D119B8"/>
    <w:rsid w:val="00D11B26"/>
    <w:rsid w:val="00D122BD"/>
    <w:rsid w:val="00D12A77"/>
    <w:rsid w:val="00D12E24"/>
    <w:rsid w:val="00D12E4D"/>
    <w:rsid w:val="00D13CD4"/>
    <w:rsid w:val="00D14332"/>
    <w:rsid w:val="00D15178"/>
    <w:rsid w:val="00D1522A"/>
    <w:rsid w:val="00D15901"/>
    <w:rsid w:val="00D15B0C"/>
    <w:rsid w:val="00D167E6"/>
    <w:rsid w:val="00D16F7A"/>
    <w:rsid w:val="00D16F9B"/>
    <w:rsid w:val="00D17457"/>
    <w:rsid w:val="00D17611"/>
    <w:rsid w:val="00D17E36"/>
    <w:rsid w:val="00D20677"/>
    <w:rsid w:val="00D21A5A"/>
    <w:rsid w:val="00D21BA4"/>
    <w:rsid w:val="00D22863"/>
    <w:rsid w:val="00D22A36"/>
    <w:rsid w:val="00D23502"/>
    <w:rsid w:val="00D24778"/>
    <w:rsid w:val="00D25ADF"/>
    <w:rsid w:val="00D25BE6"/>
    <w:rsid w:val="00D25C2E"/>
    <w:rsid w:val="00D25FFA"/>
    <w:rsid w:val="00D264A4"/>
    <w:rsid w:val="00D26C79"/>
    <w:rsid w:val="00D26DF4"/>
    <w:rsid w:val="00D26E87"/>
    <w:rsid w:val="00D27086"/>
    <w:rsid w:val="00D27CDB"/>
    <w:rsid w:val="00D30458"/>
    <w:rsid w:val="00D30B67"/>
    <w:rsid w:val="00D30BE1"/>
    <w:rsid w:val="00D30D2F"/>
    <w:rsid w:val="00D31529"/>
    <w:rsid w:val="00D3190D"/>
    <w:rsid w:val="00D3320D"/>
    <w:rsid w:val="00D3345B"/>
    <w:rsid w:val="00D33974"/>
    <w:rsid w:val="00D340C1"/>
    <w:rsid w:val="00D34219"/>
    <w:rsid w:val="00D346EB"/>
    <w:rsid w:val="00D34895"/>
    <w:rsid w:val="00D350F8"/>
    <w:rsid w:val="00D353B8"/>
    <w:rsid w:val="00D35DEF"/>
    <w:rsid w:val="00D362D1"/>
    <w:rsid w:val="00D36FEC"/>
    <w:rsid w:val="00D3723B"/>
    <w:rsid w:val="00D374CF"/>
    <w:rsid w:val="00D377B1"/>
    <w:rsid w:val="00D37996"/>
    <w:rsid w:val="00D37DF7"/>
    <w:rsid w:val="00D405B2"/>
    <w:rsid w:val="00D4101C"/>
    <w:rsid w:val="00D411AB"/>
    <w:rsid w:val="00D4180D"/>
    <w:rsid w:val="00D41BD7"/>
    <w:rsid w:val="00D41D83"/>
    <w:rsid w:val="00D41E32"/>
    <w:rsid w:val="00D42078"/>
    <w:rsid w:val="00D42726"/>
    <w:rsid w:val="00D42A50"/>
    <w:rsid w:val="00D42CC1"/>
    <w:rsid w:val="00D42F6C"/>
    <w:rsid w:val="00D43A1F"/>
    <w:rsid w:val="00D44755"/>
    <w:rsid w:val="00D44866"/>
    <w:rsid w:val="00D45EDA"/>
    <w:rsid w:val="00D46126"/>
    <w:rsid w:val="00D47048"/>
    <w:rsid w:val="00D474B0"/>
    <w:rsid w:val="00D47580"/>
    <w:rsid w:val="00D508A2"/>
    <w:rsid w:val="00D50DFF"/>
    <w:rsid w:val="00D512A4"/>
    <w:rsid w:val="00D5138A"/>
    <w:rsid w:val="00D51A7A"/>
    <w:rsid w:val="00D521C2"/>
    <w:rsid w:val="00D53401"/>
    <w:rsid w:val="00D5370C"/>
    <w:rsid w:val="00D53A72"/>
    <w:rsid w:val="00D54213"/>
    <w:rsid w:val="00D54F96"/>
    <w:rsid w:val="00D5509A"/>
    <w:rsid w:val="00D56D7F"/>
    <w:rsid w:val="00D57027"/>
    <w:rsid w:val="00D570F3"/>
    <w:rsid w:val="00D57379"/>
    <w:rsid w:val="00D578DF"/>
    <w:rsid w:val="00D60147"/>
    <w:rsid w:val="00D6064B"/>
    <w:rsid w:val="00D608CE"/>
    <w:rsid w:val="00D609B2"/>
    <w:rsid w:val="00D609BF"/>
    <w:rsid w:val="00D60C25"/>
    <w:rsid w:val="00D60DEF"/>
    <w:rsid w:val="00D61D9D"/>
    <w:rsid w:val="00D62119"/>
    <w:rsid w:val="00D6217D"/>
    <w:rsid w:val="00D6231B"/>
    <w:rsid w:val="00D62DFA"/>
    <w:rsid w:val="00D63ACC"/>
    <w:rsid w:val="00D640F3"/>
    <w:rsid w:val="00D65E2D"/>
    <w:rsid w:val="00D66949"/>
    <w:rsid w:val="00D67A60"/>
    <w:rsid w:val="00D70016"/>
    <w:rsid w:val="00D70178"/>
    <w:rsid w:val="00D701D4"/>
    <w:rsid w:val="00D703F6"/>
    <w:rsid w:val="00D7100B"/>
    <w:rsid w:val="00D71336"/>
    <w:rsid w:val="00D71461"/>
    <w:rsid w:val="00D71471"/>
    <w:rsid w:val="00D714AC"/>
    <w:rsid w:val="00D71C56"/>
    <w:rsid w:val="00D7211E"/>
    <w:rsid w:val="00D72859"/>
    <w:rsid w:val="00D72BCB"/>
    <w:rsid w:val="00D72C2A"/>
    <w:rsid w:val="00D73826"/>
    <w:rsid w:val="00D73AC8"/>
    <w:rsid w:val="00D73C72"/>
    <w:rsid w:val="00D73DDB"/>
    <w:rsid w:val="00D7519D"/>
    <w:rsid w:val="00D75281"/>
    <w:rsid w:val="00D75B25"/>
    <w:rsid w:val="00D7657C"/>
    <w:rsid w:val="00D76BAD"/>
    <w:rsid w:val="00D76E8B"/>
    <w:rsid w:val="00D76F16"/>
    <w:rsid w:val="00D7706C"/>
    <w:rsid w:val="00D77433"/>
    <w:rsid w:val="00D80A82"/>
    <w:rsid w:val="00D80F0E"/>
    <w:rsid w:val="00D810BB"/>
    <w:rsid w:val="00D814EC"/>
    <w:rsid w:val="00D81801"/>
    <w:rsid w:val="00D8205D"/>
    <w:rsid w:val="00D825C5"/>
    <w:rsid w:val="00D82A69"/>
    <w:rsid w:val="00D82E60"/>
    <w:rsid w:val="00D82FCF"/>
    <w:rsid w:val="00D844C1"/>
    <w:rsid w:val="00D846FB"/>
    <w:rsid w:val="00D84B97"/>
    <w:rsid w:val="00D84E58"/>
    <w:rsid w:val="00D84E93"/>
    <w:rsid w:val="00D85673"/>
    <w:rsid w:val="00D8567A"/>
    <w:rsid w:val="00D86512"/>
    <w:rsid w:val="00D86695"/>
    <w:rsid w:val="00D867A8"/>
    <w:rsid w:val="00D86A06"/>
    <w:rsid w:val="00D86ABB"/>
    <w:rsid w:val="00D86AD8"/>
    <w:rsid w:val="00D87080"/>
    <w:rsid w:val="00D87115"/>
    <w:rsid w:val="00D879C1"/>
    <w:rsid w:val="00D9051D"/>
    <w:rsid w:val="00D90A77"/>
    <w:rsid w:val="00D90BA1"/>
    <w:rsid w:val="00D91893"/>
    <w:rsid w:val="00D91911"/>
    <w:rsid w:val="00D91B8A"/>
    <w:rsid w:val="00D9376B"/>
    <w:rsid w:val="00D93E53"/>
    <w:rsid w:val="00D941BA"/>
    <w:rsid w:val="00D9449B"/>
    <w:rsid w:val="00D94A33"/>
    <w:rsid w:val="00D95349"/>
    <w:rsid w:val="00D967F6"/>
    <w:rsid w:val="00D97CB3"/>
    <w:rsid w:val="00DA018F"/>
    <w:rsid w:val="00DA037D"/>
    <w:rsid w:val="00DA0ADB"/>
    <w:rsid w:val="00DA182E"/>
    <w:rsid w:val="00DA1E23"/>
    <w:rsid w:val="00DA32AF"/>
    <w:rsid w:val="00DA33EF"/>
    <w:rsid w:val="00DA35AD"/>
    <w:rsid w:val="00DA3EAD"/>
    <w:rsid w:val="00DA3EE9"/>
    <w:rsid w:val="00DA4370"/>
    <w:rsid w:val="00DA477A"/>
    <w:rsid w:val="00DA4973"/>
    <w:rsid w:val="00DA5172"/>
    <w:rsid w:val="00DA5259"/>
    <w:rsid w:val="00DA545B"/>
    <w:rsid w:val="00DA5A10"/>
    <w:rsid w:val="00DA5D6A"/>
    <w:rsid w:val="00DA67B4"/>
    <w:rsid w:val="00DA6B61"/>
    <w:rsid w:val="00DA6CF4"/>
    <w:rsid w:val="00DA70E8"/>
    <w:rsid w:val="00DA73AF"/>
    <w:rsid w:val="00DA7CFE"/>
    <w:rsid w:val="00DB0056"/>
    <w:rsid w:val="00DB016D"/>
    <w:rsid w:val="00DB0C10"/>
    <w:rsid w:val="00DB0C40"/>
    <w:rsid w:val="00DB0DD9"/>
    <w:rsid w:val="00DB1023"/>
    <w:rsid w:val="00DB1950"/>
    <w:rsid w:val="00DB2032"/>
    <w:rsid w:val="00DB2A7D"/>
    <w:rsid w:val="00DB30F4"/>
    <w:rsid w:val="00DB39E2"/>
    <w:rsid w:val="00DB3A12"/>
    <w:rsid w:val="00DB3D95"/>
    <w:rsid w:val="00DB3E37"/>
    <w:rsid w:val="00DB3EE0"/>
    <w:rsid w:val="00DB49CD"/>
    <w:rsid w:val="00DB4D2C"/>
    <w:rsid w:val="00DB4E7F"/>
    <w:rsid w:val="00DB4FAD"/>
    <w:rsid w:val="00DB59FC"/>
    <w:rsid w:val="00DB5AB4"/>
    <w:rsid w:val="00DB6E07"/>
    <w:rsid w:val="00DB73D7"/>
    <w:rsid w:val="00DB7541"/>
    <w:rsid w:val="00DB7D54"/>
    <w:rsid w:val="00DB7ED2"/>
    <w:rsid w:val="00DC0D2B"/>
    <w:rsid w:val="00DC0E44"/>
    <w:rsid w:val="00DC17AE"/>
    <w:rsid w:val="00DC1926"/>
    <w:rsid w:val="00DC1C01"/>
    <w:rsid w:val="00DC1E36"/>
    <w:rsid w:val="00DC2670"/>
    <w:rsid w:val="00DC2886"/>
    <w:rsid w:val="00DC2A62"/>
    <w:rsid w:val="00DC2C50"/>
    <w:rsid w:val="00DC30EE"/>
    <w:rsid w:val="00DC390F"/>
    <w:rsid w:val="00DC3A85"/>
    <w:rsid w:val="00DC3E38"/>
    <w:rsid w:val="00DC46CB"/>
    <w:rsid w:val="00DC5CE2"/>
    <w:rsid w:val="00DC5DB6"/>
    <w:rsid w:val="00DC6BB2"/>
    <w:rsid w:val="00DC7552"/>
    <w:rsid w:val="00DC7624"/>
    <w:rsid w:val="00DC7C54"/>
    <w:rsid w:val="00DC7D21"/>
    <w:rsid w:val="00DD0024"/>
    <w:rsid w:val="00DD0241"/>
    <w:rsid w:val="00DD0E81"/>
    <w:rsid w:val="00DD2301"/>
    <w:rsid w:val="00DD2520"/>
    <w:rsid w:val="00DD28FB"/>
    <w:rsid w:val="00DD30CB"/>
    <w:rsid w:val="00DD3791"/>
    <w:rsid w:val="00DD3A1E"/>
    <w:rsid w:val="00DD4752"/>
    <w:rsid w:val="00DD488F"/>
    <w:rsid w:val="00DD4D46"/>
    <w:rsid w:val="00DD4DAF"/>
    <w:rsid w:val="00DD56E2"/>
    <w:rsid w:val="00DD5948"/>
    <w:rsid w:val="00DD6294"/>
    <w:rsid w:val="00DD67E5"/>
    <w:rsid w:val="00DD6A57"/>
    <w:rsid w:val="00DD6DE4"/>
    <w:rsid w:val="00DD7848"/>
    <w:rsid w:val="00DD7EAF"/>
    <w:rsid w:val="00DE0DAC"/>
    <w:rsid w:val="00DE0FBE"/>
    <w:rsid w:val="00DE1B18"/>
    <w:rsid w:val="00DE1D5F"/>
    <w:rsid w:val="00DE20F1"/>
    <w:rsid w:val="00DE21F5"/>
    <w:rsid w:val="00DE2445"/>
    <w:rsid w:val="00DE2792"/>
    <w:rsid w:val="00DE2EB4"/>
    <w:rsid w:val="00DE34E7"/>
    <w:rsid w:val="00DE357C"/>
    <w:rsid w:val="00DE3650"/>
    <w:rsid w:val="00DE37AE"/>
    <w:rsid w:val="00DE38E9"/>
    <w:rsid w:val="00DE3A21"/>
    <w:rsid w:val="00DE3CCD"/>
    <w:rsid w:val="00DE3CE5"/>
    <w:rsid w:val="00DE4063"/>
    <w:rsid w:val="00DE472C"/>
    <w:rsid w:val="00DE5E6C"/>
    <w:rsid w:val="00DE6425"/>
    <w:rsid w:val="00DE6EB9"/>
    <w:rsid w:val="00DE7B6E"/>
    <w:rsid w:val="00DF0532"/>
    <w:rsid w:val="00DF074F"/>
    <w:rsid w:val="00DF0B4D"/>
    <w:rsid w:val="00DF12B3"/>
    <w:rsid w:val="00DF1783"/>
    <w:rsid w:val="00DF1842"/>
    <w:rsid w:val="00DF1A16"/>
    <w:rsid w:val="00DF1C08"/>
    <w:rsid w:val="00DF21F4"/>
    <w:rsid w:val="00DF2583"/>
    <w:rsid w:val="00DF26B1"/>
    <w:rsid w:val="00DF2CE5"/>
    <w:rsid w:val="00DF2E7F"/>
    <w:rsid w:val="00DF3158"/>
    <w:rsid w:val="00DF3219"/>
    <w:rsid w:val="00DF3DA5"/>
    <w:rsid w:val="00DF4435"/>
    <w:rsid w:val="00DF467D"/>
    <w:rsid w:val="00DF47F8"/>
    <w:rsid w:val="00DF4FB9"/>
    <w:rsid w:val="00DF6037"/>
    <w:rsid w:val="00DF60F3"/>
    <w:rsid w:val="00DF7942"/>
    <w:rsid w:val="00DF7C09"/>
    <w:rsid w:val="00E001D0"/>
    <w:rsid w:val="00E00419"/>
    <w:rsid w:val="00E00569"/>
    <w:rsid w:val="00E0064F"/>
    <w:rsid w:val="00E00737"/>
    <w:rsid w:val="00E0085F"/>
    <w:rsid w:val="00E00A9C"/>
    <w:rsid w:val="00E00EF7"/>
    <w:rsid w:val="00E01412"/>
    <w:rsid w:val="00E014CA"/>
    <w:rsid w:val="00E01CA7"/>
    <w:rsid w:val="00E02E95"/>
    <w:rsid w:val="00E033BA"/>
    <w:rsid w:val="00E03692"/>
    <w:rsid w:val="00E036E5"/>
    <w:rsid w:val="00E0382F"/>
    <w:rsid w:val="00E03980"/>
    <w:rsid w:val="00E03D17"/>
    <w:rsid w:val="00E041EC"/>
    <w:rsid w:val="00E04674"/>
    <w:rsid w:val="00E047AD"/>
    <w:rsid w:val="00E050F0"/>
    <w:rsid w:val="00E058EE"/>
    <w:rsid w:val="00E05FC9"/>
    <w:rsid w:val="00E06676"/>
    <w:rsid w:val="00E06836"/>
    <w:rsid w:val="00E06840"/>
    <w:rsid w:val="00E06A0D"/>
    <w:rsid w:val="00E075DE"/>
    <w:rsid w:val="00E07AA3"/>
    <w:rsid w:val="00E07AB5"/>
    <w:rsid w:val="00E11DB0"/>
    <w:rsid w:val="00E1213E"/>
    <w:rsid w:val="00E12CBB"/>
    <w:rsid w:val="00E12D6C"/>
    <w:rsid w:val="00E12EDF"/>
    <w:rsid w:val="00E132F3"/>
    <w:rsid w:val="00E13E81"/>
    <w:rsid w:val="00E14268"/>
    <w:rsid w:val="00E1448C"/>
    <w:rsid w:val="00E14B7B"/>
    <w:rsid w:val="00E14D04"/>
    <w:rsid w:val="00E1520B"/>
    <w:rsid w:val="00E15B3A"/>
    <w:rsid w:val="00E15B76"/>
    <w:rsid w:val="00E16380"/>
    <w:rsid w:val="00E16B28"/>
    <w:rsid w:val="00E16D2F"/>
    <w:rsid w:val="00E17206"/>
    <w:rsid w:val="00E1720E"/>
    <w:rsid w:val="00E17B40"/>
    <w:rsid w:val="00E17D6E"/>
    <w:rsid w:val="00E17F71"/>
    <w:rsid w:val="00E21224"/>
    <w:rsid w:val="00E22E87"/>
    <w:rsid w:val="00E2360B"/>
    <w:rsid w:val="00E23C52"/>
    <w:rsid w:val="00E23C67"/>
    <w:rsid w:val="00E23CEF"/>
    <w:rsid w:val="00E25014"/>
    <w:rsid w:val="00E25696"/>
    <w:rsid w:val="00E25709"/>
    <w:rsid w:val="00E2631F"/>
    <w:rsid w:val="00E265C0"/>
    <w:rsid w:val="00E26A6B"/>
    <w:rsid w:val="00E27665"/>
    <w:rsid w:val="00E278AC"/>
    <w:rsid w:val="00E27BEE"/>
    <w:rsid w:val="00E3052B"/>
    <w:rsid w:val="00E30729"/>
    <w:rsid w:val="00E30D5D"/>
    <w:rsid w:val="00E30DCA"/>
    <w:rsid w:val="00E31710"/>
    <w:rsid w:val="00E32188"/>
    <w:rsid w:val="00E328D8"/>
    <w:rsid w:val="00E32CE2"/>
    <w:rsid w:val="00E32D37"/>
    <w:rsid w:val="00E33A4B"/>
    <w:rsid w:val="00E33C12"/>
    <w:rsid w:val="00E33F65"/>
    <w:rsid w:val="00E34142"/>
    <w:rsid w:val="00E3495E"/>
    <w:rsid w:val="00E3737C"/>
    <w:rsid w:val="00E37667"/>
    <w:rsid w:val="00E406DA"/>
    <w:rsid w:val="00E40850"/>
    <w:rsid w:val="00E4085B"/>
    <w:rsid w:val="00E40ADA"/>
    <w:rsid w:val="00E415FC"/>
    <w:rsid w:val="00E4170E"/>
    <w:rsid w:val="00E41943"/>
    <w:rsid w:val="00E4199C"/>
    <w:rsid w:val="00E4225A"/>
    <w:rsid w:val="00E430B6"/>
    <w:rsid w:val="00E43398"/>
    <w:rsid w:val="00E43FB8"/>
    <w:rsid w:val="00E44214"/>
    <w:rsid w:val="00E44A83"/>
    <w:rsid w:val="00E44BFF"/>
    <w:rsid w:val="00E44C59"/>
    <w:rsid w:val="00E44E7C"/>
    <w:rsid w:val="00E44E8D"/>
    <w:rsid w:val="00E45377"/>
    <w:rsid w:val="00E4549D"/>
    <w:rsid w:val="00E45BF2"/>
    <w:rsid w:val="00E45DEA"/>
    <w:rsid w:val="00E472A3"/>
    <w:rsid w:val="00E47684"/>
    <w:rsid w:val="00E47D29"/>
    <w:rsid w:val="00E47F9B"/>
    <w:rsid w:val="00E50C4C"/>
    <w:rsid w:val="00E50EA9"/>
    <w:rsid w:val="00E51829"/>
    <w:rsid w:val="00E51E48"/>
    <w:rsid w:val="00E5324B"/>
    <w:rsid w:val="00E538FD"/>
    <w:rsid w:val="00E54291"/>
    <w:rsid w:val="00E5459C"/>
    <w:rsid w:val="00E549C2"/>
    <w:rsid w:val="00E557B5"/>
    <w:rsid w:val="00E56BD8"/>
    <w:rsid w:val="00E56F3C"/>
    <w:rsid w:val="00E57B6A"/>
    <w:rsid w:val="00E6036F"/>
    <w:rsid w:val="00E607D4"/>
    <w:rsid w:val="00E60952"/>
    <w:rsid w:val="00E60D85"/>
    <w:rsid w:val="00E61E23"/>
    <w:rsid w:val="00E620A6"/>
    <w:rsid w:val="00E6210D"/>
    <w:rsid w:val="00E62171"/>
    <w:rsid w:val="00E62768"/>
    <w:rsid w:val="00E636D1"/>
    <w:rsid w:val="00E63F38"/>
    <w:rsid w:val="00E6462C"/>
    <w:rsid w:val="00E64656"/>
    <w:rsid w:val="00E6499A"/>
    <w:rsid w:val="00E652FF"/>
    <w:rsid w:val="00E65BCA"/>
    <w:rsid w:val="00E66281"/>
    <w:rsid w:val="00E66365"/>
    <w:rsid w:val="00E669D5"/>
    <w:rsid w:val="00E67497"/>
    <w:rsid w:val="00E676F9"/>
    <w:rsid w:val="00E714F7"/>
    <w:rsid w:val="00E71702"/>
    <w:rsid w:val="00E719D3"/>
    <w:rsid w:val="00E720FD"/>
    <w:rsid w:val="00E720FE"/>
    <w:rsid w:val="00E72A86"/>
    <w:rsid w:val="00E72C29"/>
    <w:rsid w:val="00E73583"/>
    <w:rsid w:val="00E73BE1"/>
    <w:rsid w:val="00E74EE7"/>
    <w:rsid w:val="00E758E0"/>
    <w:rsid w:val="00E76052"/>
    <w:rsid w:val="00E76782"/>
    <w:rsid w:val="00E76956"/>
    <w:rsid w:val="00E77030"/>
    <w:rsid w:val="00E779CB"/>
    <w:rsid w:val="00E77C4F"/>
    <w:rsid w:val="00E80B80"/>
    <w:rsid w:val="00E814BC"/>
    <w:rsid w:val="00E81603"/>
    <w:rsid w:val="00E81A4E"/>
    <w:rsid w:val="00E81FCA"/>
    <w:rsid w:val="00E83CFF"/>
    <w:rsid w:val="00E83D1B"/>
    <w:rsid w:val="00E84AB4"/>
    <w:rsid w:val="00E84B48"/>
    <w:rsid w:val="00E84EBF"/>
    <w:rsid w:val="00E8590A"/>
    <w:rsid w:val="00E85F07"/>
    <w:rsid w:val="00E85F38"/>
    <w:rsid w:val="00E85FC0"/>
    <w:rsid w:val="00E861A8"/>
    <w:rsid w:val="00E86ED2"/>
    <w:rsid w:val="00E87629"/>
    <w:rsid w:val="00E87846"/>
    <w:rsid w:val="00E87853"/>
    <w:rsid w:val="00E87A66"/>
    <w:rsid w:val="00E90346"/>
    <w:rsid w:val="00E90402"/>
    <w:rsid w:val="00E90423"/>
    <w:rsid w:val="00E9047F"/>
    <w:rsid w:val="00E90630"/>
    <w:rsid w:val="00E912CC"/>
    <w:rsid w:val="00E91621"/>
    <w:rsid w:val="00E91C47"/>
    <w:rsid w:val="00E91D47"/>
    <w:rsid w:val="00E92935"/>
    <w:rsid w:val="00E9342F"/>
    <w:rsid w:val="00E935D9"/>
    <w:rsid w:val="00E949D3"/>
    <w:rsid w:val="00E96473"/>
    <w:rsid w:val="00E9686D"/>
    <w:rsid w:val="00E97928"/>
    <w:rsid w:val="00E97A5E"/>
    <w:rsid w:val="00EA04A2"/>
    <w:rsid w:val="00EA0BD4"/>
    <w:rsid w:val="00EA0D57"/>
    <w:rsid w:val="00EA0E45"/>
    <w:rsid w:val="00EA1848"/>
    <w:rsid w:val="00EA1EAD"/>
    <w:rsid w:val="00EA205B"/>
    <w:rsid w:val="00EA3D6B"/>
    <w:rsid w:val="00EA45CC"/>
    <w:rsid w:val="00EA4907"/>
    <w:rsid w:val="00EA4974"/>
    <w:rsid w:val="00EA4A2E"/>
    <w:rsid w:val="00EA4E69"/>
    <w:rsid w:val="00EA5618"/>
    <w:rsid w:val="00EA5645"/>
    <w:rsid w:val="00EA59A0"/>
    <w:rsid w:val="00EA6303"/>
    <w:rsid w:val="00EA6872"/>
    <w:rsid w:val="00EA697A"/>
    <w:rsid w:val="00EA6B90"/>
    <w:rsid w:val="00EA6B93"/>
    <w:rsid w:val="00EA6EA1"/>
    <w:rsid w:val="00EA6ED6"/>
    <w:rsid w:val="00EA714F"/>
    <w:rsid w:val="00EA7A0F"/>
    <w:rsid w:val="00EB04B5"/>
    <w:rsid w:val="00EB09CB"/>
    <w:rsid w:val="00EB1073"/>
    <w:rsid w:val="00EB199B"/>
    <w:rsid w:val="00EB1D24"/>
    <w:rsid w:val="00EB1DFC"/>
    <w:rsid w:val="00EB210B"/>
    <w:rsid w:val="00EB269D"/>
    <w:rsid w:val="00EB2979"/>
    <w:rsid w:val="00EB39F9"/>
    <w:rsid w:val="00EB3BCE"/>
    <w:rsid w:val="00EB3CC7"/>
    <w:rsid w:val="00EB47E5"/>
    <w:rsid w:val="00EB5877"/>
    <w:rsid w:val="00EB5CAD"/>
    <w:rsid w:val="00EB5CE3"/>
    <w:rsid w:val="00EB5D52"/>
    <w:rsid w:val="00EB6195"/>
    <w:rsid w:val="00EB621E"/>
    <w:rsid w:val="00EB65A1"/>
    <w:rsid w:val="00EB6633"/>
    <w:rsid w:val="00EB684B"/>
    <w:rsid w:val="00EB7584"/>
    <w:rsid w:val="00EB7939"/>
    <w:rsid w:val="00EB7C89"/>
    <w:rsid w:val="00EC00FA"/>
    <w:rsid w:val="00EC0683"/>
    <w:rsid w:val="00EC0698"/>
    <w:rsid w:val="00EC0BF9"/>
    <w:rsid w:val="00EC0DD2"/>
    <w:rsid w:val="00EC0E14"/>
    <w:rsid w:val="00EC0E73"/>
    <w:rsid w:val="00EC13D5"/>
    <w:rsid w:val="00EC1543"/>
    <w:rsid w:val="00EC1BC1"/>
    <w:rsid w:val="00EC23B5"/>
    <w:rsid w:val="00EC25EB"/>
    <w:rsid w:val="00EC2961"/>
    <w:rsid w:val="00EC2C2F"/>
    <w:rsid w:val="00EC2CF2"/>
    <w:rsid w:val="00EC2D88"/>
    <w:rsid w:val="00EC2E03"/>
    <w:rsid w:val="00EC3159"/>
    <w:rsid w:val="00EC323A"/>
    <w:rsid w:val="00EC34E3"/>
    <w:rsid w:val="00EC3A7F"/>
    <w:rsid w:val="00EC3B32"/>
    <w:rsid w:val="00EC3D4A"/>
    <w:rsid w:val="00EC4820"/>
    <w:rsid w:val="00EC5DD1"/>
    <w:rsid w:val="00EC5E9D"/>
    <w:rsid w:val="00EC6ADB"/>
    <w:rsid w:val="00EC6C74"/>
    <w:rsid w:val="00EC70DF"/>
    <w:rsid w:val="00EC70F7"/>
    <w:rsid w:val="00EC7EB7"/>
    <w:rsid w:val="00ED053F"/>
    <w:rsid w:val="00ED1071"/>
    <w:rsid w:val="00ED1A2D"/>
    <w:rsid w:val="00ED241C"/>
    <w:rsid w:val="00ED246C"/>
    <w:rsid w:val="00ED28D4"/>
    <w:rsid w:val="00ED291F"/>
    <w:rsid w:val="00ED2936"/>
    <w:rsid w:val="00ED2F2E"/>
    <w:rsid w:val="00ED35C0"/>
    <w:rsid w:val="00ED3A50"/>
    <w:rsid w:val="00ED46D7"/>
    <w:rsid w:val="00ED4A0D"/>
    <w:rsid w:val="00ED542F"/>
    <w:rsid w:val="00ED5977"/>
    <w:rsid w:val="00ED6A8D"/>
    <w:rsid w:val="00ED6B2E"/>
    <w:rsid w:val="00ED6F52"/>
    <w:rsid w:val="00ED710B"/>
    <w:rsid w:val="00ED7133"/>
    <w:rsid w:val="00EE11F8"/>
    <w:rsid w:val="00EE1486"/>
    <w:rsid w:val="00EE27E2"/>
    <w:rsid w:val="00EE2819"/>
    <w:rsid w:val="00EE2EC4"/>
    <w:rsid w:val="00EE38B4"/>
    <w:rsid w:val="00EE392A"/>
    <w:rsid w:val="00EE3F23"/>
    <w:rsid w:val="00EE4383"/>
    <w:rsid w:val="00EE59ED"/>
    <w:rsid w:val="00EE6168"/>
    <w:rsid w:val="00EE6853"/>
    <w:rsid w:val="00EE6C9F"/>
    <w:rsid w:val="00EE7E5F"/>
    <w:rsid w:val="00EF04B9"/>
    <w:rsid w:val="00EF067D"/>
    <w:rsid w:val="00EF102C"/>
    <w:rsid w:val="00EF105D"/>
    <w:rsid w:val="00EF155A"/>
    <w:rsid w:val="00EF176F"/>
    <w:rsid w:val="00EF1978"/>
    <w:rsid w:val="00EF24F5"/>
    <w:rsid w:val="00EF2565"/>
    <w:rsid w:val="00EF27D0"/>
    <w:rsid w:val="00EF28B1"/>
    <w:rsid w:val="00EF2C82"/>
    <w:rsid w:val="00EF2DE8"/>
    <w:rsid w:val="00EF32F6"/>
    <w:rsid w:val="00EF34F8"/>
    <w:rsid w:val="00EF4580"/>
    <w:rsid w:val="00EF539F"/>
    <w:rsid w:val="00EF5632"/>
    <w:rsid w:val="00EF662C"/>
    <w:rsid w:val="00EF6928"/>
    <w:rsid w:val="00EF6E11"/>
    <w:rsid w:val="00EF6E56"/>
    <w:rsid w:val="00EF75DC"/>
    <w:rsid w:val="00F0129A"/>
    <w:rsid w:val="00F016E4"/>
    <w:rsid w:val="00F019E4"/>
    <w:rsid w:val="00F03A7D"/>
    <w:rsid w:val="00F03C06"/>
    <w:rsid w:val="00F04097"/>
    <w:rsid w:val="00F045E2"/>
    <w:rsid w:val="00F04724"/>
    <w:rsid w:val="00F05409"/>
    <w:rsid w:val="00F05F94"/>
    <w:rsid w:val="00F063EA"/>
    <w:rsid w:val="00F0689B"/>
    <w:rsid w:val="00F06A9B"/>
    <w:rsid w:val="00F06E52"/>
    <w:rsid w:val="00F06E7C"/>
    <w:rsid w:val="00F06F62"/>
    <w:rsid w:val="00F078FD"/>
    <w:rsid w:val="00F079EC"/>
    <w:rsid w:val="00F07EC3"/>
    <w:rsid w:val="00F100E0"/>
    <w:rsid w:val="00F10625"/>
    <w:rsid w:val="00F1079D"/>
    <w:rsid w:val="00F10F97"/>
    <w:rsid w:val="00F11209"/>
    <w:rsid w:val="00F1134A"/>
    <w:rsid w:val="00F11A83"/>
    <w:rsid w:val="00F11C39"/>
    <w:rsid w:val="00F11CEB"/>
    <w:rsid w:val="00F12388"/>
    <w:rsid w:val="00F1248F"/>
    <w:rsid w:val="00F1264C"/>
    <w:rsid w:val="00F130E7"/>
    <w:rsid w:val="00F13573"/>
    <w:rsid w:val="00F13E9C"/>
    <w:rsid w:val="00F14673"/>
    <w:rsid w:val="00F1469A"/>
    <w:rsid w:val="00F1480E"/>
    <w:rsid w:val="00F149A3"/>
    <w:rsid w:val="00F1525F"/>
    <w:rsid w:val="00F15443"/>
    <w:rsid w:val="00F15BD1"/>
    <w:rsid w:val="00F1677E"/>
    <w:rsid w:val="00F16802"/>
    <w:rsid w:val="00F16E20"/>
    <w:rsid w:val="00F170D1"/>
    <w:rsid w:val="00F1767B"/>
    <w:rsid w:val="00F20E6E"/>
    <w:rsid w:val="00F20F9C"/>
    <w:rsid w:val="00F211C1"/>
    <w:rsid w:val="00F21AEF"/>
    <w:rsid w:val="00F21EEB"/>
    <w:rsid w:val="00F22157"/>
    <w:rsid w:val="00F229C9"/>
    <w:rsid w:val="00F23077"/>
    <w:rsid w:val="00F234F2"/>
    <w:rsid w:val="00F2578C"/>
    <w:rsid w:val="00F25F15"/>
    <w:rsid w:val="00F26758"/>
    <w:rsid w:val="00F26877"/>
    <w:rsid w:val="00F2691D"/>
    <w:rsid w:val="00F26B08"/>
    <w:rsid w:val="00F27950"/>
    <w:rsid w:val="00F27C7B"/>
    <w:rsid w:val="00F30562"/>
    <w:rsid w:val="00F30CB3"/>
    <w:rsid w:val="00F3163A"/>
    <w:rsid w:val="00F31A97"/>
    <w:rsid w:val="00F320EB"/>
    <w:rsid w:val="00F32E30"/>
    <w:rsid w:val="00F3344A"/>
    <w:rsid w:val="00F3372C"/>
    <w:rsid w:val="00F33FEC"/>
    <w:rsid w:val="00F3447C"/>
    <w:rsid w:val="00F35519"/>
    <w:rsid w:val="00F35842"/>
    <w:rsid w:val="00F36501"/>
    <w:rsid w:val="00F36694"/>
    <w:rsid w:val="00F36CD4"/>
    <w:rsid w:val="00F37033"/>
    <w:rsid w:val="00F373F8"/>
    <w:rsid w:val="00F3767D"/>
    <w:rsid w:val="00F378E0"/>
    <w:rsid w:val="00F4093E"/>
    <w:rsid w:val="00F40970"/>
    <w:rsid w:val="00F40CB9"/>
    <w:rsid w:val="00F40CE4"/>
    <w:rsid w:val="00F40EC8"/>
    <w:rsid w:val="00F4170C"/>
    <w:rsid w:val="00F41879"/>
    <w:rsid w:val="00F41CFF"/>
    <w:rsid w:val="00F4243B"/>
    <w:rsid w:val="00F42646"/>
    <w:rsid w:val="00F42EA6"/>
    <w:rsid w:val="00F43598"/>
    <w:rsid w:val="00F43A0D"/>
    <w:rsid w:val="00F44755"/>
    <w:rsid w:val="00F46613"/>
    <w:rsid w:val="00F4667C"/>
    <w:rsid w:val="00F46963"/>
    <w:rsid w:val="00F46D0D"/>
    <w:rsid w:val="00F47047"/>
    <w:rsid w:val="00F4798F"/>
    <w:rsid w:val="00F47D8C"/>
    <w:rsid w:val="00F50392"/>
    <w:rsid w:val="00F503C5"/>
    <w:rsid w:val="00F50828"/>
    <w:rsid w:val="00F50AA7"/>
    <w:rsid w:val="00F53002"/>
    <w:rsid w:val="00F531AB"/>
    <w:rsid w:val="00F5331C"/>
    <w:rsid w:val="00F533B5"/>
    <w:rsid w:val="00F539C7"/>
    <w:rsid w:val="00F5410C"/>
    <w:rsid w:val="00F54455"/>
    <w:rsid w:val="00F54714"/>
    <w:rsid w:val="00F54865"/>
    <w:rsid w:val="00F54BA2"/>
    <w:rsid w:val="00F558D4"/>
    <w:rsid w:val="00F55913"/>
    <w:rsid w:val="00F55FFC"/>
    <w:rsid w:val="00F56709"/>
    <w:rsid w:val="00F56DAD"/>
    <w:rsid w:val="00F56F60"/>
    <w:rsid w:val="00F577C6"/>
    <w:rsid w:val="00F57800"/>
    <w:rsid w:val="00F578F4"/>
    <w:rsid w:val="00F57A73"/>
    <w:rsid w:val="00F603F5"/>
    <w:rsid w:val="00F6185D"/>
    <w:rsid w:val="00F62238"/>
    <w:rsid w:val="00F62391"/>
    <w:rsid w:val="00F62596"/>
    <w:rsid w:val="00F62A2D"/>
    <w:rsid w:val="00F63658"/>
    <w:rsid w:val="00F63A0E"/>
    <w:rsid w:val="00F63E05"/>
    <w:rsid w:val="00F642C3"/>
    <w:rsid w:val="00F642E8"/>
    <w:rsid w:val="00F64B72"/>
    <w:rsid w:val="00F64FC3"/>
    <w:rsid w:val="00F655FC"/>
    <w:rsid w:val="00F65A96"/>
    <w:rsid w:val="00F65B4B"/>
    <w:rsid w:val="00F66224"/>
    <w:rsid w:val="00F669B5"/>
    <w:rsid w:val="00F66E54"/>
    <w:rsid w:val="00F66F43"/>
    <w:rsid w:val="00F70042"/>
    <w:rsid w:val="00F70CFC"/>
    <w:rsid w:val="00F7113A"/>
    <w:rsid w:val="00F7132A"/>
    <w:rsid w:val="00F721EA"/>
    <w:rsid w:val="00F726C7"/>
    <w:rsid w:val="00F72B0E"/>
    <w:rsid w:val="00F72BF8"/>
    <w:rsid w:val="00F72D40"/>
    <w:rsid w:val="00F72F42"/>
    <w:rsid w:val="00F73016"/>
    <w:rsid w:val="00F731D2"/>
    <w:rsid w:val="00F7371F"/>
    <w:rsid w:val="00F73A5D"/>
    <w:rsid w:val="00F73C9D"/>
    <w:rsid w:val="00F73E94"/>
    <w:rsid w:val="00F744F3"/>
    <w:rsid w:val="00F74FA0"/>
    <w:rsid w:val="00F75320"/>
    <w:rsid w:val="00F75913"/>
    <w:rsid w:val="00F76222"/>
    <w:rsid w:val="00F76D63"/>
    <w:rsid w:val="00F77748"/>
    <w:rsid w:val="00F77E2A"/>
    <w:rsid w:val="00F8050A"/>
    <w:rsid w:val="00F80C8A"/>
    <w:rsid w:val="00F81169"/>
    <w:rsid w:val="00F82251"/>
    <w:rsid w:val="00F82462"/>
    <w:rsid w:val="00F83339"/>
    <w:rsid w:val="00F83355"/>
    <w:rsid w:val="00F83651"/>
    <w:rsid w:val="00F83EA1"/>
    <w:rsid w:val="00F84C88"/>
    <w:rsid w:val="00F84CA9"/>
    <w:rsid w:val="00F854D4"/>
    <w:rsid w:val="00F85A8A"/>
    <w:rsid w:val="00F85C4B"/>
    <w:rsid w:val="00F85E5F"/>
    <w:rsid w:val="00F85FCB"/>
    <w:rsid w:val="00F8681C"/>
    <w:rsid w:val="00F86C07"/>
    <w:rsid w:val="00F87A7C"/>
    <w:rsid w:val="00F87D3C"/>
    <w:rsid w:val="00F90299"/>
    <w:rsid w:val="00F9075E"/>
    <w:rsid w:val="00F912FF"/>
    <w:rsid w:val="00F92E46"/>
    <w:rsid w:val="00F92F04"/>
    <w:rsid w:val="00F93617"/>
    <w:rsid w:val="00F9431A"/>
    <w:rsid w:val="00F946AF"/>
    <w:rsid w:val="00F94CF3"/>
    <w:rsid w:val="00F957C9"/>
    <w:rsid w:val="00F96182"/>
    <w:rsid w:val="00F963DA"/>
    <w:rsid w:val="00F9643D"/>
    <w:rsid w:val="00F967F7"/>
    <w:rsid w:val="00F97D21"/>
    <w:rsid w:val="00FA00D8"/>
    <w:rsid w:val="00FA106A"/>
    <w:rsid w:val="00FA2240"/>
    <w:rsid w:val="00FA27B3"/>
    <w:rsid w:val="00FA4EBE"/>
    <w:rsid w:val="00FA5B44"/>
    <w:rsid w:val="00FA68B5"/>
    <w:rsid w:val="00FA6D91"/>
    <w:rsid w:val="00FA745F"/>
    <w:rsid w:val="00FA7753"/>
    <w:rsid w:val="00FA77BD"/>
    <w:rsid w:val="00FA7FCE"/>
    <w:rsid w:val="00FB02A6"/>
    <w:rsid w:val="00FB1253"/>
    <w:rsid w:val="00FB16E3"/>
    <w:rsid w:val="00FB188E"/>
    <w:rsid w:val="00FB1E94"/>
    <w:rsid w:val="00FB20FB"/>
    <w:rsid w:val="00FB21C9"/>
    <w:rsid w:val="00FB240E"/>
    <w:rsid w:val="00FB280F"/>
    <w:rsid w:val="00FB2DD9"/>
    <w:rsid w:val="00FB3415"/>
    <w:rsid w:val="00FB35FD"/>
    <w:rsid w:val="00FB39F9"/>
    <w:rsid w:val="00FB3F40"/>
    <w:rsid w:val="00FB40EA"/>
    <w:rsid w:val="00FB4245"/>
    <w:rsid w:val="00FB44B4"/>
    <w:rsid w:val="00FB502D"/>
    <w:rsid w:val="00FB5254"/>
    <w:rsid w:val="00FB57A2"/>
    <w:rsid w:val="00FB636E"/>
    <w:rsid w:val="00FB6773"/>
    <w:rsid w:val="00FB75DE"/>
    <w:rsid w:val="00FB791F"/>
    <w:rsid w:val="00FB7943"/>
    <w:rsid w:val="00FB7C6D"/>
    <w:rsid w:val="00FB7F47"/>
    <w:rsid w:val="00FC01A7"/>
    <w:rsid w:val="00FC109F"/>
    <w:rsid w:val="00FC1B2C"/>
    <w:rsid w:val="00FC2034"/>
    <w:rsid w:val="00FC247E"/>
    <w:rsid w:val="00FC2DF9"/>
    <w:rsid w:val="00FC317E"/>
    <w:rsid w:val="00FC36C0"/>
    <w:rsid w:val="00FC3C1A"/>
    <w:rsid w:val="00FC3FA0"/>
    <w:rsid w:val="00FC49E2"/>
    <w:rsid w:val="00FC4ED3"/>
    <w:rsid w:val="00FC503A"/>
    <w:rsid w:val="00FC56DF"/>
    <w:rsid w:val="00FC57F9"/>
    <w:rsid w:val="00FC58F4"/>
    <w:rsid w:val="00FC63AC"/>
    <w:rsid w:val="00FC6D9B"/>
    <w:rsid w:val="00FC7517"/>
    <w:rsid w:val="00FC7803"/>
    <w:rsid w:val="00FC799F"/>
    <w:rsid w:val="00FC7B89"/>
    <w:rsid w:val="00FD0020"/>
    <w:rsid w:val="00FD11D9"/>
    <w:rsid w:val="00FD11F8"/>
    <w:rsid w:val="00FD1613"/>
    <w:rsid w:val="00FD1FEB"/>
    <w:rsid w:val="00FD36F8"/>
    <w:rsid w:val="00FD3EA0"/>
    <w:rsid w:val="00FD4189"/>
    <w:rsid w:val="00FD4326"/>
    <w:rsid w:val="00FD4789"/>
    <w:rsid w:val="00FD4BC6"/>
    <w:rsid w:val="00FD53A3"/>
    <w:rsid w:val="00FD5C7D"/>
    <w:rsid w:val="00FD5EAE"/>
    <w:rsid w:val="00FD6286"/>
    <w:rsid w:val="00FD6A99"/>
    <w:rsid w:val="00FE064B"/>
    <w:rsid w:val="00FE098C"/>
    <w:rsid w:val="00FE0AF5"/>
    <w:rsid w:val="00FE0D21"/>
    <w:rsid w:val="00FE162B"/>
    <w:rsid w:val="00FE21E9"/>
    <w:rsid w:val="00FE2D16"/>
    <w:rsid w:val="00FE31B2"/>
    <w:rsid w:val="00FE3716"/>
    <w:rsid w:val="00FE4314"/>
    <w:rsid w:val="00FE4D74"/>
    <w:rsid w:val="00FE559F"/>
    <w:rsid w:val="00FE6AAF"/>
    <w:rsid w:val="00FE6DAE"/>
    <w:rsid w:val="00FE6E03"/>
    <w:rsid w:val="00FE7473"/>
    <w:rsid w:val="00FF0CD1"/>
    <w:rsid w:val="00FF0F4C"/>
    <w:rsid w:val="00FF2DF6"/>
    <w:rsid w:val="00FF33A9"/>
    <w:rsid w:val="00FF3582"/>
    <w:rsid w:val="00FF3907"/>
    <w:rsid w:val="00FF3BC9"/>
    <w:rsid w:val="00FF3DCE"/>
    <w:rsid w:val="00FF4F68"/>
    <w:rsid w:val="00FF5044"/>
    <w:rsid w:val="00FF52DE"/>
    <w:rsid w:val="00FF565C"/>
    <w:rsid w:val="00FF579F"/>
    <w:rsid w:val="00FF5F0C"/>
    <w:rsid w:val="00FF601C"/>
    <w:rsid w:val="00FF64BE"/>
    <w:rsid w:val="00FF653B"/>
    <w:rsid w:val="00FF70B5"/>
    <w:rsid w:val="00FF7189"/>
    <w:rsid w:val="00FF7721"/>
    <w:rsid w:val="00FF7F30"/>
    <w:rsid w:val="011A11A4"/>
    <w:rsid w:val="01351803"/>
    <w:rsid w:val="014977A3"/>
    <w:rsid w:val="014B5B44"/>
    <w:rsid w:val="0160034F"/>
    <w:rsid w:val="018C5F7F"/>
    <w:rsid w:val="01BE4069"/>
    <w:rsid w:val="01BE5800"/>
    <w:rsid w:val="01E46F65"/>
    <w:rsid w:val="024144A6"/>
    <w:rsid w:val="026C00D2"/>
    <w:rsid w:val="026C0F21"/>
    <w:rsid w:val="02D84414"/>
    <w:rsid w:val="02E536DD"/>
    <w:rsid w:val="038F28BB"/>
    <w:rsid w:val="03E07E92"/>
    <w:rsid w:val="03F06C42"/>
    <w:rsid w:val="041B3357"/>
    <w:rsid w:val="04206073"/>
    <w:rsid w:val="045B2258"/>
    <w:rsid w:val="049F025D"/>
    <w:rsid w:val="04A30F56"/>
    <w:rsid w:val="04C34346"/>
    <w:rsid w:val="04E30437"/>
    <w:rsid w:val="04E60EFF"/>
    <w:rsid w:val="059160E1"/>
    <w:rsid w:val="05CC22C9"/>
    <w:rsid w:val="05F41FAA"/>
    <w:rsid w:val="063B78DC"/>
    <w:rsid w:val="076E0F6D"/>
    <w:rsid w:val="07E84F31"/>
    <w:rsid w:val="081163FE"/>
    <w:rsid w:val="0839529D"/>
    <w:rsid w:val="097640A4"/>
    <w:rsid w:val="09974C33"/>
    <w:rsid w:val="09AE2FE9"/>
    <w:rsid w:val="09B82947"/>
    <w:rsid w:val="0A10569E"/>
    <w:rsid w:val="0BF958C7"/>
    <w:rsid w:val="0C3F3332"/>
    <w:rsid w:val="0C5A09A9"/>
    <w:rsid w:val="0C6C00A7"/>
    <w:rsid w:val="0C7D670E"/>
    <w:rsid w:val="0CDB719E"/>
    <w:rsid w:val="0CED2005"/>
    <w:rsid w:val="0D470EA5"/>
    <w:rsid w:val="0E0812B7"/>
    <w:rsid w:val="0E2E7579"/>
    <w:rsid w:val="0EAB6A73"/>
    <w:rsid w:val="0EAD2BF9"/>
    <w:rsid w:val="0ED72541"/>
    <w:rsid w:val="0F4D0707"/>
    <w:rsid w:val="0FBA2A45"/>
    <w:rsid w:val="0FC41654"/>
    <w:rsid w:val="0FDE7285"/>
    <w:rsid w:val="10322272"/>
    <w:rsid w:val="104F55CF"/>
    <w:rsid w:val="109C57D8"/>
    <w:rsid w:val="10DF5941"/>
    <w:rsid w:val="10E721A2"/>
    <w:rsid w:val="118C2ED5"/>
    <w:rsid w:val="119C142F"/>
    <w:rsid w:val="11B83D31"/>
    <w:rsid w:val="123B0393"/>
    <w:rsid w:val="12795B29"/>
    <w:rsid w:val="12AD766B"/>
    <w:rsid w:val="12B46E52"/>
    <w:rsid w:val="12D51925"/>
    <w:rsid w:val="12F5292A"/>
    <w:rsid w:val="12F62B63"/>
    <w:rsid w:val="13265106"/>
    <w:rsid w:val="135A6E08"/>
    <w:rsid w:val="13696837"/>
    <w:rsid w:val="137A001D"/>
    <w:rsid w:val="13B31AEC"/>
    <w:rsid w:val="13FE3FBA"/>
    <w:rsid w:val="140E1568"/>
    <w:rsid w:val="1414496C"/>
    <w:rsid w:val="14404369"/>
    <w:rsid w:val="147738BA"/>
    <w:rsid w:val="14EB5BF2"/>
    <w:rsid w:val="15D1541F"/>
    <w:rsid w:val="1643524C"/>
    <w:rsid w:val="16BF46FB"/>
    <w:rsid w:val="16DC141E"/>
    <w:rsid w:val="175D674F"/>
    <w:rsid w:val="17CD2550"/>
    <w:rsid w:val="18114189"/>
    <w:rsid w:val="186407CC"/>
    <w:rsid w:val="18F06F2D"/>
    <w:rsid w:val="19223571"/>
    <w:rsid w:val="192B357D"/>
    <w:rsid w:val="19AD7F51"/>
    <w:rsid w:val="1AAB26E2"/>
    <w:rsid w:val="1B945513"/>
    <w:rsid w:val="1BA50D14"/>
    <w:rsid w:val="1BA677E7"/>
    <w:rsid w:val="1C2F2E9F"/>
    <w:rsid w:val="1C625D30"/>
    <w:rsid w:val="1C7671E3"/>
    <w:rsid w:val="1C777601"/>
    <w:rsid w:val="1C8A493E"/>
    <w:rsid w:val="1CB11B53"/>
    <w:rsid w:val="1CCB6998"/>
    <w:rsid w:val="1CD6623F"/>
    <w:rsid w:val="1CF90898"/>
    <w:rsid w:val="1CFA0FE7"/>
    <w:rsid w:val="1D7C7EF3"/>
    <w:rsid w:val="1D8C69C4"/>
    <w:rsid w:val="1E1C7C6C"/>
    <w:rsid w:val="1E786F00"/>
    <w:rsid w:val="1E7F7591"/>
    <w:rsid w:val="1EC93A19"/>
    <w:rsid w:val="1F1F65F5"/>
    <w:rsid w:val="1F286A3D"/>
    <w:rsid w:val="1F343C02"/>
    <w:rsid w:val="1FAC7E53"/>
    <w:rsid w:val="1FE16BA6"/>
    <w:rsid w:val="1FE83A91"/>
    <w:rsid w:val="201E6F66"/>
    <w:rsid w:val="20517FE3"/>
    <w:rsid w:val="20917462"/>
    <w:rsid w:val="20B816B5"/>
    <w:rsid w:val="20CE2C18"/>
    <w:rsid w:val="211803A6"/>
    <w:rsid w:val="211A16EC"/>
    <w:rsid w:val="213276BA"/>
    <w:rsid w:val="217C1DAF"/>
    <w:rsid w:val="218220DE"/>
    <w:rsid w:val="21E94C46"/>
    <w:rsid w:val="222C76C6"/>
    <w:rsid w:val="22466CF3"/>
    <w:rsid w:val="22A344E7"/>
    <w:rsid w:val="22DE3197"/>
    <w:rsid w:val="22F42D37"/>
    <w:rsid w:val="230E0741"/>
    <w:rsid w:val="23694A00"/>
    <w:rsid w:val="23747E8B"/>
    <w:rsid w:val="23885559"/>
    <w:rsid w:val="23F63E16"/>
    <w:rsid w:val="24290FC9"/>
    <w:rsid w:val="2435301D"/>
    <w:rsid w:val="243A32C2"/>
    <w:rsid w:val="24686FE5"/>
    <w:rsid w:val="25093A3B"/>
    <w:rsid w:val="25236D0D"/>
    <w:rsid w:val="252F645D"/>
    <w:rsid w:val="258858A9"/>
    <w:rsid w:val="25954889"/>
    <w:rsid w:val="25A7119C"/>
    <w:rsid w:val="25B2058A"/>
    <w:rsid w:val="26757E2C"/>
    <w:rsid w:val="26790701"/>
    <w:rsid w:val="26E5207B"/>
    <w:rsid w:val="27337E5F"/>
    <w:rsid w:val="273508EE"/>
    <w:rsid w:val="27483692"/>
    <w:rsid w:val="27590D22"/>
    <w:rsid w:val="276F6E45"/>
    <w:rsid w:val="278066D7"/>
    <w:rsid w:val="27827B0F"/>
    <w:rsid w:val="27886287"/>
    <w:rsid w:val="27CB7955"/>
    <w:rsid w:val="27F53526"/>
    <w:rsid w:val="27F5599D"/>
    <w:rsid w:val="27FA5E76"/>
    <w:rsid w:val="280E4034"/>
    <w:rsid w:val="28690FE5"/>
    <w:rsid w:val="288E2BD2"/>
    <w:rsid w:val="28DC50AB"/>
    <w:rsid w:val="28E55271"/>
    <w:rsid w:val="2923374B"/>
    <w:rsid w:val="29BD796F"/>
    <w:rsid w:val="2AAC3644"/>
    <w:rsid w:val="2B013C39"/>
    <w:rsid w:val="2B310CEF"/>
    <w:rsid w:val="2B8946FF"/>
    <w:rsid w:val="2C033FB6"/>
    <w:rsid w:val="2C0A4741"/>
    <w:rsid w:val="2C6C5774"/>
    <w:rsid w:val="2CA61832"/>
    <w:rsid w:val="2CE70726"/>
    <w:rsid w:val="2CF86E08"/>
    <w:rsid w:val="2D9B15EF"/>
    <w:rsid w:val="2E304308"/>
    <w:rsid w:val="2E5F4C31"/>
    <w:rsid w:val="2E6440BB"/>
    <w:rsid w:val="2E6F7E34"/>
    <w:rsid w:val="2EB26D79"/>
    <w:rsid w:val="2F7145F4"/>
    <w:rsid w:val="30580298"/>
    <w:rsid w:val="30646F90"/>
    <w:rsid w:val="30CB0402"/>
    <w:rsid w:val="31B66D5F"/>
    <w:rsid w:val="324D2681"/>
    <w:rsid w:val="32B03509"/>
    <w:rsid w:val="32E7407C"/>
    <w:rsid w:val="33962431"/>
    <w:rsid w:val="34457450"/>
    <w:rsid w:val="348222AE"/>
    <w:rsid w:val="34FD4189"/>
    <w:rsid w:val="35373F98"/>
    <w:rsid w:val="35544722"/>
    <w:rsid w:val="35E1219E"/>
    <w:rsid w:val="363B7932"/>
    <w:rsid w:val="36C739BA"/>
    <w:rsid w:val="36D15C2A"/>
    <w:rsid w:val="36DF7544"/>
    <w:rsid w:val="36FA4BBC"/>
    <w:rsid w:val="371D61FE"/>
    <w:rsid w:val="373F4717"/>
    <w:rsid w:val="374B5AC3"/>
    <w:rsid w:val="38187E4F"/>
    <w:rsid w:val="3820445B"/>
    <w:rsid w:val="38210467"/>
    <w:rsid w:val="38401B73"/>
    <w:rsid w:val="384B1D2A"/>
    <w:rsid w:val="387E4B3B"/>
    <w:rsid w:val="394538AA"/>
    <w:rsid w:val="39780BBB"/>
    <w:rsid w:val="39D617F2"/>
    <w:rsid w:val="3A242E79"/>
    <w:rsid w:val="3A794BD8"/>
    <w:rsid w:val="3AE85850"/>
    <w:rsid w:val="3B610C15"/>
    <w:rsid w:val="3B731AB5"/>
    <w:rsid w:val="3B833738"/>
    <w:rsid w:val="3B874762"/>
    <w:rsid w:val="3B8C756F"/>
    <w:rsid w:val="3C2527C5"/>
    <w:rsid w:val="3C3D6105"/>
    <w:rsid w:val="3C7828B2"/>
    <w:rsid w:val="3D6F75C9"/>
    <w:rsid w:val="3D7604D6"/>
    <w:rsid w:val="3DE90F01"/>
    <w:rsid w:val="3E0A144F"/>
    <w:rsid w:val="3E266E35"/>
    <w:rsid w:val="3F592D90"/>
    <w:rsid w:val="3F7F04D5"/>
    <w:rsid w:val="3FF4EF28"/>
    <w:rsid w:val="40615707"/>
    <w:rsid w:val="40A005F0"/>
    <w:rsid w:val="413606A8"/>
    <w:rsid w:val="413B1762"/>
    <w:rsid w:val="414B5EF7"/>
    <w:rsid w:val="417E1386"/>
    <w:rsid w:val="41BA3452"/>
    <w:rsid w:val="41EC0EEE"/>
    <w:rsid w:val="42020FBA"/>
    <w:rsid w:val="422B6BF4"/>
    <w:rsid w:val="42347713"/>
    <w:rsid w:val="42FF1E08"/>
    <w:rsid w:val="42FF2D1C"/>
    <w:rsid w:val="438D657A"/>
    <w:rsid w:val="43B00A8F"/>
    <w:rsid w:val="43FE7A34"/>
    <w:rsid w:val="440920A4"/>
    <w:rsid w:val="44C47D79"/>
    <w:rsid w:val="45121D55"/>
    <w:rsid w:val="45266E7F"/>
    <w:rsid w:val="45511B47"/>
    <w:rsid w:val="45A15DDB"/>
    <w:rsid w:val="45B22926"/>
    <w:rsid w:val="462E6F3B"/>
    <w:rsid w:val="4681712C"/>
    <w:rsid w:val="468B6718"/>
    <w:rsid w:val="473B23EB"/>
    <w:rsid w:val="47B32EAB"/>
    <w:rsid w:val="47C40E8C"/>
    <w:rsid w:val="47D465B4"/>
    <w:rsid w:val="48201667"/>
    <w:rsid w:val="483643E7"/>
    <w:rsid w:val="48B1218F"/>
    <w:rsid w:val="48B14AB0"/>
    <w:rsid w:val="48D6123C"/>
    <w:rsid w:val="49150F51"/>
    <w:rsid w:val="49480BD4"/>
    <w:rsid w:val="499F04DF"/>
    <w:rsid w:val="49CB3BFF"/>
    <w:rsid w:val="4A6B1ED8"/>
    <w:rsid w:val="4AA4619B"/>
    <w:rsid w:val="4B284D77"/>
    <w:rsid w:val="4B434762"/>
    <w:rsid w:val="4B831EB2"/>
    <w:rsid w:val="4BEC1507"/>
    <w:rsid w:val="4CD363C9"/>
    <w:rsid w:val="4D7F6702"/>
    <w:rsid w:val="4DAA2A72"/>
    <w:rsid w:val="4DF06D15"/>
    <w:rsid w:val="4E1C0B8A"/>
    <w:rsid w:val="4E637A91"/>
    <w:rsid w:val="4E8F7076"/>
    <w:rsid w:val="4F123950"/>
    <w:rsid w:val="4F134C73"/>
    <w:rsid w:val="4FBA240D"/>
    <w:rsid w:val="4FCB5C99"/>
    <w:rsid w:val="50607291"/>
    <w:rsid w:val="507519D9"/>
    <w:rsid w:val="50EA500B"/>
    <w:rsid w:val="50EC442B"/>
    <w:rsid w:val="51922355"/>
    <w:rsid w:val="51BA49DE"/>
    <w:rsid w:val="51F56CD0"/>
    <w:rsid w:val="520D7203"/>
    <w:rsid w:val="52127D7D"/>
    <w:rsid w:val="52412A63"/>
    <w:rsid w:val="53210278"/>
    <w:rsid w:val="53763D4D"/>
    <w:rsid w:val="537B63EF"/>
    <w:rsid w:val="538D45BD"/>
    <w:rsid w:val="53C745DA"/>
    <w:rsid w:val="53CB1CFD"/>
    <w:rsid w:val="54135280"/>
    <w:rsid w:val="54437678"/>
    <w:rsid w:val="54A5345E"/>
    <w:rsid w:val="5526139C"/>
    <w:rsid w:val="552B2D26"/>
    <w:rsid w:val="553027F9"/>
    <w:rsid w:val="554E1470"/>
    <w:rsid w:val="55986D51"/>
    <w:rsid w:val="55C84413"/>
    <w:rsid w:val="55D42624"/>
    <w:rsid w:val="56133CA0"/>
    <w:rsid w:val="564117A3"/>
    <w:rsid w:val="569914FD"/>
    <w:rsid w:val="56DD4ABD"/>
    <w:rsid w:val="5703231E"/>
    <w:rsid w:val="57116442"/>
    <w:rsid w:val="57805D82"/>
    <w:rsid w:val="578D3493"/>
    <w:rsid w:val="582572F7"/>
    <w:rsid w:val="58426A50"/>
    <w:rsid w:val="5857652F"/>
    <w:rsid w:val="586A7A45"/>
    <w:rsid w:val="587F43BC"/>
    <w:rsid w:val="58914C8B"/>
    <w:rsid w:val="58E3423E"/>
    <w:rsid w:val="58F23ED5"/>
    <w:rsid w:val="5956205C"/>
    <w:rsid w:val="599E6CB8"/>
    <w:rsid w:val="59E031E2"/>
    <w:rsid w:val="5AA974E8"/>
    <w:rsid w:val="5AD424FD"/>
    <w:rsid w:val="5B501F0F"/>
    <w:rsid w:val="5B8340E7"/>
    <w:rsid w:val="5B8D0599"/>
    <w:rsid w:val="5B937814"/>
    <w:rsid w:val="5BA627EA"/>
    <w:rsid w:val="5BAA125C"/>
    <w:rsid w:val="5C06784E"/>
    <w:rsid w:val="5C12671E"/>
    <w:rsid w:val="5C6E79F1"/>
    <w:rsid w:val="5C8657B1"/>
    <w:rsid w:val="5CA73484"/>
    <w:rsid w:val="5CE5499C"/>
    <w:rsid w:val="5D77243C"/>
    <w:rsid w:val="5D822C9D"/>
    <w:rsid w:val="5DCE72E2"/>
    <w:rsid w:val="5DE3199B"/>
    <w:rsid w:val="5E2F13E4"/>
    <w:rsid w:val="5EC546B7"/>
    <w:rsid w:val="5EE01513"/>
    <w:rsid w:val="5FA9036D"/>
    <w:rsid w:val="5FE20A6A"/>
    <w:rsid w:val="5FE80DF1"/>
    <w:rsid w:val="602B1129"/>
    <w:rsid w:val="60394F33"/>
    <w:rsid w:val="607A028C"/>
    <w:rsid w:val="60C761CB"/>
    <w:rsid w:val="61904268"/>
    <w:rsid w:val="61922827"/>
    <w:rsid w:val="61985AAE"/>
    <w:rsid w:val="619B21A0"/>
    <w:rsid w:val="61C95215"/>
    <w:rsid w:val="620863D2"/>
    <w:rsid w:val="623600B0"/>
    <w:rsid w:val="62385E17"/>
    <w:rsid w:val="626058BD"/>
    <w:rsid w:val="627A3EB2"/>
    <w:rsid w:val="62D70238"/>
    <w:rsid w:val="63302D52"/>
    <w:rsid w:val="634E5810"/>
    <w:rsid w:val="636522D0"/>
    <w:rsid w:val="63A81226"/>
    <w:rsid w:val="64284DEE"/>
    <w:rsid w:val="64CF3D12"/>
    <w:rsid w:val="650A079C"/>
    <w:rsid w:val="65260365"/>
    <w:rsid w:val="658729D1"/>
    <w:rsid w:val="65D8147F"/>
    <w:rsid w:val="65E5355A"/>
    <w:rsid w:val="665A11EA"/>
    <w:rsid w:val="672E14E3"/>
    <w:rsid w:val="674A3D4F"/>
    <w:rsid w:val="679006E0"/>
    <w:rsid w:val="68057CFC"/>
    <w:rsid w:val="6864772D"/>
    <w:rsid w:val="68833924"/>
    <w:rsid w:val="688E4077"/>
    <w:rsid w:val="68BC6A3B"/>
    <w:rsid w:val="68D26F09"/>
    <w:rsid w:val="69D0701B"/>
    <w:rsid w:val="6A121AD7"/>
    <w:rsid w:val="6A3C248C"/>
    <w:rsid w:val="6A77686F"/>
    <w:rsid w:val="6A8C0276"/>
    <w:rsid w:val="6AD23B35"/>
    <w:rsid w:val="6B835192"/>
    <w:rsid w:val="6C3226C6"/>
    <w:rsid w:val="6C4C7320"/>
    <w:rsid w:val="6C545FF5"/>
    <w:rsid w:val="6C591BE2"/>
    <w:rsid w:val="6CEC1061"/>
    <w:rsid w:val="6D036DE1"/>
    <w:rsid w:val="6D5552E7"/>
    <w:rsid w:val="6DCD15A1"/>
    <w:rsid w:val="6E046A79"/>
    <w:rsid w:val="6E0A4A26"/>
    <w:rsid w:val="6E113896"/>
    <w:rsid w:val="6E5E1B6C"/>
    <w:rsid w:val="6E663ACB"/>
    <w:rsid w:val="6EB57A17"/>
    <w:rsid w:val="6EEB1E9B"/>
    <w:rsid w:val="6EEF71D1"/>
    <w:rsid w:val="6F021A16"/>
    <w:rsid w:val="6F1D40CE"/>
    <w:rsid w:val="6F8F0E00"/>
    <w:rsid w:val="6FF238F8"/>
    <w:rsid w:val="7051517A"/>
    <w:rsid w:val="70D85BD1"/>
    <w:rsid w:val="70FF0564"/>
    <w:rsid w:val="715B338A"/>
    <w:rsid w:val="716A7ADC"/>
    <w:rsid w:val="71DE2E53"/>
    <w:rsid w:val="721F39FF"/>
    <w:rsid w:val="727D1DCF"/>
    <w:rsid w:val="729E121E"/>
    <w:rsid w:val="72E23A7A"/>
    <w:rsid w:val="72F6179B"/>
    <w:rsid w:val="738003CA"/>
    <w:rsid w:val="73C56EED"/>
    <w:rsid w:val="75660476"/>
    <w:rsid w:val="757E5780"/>
    <w:rsid w:val="758D4AB4"/>
    <w:rsid w:val="75D12961"/>
    <w:rsid w:val="765941C5"/>
    <w:rsid w:val="76B2120E"/>
    <w:rsid w:val="773B6CD4"/>
    <w:rsid w:val="77C900BC"/>
    <w:rsid w:val="77D5581E"/>
    <w:rsid w:val="77E30949"/>
    <w:rsid w:val="77F16A53"/>
    <w:rsid w:val="783525A0"/>
    <w:rsid w:val="786F12BD"/>
    <w:rsid w:val="786F1AA9"/>
    <w:rsid w:val="7872551D"/>
    <w:rsid w:val="789143A5"/>
    <w:rsid w:val="78B43685"/>
    <w:rsid w:val="78BD078C"/>
    <w:rsid w:val="791C05D7"/>
    <w:rsid w:val="7920071D"/>
    <w:rsid w:val="79C52BC7"/>
    <w:rsid w:val="79C747F6"/>
    <w:rsid w:val="79D264B9"/>
    <w:rsid w:val="79E63D12"/>
    <w:rsid w:val="7A36659D"/>
    <w:rsid w:val="7A445B75"/>
    <w:rsid w:val="7A6027C1"/>
    <w:rsid w:val="7A854A12"/>
    <w:rsid w:val="7AB64546"/>
    <w:rsid w:val="7AD0398B"/>
    <w:rsid w:val="7AD9379F"/>
    <w:rsid w:val="7B237820"/>
    <w:rsid w:val="7B974622"/>
    <w:rsid w:val="7C9B3D79"/>
    <w:rsid w:val="7CC22372"/>
    <w:rsid w:val="7D0E2CFF"/>
    <w:rsid w:val="7D4E72F0"/>
    <w:rsid w:val="7DC57F3F"/>
    <w:rsid w:val="7E5A6A7D"/>
    <w:rsid w:val="7E9219F9"/>
    <w:rsid w:val="7EF87B3E"/>
    <w:rsid w:val="7F363046"/>
    <w:rsid w:val="7F5962FE"/>
    <w:rsid w:val="7F924DA0"/>
    <w:rsid w:val="7FE57AAA"/>
    <w:rsid w:val="7FF46C92"/>
    <w:rsid w:val="FFBFC88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0"/>
    <w:qFormat/>
    <w:uiPriority w:val="9"/>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3"/>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178"/>
    <w:qFormat/>
    <w:uiPriority w:val="0"/>
    <w:pPr>
      <w:keepNext/>
      <w:keepLines/>
      <w:spacing w:before="260" w:beforeLines="0" w:after="260" w:afterLines="0" w:line="413" w:lineRule="auto"/>
      <w:outlineLvl w:val="2"/>
    </w:pPr>
    <w:rPr>
      <w:b/>
      <w:bCs/>
      <w:sz w:val="32"/>
      <w:szCs w:val="32"/>
    </w:rPr>
  </w:style>
  <w:style w:type="paragraph" w:styleId="5">
    <w:name w:val="heading 4"/>
    <w:basedOn w:val="1"/>
    <w:next w:val="1"/>
    <w:link w:val="90"/>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1"/>
    <w:link w:val="88"/>
    <w:qFormat/>
    <w:uiPriority w:val="0"/>
    <w:pPr>
      <w:keepNext/>
      <w:keepLines/>
      <w:spacing w:before="280" w:after="290" w:line="372" w:lineRule="auto"/>
      <w:outlineLvl w:val="4"/>
    </w:pPr>
    <w:rPr>
      <w:b/>
      <w:sz w:val="28"/>
    </w:rPr>
  </w:style>
  <w:style w:type="paragraph" w:styleId="7">
    <w:name w:val="heading 6"/>
    <w:basedOn w:val="1"/>
    <w:next w:val="1"/>
    <w:link w:val="74"/>
    <w:qFormat/>
    <w:uiPriority w:val="0"/>
    <w:pPr>
      <w:keepNext/>
      <w:keepLines/>
      <w:spacing w:before="240" w:after="64" w:line="317" w:lineRule="auto"/>
      <w:outlineLvl w:val="5"/>
    </w:pPr>
    <w:rPr>
      <w:rFonts w:ascii="Arial" w:hAnsi="Arial" w:eastAsia="黑体"/>
      <w:b/>
      <w:sz w:val="24"/>
    </w:rPr>
  </w:style>
  <w:style w:type="paragraph" w:styleId="8">
    <w:name w:val="heading 7"/>
    <w:basedOn w:val="1"/>
    <w:next w:val="9"/>
    <w:link w:val="70"/>
    <w:qFormat/>
    <w:uiPriority w:val="0"/>
    <w:pPr>
      <w:keepNext/>
      <w:keepLines/>
      <w:spacing w:before="240" w:after="64" w:line="317" w:lineRule="auto"/>
      <w:outlineLvl w:val="6"/>
    </w:pPr>
    <w:rPr>
      <w:b/>
      <w:sz w:val="24"/>
    </w:rPr>
  </w:style>
  <w:style w:type="paragraph" w:styleId="10">
    <w:name w:val="heading 8"/>
    <w:basedOn w:val="1"/>
    <w:next w:val="9"/>
    <w:link w:val="79"/>
    <w:qFormat/>
    <w:uiPriority w:val="0"/>
    <w:pPr>
      <w:keepNext/>
      <w:keepLines/>
      <w:spacing w:before="240" w:after="64" w:line="317" w:lineRule="auto"/>
      <w:outlineLvl w:val="7"/>
    </w:pPr>
    <w:rPr>
      <w:rFonts w:ascii="Arial" w:hAnsi="Arial" w:eastAsia="黑体"/>
      <w:sz w:val="24"/>
    </w:rPr>
  </w:style>
  <w:style w:type="paragraph" w:styleId="11">
    <w:name w:val="heading 9"/>
    <w:basedOn w:val="1"/>
    <w:next w:val="9"/>
    <w:link w:val="81"/>
    <w:qFormat/>
    <w:uiPriority w:val="0"/>
    <w:pPr>
      <w:keepNext/>
      <w:keepLines/>
      <w:spacing w:before="240" w:after="64" w:line="317" w:lineRule="auto"/>
      <w:outlineLvl w:val="8"/>
    </w:pPr>
    <w:rPr>
      <w:rFonts w:ascii="Arial" w:hAnsi="Arial" w:eastAsia="黑体"/>
    </w:rPr>
  </w:style>
  <w:style w:type="character" w:default="1" w:styleId="53">
    <w:name w:val="Default Paragraph Font"/>
    <w:qFormat/>
    <w:uiPriority w:val="0"/>
  </w:style>
  <w:style w:type="table" w:default="1" w:styleId="51">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9">
    <w:name w:val="Normal Indent"/>
    <w:basedOn w:val="1"/>
    <w:qFormat/>
    <w:uiPriority w:val="0"/>
    <w:pPr>
      <w:ind w:firstLine="420"/>
    </w:pPr>
    <w:rPr>
      <w:szCs w:val="20"/>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0"/>
    <w:pPr>
      <w:spacing w:before="152" w:beforeLines="0" w:after="160" w:afterLines="0"/>
    </w:pPr>
    <w:rPr>
      <w:rFonts w:ascii="Arial" w:hAnsi="Arial" w:eastAsia="黑体" w:cs="Arial"/>
      <w:sz w:val="20"/>
      <w:szCs w:val="20"/>
    </w:rPr>
  </w:style>
  <w:style w:type="paragraph" w:styleId="16">
    <w:name w:val="Document Map"/>
    <w:basedOn w:val="1"/>
    <w:link w:val="92"/>
    <w:qFormat/>
    <w:uiPriority w:val="0"/>
    <w:pPr>
      <w:shd w:val="clear" w:color="auto" w:fill="000080"/>
      <w:adjustRightInd w:val="0"/>
      <w:spacing w:line="312" w:lineRule="atLeast"/>
      <w:textAlignment w:val="baseline"/>
    </w:pPr>
    <w:rPr>
      <w:kern w:val="0"/>
      <w:szCs w:val="20"/>
    </w:rPr>
  </w:style>
  <w:style w:type="paragraph" w:styleId="17">
    <w:name w:val="annotation text"/>
    <w:basedOn w:val="1"/>
    <w:link w:val="179"/>
    <w:qFormat/>
    <w:uiPriority w:val="0"/>
    <w:pPr>
      <w:keepNext w:val="0"/>
      <w:keepLines w:val="0"/>
      <w:widowControl w:val="0"/>
      <w:suppressLineNumbers w:val="0"/>
      <w:spacing w:before="0" w:beforeAutospacing="0" w:after="0" w:afterAutospacing="0"/>
      <w:ind w:left="0" w:right="0"/>
      <w:jc w:val="left"/>
    </w:pPr>
    <w:rPr>
      <w:rFonts w:hint="default" w:ascii="Times New Roman" w:hAnsi="Times New Roman" w:eastAsia="宋体" w:cs="Times New Roman"/>
      <w:kern w:val="2"/>
      <w:sz w:val="21"/>
      <w:szCs w:val="24"/>
      <w:lang w:val="en-US" w:eastAsia="zh-CN" w:bidi="ar"/>
    </w:rPr>
  </w:style>
  <w:style w:type="paragraph" w:styleId="18">
    <w:name w:val="Body Text 3"/>
    <w:basedOn w:val="1"/>
    <w:link w:val="78"/>
    <w:qFormat/>
    <w:uiPriority w:val="0"/>
    <w:pPr>
      <w:spacing w:line="500" w:lineRule="exact"/>
    </w:pPr>
    <w:rPr>
      <w:b/>
      <w:bCs/>
      <w:sz w:val="24"/>
    </w:rPr>
  </w:style>
  <w:style w:type="paragraph" w:styleId="19">
    <w:name w:val="Body Text"/>
    <w:basedOn w:val="1"/>
    <w:link w:val="106"/>
    <w:qFormat/>
    <w:uiPriority w:val="99"/>
    <w:pPr>
      <w:spacing w:line="380" w:lineRule="exact"/>
    </w:pPr>
    <w:rPr>
      <w:sz w:val="24"/>
    </w:rPr>
  </w:style>
  <w:style w:type="paragraph" w:styleId="20">
    <w:name w:val="Body Text Indent"/>
    <w:basedOn w:val="1"/>
    <w:link w:val="76"/>
    <w:qFormat/>
    <w:uiPriority w:val="99"/>
    <w:pPr>
      <w:ind w:firstLine="830" w:firstLineChars="352"/>
    </w:pPr>
    <w:rPr>
      <w:rFonts w:ascii="仿宋_GB2312" w:eastAsia="仿宋_GB2312"/>
      <w:sz w:val="32"/>
      <w:szCs w:val="20"/>
    </w:rPr>
  </w:style>
  <w:style w:type="paragraph" w:styleId="21">
    <w:name w:val="List Number 3"/>
    <w:basedOn w:val="1"/>
    <w:qFormat/>
    <w:uiPriority w:val="0"/>
    <w:pPr>
      <w:tabs>
        <w:tab w:val="left" w:pos="1200"/>
      </w:tabs>
      <w:ind w:left="1200" w:leftChars="400" w:hanging="360" w:hangingChars="20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5">
    <w:name w:val="toc 3"/>
    <w:basedOn w:val="1"/>
    <w:next w:val="1"/>
    <w:qFormat/>
    <w:uiPriority w:val="39"/>
    <w:pPr>
      <w:ind w:left="840" w:leftChars="400"/>
    </w:pPr>
  </w:style>
  <w:style w:type="paragraph" w:styleId="26">
    <w:name w:val="Plain Text"/>
    <w:basedOn w:val="1"/>
    <w:next w:val="1"/>
    <w:link w:val="102"/>
    <w:qFormat/>
    <w:uiPriority w:val="0"/>
    <w:rPr>
      <w:rFonts w:ascii="宋体" w:hAnsi="Courier New" w:cs="Courier New"/>
      <w:szCs w:val="21"/>
    </w:rPr>
  </w:style>
  <w:style w:type="paragraph" w:styleId="27">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28">
    <w:name w:val="Date"/>
    <w:basedOn w:val="1"/>
    <w:next w:val="1"/>
    <w:link w:val="69"/>
    <w:qFormat/>
    <w:uiPriority w:val="0"/>
    <w:pPr>
      <w:ind w:left="100" w:leftChars="2500"/>
    </w:pPr>
    <w:rPr>
      <w:rFonts w:ascii="宋体" w:hAnsi="Courier New"/>
      <w:szCs w:val="21"/>
    </w:rPr>
  </w:style>
  <w:style w:type="paragraph" w:styleId="29">
    <w:name w:val="Body Text Indent 2"/>
    <w:basedOn w:val="1"/>
    <w:link w:val="95"/>
    <w:qFormat/>
    <w:uiPriority w:val="0"/>
    <w:pPr>
      <w:ind w:firstLine="630"/>
    </w:pPr>
    <w:rPr>
      <w:sz w:val="32"/>
      <w:szCs w:val="20"/>
    </w:rPr>
  </w:style>
  <w:style w:type="paragraph" w:styleId="30">
    <w:name w:val="Balloon Text"/>
    <w:basedOn w:val="1"/>
    <w:link w:val="91"/>
    <w:qFormat/>
    <w:uiPriority w:val="0"/>
    <w:rPr>
      <w:sz w:val="18"/>
      <w:szCs w:val="18"/>
    </w:rPr>
  </w:style>
  <w:style w:type="paragraph" w:styleId="31">
    <w:name w:val="footer"/>
    <w:basedOn w:val="1"/>
    <w:next w:val="1"/>
    <w:link w:val="65"/>
    <w:qFormat/>
    <w:uiPriority w:val="0"/>
    <w:pPr>
      <w:tabs>
        <w:tab w:val="center" w:pos="4153"/>
        <w:tab w:val="right" w:pos="8306"/>
      </w:tabs>
      <w:snapToGrid w:val="0"/>
      <w:jc w:val="left"/>
    </w:pPr>
    <w:rPr>
      <w:sz w:val="18"/>
      <w:szCs w:val="18"/>
    </w:rPr>
  </w:style>
  <w:style w:type="paragraph" w:styleId="32">
    <w:name w:val="header"/>
    <w:basedOn w:val="1"/>
    <w:link w:val="64"/>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398"/>
      </w:tabs>
      <w:spacing w:before="120" w:beforeLines="0" w:after="120" w:afterLines="0"/>
      <w:ind w:firstLine="240" w:firstLineChars="100"/>
      <w:jc w:val="left"/>
    </w:pPr>
    <w:rPr>
      <w:rFonts w:ascii="宋体" w:hAnsi="宋体"/>
      <w:b/>
      <w:bCs/>
      <w:caps/>
      <w:sz w:val="24"/>
    </w:rPr>
  </w:style>
  <w:style w:type="paragraph" w:styleId="34">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7">
    <w:name w:val="List 5"/>
    <w:basedOn w:val="1"/>
    <w:qFormat/>
    <w:uiPriority w:val="0"/>
    <w:pPr>
      <w:ind w:left="2100" w:hanging="420"/>
    </w:pPr>
    <w:rPr>
      <w:szCs w:val="20"/>
    </w:rPr>
  </w:style>
  <w:style w:type="paragraph" w:styleId="38">
    <w:name w:val="Body Text Indent 3"/>
    <w:basedOn w:val="1"/>
    <w:link w:val="86"/>
    <w:qFormat/>
    <w:uiPriority w:val="0"/>
    <w:pPr>
      <w:spacing w:after="120" w:afterLines="0"/>
      <w:ind w:left="420" w:leftChars="200"/>
    </w:pPr>
    <w:rPr>
      <w:sz w:val="16"/>
      <w:szCs w:val="16"/>
    </w:rPr>
  </w:style>
  <w:style w:type="paragraph" w:styleId="39">
    <w:name w:val="toc 2"/>
    <w:basedOn w:val="1"/>
    <w:next w:val="1"/>
    <w:qFormat/>
    <w:uiPriority w:val="39"/>
    <w:pPr>
      <w:ind w:left="420" w:leftChars="200"/>
    </w:pPr>
  </w:style>
  <w:style w:type="paragraph" w:styleId="40">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1">
    <w:name w:val="Body Text 2"/>
    <w:basedOn w:val="1"/>
    <w:link w:val="85"/>
    <w:qFormat/>
    <w:uiPriority w:val="0"/>
    <w:pPr>
      <w:spacing w:after="120" w:afterLines="0" w:line="480" w:lineRule="auto"/>
    </w:pPr>
  </w:style>
  <w:style w:type="paragraph" w:styleId="42">
    <w:name w:val="List 4"/>
    <w:basedOn w:val="1"/>
    <w:qFormat/>
    <w:uiPriority w:val="0"/>
    <w:pPr>
      <w:ind w:left="100" w:leftChars="600" w:hanging="200" w:hangingChars="200"/>
    </w:pPr>
  </w:style>
  <w:style w:type="paragraph" w:styleId="43">
    <w:name w:val="List Continue 2"/>
    <w:basedOn w:val="1"/>
    <w:qFormat/>
    <w:uiPriority w:val="0"/>
    <w:pPr>
      <w:spacing w:after="120" w:afterLines="0"/>
      <w:ind w:left="840" w:leftChars="400"/>
    </w:pPr>
  </w:style>
  <w:style w:type="paragraph" w:styleId="44">
    <w:name w:val="HTML Preformatted"/>
    <w:basedOn w:val="1"/>
    <w:link w:val="8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5">
    <w:name w:val="Normal (Web)"/>
    <w:basedOn w:val="1"/>
    <w:qFormat/>
    <w:uiPriority w:val="99"/>
    <w:pPr>
      <w:widowControl/>
      <w:spacing w:before="100" w:beforeLines="0" w:beforeAutospacing="1" w:after="100" w:afterLines="0" w:afterAutospacing="1"/>
      <w:jc w:val="left"/>
    </w:pPr>
    <w:rPr>
      <w:rFonts w:ascii="宋体" w:hAnsi="宋体"/>
      <w:kern w:val="0"/>
      <w:sz w:val="24"/>
    </w:rPr>
  </w:style>
  <w:style w:type="paragraph" w:styleId="46">
    <w:name w:val="index 1"/>
    <w:basedOn w:val="1"/>
    <w:next w:val="1"/>
    <w:qFormat/>
    <w:uiPriority w:val="0"/>
    <w:pPr>
      <w:spacing w:line="400" w:lineRule="exact"/>
      <w:ind w:firstLine="420" w:firstLineChars="200"/>
    </w:pPr>
    <w:rPr>
      <w:rFonts w:ascii="宋体" w:hAnsi="Courier New"/>
      <w:b/>
      <w:szCs w:val="20"/>
    </w:rPr>
  </w:style>
  <w:style w:type="paragraph" w:styleId="47">
    <w:name w:val="Title"/>
    <w:basedOn w:val="1"/>
    <w:link w:val="68"/>
    <w:qFormat/>
    <w:uiPriority w:val="0"/>
    <w:pPr>
      <w:jc w:val="center"/>
    </w:pPr>
    <w:rPr>
      <w:sz w:val="30"/>
    </w:rPr>
  </w:style>
  <w:style w:type="paragraph" w:styleId="48">
    <w:name w:val="annotation subject"/>
    <w:basedOn w:val="17"/>
    <w:next w:val="17"/>
    <w:link w:val="75"/>
    <w:qFormat/>
    <w:uiPriority w:val="0"/>
    <w:rPr>
      <w:b/>
      <w:bCs/>
    </w:rPr>
  </w:style>
  <w:style w:type="paragraph" w:styleId="49">
    <w:name w:val="Body Text First Indent"/>
    <w:basedOn w:val="19"/>
    <w:link w:val="108"/>
    <w:qFormat/>
    <w:uiPriority w:val="0"/>
    <w:pPr>
      <w:spacing w:after="120" w:afterLines="0" w:line="240" w:lineRule="auto"/>
      <w:ind w:firstLine="420" w:firstLineChars="100"/>
    </w:pPr>
    <w:rPr>
      <w:sz w:val="21"/>
    </w:rPr>
  </w:style>
  <w:style w:type="paragraph" w:styleId="50">
    <w:name w:val="Body Text First Indent 2"/>
    <w:basedOn w:val="20"/>
    <w:link w:val="93"/>
    <w:qFormat/>
    <w:uiPriority w:val="0"/>
    <w:pPr>
      <w:spacing w:after="120" w:afterLines="0"/>
      <w:ind w:left="420" w:leftChars="200" w:firstLine="420" w:firstLineChars="200"/>
    </w:pPr>
    <w:rPr>
      <w:rFonts w:ascii="Times New Roman" w:eastAsia="宋体"/>
      <w:sz w:val="21"/>
      <w:szCs w:val="24"/>
    </w:rPr>
  </w:style>
  <w:style w:type="table" w:styleId="52">
    <w:name w:val="Table Grid"/>
    <w:basedOn w:val="5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22"/>
    <w:rPr>
      <w:b/>
      <w:bCs/>
    </w:rPr>
  </w:style>
  <w:style w:type="character" w:styleId="55">
    <w:name w:val="page number"/>
    <w:basedOn w:val="53"/>
    <w:qFormat/>
    <w:uiPriority w:val="0"/>
  </w:style>
  <w:style w:type="character" w:styleId="56">
    <w:name w:val="FollowedHyperlink"/>
    <w:qFormat/>
    <w:uiPriority w:val="99"/>
    <w:rPr>
      <w:color w:val="800080"/>
      <w:u w:val="single"/>
    </w:rPr>
  </w:style>
  <w:style w:type="character" w:styleId="57">
    <w:name w:val="Hyperlink"/>
    <w:qFormat/>
    <w:uiPriority w:val="99"/>
    <w:rPr>
      <w:color w:val="0000FF"/>
      <w:u w:val="single"/>
    </w:rPr>
  </w:style>
  <w:style w:type="character" w:styleId="58">
    <w:name w:val="annotation reference"/>
    <w:qFormat/>
    <w:uiPriority w:val="0"/>
    <w:rPr>
      <w:sz w:val="21"/>
      <w:szCs w:val="21"/>
    </w:rPr>
  </w:style>
  <w:style w:type="character" w:customStyle="1" w:styleId="59">
    <w:name w:val="标题 3 Char"/>
    <w:link w:val="4"/>
    <w:qFormat/>
    <w:uiPriority w:val="0"/>
    <w:rPr>
      <w:b/>
      <w:bCs/>
      <w:kern w:val="2"/>
      <w:sz w:val="32"/>
      <w:szCs w:val="32"/>
    </w:rPr>
  </w:style>
  <w:style w:type="character" w:customStyle="1" w:styleId="60">
    <w:name w:val="标题 1 Char"/>
    <w:link w:val="2"/>
    <w:qFormat/>
    <w:uiPriority w:val="9"/>
    <w:rPr>
      <w:rFonts w:eastAsia="宋体"/>
      <w:b/>
      <w:bCs/>
      <w:kern w:val="44"/>
      <w:sz w:val="44"/>
      <w:szCs w:val="44"/>
      <w:lang w:val="en-US" w:eastAsia="zh-CN" w:bidi="ar-SA"/>
    </w:rPr>
  </w:style>
  <w:style w:type="character" w:customStyle="1" w:styleId="61">
    <w:name w:val="style11"/>
    <w:qFormat/>
    <w:uiPriority w:val="0"/>
    <w:rPr>
      <w:rFonts w:hint="default" w:ascii="Arial" w:hAnsi="Arial" w:cs="Arial"/>
    </w:rPr>
  </w:style>
  <w:style w:type="character" w:customStyle="1" w:styleId="62">
    <w:name w:val="short_text1"/>
    <w:qFormat/>
    <w:uiPriority w:val="0"/>
    <w:rPr>
      <w:sz w:val="26"/>
    </w:rPr>
  </w:style>
  <w:style w:type="character" w:customStyle="1" w:styleId="63">
    <w:name w:val="标题 2 Char"/>
    <w:link w:val="3"/>
    <w:qFormat/>
    <w:uiPriority w:val="0"/>
    <w:rPr>
      <w:rFonts w:ascii="Arial" w:hAnsi="Arial" w:eastAsia="黑体"/>
      <w:b/>
      <w:bCs/>
      <w:kern w:val="2"/>
      <w:sz w:val="32"/>
      <w:szCs w:val="32"/>
    </w:rPr>
  </w:style>
  <w:style w:type="character" w:customStyle="1" w:styleId="64">
    <w:name w:val="页眉 Char"/>
    <w:link w:val="32"/>
    <w:qFormat/>
    <w:uiPriority w:val="99"/>
    <w:rPr>
      <w:kern w:val="2"/>
      <w:sz w:val="18"/>
      <w:szCs w:val="18"/>
    </w:rPr>
  </w:style>
  <w:style w:type="character" w:customStyle="1" w:styleId="65">
    <w:name w:val="页脚 Char"/>
    <w:link w:val="31"/>
    <w:qFormat/>
    <w:uiPriority w:val="0"/>
    <w:rPr>
      <w:kern w:val="2"/>
      <w:sz w:val="18"/>
      <w:szCs w:val="18"/>
    </w:rPr>
  </w:style>
  <w:style w:type="character" w:customStyle="1" w:styleId="66">
    <w:name w:val="white"/>
    <w:basedOn w:val="53"/>
    <w:qFormat/>
    <w:uiPriority w:val="0"/>
  </w:style>
  <w:style w:type="character" w:customStyle="1" w:styleId="67">
    <w:name w:val="text11"/>
    <w:qFormat/>
    <w:uiPriority w:val="0"/>
    <w:rPr>
      <w:rFonts w:hint="default" w:ascii="Verdana" w:hAnsi="Verdana"/>
      <w:color w:val="4E4E4E"/>
      <w:sz w:val="18"/>
      <w:szCs w:val="18"/>
    </w:rPr>
  </w:style>
  <w:style w:type="character" w:customStyle="1" w:styleId="68">
    <w:name w:val="标题 Char"/>
    <w:link w:val="47"/>
    <w:qFormat/>
    <w:uiPriority w:val="0"/>
    <w:rPr>
      <w:kern w:val="2"/>
      <w:sz w:val="30"/>
      <w:szCs w:val="24"/>
    </w:rPr>
  </w:style>
  <w:style w:type="character" w:customStyle="1" w:styleId="69">
    <w:name w:val="日期 Char"/>
    <w:link w:val="28"/>
    <w:qFormat/>
    <w:uiPriority w:val="0"/>
    <w:rPr>
      <w:rFonts w:ascii="宋体" w:hAnsi="Courier New" w:cs="Courier New"/>
      <w:kern w:val="2"/>
      <w:sz w:val="21"/>
      <w:szCs w:val="21"/>
    </w:rPr>
  </w:style>
  <w:style w:type="character" w:customStyle="1" w:styleId="70">
    <w:name w:val="标题 7 Char"/>
    <w:link w:val="8"/>
    <w:qFormat/>
    <w:uiPriority w:val="0"/>
    <w:rPr>
      <w:b/>
      <w:kern w:val="2"/>
      <w:sz w:val="24"/>
      <w:szCs w:val="24"/>
    </w:rPr>
  </w:style>
  <w:style w:type="character" w:customStyle="1" w:styleId="71">
    <w:name w:val="mark8"/>
    <w:qFormat/>
    <w:uiPriority w:val="0"/>
    <w:rPr>
      <w:b/>
      <w:bCs/>
      <w:sz w:val="21"/>
      <w:szCs w:val="21"/>
    </w:rPr>
  </w:style>
  <w:style w:type="character" w:customStyle="1" w:styleId="72">
    <w:name w:val="纯文本 Char1"/>
    <w:qFormat/>
    <w:uiPriority w:val="0"/>
    <w:rPr>
      <w:rFonts w:ascii="宋体" w:hAnsi="Courier New" w:eastAsia="宋体" w:cs="Courier New"/>
      <w:kern w:val="2"/>
      <w:sz w:val="21"/>
      <w:szCs w:val="21"/>
      <w:lang w:val="en-US" w:eastAsia="zh-CN" w:bidi="ar-SA"/>
    </w:rPr>
  </w:style>
  <w:style w:type="character" w:customStyle="1" w:styleId="73">
    <w:name w:val="f151"/>
    <w:qFormat/>
    <w:uiPriority w:val="0"/>
    <w:rPr>
      <w:sz w:val="23"/>
      <w:szCs w:val="23"/>
    </w:rPr>
  </w:style>
  <w:style w:type="character" w:customStyle="1" w:styleId="74">
    <w:name w:val="标题 6 Char"/>
    <w:link w:val="7"/>
    <w:qFormat/>
    <w:uiPriority w:val="0"/>
    <w:rPr>
      <w:rFonts w:ascii="Arial" w:hAnsi="Arial" w:eastAsia="黑体"/>
      <w:b/>
      <w:kern w:val="2"/>
      <w:sz w:val="24"/>
      <w:szCs w:val="24"/>
    </w:rPr>
  </w:style>
  <w:style w:type="character" w:customStyle="1" w:styleId="75">
    <w:name w:val="批注主题 Char"/>
    <w:link w:val="48"/>
    <w:qFormat/>
    <w:uiPriority w:val="0"/>
    <w:rPr>
      <w:b/>
      <w:bCs/>
      <w:kern w:val="2"/>
      <w:sz w:val="21"/>
      <w:szCs w:val="24"/>
    </w:rPr>
  </w:style>
  <w:style w:type="character" w:customStyle="1" w:styleId="76">
    <w:name w:val="正文文本缩进 Char"/>
    <w:link w:val="20"/>
    <w:qFormat/>
    <w:uiPriority w:val="99"/>
    <w:rPr>
      <w:rFonts w:ascii="仿宋_GB2312" w:eastAsia="仿宋_GB2312"/>
      <w:kern w:val="2"/>
      <w:sz w:val="32"/>
    </w:rPr>
  </w:style>
  <w:style w:type="character" w:customStyle="1" w:styleId="77">
    <w:name w:val="062"/>
    <w:qFormat/>
    <w:uiPriority w:val="0"/>
    <w:rPr>
      <w:rFonts w:ascii="宋体" w:hAnsi="宋体"/>
      <w:b/>
      <w:bCs/>
      <w:sz w:val="32"/>
    </w:rPr>
  </w:style>
  <w:style w:type="character" w:customStyle="1" w:styleId="78">
    <w:name w:val="正文文本 3 Char"/>
    <w:link w:val="18"/>
    <w:qFormat/>
    <w:uiPriority w:val="0"/>
    <w:rPr>
      <w:b/>
      <w:bCs/>
      <w:kern w:val="2"/>
      <w:sz w:val="24"/>
      <w:szCs w:val="24"/>
    </w:rPr>
  </w:style>
  <w:style w:type="character" w:customStyle="1" w:styleId="79">
    <w:name w:val="标题 8 Char"/>
    <w:link w:val="10"/>
    <w:qFormat/>
    <w:uiPriority w:val="0"/>
    <w:rPr>
      <w:rFonts w:ascii="Arial" w:hAnsi="Arial" w:eastAsia="黑体"/>
      <w:kern w:val="2"/>
      <w:sz w:val="24"/>
      <w:szCs w:val="24"/>
    </w:rPr>
  </w:style>
  <w:style w:type="character" w:customStyle="1" w:styleId="80">
    <w:name w:val="gray12"/>
    <w:basedOn w:val="53"/>
    <w:qFormat/>
    <w:uiPriority w:val="0"/>
  </w:style>
  <w:style w:type="character" w:customStyle="1" w:styleId="81">
    <w:name w:val="标题 9 Char"/>
    <w:link w:val="11"/>
    <w:qFormat/>
    <w:uiPriority w:val="0"/>
    <w:rPr>
      <w:rFonts w:ascii="Arial" w:hAnsi="Arial" w:eastAsia="黑体"/>
      <w:kern w:val="2"/>
      <w:sz w:val="21"/>
      <w:szCs w:val="24"/>
    </w:rPr>
  </w:style>
  <w:style w:type="character" w:customStyle="1" w:styleId="82">
    <w:name w:val="1ji Char"/>
    <w:link w:val="83"/>
    <w:qFormat/>
    <w:uiPriority w:val="0"/>
    <w:rPr>
      <w:rFonts w:ascii="宋体" w:hAnsi="宋体" w:eastAsia="宋体"/>
      <w:b/>
      <w:bCs/>
      <w:kern w:val="44"/>
      <w:sz w:val="36"/>
      <w:szCs w:val="44"/>
      <w:lang w:val="en-US" w:eastAsia="zh-CN" w:bidi="ar-SA"/>
    </w:rPr>
  </w:style>
  <w:style w:type="paragraph" w:customStyle="1" w:styleId="83">
    <w:name w:val="1ji"/>
    <w:basedOn w:val="2"/>
    <w:link w:val="82"/>
    <w:qFormat/>
    <w:uiPriority w:val="0"/>
    <w:pPr>
      <w:keepLines w:val="0"/>
      <w:widowControl/>
      <w:spacing w:before="0" w:beforeLines="0" w:after="0" w:afterLines="0" w:line="240" w:lineRule="auto"/>
      <w:jc w:val="center"/>
    </w:pPr>
    <w:rPr>
      <w:rFonts w:ascii="宋体" w:hAnsi="宋体"/>
      <w:sz w:val="36"/>
    </w:rPr>
  </w:style>
  <w:style w:type="character" w:customStyle="1" w:styleId="84">
    <w:name w:val="font01"/>
    <w:qFormat/>
    <w:uiPriority w:val="0"/>
    <w:rPr>
      <w:rFonts w:hint="eastAsia" w:ascii="宋体" w:hAnsi="宋体" w:eastAsia="宋体"/>
      <w:color w:val="000000"/>
      <w:sz w:val="22"/>
      <w:szCs w:val="22"/>
      <w:u w:val="none"/>
    </w:rPr>
  </w:style>
  <w:style w:type="character" w:customStyle="1" w:styleId="85">
    <w:name w:val="正文文本 2 Char"/>
    <w:link w:val="41"/>
    <w:qFormat/>
    <w:uiPriority w:val="0"/>
    <w:rPr>
      <w:kern w:val="2"/>
      <w:sz w:val="21"/>
      <w:szCs w:val="24"/>
    </w:rPr>
  </w:style>
  <w:style w:type="character" w:customStyle="1" w:styleId="86">
    <w:name w:val="正文文本缩进 3 Char"/>
    <w:link w:val="38"/>
    <w:qFormat/>
    <w:uiPriority w:val="0"/>
    <w:rPr>
      <w:kern w:val="2"/>
      <w:sz w:val="16"/>
      <w:szCs w:val="16"/>
    </w:rPr>
  </w:style>
  <w:style w:type="character" w:customStyle="1" w:styleId="87">
    <w:name w:val="HTML 预设格式 Char"/>
    <w:link w:val="44"/>
    <w:qFormat/>
    <w:uiPriority w:val="0"/>
    <w:rPr>
      <w:rFonts w:ascii="黑体" w:hAnsi="Courier New" w:eastAsia="黑体" w:cs="Courier New"/>
    </w:rPr>
  </w:style>
  <w:style w:type="character" w:customStyle="1" w:styleId="88">
    <w:name w:val="标题 5 Char"/>
    <w:link w:val="6"/>
    <w:qFormat/>
    <w:uiPriority w:val="0"/>
    <w:rPr>
      <w:b/>
      <w:kern w:val="2"/>
      <w:sz w:val="28"/>
      <w:szCs w:val="24"/>
    </w:rPr>
  </w:style>
  <w:style w:type="character" w:customStyle="1" w:styleId="89">
    <w:name w:val="small"/>
    <w:basedOn w:val="53"/>
    <w:qFormat/>
    <w:uiPriority w:val="0"/>
  </w:style>
  <w:style w:type="character" w:customStyle="1" w:styleId="90">
    <w:name w:val="标题 4 Char"/>
    <w:link w:val="5"/>
    <w:qFormat/>
    <w:uiPriority w:val="0"/>
    <w:rPr>
      <w:rFonts w:ascii="Arial" w:hAnsi="Arial" w:eastAsia="黑体"/>
      <w:sz w:val="28"/>
    </w:rPr>
  </w:style>
  <w:style w:type="character" w:customStyle="1" w:styleId="91">
    <w:name w:val="批注框文本 Char"/>
    <w:link w:val="30"/>
    <w:qFormat/>
    <w:uiPriority w:val="0"/>
    <w:rPr>
      <w:kern w:val="2"/>
      <w:sz w:val="18"/>
      <w:szCs w:val="18"/>
    </w:rPr>
  </w:style>
  <w:style w:type="character" w:customStyle="1" w:styleId="92">
    <w:name w:val="文档结构图 Char"/>
    <w:link w:val="16"/>
    <w:qFormat/>
    <w:uiPriority w:val="0"/>
    <w:rPr>
      <w:sz w:val="21"/>
      <w:shd w:val="clear" w:color="auto" w:fill="000080"/>
    </w:rPr>
  </w:style>
  <w:style w:type="character" w:customStyle="1" w:styleId="93">
    <w:name w:val="正文首行缩进 2 Char"/>
    <w:link w:val="50"/>
    <w:qFormat/>
    <w:uiPriority w:val="0"/>
    <w:rPr>
      <w:kern w:val="2"/>
      <w:sz w:val="21"/>
      <w:szCs w:val="24"/>
    </w:rPr>
  </w:style>
  <w:style w:type="character" w:customStyle="1" w:styleId="94">
    <w:name w:val="apple-converted-space"/>
    <w:qFormat/>
    <w:uiPriority w:val="0"/>
  </w:style>
  <w:style w:type="character" w:customStyle="1" w:styleId="95">
    <w:name w:val="正文文本缩进 2 Char"/>
    <w:link w:val="29"/>
    <w:qFormat/>
    <w:uiPriority w:val="0"/>
    <w:rPr>
      <w:kern w:val="2"/>
      <w:sz w:val="32"/>
    </w:rPr>
  </w:style>
  <w:style w:type="character" w:customStyle="1" w:styleId="96">
    <w:name w:val="case31"/>
    <w:qFormat/>
    <w:uiPriority w:val="0"/>
    <w:rPr>
      <w:rFonts w:hint="default" w:ascii="_x000B__x000C_" w:hAnsi="_x000B__x000C_"/>
      <w:sz w:val="21"/>
      <w:szCs w:val="21"/>
    </w:rPr>
  </w:style>
  <w:style w:type="character" w:customStyle="1" w:styleId="97">
    <w:name w:val="graytext1"/>
    <w:qFormat/>
    <w:uiPriority w:val="0"/>
    <w:rPr>
      <w:color w:val="666666"/>
    </w:rPr>
  </w:style>
  <w:style w:type="character" w:customStyle="1" w:styleId="98">
    <w:name w:val="标题3 Char"/>
    <w:link w:val="99"/>
    <w:qFormat/>
    <w:uiPriority w:val="0"/>
    <w:rPr>
      <w:rFonts w:ascii="宋体" w:hAnsi="宋体"/>
      <w:b/>
      <w:bCs/>
      <w:kern w:val="44"/>
      <w:sz w:val="24"/>
      <w:szCs w:val="24"/>
    </w:rPr>
  </w:style>
  <w:style w:type="paragraph" w:customStyle="1" w:styleId="99">
    <w:name w:val="标题3"/>
    <w:basedOn w:val="2"/>
    <w:link w:val="98"/>
    <w:qFormat/>
    <w:uiPriority w:val="0"/>
    <w:pPr>
      <w:spacing w:before="0" w:beforeLines="50" w:after="0" w:afterLines="50" w:line="400" w:lineRule="exact"/>
    </w:pPr>
    <w:rPr>
      <w:rFonts w:ascii="宋体" w:hAnsi="宋体"/>
      <w:sz w:val="24"/>
      <w:szCs w:val="24"/>
    </w:rPr>
  </w:style>
  <w:style w:type="character" w:customStyle="1" w:styleId="100">
    <w:name w:val="1051"/>
    <w:qFormat/>
    <w:uiPriority w:val="0"/>
    <w:rPr>
      <w:sz w:val="21"/>
      <w:szCs w:val="21"/>
    </w:rPr>
  </w:style>
  <w:style w:type="character" w:customStyle="1" w:styleId="101">
    <w:name w:val="批注文字 Char"/>
    <w:link w:val="17"/>
    <w:qFormat/>
    <w:uiPriority w:val="0"/>
    <w:rPr>
      <w:kern w:val="2"/>
      <w:sz w:val="21"/>
      <w:szCs w:val="24"/>
    </w:rPr>
  </w:style>
  <w:style w:type="character" w:customStyle="1" w:styleId="102">
    <w:name w:val="纯文本 Char"/>
    <w:link w:val="26"/>
    <w:qFormat/>
    <w:uiPriority w:val="99"/>
    <w:rPr>
      <w:rFonts w:ascii="宋体" w:hAnsi="Courier New" w:eastAsia="宋体" w:cs="Courier New"/>
      <w:kern w:val="2"/>
      <w:sz w:val="21"/>
      <w:szCs w:val="21"/>
      <w:lang w:val="en-US" w:eastAsia="zh-CN" w:bidi="ar-SA"/>
    </w:rPr>
  </w:style>
  <w:style w:type="character" w:customStyle="1" w:styleId="103">
    <w:name w:val="content2"/>
    <w:basedOn w:val="53"/>
    <w:qFormat/>
    <w:uiPriority w:val="0"/>
  </w:style>
  <w:style w:type="character" w:customStyle="1" w:styleId="104">
    <w:name w:val="z-窗体顶端 Char"/>
    <w:link w:val="105"/>
    <w:qFormat/>
    <w:uiPriority w:val="0"/>
    <w:rPr>
      <w:rFonts w:ascii="Arial"/>
      <w:vanish/>
      <w:kern w:val="2"/>
      <w:sz w:val="16"/>
      <w:szCs w:val="24"/>
    </w:rPr>
  </w:style>
  <w:style w:type="paragraph" w:customStyle="1" w:styleId="105">
    <w:name w:val="_Style 104"/>
    <w:basedOn w:val="1"/>
    <w:next w:val="1"/>
    <w:link w:val="104"/>
    <w:qFormat/>
    <w:uiPriority w:val="0"/>
    <w:pPr>
      <w:pBdr>
        <w:bottom w:val="single" w:color="auto" w:sz="6" w:space="1"/>
      </w:pBdr>
      <w:jc w:val="center"/>
    </w:pPr>
    <w:rPr>
      <w:rFonts w:ascii="Arial"/>
      <w:vanish/>
      <w:sz w:val="16"/>
    </w:rPr>
  </w:style>
  <w:style w:type="character" w:customStyle="1" w:styleId="106">
    <w:name w:val="正文文本 Char"/>
    <w:link w:val="19"/>
    <w:qFormat/>
    <w:uiPriority w:val="99"/>
    <w:rPr>
      <w:kern w:val="2"/>
      <w:sz w:val="24"/>
      <w:szCs w:val="24"/>
    </w:rPr>
  </w:style>
  <w:style w:type="character" w:customStyle="1" w:styleId="107">
    <w:name w:val="unnamed3"/>
    <w:basedOn w:val="53"/>
    <w:qFormat/>
    <w:uiPriority w:val="0"/>
  </w:style>
  <w:style w:type="character" w:customStyle="1" w:styleId="108">
    <w:name w:val="正文首行缩进 Char"/>
    <w:link w:val="49"/>
    <w:qFormat/>
    <w:uiPriority w:val="0"/>
    <w:rPr>
      <w:kern w:val="2"/>
      <w:sz w:val="21"/>
      <w:szCs w:val="24"/>
    </w:rPr>
  </w:style>
  <w:style w:type="character" w:customStyle="1" w:styleId="109">
    <w:name w:val="批注文字 Char2"/>
    <w:qFormat/>
    <w:uiPriority w:val="0"/>
    <w:rPr>
      <w:kern w:val="2"/>
      <w:sz w:val="21"/>
      <w:szCs w:val="24"/>
      <w:lang w:bidi="ar-SA"/>
    </w:rPr>
  </w:style>
  <w:style w:type="character" w:customStyle="1" w:styleId="110">
    <w:name w:val="style21"/>
    <w:qFormat/>
    <w:uiPriority w:val="0"/>
    <w:rPr>
      <w:sz w:val="17"/>
      <w:szCs w:val="17"/>
    </w:rPr>
  </w:style>
  <w:style w:type="paragraph" w:customStyle="1" w:styleId="111">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12">
    <w:name w:val="Char1"/>
    <w:basedOn w:val="1"/>
    <w:qFormat/>
    <w:uiPriority w:val="0"/>
    <w:rPr>
      <w:szCs w:val="21"/>
    </w:rPr>
  </w:style>
  <w:style w:type="paragraph" w:customStyle="1" w:styleId="11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4">
    <w:name w:val=" Char Char Char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115">
    <w:name w:val="xl21"/>
    <w:basedOn w:val="1"/>
    <w:qFormat/>
    <w:uiPriority w:val="0"/>
    <w:pPr>
      <w:widowControl/>
      <w:spacing w:before="100" w:beforeLines="0" w:beforeAutospacing="1" w:after="100" w:afterLines="0" w:afterAutospacing="1"/>
      <w:jc w:val="center"/>
    </w:pPr>
    <w:rPr>
      <w:rFonts w:ascii="宋体" w:hAnsi="宋体"/>
      <w:b/>
      <w:bCs/>
      <w:kern w:val="0"/>
      <w:sz w:val="28"/>
      <w:szCs w:val="28"/>
    </w:rPr>
  </w:style>
  <w:style w:type="paragraph" w:customStyle="1" w:styleId="116">
    <w:name w:val="List Paragraph1"/>
    <w:basedOn w:val="1"/>
    <w:qFormat/>
    <w:uiPriority w:val="0"/>
    <w:pPr>
      <w:ind w:firstLine="420" w:firstLineChars="200"/>
    </w:pPr>
    <w:rPr>
      <w:rFonts w:ascii="Calibri" w:hAnsi="Calibri"/>
      <w:szCs w:val="22"/>
    </w:rPr>
  </w:style>
  <w:style w:type="paragraph" w:styleId="117">
    <w:name w:val="List Paragraph"/>
    <w:basedOn w:val="1"/>
    <w:qFormat/>
    <w:uiPriority w:val="34"/>
    <w:pPr>
      <w:ind w:firstLine="420" w:firstLineChars="200"/>
    </w:pPr>
    <w:rPr>
      <w:rFonts w:ascii="Calibri" w:hAnsi="Calibri"/>
      <w:szCs w:val="22"/>
    </w:rPr>
  </w:style>
  <w:style w:type="paragraph" w:customStyle="1" w:styleId="118">
    <w:name w:val=" Char Char Char Char Char Char Char"/>
    <w:basedOn w:val="1"/>
    <w:qFormat/>
    <w:uiPriority w:val="0"/>
  </w:style>
  <w:style w:type="paragraph" w:customStyle="1" w:styleId="119">
    <w:name w:val=" Char"/>
    <w:basedOn w:val="1"/>
    <w:qFormat/>
    <w:uiPriority w:val="0"/>
    <w:pPr>
      <w:tabs>
        <w:tab w:val="left" w:pos="360"/>
      </w:tabs>
      <w:ind w:left="252" w:hanging="252" w:hangingChars="140"/>
    </w:pPr>
    <w:rPr>
      <w:rFonts w:ascii="宋体"/>
      <w:sz w:val="18"/>
      <w:szCs w:val="18"/>
    </w:rPr>
  </w:style>
  <w:style w:type="paragraph" w:customStyle="1" w:styleId="120">
    <w:name w:val="次小点说明 Char"/>
    <w:basedOn w:val="9"/>
    <w:qFormat/>
    <w:uiPriority w:val="0"/>
    <w:pPr>
      <w:ind w:firstLine="0"/>
    </w:pPr>
    <w:rPr>
      <w:sz w:val="24"/>
      <w:szCs w:val="24"/>
    </w:rPr>
  </w:style>
  <w:style w:type="paragraph" w:customStyle="1" w:styleId="121">
    <w:name w:val=" Char Char Char"/>
    <w:basedOn w:val="16"/>
    <w:qFormat/>
    <w:uiPriority w:val="0"/>
    <w:pPr>
      <w:adjustRightInd/>
      <w:spacing w:line="240" w:lineRule="auto"/>
      <w:textAlignment w:val="auto"/>
    </w:pPr>
    <w:rPr>
      <w:rFonts w:ascii="Tahoma" w:hAnsi="Tahoma"/>
      <w:kern w:val="2"/>
      <w:sz w:val="24"/>
      <w:szCs w:val="24"/>
    </w:rPr>
  </w:style>
  <w:style w:type="paragraph" w:customStyle="1" w:styleId="122">
    <w:name w:val="Char Char Char1"/>
    <w:basedOn w:val="16"/>
    <w:qFormat/>
    <w:uiPriority w:val="0"/>
    <w:pPr>
      <w:adjustRightInd/>
      <w:spacing w:line="240" w:lineRule="auto"/>
      <w:textAlignment w:val="auto"/>
    </w:pPr>
    <w:rPr>
      <w:rFonts w:ascii="Tahoma" w:hAnsi="Tahoma"/>
      <w:kern w:val="2"/>
      <w:sz w:val="24"/>
      <w:szCs w:val="24"/>
    </w:rPr>
  </w:style>
  <w:style w:type="paragraph" w:customStyle="1" w:styleId="123">
    <w:name w:val="五号正文（标准）"/>
    <w:basedOn w:val="1"/>
    <w:qFormat/>
    <w:uiPriority w:val="0"/>
    <w:pPr>
      <w:spacing w:line="360" w:lineRule="auto"/>
      <w:ind w:right="55" w:firstLine="560" w:firstLineChars="200"/>
    </w:pPr>
    <w:rPr>
      <w:rFonts w:eastAsia="仿宋_GB2312"/>
      <w:sz w:val="28"/>
      <w:szCs w:val="20"/>
    </w:rPr>
  </w:style>
  <w:style w:type="paragraph" w:customStyle="1" w:styleId="124">
    <w:name w:val="a9"/>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25">
    <w:name w:val="默认段落字体 Para Char"/>
    <w:basedOn w:val="1"/>
    <w:qFormat/>
    <w:uiPriority w:val="0"/>
    <w:pPr>
      <w:adjustRightInd w:val="0"/>
      <w:spacing w:line="360" w:lineRule="auto"/>
    </w:pPr>
    <w:rPr>
      <w:kern w:val="0"/>
      <w:sz w:val="24"/>
      <w:szCs w:val="20"/>
    </w:rPr>
  </w:style>
  <w:style w:type="paragraph" w:customStyle="1" w:styleId="126">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pPr>
    <w:rPr>
      <w:kern w:val="0"/>
      <w:szCs w:val="21"/>
    </w:rPr>
  </w:style>
  <w:style w:type="paragraph" w:customStyle="1" w:styleId="127">
    <w:name w:val="样式1"/>
    <w:basedOn w:val="1"/>
    <w:qFormat/>
    <w:uiPriority w:val="0"/>
    <w:pPr>
      <w:spacing w:before="120" w:beforeLines="0" w:after="120" w:afterLines="0" w:line="300" w:lineRule="auto"/>
    </w:pPr>
    <w:rPr>
      <w:rFonts w:ascii="宋体" w:hAnsi="宋体"/>
      <w:b/>
      <w:sz w:val="24"/>
      <w:szCs w:val="20"/>
    </w:rPr>
  </w:style>
  <w:style w:type="paragraph" w:customStyle="1" w:styleId="128">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129">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30">
    <w:name w:val="缺省文本"/>
    <w:basedOn w:val="1"/>
    <w:qFormat/>
    <w:uiPriority w:val="0"/>
    <w:pPr>
      <w:autoSpaceDE w:val="0"/>
      <w:autoSpaceDN w:val="0"/>
      <w:adjustRightInd w:val="0"/>
      <w:spacing w:line="360" w:lineRule="auto"/>
      <w:jc w:val="left"/>
    </w:pPr>
    <w:rPr>
      <w:kern w:val="0"/>
      <w:sz w:val="24"/>
      <w:szCs w:val="20"/>
    </w:rPr>
  </w:style>
  <w:style w:type="paragraph" w:customStyle="1" w:styleId="131">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32">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3">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34">
    <w:name w:val="图"/>
    <w:basedOn w:val="1"/>
    <w:qFormat/>
    <w:uiPriority w:val="0"/>
    <w:pPr>
      <w:keepNext/>
      <w:adjustRightInd w:val="0"/>
      <w:snapToGrid w:val="0"/>
      <w:spacing w:before="60" w:beforeLines="0" w:after="60" w:afterLines="0" w:line="300" w:lineRule="auto"/>
      <w:jc w:val="center"/>
    </w:pPr>
    <w:rPr>
      <w:spacing w:val="20"/>
      <w:kern w:val="0"/>
      <w:sz w:val="24"/>
      <w:szCs w:val="20"/>
    </w:rPr>
  </w:style>
  <w:style w:type="paragraph" w:customStyle="1" w:styleId="135">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136">
    <w:name w:val="正文首行缩进两字符"/>
    <w:basedOn w:val="1"/>
    <w:qFormat/>
    <w:uiPriority w:val="0"/>
    <w:pPr>
      <w:spacing w:line="360" w:lineRule="auto"/>
      <w:ind w:firstLine="200" w:firstLineChars="200"/>
    </w:pPr>
  </w:style>
  <w:style w:type="paragraph" w:customStyle="1" w:styleId="137">
    <w:name w:val="_Style 136"/>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138">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139">
    <w:name w:val="表内文字"/>
    <w:basedOn w:val="1"/>
    <w:qFormat/>
    <w:uiPriority w:val="0"/>
    <w:pPr>
      <w:snapToGrid w:val="0"/>
      <w:spacing w:before="50" w:beforeLines="0" w:after="50" w:afterLines="0"/>
      <w:jc w:val="center"/>
    </w:pPr>
    <w:rPr>
      <w:rFonts w:ascii="仿宋_GB2312" w:hAnsi="宋体" w:eastAsia="仿宋_GB2312"/>
      <w:b/>
      <w:color w:val="000000"/>
      <w:sz w:val="32"/>
      <w:szCs w:val="32"/>
    </w:rPr>
  </w:style>
  <w:style w:type="paragraph" w:customStyle="1" w:styleId="140">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41">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42">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b/>
      <w:bCs/>
      <w:kern w:val="0"/>
      <w:sz w:val="24"/>
    </w:rPr>
  </w:style>
  <w:style w:type="paragraph" w:customStyle="1" w:styleId="143">
    <w:name w:val="1"/>
    <w:basedOn w:val="1"/>
    <w:next w:val="26"/>
    <w:qFormat/>
    <w:uiPriority w:val="0"/>
    <w:rPr>
      <w:rFonts w:ascii="宋体" w:hAnsi="Courier New"/>
      <w:szCs w:val="20"/>
    </w:rPr>
  </w:style>
  <w:style w:type="paragraph" w:customStyle="1" w:styleId="144">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5">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46">
    <w:name w:val="Char Char Char"/>
    <w:basedOn w:val="1"/>
    <w:qFormat/>
    <w:uiPriority w:val="0"/>
    <w:rPr>
      <w:rFonts w:ascii="Tahoma" w:hAnsi="Tahoma"/>
      <w:sz w:val="24"/>
      <w:szCs w:val="20"/>
    </w:rPr>
  </w:style>
  <w:style w:type="paragraph" w:customStyle="1" w:styleId="14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48">
    <w:name w:val=" 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49">
    <w:name w:val="样式 首行缩进:  2 字符"/>
    <w:basedOn w:val="1"/>
    <w:qFormat/>
    <w:uiPriority w:val="0"/>
    <w:pPr>
      <w:spacing w:line="400" w:lineRule="exact"/>
      <w:ind w:firstLine="200" w:firstLineChars="200"/>
    </w:pPr>
    <w:rPr>
      <w:rFonts w:cs="宋体"/>
      <w:sz w:val="24"/>
    </w:rPr>
  </w:style>
  <w:style w:type="paragraph" w:customStyle="1" w:styleId="150">
    <w:name w:val=" Char Char Char Char Char Char1 Char"/>
    <w:basedOn w:val="1"/>
    <w:qFormat/>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151">
    <w:name w:val="表格"/>
    <w:basedOn w:val="1"/>
    <w:qFormat/>
    <w:uiPriority w:val="0"/>
    <w:pPr>
      <w:spacing w:line="400" w:lineRule="exact"/>
    </w:pPr>
    <w:rPr>
      <w:sz w:val="24"/>
    </w:rPr>
  </w:style>
  <w:style w:type="paragraph" w:customStyle="1" w:styleId="152">
    <w:name w:val="默认段落字体 Para Char Char Char Char Char Char Char Char Char1 Char Char Char Char"/>
    <w:basedOn w:val="1"/>
    <w:qFormat/>
    <w:uiPriority w:val="0"/>
    <w:rPr>
      <w:rFonts w:ascii="Tahoma" w:hAnsi="Tahoma"/>
      <w:sz w:val="24"/>
      <w:szCs w:val="20"/>
    </w:rPr>
  </w:style>
  <w:style w:type="paragraph" w:customStyle="1" w:styleId="15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54">
    <w:name w:val="Char Char Char Char Char Char Char"/>
    <w:basedOn w:val="1"/>
    <w:qFormat/>
    <w:uiPriority w:val="0"/>
  </w:style>
  <w:style w:type="paragraph" w:customStyle="1" w:styleId="155">
    <w:name w:val=" 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156">
    <w:name w:val="_Style 155"/>
    <w:unhideWhenUsed/>
    <w:qFormat/>
    <w:uiPriority w:val="99"/>
    <w:rPr>
      <w:rFonts w:ascii="Times New Roman" w:hAnsi="Times New Roman" w:eastAsia="宋体" w:cs="Times New Roman"/>
      <w:kern w:val="2"/>
      <w:sz w:val="21"/>
      <w:szCs w:val="24"/>
      <w:lang w:val="en-US" w:eastAsia="zh-CN" w:bidi="ar-SA"/>
    </w:rPr>
  </w:style>
  <w:style w:type="paragraph" w:customStyle="1" w:styleId="157">
    <w:name w:val="F2"/>
    <w:basedOn w:val="1"/>
    <w:qFormat/>
    <w:uiPriority w:val="0"/>
    <w:pPr>
      <w:autoSpaceDE w:val="0"/>
      <w:autoSpaceDN w:val="0"/>
      <w:adjustRightInd w:val="0"/>
      <w:ind w:firstLine="601"/>
      <w:textAlignment w:val="baseline"/>
    </w:pPr>
    <w:rPr>
      <w:kern w:val="0"/>
      <w:sz w:val="24"/>
      <w:szCs w:val="20"/>
    </w:rPr>
  </w:style>
  <w:style w:type="paragraph" w:customStyle="1" w:styleId="158">
    <w:name w:val="普通 (Web)"/>
    <w:basedOn w:val="1"/>
    <w:qFormat/>
    <w:uiPriority w:val="0"/>
    <w:pPr>
      <w:widowControl/>
      <w:spacing w:before="100" w:beforeLines="0" w:beforeAutospacing="1" w:after="100" w:afterLines="0" w:afterAutospacing="1"/>
      <w:jc w:val="left"/>
    </w:pPr>
    <w:rPr>
      <w:rFonts w:ascii="宋体" w:hAnsi="宋体"/>
      <w:kern w:val="0"/>
      <w:sz w:val="24"/>
    </w:rPr>
  </w:style>
  <w:style w:type="paragraph" w:customStyle="1" w:styleId="159">
    <w:name w:val="tgt1"/>
    <w:basedOn w:val="1"/>
    <w:qFormat/>
    <w:uiPriority w:val="0"/>
    <w:pPr>
      <w:widowControl/>
      <w:spacing w:after="150" w:afterLines="0"/>
      <w:jc w:val="left"/>
    </w:pPr>
    <w:rPr>
      <w:rFonts w:ascii="宋体" w:hAnsi="宋体" w:cs="宋体"/>
      <w:kern w:val="0"/>
      <w:sz w:val="24"/>
    </w:rPr>
  </w:style>
  <w:style w:type="paragraph" w:customStyle="1" w:styleId="160">
    <w:name w:val="正文段"/>
    <w:basedOn w:val="1"/>
    <w:qFormat/>
    <w:uiPriority w:val="0"/>
    <w:pPr>
      <w:widowControl/>
      <w:snapToGrid w:val="0"/>
      <w:spacing w:after="156" w:afterLines="50"/>
      <w:ind w:firstLine="200" w:firstLineChars="200"/>
    </w:pPr>
    <w:rPr>
      <w:kern w:val="0"/>
      <w:sz w:val="24"/>
      <w:szCs w:val="20"/>
    </w:rPr>
  </w:style>
  <w:style w:type="paragraph" w:customStyle="1" w:styleId="161">
    <w:name w:val="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62">
    <w:name w:val="2ji"/>
    <w:basedOn w:val="3"/>
    <w:qFormat/>
    <w:uiPriority w:val="0"/>
    <w:pPr>
      <w:adjustRightInd w:val="0"/>
      <w:spacing w:before="0" w:beforeLines="0" w:after="0" w:afterLines="0" w:line="360" w:lineRule="auto"/>
      <w:textAlignment w:val="baseline"/>
    </w:pPr>
    <w:rPr>
      <w:rFonts w:ascii="宋体" w:hAnsi="宋体" w:eastAsia="宋体"/>
      <w:kern w:val="0"/>
      <w:sz w:val="21"/>
      <w:szCs w:val="21"/>
    </w:rPr>
  </w:style>
  <w:style w:type="paragraph" w:customStyle="1" w:styleId="163">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64">
    <w:name w:val="2-2ji"/>
    <w:basedOn w:val="3"/>
    <w:qFormat/>
    <w:uiPriority w:val="0"/>
    <w:pPr>
      <w:adjustRightInd w:val="0"/>
      <w:spacing w:before="0" w:beforeLines="0" w:after="0" w:afterLines="0" w:line="360" w:lineRule="auto"/>
      <w:jc w:val="center"/>
      <w:textAlignment w:val="baseline"/>
    </w:pPr>
    <w:rPr>
      <w:rFonts w:ascii="宋体" w:hAnsi="宋体" w:eastAsia="宋体"/>
      <w:bCs w:val="0"/>
      <w:kern w:val="0"/>
      <w:sz w:val="36"/>
    </w:rPr>
  </w:style>
  <w:style w:type="paragraph" w:customStyle="1" w:styleId="165">
    <w:name w:val="444"/>
    <w:basedOn w:val="1"/>
    <w:qFormat/>
    <w:uiPriority w:val="0"/>
    <w:pPr>
      <w:adjustRightInd w:val="0"/>
      <w:spacing w:line="312" w:lineRule="atLeast"/>
      <w:jc w:val="center"/>
      <w:textAlignment w:val="baseline"/>
    </w:pPr>
    <w:rPr>
      <w:b/>
      <w:kern w:val="0"/>
      <w:sz w:val="36"/>
      <w:szCs w:val="36"/>
    </w:rPr>
  </w:style>
  <w:style w:type="paragraph" w:customStyle="1" w:styleId="166">
    <w:name w:val="Table Paragraph"/>
    <w:basedOn w:val="1"/>
    <w:qFormat/>
    <w:uiPriority w:val="1"/>
    <w:pPr>
      <w:autoSpaceDE w:val="0"/>
      <w:autoSpaceDN w:val="0"/>
      <w:adjustRightInd w:val="0"/>
      <w:jc w:val="left"/>
    </w:pPr>
    <w:rPr>
      <w:kern w:val="0"/>
      <w:sz w:val="24"/>
    </w:rPr>
  </w:style>
  <w:style w:type="character" w:customStyle="1" w:styleId="167">
    <w:name w:val="fd"/>
    <w:qFormat/>
    <w:uiPriority w:val="0"/>
  </w:style>
  <w:style w:type="paragraph" w:customStyle="1" w:styleId="168">
    <w:name w:val="paragraphindent"/>
    <w:basedOn w:val="1"/>
    <w:qFormat/>
    <w:uiPriority w:val="0"/>
    <w:pPr>
      <w:widowControl/>
      <w:spacing w:before="100" w:beforeAutospacing="1" w:after="100" w:afterAutospacing="1"/>
      <w:jc w:val="left"/>
    </w:pPr>
    <w:rPr>
      <w:rFonts w:ascii="宋体" w:hAnsi="宋体" w:cs="宋体"/>
      <w:kern w:val="0"/>
      <w:sz w:val="24"/>
    </w:rPr>
  </w:style>
  <w:style w:type="character" w:customStyle="1" w:styleId="169">
    <w:name w:val="批注文字 字符1"/>
    <w:qFormat/>
    <w:uiPriority w:val="0"/>
    <w:rPr>
      <w:kern w:val="2"/>
      <w:sz w:val="21"/>
      <w:szCs w:val="24"/>
    </w:rPr>
  </w:style>
  <w:style w:type="character" w:customStyle="1" w:styleId="170">
    <w:name w:val="_Style 169"/>
    <w:semiHidden/>
    <w:unhideWhenUsed/>
    <w:qFormat/>
    <w:uiPriority w:val="99"/>
    <w:rPr>
      <w:color w:val="605E5C"/>
      <w:shd w:val="clear" w:color="auto" w:fill="E1DFDD"/>
    </w:rPr>
  </w:style>
  <w:style w:type="character" w:customStyle="1" w:styleId="171">
    <w:name w:val="纯文本 字符1"/>
    <w:qFormat/>
    <w:uiPriority w:val="99"/>
    <w:rPr>
      <w:rFonts w:ascii="宋体" w:hAnsi="Courier New" w:eastAsia="宋体" w:cs="Courier New"/>
      <w:kern w:val="2"/>
      <w:sz w:val="21"/>
      <w:szCs w:val="21"/>
      <w:lang w:val="en-US" w:eastAsia="zh-CN" w:bidi="ar-SA"/>
    </w:rPr>
  </w:style>
  <w:style w:type="character" w:customStyle="1" w:styleId="172">
    <w:name w:val="正文文本 字符1"/>
    <w:qFormat/>
    <w:uiPriority w:val="99"/>
    <w:rPr>
      <w:kern w:val="2"/>
      <w:sz w:val="24"/>
      <w:szCs w:val="24"/>
    </w:rPr>
  </w:style>
  <w:style w:type="paragraph" w:customStyle="1" w:styleId="173">
    <w:name w:val="正文-2字符首行缩进"/>
    <w:basedOn w:val="1"/>
    <w:link w:val="174"/>
    <w:qFormat/>
    <w:uiPriority w:val="0"/>
    <w:pPr>
      <w:widowControl/>
      <w:spacing w:line="360" w:lineRule="auto"/>
      <w:ind w:firstLine="200" w:firstLineChars="200"/>
    </w:pPr>
    <w:rPr>
      <w:rFonts w:ascii="仿宋_GB2312" w:hAnsi="Calibri" w:eastAsia="仿宋_GB2312"/>
      <w:kern w:val="0"/>
      <w:sz w:val="28"/>
      <w:szCs w:val="22"/>
    </w:rPr>
  </w:style>
  <w:style w:type="character" w:customStyle="1" w:styleId="174">
    <w:name w:val="正文-2字符首行缩进 Char"/>
    <w:link w:val="173"/>
    <w:qFormat/>
    <w:uiPriority w:val="0"/>
    <w:rPr>
      <w:rFonts w:ascii="仿宋_GB2312" w:hAnsi="Calibri" w:eastAsia="仿宋_GB2312"/>
      <w:sz w:val="28"/>
      <w:szCs w:val="22"/>
    </w:rPr>
  </w:style>
  <w:style w:type="paragraph" w:customStyle="1" w:styleId="175">
    <w:name w:val="列出段落1"/>
    <w:basedOn w:val="1"/>
    <w:qFormat/>
    <w:uiPriority w:val="99"/>
    <w:pPr>
      <w:ind w:firstLine="420" w:firstLineChars="200"/>
    </w:pPr>
    <w:rPr>
      <w:rFonts w:ascii="等线" w:hAnsi="等线" w:eastAsia="等线"/>
    </w:rPr>
  </w:style>
  <w:style w:type="character" w:customStyle="1" w:styleId="176">
    <w:name w:val="正文文本 字符"/>
    <w:qFormat/>
    <w:uiPriority w:val="99"/>
    <w:rPr>
      <w:kern w:val="2"/>
      <w:sz w:val="24"/>
      <w:szCs w:val="24"/>
    </w:rPr>
  </w:style>
  <w:style w:type="character" w:customStyle="1" w:styleId="177">
    <w:name w:val="纯文本 字符"/>
    <w:qFormat/>
    <w:uiPriority w:val="99"/>
    <w:rPr>
      <w:rFonts w:ascii="宋体" w:hAnsi="Courier New" w:eastAsia="宋体" w:cs="Courier New"/>
      <w:kern w:val="2"/>
      <w:sz w:val="21"/>
      <w:szCs w:val="21"/>
      <w:lang w:val="en-US" w:eastAsia="zh-CN" w:bidi="ar-SA"/>
    </w:rPr>
  </w:style>
  <w:style w:type="character" w:customStyle="1" w:styleId="178">
    <w:name w:val="标题 3 字符"/>
    <w:basedOn w:val="53"/>
    <w:link w:val="4"/>
    <w:qFormat/>
    <w:uiPriority w:val="0"/>
    <w:rPr>
      <w:rFonts w:ascii="等线 Light" w:hAnsi="等线 Light" w:eastAsia="等线 Light" w:cs="Times New Roman"/>
      <w:color w:val="0F4761"/>
      <w:kern w:val="2"/>
      <w:sz w:val="32"/>
      <w:szCs w:val="32"/>
    </w:rPr>
  </w:style>
  <w:style w:type="character" w:customStyle="1" w:styleId="179">
    <w:name w:val="批注文字 字符"/>
    <w:basedOn w:val="53"/>
    <w:link w:val="17"/>
    <w:qFormat/>
    <w:uiPriority w:val="0"/>
    <w:rPr>
      <w:kern w:val="2"/>
      <w:sz w:val="21"/>
      <w:szCs w:val="24"/>
    </w:rPr>
  </w:style>
  <w:style w:type="paragraph" w:customStyle="1" w:styleId="180">
    <w:name w:val="图表"/>
    <w:basedOn w:val="1"/>
    <w:qFormat/>
    <w:uiPriority w:val="0"/>
    <w:pPr>
      <w:spacing w:line="360" w:lineRule="auto"/>
      <w:ind w:firstLine="200" w:firstLineChars="200"/>
      <w:jc w:val="center"/>
    </w:pPr>
    <w:rPr>
      <w:rFonts w:ascii="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image" Target="media/image1.emf"/><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footer" Target="footer7.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71</Pages>
  <Words>24909</Words>
  <Characters>26629</Characters>
  <Lines>389</Lines>
  <Paragraphs>109</Paragraphs>
  <TotalTime>246</TotalTime>
  <ScaleCrop>false</ScaleCrop>
  <LinksUpToDate>false</LinksUpToDate>
  <CharactersWithSpaces>26831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2020-09-14T17:23:00Z</dcterms:created>
  <dc:creator>微软用户</dc:creator>
  <cp:lastModifiedBy>admin</cp:lastModifiedBy>
  <cp:lastPrinted>2025-10-24T11:38:00Z</cp:lastPrinted>
  <dcterms:modified xsi:type="dcterms:W3CDTF">2025-12-17T09:29:56Z</dcterms:modified>
  <dc:title>桂财采〔2009〕 号</dc:title>
  <cp:revision>268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372C2AD7AA584B65B6E6ECCCD7FF5CEB_13</vt:lpwstr>
  </property>
  <property fmtid="{D5CDD505-2E9C-101B-9397-08002B2CF9AE}" pid="14" name="KSOTemplateDocerSaveRecord">
    <vt:lpwstr>eyJoZGlkIjoiNDY4Y2IxYTg4MmM0NDhhYmZkMGZlYWYyMjc2YjIwYzQiLCJ1c2VySWQiOiIzMTQ2MjU3MTIifQ==</vt:lpwstr>
  </property>
</Properties>
</file>